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31260E">
      <w:pPr>
        <w:rPr>
          <w:rFonts w:hint="default" w:ascii="Times New Roman" w:hAnsi="Times New Roman" w:eastAsia="仿宋_GB2312" w:cs="Times New Roman"/>
          <w:color w:val="auto"/>
          <w:sz w:val="36"/>
          <w:szCs w:val="36"/>
        </w:rPr>
      </w:pPr>
      <w:bookmarkStart w:id="0" w:name="_Hlk57884087"/>
      <w:r>
        <w:drawing>
          <wp:inline distT="0" distB="0" distL="114300" distR="114300">
            <wp:extent cx="5848350" cy="8105775"/>
            <wp:effectExtent l="0" t="0" r="0" b="9525"/>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9"/>
                    <a:stretch>
                      <a:fillRect/>
                    </a:stretch>
                  </pic:blipFill>
                  <pic:spPr>
                    <a:xfrm>
                      <a:off x="0" y="0"/>
                      <a:ext cx="5848350" cy="8105775"/>
                    </a:xfrm>
                    <a:prstGeom prst="rect">
                      <a:avLst/>
                    </a:prstGeom>
                    <a:noFill/>
                    <a:ln>
                      <a:noFill/>
                    </a:ln>
                  </pic:spPr>
                </pic:pic>
              </a:graphicData>
            </a:graphic>
          </wp:inline>
        </w:drawing>
      </w:r>
      <w:bookmarkStart w:id="18" w:name="_GoBack"/>
      <w:bookmarkEnd w:id="18"/>
    </w:p>
    <w:p w14:paraId="03AE2174">
      <w:pPr>
        <w:pStyle w:val="29"/>
        <w:numPr>
          <w:ilvl w:val="0"/>
          <w:numId w:val="0"/>
        </w:numPr>
        <w:adjustRightInd w:val="0"/>
        <w:snapToGrid w:val="0"/>
        <w:spacing w:before="0" w:beforeAutospacing="0" w:after="0" w:afterAutospacing="0"/>
        <w:ind w:leftChars="0"/>
        <w:jc w:val="both"/>
        <w:outlineLvl w:val="0"/>
        <w:rPr>
          <w:rFonts w:hint="default" w:ascii="Times New Roman" w:hAnsi="Times New Roman" w:cs="Times New Roman"/>
        </w:rPr>
      </w:pPr>
    </w:p>
    <w:p w14:paraId="13861202">
      <w:pPr>
        <w:pStyle w:val="29"/>
        <w:numPr>
          <w:ilvl w:val="0"/>
          <w:numId w:val="0"/>
        </w:numPr>
        <w:adjustRightInd w:val="0"/>
        <w:snapToGrid w:val="0"/>
        <w:spacing w:before="0" w:beforeAutospacing="0" w:after="0" w:afterAutospacing="0"/>
        <w:ind w:leftChars="0"/>
        <w:jc w:val="both"/>
        <w:outlineLvl w:val="0"/>
        <w:rPr>
          <w:rFonts w:hint="default" w:ascii="Times New Roman" w:hAnsi="Times New Roman" w:cs="Times New Roman"/>
        </w:rPr>
      </w:pPr>
    </w:p>
    <w:p w14:paraId="37B17178">
      <w:pPr>
        <w:pStyle w:val="29"/>
        <w:numPr>
          <w:ilvl w:val="0"/>
          <w:numId w:val="0"/>
        </w:numPr>
        <w:adjustRightInd w:val="0"/>
        <w:snapToGrid w:val="0"/>
        <w:spacing w:before="0" w:beforeAutospacing="0" w:after="0" w:afterAutospacing="0"/>
        <w:ind w:leftChars="0"/>
        <w:jc w:val="both"/>
        <w:outlineLvl w:val="0"/>
        <w:rPr>
          <w:rFonts w:hint="default" w:ascii="Times New Roman" w:hAnsi="Times New Roman" w:cs="Times New Roman"/>
        </w:rPr>
      </w:pPr>
    </w:p>
    <w:p w14:paraId="735F2F55">
      <w:pPr>
        <w:pStyle w:val="29"/>
        <w:numPr>
          <w:ilvl w:val="0"/>
          <w:numId w:val="0"/>
        </w:numPr>
        <w:adjustRightInd w:val="0"/>
        <w:snapToGrid w:val="0"/>
        <w:spacing w:before="0" w:beforeAutospacing="0" w:after="0" w:afterAutospacing="0"/>
        <w:ind w:leftChars="0"/>
        <w:jc w:val="both"/>
        <w:outlineLvl w:val="0"/>
        <w:rPr>
          <w:rFonts w:hint="default" w:ascii="Times New Roman" w:hAnsi="Times New Roman" w:eastAsia="宋体" w:cs="Times New Roman"/>
          <w:b/>
          <w:bCs/>
          <w:snapToGrid w:val="0"/>
          <w:color w:val="auto"/>
          <w:sz w:val="30"/>
          <w:szCs w:val="30"/>
          <w:highlight w:val="none"/>
          <w:lang w:val="en-US" w:eastAsia="zh-CN"/>
        </w:rPr>
      </w:pPr>
    </w:p>
    <w:p w14:paraId="1EF4BAAF">
      <w:pPr>
        <w:pStyle w:val="29"/>
        <w:numPr>
          <w:ilvl w:val="0"/>
          <w:numId w:val="0"/>
        </w:numPr>
        <w:adjustRightInd w:val="0"/>
        <w:snapToGrid w:val="0"/>
        <w:spacing w:before="0" w:beforeAutospacing="0" w:after="0" w:afterAutospacing="0"/>
        <w:ind w:leftChars="0"/>
        <w:jc w:val="center"/>
        <w:outlineLvl w:val="0"/>
        <w:rPr>
          <w:rFonts w:hint="default" w:ascii="Times New Roman" w:hAnsi="Times New Roman" w:eastAsia="宋体" w:cs="Times New Roman"/>
          <w:b/>
          <w:bCs/>
          <w:snapToGrid w:val="0"/>
          <w:color w:val="auto"/>
          <w:sz w:val="30"/>
          <w:szCs w:val="30"/>
          <w:highlight w:val="none"/>
          <w:lang w:val="en-US" w:eastAsia="zh-CN"/>
        </w:rPr>
      </w:pPr>
      <w:r>
        <w:rPr>
          <w:rFonts w:hint="default" w:ascii="Times New Roman" w:hAnsi="Times New Roman" w:eastAsia="宋体" w:cs="Times New Roman"/>
          <w:b/>
          <w:bCs/>
          <w:snapToGrid w:val="0"/>
          <w:color w:val="auto"/>
          <w:sz w:val="30"/>
          <w:szCs w:val="30"/>
          <w:highlight w:val="none"/>
          <w:lang w:val="en-US" w:eastAsia="zh-CN"/>
        </w:rPr>
        <w:t>一、建设项目基本情况</w:t>
      </w:r>
    </w:p>
    <w:tbl>
      <w:tblPr>
        <w:tblStyle w:val="34"/>
        <w:tblW w:w="9720" w:type="dxa"/>
        <w:tblInd w:w="-13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841"/>
        <w:gridCol w:w="3032"/>
        <w:gridCol w:w="1877"/>
        <w:gridCol w:w="2970"/>
      </w:tblGrid>
      <w:tr w14:paraId="6B13A6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37" w:hRule="atLeast"/>
        </w:trPr>
        <w:tc>
          <w:tcPr>
            <w:tcW w:w="1841" w:type="dxa"/>
            <w:noWrap/>
            <w:tcMar>
              <w:top w:w="16" w:type="dxa"/>
              <w:left w:w="16" w:type="dxa"/>
              <w:right w:w="16" w:type="dxa"/>
            </w:tcMar>
            <w:vAlign w:val="center"/>
          </w:tcPr>
          <w:p w14:paraId="3DF942A0">
            <w:pPr>
              <w:widowControl w:val="0"/>
              <w:spacing w:after="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建设项目名称</w:t>
            </w:r>
          </w:p>
        </w:tc>
        <w:tc>
          <w:tcPr>
            <w:tcW w:w="7879" w:type="dxa"/>
            <w:gridSpan w:val="3"/>
            <w:noWrap/>
            <w:vAlign w:val="center"/>
          </w:tcPr>
          <w:p w14:paraId="054F9720">
            <w:pPr>
              <w:widowControl w:val="0"/>
              <w:spacing w:after="0"/>
              <w:jc w:val="center"/>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eastAsia="宋体" w:cs="Times New Roman"/>
                <w:color w:val="auto"/>
                <w:kern w:val="2"/>
                <w:sz w:val="24"/>
                <w:szCs w:val="21"/>
                <w:highlight w:val="none"/>
                <w:lang w:val="en-US" w:eastAsia="zh-CN"/>
              </w:rPr>
              <w:t>武汉思力博轨道装备有限公司惠州分公司建设项目</w:t>
            </w:r>
          </w:p>
        </w:tc>
      </w:tr>
      <w:tr w14:paraId="093A5D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42" w:hRule="atLeast"/>
        </w:trPr>
        <w:tc>
          <w:tcPr>
            <w:tcW w:w="1841" w:type="dxa"/>
            <w:noWrap/>
            <w:tcMar>
              <w:top w:w="16" w:type="dxa"/>
              <w:left w:w="16" w:type="dxa"/>
              <w:right w:w="16" w:type="dxa"/>
            </w:tcMar>
            <w:vAlign w:val="center"/>
          </w:tcPr>
          <w:p w14:paraId="50A04EEB">
            <w:pPr>
              <w:widowControl w:val="0"/>
              <w:spacing w:after="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项目代码</w:t>
            </w:r>
          </w:p>
        </w:tc>
        <w:tc>
          <w:tcPr>
            <w:tcW w:w="7879" w:type="dxa"/>
            <w:gridSpan w:val="3"/>
            <w:noWrap/>
            <w:vAlign w:val="center"/>
          </w:tcPr>
          <w:p w14:paraId="04ACDE35">
            <w:pPr>
              <w:widowControl w:val="0"/>
              <w:spacing w:after="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1"/>
                <w:highlight w:val="none"/>
                <w:lang w:val="en-US" w:eastAsia="zh-CN"/>
              </w:rPr>
              <w:t>2501-441322-04-01-850588</w:t>
            </w:r>
          </w:p>
        </w:tc>
      </w:tr>
      <w:tr w14:paraId="23146C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41" w:hRule="atLeast"/>
        </w:trPr>
        <w:tc>
          <w:tcPr>
            <w:tcW w:w="1841" w:type="dxa"/>
            <w:noWrap/>
            <w:tcMar>
              <w:top w:w="16" w:type="dxa"/>
              <w:left w:w="16" w:type="dxa"/>
              <w:right w:w="16" w:type="dxa"/>
            </w:tcMar>
            <w:vAlign w:val="center"/>
          </w:tcPr>
          <w:p w14:paraId="7454D561">
            <w:pPr>
              <w:widowControl w:val="0"/>
              <w:spacing w:after="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建设单位联系人</w:t>
            </w:r>
          </w:p>
        </w:tc>
        <w:tc>
          <w:tcPr>
            <w:tcW w:w="3032" w:type="dxa"/>
            <w:noWrap/>
            <w:vAlign w:val="center"/>
          </w:tcPr>
          <w:p w14:paraId="5FFF62EA">
            <w:pPr>
              <w:widowControl w:val="0"/>
              <w:spacing w:after="0"/>
              <w:jc w:val="center"/>
              <w:rPr>
                <w:rFonts w:hint="default" w:ascii="Times New Roman" w:hAnsi="Times New Roman" w:eastAsia="宋体" w:cs="Times New Roman"/>
                <w:color w:val="auto"/>
                <w:kern w:val="2"/>
                <w:sz w:val="24"/>
                <w:szCs w:val="24"/>
                <w:highlight w:val="none"/>
                <w:lang w:val="en-US" w:eastAsia="zh-CN"/>
              </w:rPr>
            </w:pPr>
            <w:r>
              <w:rPr>
                <w:rFonts w:hint="eastAsia" w:ascii="Times New Roman" w:hAnsi="Times New Roman" w:eastAsia="宋体" w:cs="Times New Roman"/>
                <w:color w:val="auto"/>
                <w:sz w:val="24"/>
                <w:highlight w:val="none"/>
                <w:lang w:val="en-US" w:eastAsia="zh-CN"/>
              </w:rPr>
              <w:t>***</w:t>
            </w:r>
          </w:p>
        </w:tc>
        <w:tc>
          <w:tcPr>
            <w:tcW w:w="1877" w:type="dxa"/>
            <w:noWrap/>
            <w:vAlign w:val="center"/>
          </w:tcPr>
          <w:p w14:paraId="362D0158">
            <w:pPr>
              <w:widowControl w:val="0"/>
              <w:spacing w:after="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联系方式</w:t>
            </w:r>
          </w:p>
        </w:tc>
        <w:tc>
          <w:tcPr>
            <w:tcW w:w="2970" w:type="dxa"/>
            <w:noWrap/>
            <w:vAlign w:val="center"/>
          </w:tcPr>
          <w:p w14:paraId="2DC6775A">
            <w:pPr>
              <w:widowControl w:val="0"/>
              <w:spacing w:after="0"/>
              <w:jc w:val="center"/>
              <w:rPr>
                <w:rFonts w:hint="default" w:ascii="Times New Roman" w:hAnsi="Times New Roman" w:eastAsia="宋体" w:cs="Times New Roman"/>
                <w:color w:val="auto"/>
                <w:kern w:val="2"/>
                <w:sz w:val="24"/>
                <w:szCs w:val="24"/>
                <w:highlight w:val="none"/>
                <w:lang w:val="en-US" w:eastAsia="zh-CN"/>
              </w:rPr>
            </w:pPr>
            <w:r>
              <w:rPr>
                <w:rFonts w:hint="eastAsia" w:ascii="Times New Roman" w:hAnsi="Times New Roman" w:eastAsia="宋体" w:cs="Times New Roman"/>
                <w:color w:val="auto"/>
                <w:sz w:val="24"/>
                <w:highlight w:val="none"/>
                <w:lang w:val="en-US" w:eastAsia="zh-CN"/>
              </w:rPr>
              <w:t>***</w:t>
            </w:r>
          </w:p>
        </w:tc>
      </w:tr>
      <w:tr w14:paraId="2547BE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05" w:hRule="atLeast"/>
        </w:trPr>
        <w:tc>
          <w:tcPr>
            <w:tcW w:w="1841" w:type="dxa"/>
            <w:noWrap/>
            <w:tcMar>
              <w:top w:w="16" w:type="dxa"/>
              <w:left w:w="16" w:type="dxa"/>
              <w:right w:w="16" w:type="dxa"/>
            </w:tcMar>
            <w:vAlign w:val="center"/>
          </w:tcPr>
          <w:p w14:paraId="3952791C">
            <w:pPr>
              <w:widowControl w:val="0"/>
              <w:spacing w:after="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建设地点</w:t>
            </w:r>
          </w:p>
        </w:tc>
        <w:tc>
          <w:tcPr>
            <w:tcW w:w="7879" w:type="dxa"/>
            <w:gridSpan w:val="3"/>
            <w:noWrap/>
            <w:vAlign w:val="center"/>
          </w:tcPr>
          <w:p w14:paraId="2CF082A4">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eastAsia="宋体" w:cs="Times New Roman"/>
                <w:color w:val="auto"/>
                <w:kern w:val="2"/>
                <w:sz w:val="24"/>
                <w:szCs w:val="21"/>
                <w:highlight w:val="none"/>
                <w:u w:val="single"/>
              </w:rPr>
              <w:t>广东</w:t>
            </w:r>
            <w:r>
              <w:rPr>
                <w:rFonts w:hint="default" w:ascii="Times New Roman" w:hAnsi="Times New Roman" w:eastAsia="宋体" w:cs="Times New Roman"/>
                <w:color w:val="auto"/>
                <w:kern w:val="2"/>
                <w:sz w:val="24"/>
                <w:szCs w:val="21"/>
                <w:highlight w:val="none"/>
              </w:rPr>
              <w:t>省</w:t>
            </w:r>
            <w:r>
              <w:rPr>
                <w:rFonts w:hint="default" w:ascii="Times New Roman" w:hAnsi="Times New Roman" w:eastAsia="宋体" w:cs="Times New Roman"/>
                <w:color w:val="auto"/>
                <w:kern w:val="2"/>
                <w:sz w:val="24"/>
                <w:szCs w:val="21"/>
                <w:highlight w:val="none"/>
                <w:u w:val="single"/>
              </w:rPr>
              <w:t>惠州</w:t>
            </w:r>
            <w:r>
              <w:rPr>
                <w:rFonts w:hint="default" w:ascii="Times New Roman" w:hAnsi="Times New Roman" w:eastAsia="宋体" w:cs="Times New Roman"/>
                <w:color w:val="auto"/>
                <w:kern w:val="2"/>
                <w:sz w:val="24"/>
                <w:szCs w:val="21"/>
                <w:highlight w:val="none"/>
              </w:rPr>
              <w:t>市</w:t>
            </w:r>
            <w:r>
              <w:rPr>
                <w:rFonts w:hint="default" w:ascii="Times New Roman" w:hAnsi="Times New Roman" w:eastAsia="宋体" w:cs="Times New Roman"/>
                <w:color w:val="auto"/>
                <w:kern w:val="2"/>
                <w:sz w:val="24"/>
                <w:szCs w:val="21"/>
                <w:highlight w:val="none"/>
                <w:u w:val="single"/>
                <w:lang w:eastAsia="zh-CN"/>
              </w:rPr>
              <w:t>博罗</w:t>
            </w:r>
            <w:r>
              <w:rPr>
                <w:rFonts w:hint="default" w:ascii="Times New Roman" w:hAnsi="Times New Roman" w:eastAsia="宋体" w:cs="Times New Roman"/>
                <w:color w:val="auto"/>
                <w:kern w:val="2"/>
                <w:sz w:val="24"/>
                <w:szCs w:val="21"/>
                <w:highlight w:val="none"/>
                <w:u w:val="none"/>
                <w:lang w:eastAsia="zh-CN"/>
              </w:rPr>
              <w:t>县</w:t>
            </w:r>
            <w:r>
              <w:rPr>
                <w:rFonts w:hint="default" w:ascii="Times New Roman" w:hAnsi="Times New Roman" w:eastAsia="宋体" w:cs="Times New Roman"/>
                <w:color w:val="auto"/>
                <w:kern w:val="2"/>
                <w:sz w:val="24"/>
                <w:szCs w:val="21"/>
                <w:highlight w:val="none"/>
                <w:u w:val="single"/>
                <w:lang w:eastAsia="zh-CN"/>
              </w:rPr>
              <w:t>罗阳</w:t>
            </w:r>
            <w:r>
              <w:rPr>
                <w:rFonts w:hint="default" w:ascii="Times New Roman" w:hAnsi="Times New Roman" w:eastAsia="宋体" w:cs="Times New Roman"/>
                <w:color w:val="auto"/>
                <w:kern w:val="2"/>
                <w:sz w:val="24"/>
                <w:szCs w:val="21"/>
                <w:highlight w:val="none"/>
                <w:u w:val="none"/>
                <w:lang w:eastAsia="zh-CN"/>
              </w:rPr>
              <w:t>街道小金村（大径小组地段桦泰工业园）</w:t>
            </w:r>
          </w:p>
        </w:tc>
      </w:tr>
      <w:tr w14:paraId="4402C0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3" w:hRule="atLeast"/>
        </w:trPr>
        <w:tc>
          <w:tcPr>
            <w:tcW w:w="1841" w:type="dxa"/>
            <w:noWrap/>
            <w:tcMar>
              <w:top w:w="16" w:type="dxa"/>
              <w:left w:w="16" w:type="dxa"/>
              <w:right w:w="16" w:type="dxa"/>
            </w:tcMar>
            <w:vAlign w:val="center"/>
          </w:tcPr>
          <w:p w14:paraId="442BD1E8">
            <w:pPr>
              <w:widowControl w:val="0"/>
              <w:spacing w:after="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地理坐标</w:t>
            </w:r>
          </w:p>
        </w:tc>
        <w:tc>
          <w:tcPr>
            <w:tcW w:w="7879" w:type="dxa"/>
            <w:gridSpan w:val="3"/>
            <w:noWrap/>
            <w:vAlign w:val="center"/>
          </w:tcPr>
          <w:p w14:paraId="13B92213">
            <w:pPr>
              <w:widowControl w:val="0"/>
              <w:adjustRightInd/>
              <w:snapToGrid/>
              <w:spacing w:after="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1"/>
                <w:highlight w:val="none"/>
              </w:rPr>
              <w:t>（</w:t>
            </w:r>
            <w:r>
              <w:rPr>
                <w:rFonts w:hint="default" w:ascii="Times New Roman" w:hAnsi="Times New Roman" w:eastAsia="宋体" w:cs="Times New Roman"/>
                <w:color w:val="auto"/>
                <w:kern w:val="2"/>
                <w:sz w:val="24"/>
                <w:szCs w:val="21"/>
                <w:highlight w:val="none"/>
                <w:lang w:val="en-US" w:eastAsia="zh-CN"/>
              </w:rPr>
              <w:t>E：</w:t>
            </w:r>
            <w:r>
              <w:rPr>
                <w:rFonts w:hint="default" w:ascii="Times New Roman" w:hAnsi="Times New Roman" w:eastAsia="宋体" w:cs="Times New Roman"/>
                <w:color w:val="auto"/>
                <w:kern w:val="2"/>
                <w:sz w:val="24"/>
                <w:szCs w:val="21"/>
                <w:highlight w:val="none"/>
                <w:u w:val="single"/>
              </w:rPr>
              <w:t>11</w:t>
            </w:r>
            <w:r>
              <w:rPr>
                <w:rFonts w:hint="default" w:ascii="Times New Roman" w:hAnsi="Times New Roman" w:eastAsia="宋体" w:cs="Times New Roman"/>
                <w:color w:val="auto"/>
                <w:kern w:val="2"/>
                <w:sz w:val="24"/>
                <w:szCs w:val="21"/>
                <w:highlight w:val="none"/>
                <w:u w:val="single"/>
                <w:lang w:val="en-US" w:eastAsia="zh-CN"/>
              </w:rPr>
              <w:t>4</w:t>
            </w:r>
            <w:r>
              <w:rPr>
                <w:rFonts w:hint="default" w:ascii="Times New Roman" w:hAnsi="Times New Roman" w:eastAsia="宋体" w:cs="Times New Roman"/>
                <w:color w:val="auto"/>
                <w:kern w:val="2"/>
                <w:sz w:val="24"/>
                <w:szCs w:val="21"/>
                <w:highlight w:val="none"/>
              </w:rPr>
              <w:t>度</w:t>
            </w:r>
            <w:r>
              <w:rPr>
                <w:rFonts w:hint="default" w:ascii="Times New Roman" w:hAnsi="Times New Roman" w:eastAsia="宋体" w:cs="Times New Roman"/>
                <w:color w:val="auto"/>
                <w:kern w:val="2"/>
                <w:sz w:val="24"/>
                <w:szCs w:val="21"/>
                <w:highlight w:val="none"/>
                <w:u w:val="single"/>
                <w:lang w:val="en-US" w:eastAsia="zh-CN"/>
              </w:rPr>
              <w:t>25</w:t>
            </w:r>
            <w:r>
              <w:rPr>
                <w:rFonts w:hint="default" w:ascii="Times New Roman" w:hAnsi="Times New Roman" w:eastAsia="宋体" w:cs="Times New Roman"/>
                <w:color w:val="auto"/>
                <w:kern w:val="2"/>
                <w:sz w:val="24"/>
                <w:szCs w:val="21"/>
                <w:highlight w:val="none"/>
              </w:rPr>
              <w:t>分</w:t>
            </w:r>
            <w:r>
              <w:rPr>
                <w:rFonts w:hint="default" w:ascii="Times New Roman" w:hAnsi="Times New Roman" w:eastAsia="宋体" w:cs="Times New Roman"/>
                <w:color w:val="auto"/>
                <w:kern w:val="2"/>
                <w:sz w:val="24"/>
                <w:szCs w:val="21"/>
                <w:highlight w:val="none"/>
                <w:u w:val="single"/>
                <w:lang w:val="en-US" w:eastAsia="zh-CN"/>
              </w:rPr>
              <w:t>37.065</w:t>
            </w:r>
            <w:r>
              <w:rPr>
                <w:rFonts w:hint="default" w:ascii="Times New Roman" w:hAnsi="Times New Roman" w:eastAsia="宋体" w:cs="Times New Roman"/>
                <w:color w:val="auto"/>
                <w:kern w:val="2"/>
                <w:sz w:val="24"/>
                <w:szCs w:val="21"/>
                <w:highlight w:val="none"/>
              </w:rPr>
              <w:t>秒，</w:t>
            </w:r>
            <w:r>
              <w:rPr>
                <w:rFonts w:hint="default" w:ascii="Times New Roman" w:hAnsi="Times New Roman" w:eastAsia="宋体" w:cs="Times New Roman"/>
                <w:color w:val="auto"/>
                <w:kern w:val="2"/>
                <w:sz w:val="24"/>
                <w:szCs w:val="21"/>
                <w:highlight w:val="none"/>
                <w:lang w:val="en-US" w:eastAsia="zh-CN"/>
              </w:rPr>
              <w:t>N：</w:t>
            </w:r>
            <w:r>
              <w:rPr>
                <w:rFonts w:hint="default" w:ascii="Times New Roman" w:hAnsi="Times New Roman" w:eastAsia="宋体" w:cs="Times New Roman"/>
                <w:color w:val="auto"/>
                <w:kern w:val="2"/>
                <w:sz w:val="24"/>
                <w:szCs w:val="21"/>
                <w:highlight w:val="none"/>
                <w:u w:val="single"/>
              </w:rPr>
              <w:t>23</w:t>
            </w:r>
            <w:r>
              <w:rPr>
                <w:rFonts w:hint="default" w:ascii="Times New Roman" w:hAnsi="Times New Roman" w:eastAsia="宋体" w:cs="Times New Roman"/>
                <w:color w:val="auto"/>
                <w:kern w:val="2"/>
                <w:sz w:val="24"/>
                <w:szCs w:val="21"/>
                <w:highlight w:val="none"/>
              </w:rPr>
              <w:t>度</w:t>
            </w:r>
            <w:r>
              <w:rPr>
                <w:rFonts w:hint="default" w:ascii="Times New Roman" w:hAnsi="Times New Roman" w:eastAsia="宋体" w:cs="Times New Roman"/>
                <w:color w:val="auto"/>
                <w:kern w:val="2"/>
                <w:sz w:val="24"/>
                <w:szCs w:val="21"/>
                <w:highlight w:val="none"/>
                <w:u w:val="single"/>
                <w:lang w:val="en-US" w:eastAsia="zh-CN"/>
              </w:rPr>
              <w:t>13</w:t>
            </w:r>
            <w:r>
              <w:rPr>
                <w:rFonts w:hint="default" w:ascii="Times New Roman" w:hAnsi="Times New Roman" w:eastAsia="宋体" w:cs="Times New Roman"/>
                <w:color w:val="auto"/>
                <w:kern w:val="2"/>
                <w:sz w:val="24"/>
                <w:szCs w:val="21"/>
                <w:highlight w:val="none"/>
              </w:rPr>
              <w:t>分</w:t>
            </w:r>
            <w:r>
              <w:rPr>
                <w:rFonts w:hint="default" w:ascii="Times New Roman" w:hAnsi="Times New Roman" w:eastAsia="宋体" w:cs="Times New Roman"/>
                <w:color w:val="auto"/>
                <w:kern w:val="2"/>
                <w:sz w:val="24"/>
                <w:szCs w:val="21"/>
                <w:highlight w:val="none"/>
                <w:u w:val="single"/>
                <w:lang w:val="en-US" w:eastAsia="zh-CN"/>
              </w:rPr>
              <w:t>53.953</w:t>
            </w:r>
            <w:r>
              <w:rPr>
                <w:rFonts w:hint="default" w:ascii="Times New Roman" w:hAnsi="Times New Roman" w:eastAsia="宋体" w:cs="Times New Roman"/>
                <w:color w:val="auto"/>
                <w:kern w:val="2"/>
                <w:sz w:val="24"/>
                <w:szCs w:val="21"/>
                <w:highlight w:val="none"/>
              </w:rPr>
              <w:t>秒）</w:t>
            </w:r>
          </w:p>
        </w:tc>
      </w:tr>
      <w:tr w14:paraId="6366DF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12" w:hRule="atLeast"/>
        </w:trPr>
        <w:tc>
          <w:tcPr>
            <w:tcW w:w="1841" w:type="dxa"/>
            <w:noWrap/>
            <w:tcMar>
              <w:top w:w="16" w:type="dxa"/>
              <w:left w:w="16" w:type="dxa"/>
              <w:right w:w="16" w:type="dxa"/>
            </w:tcMar>
            <w:vAlign w:val="center"/>
          </w:tcPr>
          <w:p w14:paraId="7968F376">
            <w:pPr>
              <w:widowControl w:val="0"/>
              <w:spacing w:after="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国民经济</w:t>
            </w:r>
          </w:p>
          <w:p w14:paraId="46D73EA6">
            <w:pPr>
              <w:widowControl w:val="0"/>
              <w:spacing w:after="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行业类别</w:t>
            </w:r>
          </w:p>
        </w:tc>
        <w:tc>
          <w:tcPr>
            <w:tcW w:w="3032" w:type="dxa"/>
            <w:noWrap/>
            <w:vAlign w:val="center"/>
          </w:tcPr>
          <w:p w14:paraId="548F6A4C">
            <w:pPr>
              <w:widowControl w:val="0"/>
              <w:spacing w:after="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kern w:val="2"/>
                <w:sz w:val="24"/>
                <w:szCs w:val="21"/>
                <w:highlight w:val="none"/>
                <w:lang w:val="en-US" w:eastAsia="zh-CN"/>
              </w:rPr>
              <w:t>C</w:t>
            </w:r>
            <w:r>
              <w:rPr>
                <w:rFonts w:hint="default" w:ascii="Times New Roman" w:hAnsi="Times New Roman" w:eastAsia="宋体" w:cs="Times New Roman"/>
                <w:color w:val="auto"/>
                <w:sz w:val="24"/>
                <w:highlight w:val="none"/>
              </w:rPr>
              <w:t>3021水泥制品制造；</w:t>
            </w:r>
          </w:p>
          <w:p w14:paraId="3E9BB7EA">
            <w:pPr>
              <w:widowControl w:val="0"/>
              <w:spacing w:after="0"/>
              <w:jc w:val="center"/>
              <w:rPr>
                <w:rFonts w:hint="default" w:ascii="Times New Roman" w:hAnsi="Times New Roman" w:cs="Times New Roman"/>
                <w:color w:val="auto"/>
                <w:highlight w:val="none"/>
                <w:lang w:val="en-US"/>
              </w:rPr>
            </w:pPr>
            <w:r>
              <w:rPr>
                <w:rFonts w:hint="default" w:ascii="Times New Roman" w:hAnsi="Times New Roman" w:eastAsia="宋体" w:cs="Times New Roman"/>
                <w:color w:val="auto"/>
                <w:kern w:val="2"/>
                <w:sz w:val="24"/>
                <w:szCs w:val="21"/>
                <w:highlight w:val="none"/>
                <w:lang w:val="en-US" w:eastAsia="zh-CN"/>
              </w:rPr>
              <w:t>C</w:t>
            </w:r>
            <w:r>
              <w:rPr>
                <w:rFonts w:hint="default" w:ascii="Times New Roman" w:hAnsi="Times New Roman" w:eastAsia="宋体" w:cs="Times New Roman"/>
                <w:color w:val="auto"/>
                <w:spacing w:val="-2"/>
                <w:sz w:val="24"/>
                <w:highlight w:val="none"/>
              </w:rPr>
              <w:t>3022砼结构构件制造</w:t>
            </w:r>
          </w:p>
        </w:tc>
        <w:tc>
          <w:tcPr>
            <w:tcW w:w="1877" w:type="dxa"/>
            <w:noWrap/>
            <w:vAlign w:val="center"/>
          </w:tcPr>
          <w:p w14:paraId="1316857D">
            <w:pPr>
              <w:widowControl w:val="0"/>
              <w:spacing w:after="0"/>
              <w:jc w:val="center"/>
              <w:rPr>
                <w:rFonts w:hint="default" w:ascii="Times New Roman" w:hAnsi="Times New Roman" w:eastAsia="宋体" w:cs="Times New Roman"/>
                <w:color w:val="auto"/>
                <w:kern w:val="2"/>
                <w:sz w:val="24"/>
                <w:szCs w:val="24"/>
                <w:highlight w:val="none"/>
              </w:rPr>
            </w:pPr>
            <w:bookmarkStart w:id="1" w:name="_Hlk49843745"/>
            <w:r>
              <w:rPr>
                <w:rFonts w:hint="default" w:ascii="Times New Roman" w:hAnsi="Times New Roman" w:eastAsia="宋体" w:cs="Times New Roman"/>
                <w:color w:val="auto"/>
                <w:kern w:val="2"/>
                <w:sz w:val="24"/>
                <w:szCs w:val="24"/>
                <w:highlight w:val="none"/>
              </w:rPr>
              <w:t>建设项目</w:t>
            </w:r>
          </w:p>
          <w:p w14:paraId="2433A88D">
            <w:pPr>
              <w:widowControl w:val="0"/>
              <w:spacing w:after="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行业类别</w:t>
            </w:r>
            <w:bookmarkEnd w:id="1"/>
          </w:p>
        </w:tc>
        <w:tc>
          <w:tcPr>
            <w:tcW w:w="2970" w:type="dxa"/>
            <w:noWrap/>
            <w:vAlign w:val="center"/>
          </w:tcPr>
          <w:p w14:paraId="2B6AAB06">
            <w:pPr>
              <w:widowControl w:val="0"/>
              <w:spacing w:after="0"/>
              <w:jc w:val="center"/>
              <w:rPr>
                <w:rFonts w:hint="default" w:ascii="Times New Roman" w:hAnsi="Times New Roman" w:eastAsia="宋体" w:cs="Times New Roman"/>
                <w:color w:val="auto"/>
                <w:highlight w:val="none"/>
                <w:lang w:val="en-US"/>
              </w:rPr>
            </w:pPr>
            <w:r>
              <w:rPr>
                <w:rFonts w:hint="default" w:ascii="Times New Roman" w:hAnsi="Times New Roman" w:eastAsia="宋体" w:cs="Times New Roman"/>
                <w:color w:val="auto"/>
                <w:sz w:val="24"/>
                <w:highlight w:val="none"/>
              </w:rPr>
              <w:t>55石膏、水泥制品制造及类似制品制造</w:t>
            </w:r>
            <w:r>
              <w:rPr>
                <w:rFonts w:hint="default" w:ascii="Times New Roman" w:hAnsi="Times New Roman" w:eastAsia="宋体" w:cs="Times New Roman"/>
                <w:color w:val="auto"/>
                <w:sz w:val="24"/>
                <w:highlight w:val="none"/>
                <w:lang w:val="en-US" w:eastAsia="zh-CN"/>
              </w:rPr>
              <w:t>302</w:t>
            </w:r>
          </w:p>
        </w:tc>
      </w:tr>
      <w:tr w14:paraId="3C2354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47" w:hRule="atLeast"/>
        </w:trPr>
        <w:tc>
          <w:tcPr>
            <w:tcW w:w="1841" w:type="dxa"/>
            <w:noWrap/>
            <w:tcMar>
              <w:top w:w="16" w:type="dxa"/>
              <w:left w:w="16" w:type="dxa"/>
              <w:right w:w="16" w:type="dxa"/>
            </w:tcMar>
            <w:vAlign w:val="center"/>
          </w:tcPr>
          <w:p w14:paraId="725E947A">
            <w:pPr>
              <w:widowControl w:val="0"/>
              <w:spacing w:after="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建设性质</w:t>
            </w:r>
          </w:p>
        </w:tc>
        <w:tc>
          <w:tcPr>
            <w:tcW w:w="3032" w:type="dxa"/>
            <w:noWrap/>
            <w:vAlign w:val="center"/>
          </w:tcPr>
          <w:p w14:paraId="2EDD5FC2">
            <w:pPr>
              <w:widowControl w:val="0"/>
              <w:adjustRightInd/>
              <w:snapToGrid/>
              <w:spacing w:after="0"/>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eastAsia="zh-CN"/>
              </w:rPr>
              <w:t>☑</w:t>
            </w:r>
            <w:r>
              <w:rPr>
                <w:rFonts w:hint="default" w:ascii="Times New Roman" w:hAnsi="Times New Roman" w:eastAsia="宋体" w:cs="Times New Roman"/>
                <w:color w:val="auto"/>
                <w:kern w:val="2"/>
                <w:sz w:val="24"/>
                <w:szCs w:val="24"/>
                <w:highlight w:val="none"/>
              </w:rPr>
              <w:t>新建（迁建）</w:t>
            </w:r>
          </w:p>
          <w:p w14:paraId="414CD0B4">
            <w:pPr>
              <w:widowControl w:val="0"/>
              <w:adjustRightInd/>
              <w:snapToGrid/>
              <w:spacing w:after="0"/>
              <w:rPr>
                <w:rFonts w:hint="default" w:ascii="Times New Roman" w:hAnsi="Times New Roman" w:eastAsia="宋体" w:cs="Times New Roman"/>
                <w:color w:val="auto"/>
                <w:kern w:val="2"/>
                <w:sz w:val="24"/>
                <w:szCs w:val="24"/>
                <w:highlight w:val="none"/>
                <w:lang w:val="en-US"/>
              </w:rPr>
            </w:pPr>
            <w:r>
              <w:rPr>
                <w:rFonts w:hint="eastAsia" w:ascii="Times New Roman" w:hAnsi="Times New Roman" w:eastAsia="宋体" w:cs="Times New Roman"/>
                <w:color w:val="auto"/>
                <w:kern w:val="2"/>
                <w:sz w:val="24"/>
                <w:szCs w:val="24"/>
                <w:highlight w:val="none"/>
                <w:lang w:eastAsia="zh-CN"/>
              </w:rPr>
              <w:t>□</w:t>
            </w:r>
            <w:r>
              <w:rPr>
                <w:rFonts w:hint="default" w:ascii="Times New Roman" w:hAnsi="Times New Roman" w:eastAsia="宋体" w:cs="Times New Roman"/>
                <w:color w:val="auto"/>
                <w:kern w:val="2"/>
                <w:sz w:val="24"/>
                <w:szCs w:val="24"/>
                <w:highlight w:val="none"/>
                <w:lang w:val="en-US" w:eastAsia="zh-CN"/>
              </w:rPr>
              <w:t>改建</w:t>
            </w:r>
          </w:p>
          <w:p w14:paraId="2BE62D02">
            <w:pPr>
              <w:widowControl w:val="0"/>
              <w:adjustRightInd/>
              <w:snapToGrid/>
              <w:spacing w:after="0"/>
              <w:rPr>
                <w:rFonts w:hint="default" w:ascii="Times New Roman" w:hAnsi="Times New Roman" w:eastAsia="宋体" w:cs="Times New Roman"/>
                <w:color w:val="auto"/>
                <w:kern w:val="2"/>
                <w:sz w:val="24"/>
                <w:szCs w:val="24"/>
                <w:highlight w:val="none"/>
                <w:lang w:eastAsia="zh-CN"/>
              </w:rPr>
            </w:pPr>
            <w:r>
              <w:rPr>
                <w:rFonts w:hint="eastAsia" w:ascii="Times New Roman" w:hAnsi="Times New Roman" w:eastAsia="宋体" w:cs="Times New Roman"/>
                <w:color w:val="auto"/>
                <w:kern w:val="2"/>
                <w:sz w:val="24"/>
                <w:szCs w:val="24"/>
                <w:highlight w:val="none"/>
                <w:lang w:eastAsia="zh-CN"/>
              </w:rPr>
              <w:t>□</w:t>
            </w:r>
            <w:r>
              <w:rPr>
                <w:rFonts w:hint="default" w:ascii="Times New Roman" w:hAnsi="Times New Roman" w:eastAsia="宋体" w:cs="Times New Roman"/>
                <w:color w:val="auto"/>
                <w:kern w:val="2"/>
                <w:sz w:val="24"/>
                <w:szCs w:val="24"/>
                <w:highlight w:val="none"/>
                <w:lang w:eastAsia="zh-CN"/>
              </w:rPr>
              <w:t>扩建</w:t>
            </w:r>
          </w:p>
          <w:p w14:paraId="2400AC7D">
            <w:pPr>
              <w:widowControl w:val="0"/>
              <w:adjustRightInd/>
              <w:snapToGrid/>
              <w:spacing w:after="0"/>
              <w:rPr>
                <w:rFonts w:hint="default" w:ascii="Times New Roman" w:hAnsi="Times New Roman" w:eastAsia="宋体" w:cs="Times New Roman"/>
                <w:color w:val="auto"/>
                <w:kern w:val="2"/>
                <w:sz w:val="24"/>
                <w:szCs w:val="24"/>
                <w:highlight w:val="none"/>
              </w:rPr>
            </w:pPr>
            <w:r>
              <w:rPr>
                <w:rFonts w:hint="eastAsia" w:ascii="Times New Roman" w:hAnsi="Times New Roman" w:eastAsia="宋体" w:cs="Times New Roman"/>
                <w:color w:val="auto"/>
                <w:kern w:val="2"/>
                <w:sz w:val="24"/>
                <w:szCs w:val="24"/>
                <w:highlight w:val="none"/>
                <w:lang w:eastAsia="zh-CN"/>
              </w:rPr>
              <w:t>□</w:t>
            </w:r>
            <w:r>
              <w:rPr>
                <w:rFonts w:hint="default" w:ascii="Times New Roman" w:hAnsi="Times New Roman" w:eastAsia="宋体" w:cs="Times New Roman"/>
                <w:color w:val="auto"/>
                <w:kern w:val="2"/>
                <w:sz w:val="24"/>
                <w:szCs w:val="24"/>
                <w:highlight w:val="none"/>
              </w:rPr>
              <w:t>技术改造</w:t>
            </w:r>
          </w:p>
        </w:tc>
        <w:tc>
          <w:tcPr>
            <w:tcW w:w="1877" w:type="dxa"/>
            <w:noWrap/>
            <w:vAlign w:val="center"/>
          </w:tcPr>
          <w:p w14:paraId="0965CEA8">
            <w:pPr>
              <w:widowControl w:val="0"/>
              <w:spacing w:after="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建设项目</w:t>
            </w:r>
          </w:p>
          <w:p w14:paraId="43D0833B">
            <w:pPr>
              <w:widowControl w:val="0"/>
              <w:spacing w:after="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申报情形</w:t>
            </w:r>
          </w:p>
        </w:tc>
        <w:tc>
          <w:tcPr>
            <w:tcW w:w="2970" w:type="dxa"/>
            <w:noWrap/>
            <w:vAlign w:val="center"/>
          </w:tcPr>
          <w:p w14:paraId="53042921">
            <w:pPr>
              <w:widowControl w:val="0"/>
              <w:adjustRightInd/>
              <w:snapToGrid/>
              <w:spacing w:after="0"/>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 xml:space="preserve">☑首次申报项目             </w:t>
            </w:r>
          </w:p>
          <w:p w14:paraId="6AC9E112">
            <w:pPr>
              <w:widowControl w:val="0"/>
              <w:adjustRightInd/>
              <w:snapToGrid/>
              <w:spacing w:after="0"/>
              <w:rPr>
                <w:rFonts w:hint="default" w:ascii="Times New Roman" w:hAnsi="Times New Roman" w:eastAsia="宋体" w:cs="Times New Roman"/>
                <w:color w:val="auto"/>
                <w:kern w:val="2"/>
                <w:sz w:val="24"/>
                <w:szCs w:val="24"/>
                <w:highlight w:val="none"/>
              </w:rPr>
            </w:pPr>
            <w:r>
              <w:rPr>
                <w:rFonts w:hint="eastAsia" w:ascii="Times New Roman" w:hAnsi="Times New Roman" w:eastAsia="宋体" w:cs="Times New Roman"/>
                <w:color w:val="auto"/>
                <w:kern w:val="2"/>
                <w:sz w:val="24"/>
                <w:szCs w:val="24"/>
                <w:highlight w:val="none"/>
                <w:lang w:eastAsia="zh-CN"/>
              </w:rPr>
              <w:t>□</w:t>
            </w:r>
            <w:r>
              <w:rPr>
                <w:rFonts w:hint="default" w:ascii="Times New Roman" w:hAnsi="Times New Roman" w:eastAsia="宋体" w:cs="Times New Roman"/>
                <w:color w:val="auto"/>
                <w:kern w:val="2"/>
                <w:sz w:val="24"/>
                <w:szCs w:val="24"/>
                <w:highlight w:val="none"/>
              </w:rPr>
              <w:t>不予批准后再次申报项目</w:t>
            </w:r>
          </w:p>
          <w:p w14:paraId="70642E35">
            <w:pPr>
              <w:widowControl w:val="0"/>
              <w:adjustRightInd/>
              <w:snapToGrid/>
              <w:spacing w:after="0"/>
              <w:rPr>
                <w:rFonts w:hint="default" w:ascii="Times New Roman" w:hAnsi="Times New Roman" w:eastAsia="宋体" w:cs="Times New Roman"/>
                <w:color w:val="auto"/>
                <w:kern w:val="2"/>
                <w:sz w:val="24"/>
                <w:szCs w:val="24"/>
                <w:highlight w:val="none"/>
              </w:rPr>
            </w:pPr>
            <w:r>
              <w:rPr>
                <w:rFonts w:hint="eastAsia" w:ascii="Times New Roman" w:hAnsi="Times New Roman" w:eastAsia="宋体" w:cs="Times New Roman"/>
                <w:color w:val="auto"/>
                <w:kern w:val="2"/>
                <w:sz w:val="24"/>
                <w:szCs w:val="24"/>
                <w:highlight w:val="none"/>
                <w:lang w:eastAsia="zh-CN"/>
              </w:rPr>
              <w:t>□</w:t>
            </w:r>
            <w:r>
              <w:rPr>
                <w:rFonts w:hint="default" w:ascii="Times New Roman" w:hAnsi="Times New Roman" w:eastAsia="宋体" w:cs="Times New Roman"/>
                <w:color w:val="auto"/>
                <w:kern w:val="2"/>
                <w:sz w:val="24"/>
                <w:szCs w:val="24"/>
                <w:highlight w:val="none"/>
              </w:rPr>
              <w:t xml:space="preserve">超五年重新审核项目     </w:t>
            </w:r>
          </w:p>
          <w:p w14:paraId="61B8037F">
            <w:pPr>
              <w:widowControl w:val="0"/>
              <w:adjustRightInd/>
              <w:snapToGrid/>
              <w:spacing w:after="0"/>
              <w:rPr>
                <w:rFonts w:hint="default" w:ascii="Times New Roman" w:hAnsi="Times New Roman" w:eastAsia="宋体" w:cs="Times New Roman"/>
                <w:color w:val="auto"/>
                <w:kern w:val="2"/>
                <w:sz w:val="24"/>
                <w:szCs w:val="24"/>
                <w:highlight w:val="none"/>
              </w:rPr>
            </w:pPr>
            <w:r>
              <w:rPr>
                <w:rFonts w:hint="eastAsia" w:ascii="Times New Roman" w:hAnsi="Times New Roman" w:eastAsia="宋体" w:cs="Times New Roman"/>
                <w:color w:val="auto"/>
                <w:kern w:val="2"/>
                <w:sz w:val="24"/>
                <w:szCs w:val="24"/>
                <w:highlight w:val="none"/>
                <w:lang w:eastAsia="zh-CN"/>
              </w:rPr>
              <w:t>□</w:t>
            </w:r>
            <w:r>
              <w:rPr>
                <w:rFonts w:hint="default" w:ascii="Times New Roman" w:hAnsi="Times New Roman" w:eastAsia="宋体" w:cs="Times New Roman"/>
                <w:color w:val="auto"/>
                <w:kern w:val="2"/>
                <w:sz w:val="24"/>
                <w:szCs w:val="24"/>
                <w:highlight w:val="none"/>
              </w:rPr>
              <w:t>重大变动重新报批项目</w:t>
            </w:r>
          </w:p>
        </w:tc>
      </w:tr>
      <w:tr w14:paraId="19798B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18" w:hRule="atLeast"/>
        </w:trPr>
        <w:tc>
          <w:tcPr>
            <w:tcW w:w="1841" w:type="dxa"/>
            <w:noWrap/>
            <w:tcMar>
              <w:top w:w="16" w:type="dxa"/>
              <w:left w:w="16" w:type="dxa"/>
              <w:right w:w="16" w:type="dxa"/>
            </w:tcMar>
            <w:vAlign w:val="center"/>
          </w:tcPr>
          <w:p w14:paraId="14335A95">
            <w:pPr>
              <w:widowControl w:val="0"/>
              <w:spacing w:after="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项目审批（核准/备案）部门（选填）</w:t>
            </w:r>
          </w:p>
        </w:tc>
        <w:tc>
          <w:tcPr>
            <w:tcW w:w="3032" w:type="dxa"/>
            <w:noWrap/>
            <w:vAlign w:val="center"/>
          </w:tcPr>
          <w:p w14:paraId="53156BCE">
            <w:pPr>
              <w:widowControl w:val="0"/>
              <w:spacing w:after="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w:t>
            </w:r>
          </w:p>
        </w:tc>
        <w:tc>
          <w:tcPr>
            <w:tcW w:w="1877" w:type="dxa"/>
            <w:noWrap/>
            <w:vAlign w:val="center"/>
          </w:tcPr>
          <w:p w14:paraId="5E1E59D4">
            <w:pPr>
              <w:widowControl w:val="0"/>
              <w:spacing w:after="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项目审批（核准/备案）文号（选填）</w:t>
            </w:r>
          </w:p>
        </w:tc>
        <w:tc>
          <w:tcPr>
            <w:tcW w:w="2970" w:type="dxa"/>
            <w:noWrap/>
            <w:vAlign w:val="center"/>
          </w:tcPr>
          <w:p w14:paraId="54291905">
            <w:pPr>
              <w:widowControl w:val="0"/>
              <w:spacing w:after="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w:t>
            </w:r>
          </w:p>
        </w:tc>
      </w:tr>
      <w:tr w14:paraId="593847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2" w:hRule="atLeast"/>
        </w:trPr>
        <w:tc>
          <w:tcPr>
            <w:tcW w:w="1841" w:type="dxa"/>
            <w:noWrap/>
            <w:tcMar>
              <w:top w:w="16" w:type="dxa"/>
              <w:left w:w="16" w:type="dxa"/>
              <w:right w:w="16" w:type="dxa"/>
            </w:tcMar>
            <w:vAlign w:val="center"/>
          </w:tcPr>
          <w:p w14:paraId="67B26DAF">
            <w:pPr>
              <w:widowControl w:val="0"/>
              <w:spacing w:after="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总投资（万元）</w:t>
            </w:r>
          </w:p>
        </w:tc>
        <w:tc>
          <w:tcPr>
            <w:tcW w:w="3032" w:type="dxa"/>
            <w:noWrap/>
            <w:vAlign w:val="center"/>
          </w:tcPr>
          <w:p w14:paraId="74DEE23A">
            <w:pPr>
              <w:widowControl w:val="0"/>
              <w:spacing w:after="0"/>
              <w:jc w:val="center"/>
              <w:rPr>
                <w:rFonts w:hint="default" w:ascii="Times New Roman" w:hAnsi="Times New Roman" w:eastAsia="宋体" w:cs="Times New Roman"/>
                <w:color w:val="auto"/>
                <w:kern w:val="2"/>
                <w:sz w:val="24"/>
                <w:szCs w:val="24"/>
                <w:highlight w:val="none"/>
                <w:lang w:val="en-US"/>
              </w:rPr>
            </w:pPr>
            <w:r>
              <w:rPr>
                <w:rFonts w:hint="default" w:ascii="Times New Roman" w:hAnsi="Times New Roman" w:eastAsia="宋体" w:cs="Times New Roman"/>
                <w:color w:val="auto"/>
                <w:kern w:val="2"/>
                <w:sz w:val="24"/>
                <w:szCs w:val="24"/>
                <w:highlight w:val="none"/>
                <w:shd w:val="clear" w:color="auto" w:fill="auto"/>
                <w:lang w:val="en-US" w:eastAsia="zh-CN"/>
              </w:rPr>
              <w:t>2000</w:t>
            </w:r>
          </w:p>
        </w:tc>
        <w:tc>
          <w:tcPr>
            <w:tcW w:w="1877" w:type="dxa"/>
            <w:noWrap/>
            <w:tcMar>
              <w:top w:w="16" w:type="dxa"/>
              <w:left w:w="16" w:type="dxa"/>
              <w:right w:w="16" w:type="dxa"/>
            </w:tcMar>
            <w:vAlign w:val="center"/>
          </w:tcPr>
          <w:p w14:paraId="24245AA0">
            <w:pPr>
              <w:widowControl w:val="0"/>
              <w:spacing w:after="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环保投资（万元）</w:t>
            </w:r>
          </w:p>
        </w:tc>
        <w:tc>
          <w:tcPr>
            <w:tcW w:w="2970" w:type="dxa"/>
            <w:noWrap/>
            <w:vAlign w:val="center"/>
          </w:tcPr>
          <w:p w14:paraId="2F4E72EB">
            <w:pPr>
              <w:widowControl w:val="0"/>
              <w:spacing w:after="0"/>
              <w:jc w:val="center"/>
              <w:rPr>
                <w:rFonts w:hint="default" w:ascii="Times New Roman" w:hAnsi="Times New Roman" w:eastAsia="微软雅黑" w:cs="Times New Roman"/>
                <w:color w:val="auto"/>
                <w:kern w:val="2"/>
                <w:sz w:val="24"/>
                <w:szCs w:val="24"/>
                <w:highlight w:val="none"/>
                <w:lang w:val="en-US" w:eastAsia="zh-CN"/>
              </w:rPr>
            </w:pPr>
            <w:r>
              <w:rPr>
                <w:rFonts w:hint="default" w:ascii="Times New Roman" w:hAnsi="Times New Roman" w:cs="Times New Roman"/>
                <w:color w:val="auto"/>
                <w:kern w:val="2"/>
                <w:sz w:val="24"/>
                <w:szCs w:val="24"/>
                <w:highlight w:val="none"/>
                <w:lang w:val="en-US" w:eastAsia="zh-CN"/>
              </w:rPr>
              <w:t>200</w:t>
            </w:r>
          </w:p>
        </w:tc>
      </w:tr>
      <w:tr w14:paraId="6CFF86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03" w:hRule="atLeast"/>
        </w:trPr>
        <w:tc>
          <w:tcPr>
            <w:tcW w:w="1841" w:type="dxa"/>
            <w:noWrap/>
            <w:tcMar>
              <w:top w:w="16" w:type="dxa"/>
              <w:left w:w="16" w:type="dxa"/>
              <w:right w:w="16" w:type="dxa"/>
            </w:tcMar>
            <w:vAlign w:val="center"/>
          </w:tcPr>
          <w:p w14:paraId="65D8DBD5">
            <w:pPr>
              <w:widowControl w:val="0"/>
              <w:spacing w:after="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环保投资占比（%）</w:t>
            </w:r>
          </w:p>
        </w:tc>
        <w:tc>
          <w:tcPr>
            <w:tcW w:w="3032" w:type="dxa"/>
            <w:noWrap/>
            <w:vAlign w:val="center"/>
          </w:tcPr>
          <w:p w14:paraId="6285D791">
            <w:pPr>
              <w:widowControl w:val="0"/>
              <w:spacing w:after="0"/>
              <w:jc w:val="center"/>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eastAsia="宋体" w:cs="Times New Roman"/>
                <w:color w:val="auto"/>
                <w:kern w:val="2"/>
                <w:sz w:val="24"/>
                <w:szCs w:val="24"/>
                <w:highlight w:val="none"/>
                <w:lang w:val="en-US" w:eastAsia="zh-CN"/>
              </w:rPr>
              <w:t>10</w:t>
            </w:r>
          </w:p>
        </w:tc>
        <w:tc>
          <w:tcPr>
            <w:tcW w:w="1877" w:type="dxa"/>
            <w:noWrap/>
            <w:tcMar>
              <w:top w:w="16" w:type="dxa"/>
              <w:left w:w="16" w:type="dxa"/>
              <w:right w:w="16" w:type="dxa"/>
            </w:tcMar>
            <w:vAlign w:val="center"/>
          </w:tcPr>
          <w:p w14:paraId="099A3168">
            <w:pPr>
              <w:widowControl w:val="0"/>
              <w:spacing w:after="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施工工期</w:t>
            </w:r>
          </w:p>
        </w:tc>
        <w:tc>
          <w:tcPr>
            <w:tcW w:w="2970" w:type="dxa"/>
            <w:noWrap/>
            <w:vAlign w:val="center"/>
          </w:tcPr>
          <w:p w14:paraId="067CC3CB">
            <w:pPr>
              <w:widowControl w:val="0"/>
              <w:spacing w:after="0"/>
              <w:jc w:val="center"/>
              <w:rPr>
                <w:rFonts w:hint="default" w:ascii="Times New Roman" w:hAnsi="Times New Roman" w:cs="Times New Roman"/>
                <w:color w:val="auto"/>
                <w:kern w:val="2"/>
                <w:sz w:val="24"/>
                <w:szCs w:val="24"/>
                <w:highlight w:val="none"/>
                <w:lang w:val="en-US"/>
              </w:rPr>
            </w:pPr>
            <w:r>
              <w:rPr>
                <w:rFonts w:hint="default" w:ascii="Times New Roman" w:hAnsi="Times New Roman" w:eastAsia="宋体" w:cs="Times New Roman"/>
                <w:color w:val="auto"/>
                <w:sz w:val="24"/>
                <w:szCs w:val="24"/>
                <w:highlight w:val="none"/>
                <w:lang w:val="en-US" w:eastAsia="zh-CN"/>
              </w:rPr>
              <w:t>0</w:t>
            </w:r>
          </w:p>
        </w:tc>
      </w:tr>
      <w:tr w14:paraId="156A60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10" w:hRule="atLeast"/>
        </w:trPr>
        <w:tc>
          <w:tcPr>
            <w:tcW w:w="1841" w:type="dxa"/>
            <w:noWrap/>
            <w:tcMar>
              <w:top w:w="16" w:type="dxa"/>
              <w:left w:w="16" w:type="dxa"/>
              <w:right w:w="16" w:type="dxa"/>
            </w:tcMar>
            <w:vAlign w:val="center"/>
          </w:tcPr>
          <w:p w14:paraId="1DE2FC55">
            <w:pPr>
              <w:widowControl w:val="0"/>
              <w:spacing w:after="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是否开工建设</w:t>
            </w:r>
          </w:p>
        </w:tc>
        <w:tc>
          <w:tcPr>
            <w:tcW w:w="3032" w:type="dxa"/>
            <w:noWrap/>
            <w:vAlign w:val="center"/>
          </w:tcPr>
          <w:p w14:paraId="2A3DAB7F">
            <w:pPr>
              <w:widowControl w:val="0"/>
              <w:spacing w:after="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☑否</w:t>
            </w:r>
          </w:p>
          <w:p w14:paraId="0109962F">
            <w:pPr>
              <w:widowControl w:val="0"/>
              <w:spacing w:after="0"/>
              <w:jc w:val="both"/>
              <w:rPr>
                <w:rFonts w:hint="default" w:ascii="Times New Roman" w:hAnsi="Times New Roman" w:eastAsia="宋体" w:cs="Times New Roman"/>
                <w:color w:val="auto"/>
                <w:kern w:val="2"/>
                <w:sz w:val="24"/>
                <w:szCs w:val="24"/>
                <w:highlight w:val="none"/>
              </w:rPr>
            </w:pPr>
            <w:r>
              <w:rPr>
                <w:rFonts w:hint="eastAsia" w:ascii="Times New Roman" w:hAnsi="Times New Roman" w:eastAsia="宋体" w:cs="Times New Roman"/>
                <w:color w:val="auto"/>
                <w:kern w:val="2"/>
                <w:sz w:val="24"/>
                <w:szCs w:val="24"/>
                <w:highlight w:val="none"/>
                <w:lang w:eastAsia="zh-CN"/>
              </w:rPr>
              <w:t>□</w:t>
            </w:r>
            <w:r>
              <w:rPr>
                <w:rFonts w:hint="default" w:ascii="Times New Roman" w:hAnsi="Times New Roman" w:eastAsia="宋体" w:cs="Times New Roman"/>
                <w:color w:val="auto"/>
                <w:kern w:val="2"/>
                <w:sz w:val="24"/>
                <w:szCs w:val="24"/>
                <w:highlight w:val="none"/>
              </w:rPr>
              <w:t>是：</w:t>
            </w:r>
          </w:p>
        </w:tc>
        <w:tc>
          <w:tcPr>
            <w:tcW w:w="1877" w:type="dxa"/>
            <w:noWrap/>
            <w:tcMar>
              <w:top w:w="16" w:type="dxa"/>
              <w:left w:w="16" w:type="dxa"/>
              <w:right w:w="16" w:type="dxa"/>
            </w:tcMar>
            <w:vAlign w:val="center"/>
          </w:tcPr>
          <w:p w14:paraId="75AA04C9">
            <w:pPr>
              <w:widowControl w:val="0"/>
              <w:spacing w:after="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spacing w:val="-6"/>
                <w:kern w:val="2"/>
                <w:sz w:val="24"/>
                <w:szCs w:val="24"/>
                <w:highlight w:val="none"/>
              </w:rPr>
              <w:t>用地（用海）面积（m</w:t>
            </w:r>
            <w:r>
              <w:rPr>
                <w:rFonts w:hint="default" w:ascii="Times New Roman" w:hAnsi="Times New Roman" w:eastAsia="宋体" w:cs="Times New Roman"/>
                <w:color w:val="auto"/>
                <w:spacing w:val="-6"/>
                <w:kern w:val="2"/>
                <w:sz w:val="24"/>
                <w:szCs w:val="24"/>
                <w:highlight w:val="none"/>
                <w:vertAlign w:val="superscript"/>
              </w:rPr>
              <w:t>2</w:t>
            </w:r>
            <w:r>
              <w:rPr>
                <w:rFonts w:hint="default" w:ascii="Times New Roman" w:hAnsi="Times New Roman" w:eastAsia="宋体" w:cs="Times New Roman"/>
                <w:color w:val="auto"/>
                <w:spacing w:val="-6"/>
                <w:kern w:val="2"/>
                <w:sz w:val="24"/>
                <w:szCs w:val="24"/>
                <w:highlight w:val="none"/>
              </w:rPr>
              <w:t>）</w:t>
            </w:r>
          </w:p>
        </w:tc>
        <w:tc>
          <w:tcPr>
            <w:tcW w:w="2970" w:type="dxa"/>
            <w:noWrap/>
            <w:vAlign w:val="center"/>
          </w:tcPr>
          <w:p w14:paraId="46A24CF6">
            <w:pPr>
              <w:widowControl w:val="0"/>
              <w:spacing w:after="0"/>
              <w:jc w:val="center"/>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eastAsia="宋体" w:cs="Times New Roman"/>
                <w:color w:val="auto"/>
                <w:kern w:val="2"/>
                <w:sz w:val="24"/>
                <w:szCs w:val="24"/>
                <w:highlight w:val="none"/>
                <w:lang w:val="en-US" w:eastAsia="zh-CN"/>
              </w:rPr>
              <w:t>49000</w:t>
            </w:r>
          </w:p>
        </w:tc>
      </w:tr>
      <w:tr w14:paraId="0C022D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841" w:type="dxa"/>
            <w:noWrap/>
            <w:vAlign w:val="center"/>
          </w:tcPr>
          <w:p w14:paraId="58EEAB22">
            <w:pPr>
              <w:widowControl w:val="0"/>
              <w:autoSpaceDE w:val="0"/>
              <w:autoSpaceDN w:val="0"/>
              <w:spacing w:after="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专项评价设置情况</w:t>
            </w:r>
          </w:p>
        </w:tc>
        <w:tc>
          <w:tcPr>
            <w:tcW w:w="7879" w:type="dxa"/>
            <w:gridSpan w:val="3"/>
            <w:noWrap/>
            <w:vAlign w:val="center"/>
          </w:tcPr>
          <w:p w14:paraId="42CEC1BF">
            <w:pPr>
              <w:widowControl w:val="0"/>
              <w:autoSpaceDE w:val="0"/>
              <w:autoSpaceDN w:val="0"/>
              <w:spacing w:after="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无</w:t>
            </w:r>
          </w:p>
        </w:tc>
      </w:tr>
      <w:tr w14:paraId="59ACB9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1841" w:type="dxa"/>
            <w:noWrap/>
            <w:vAlign w:val="center"/>
          </w:tcPr>
          <w:p w14:paraId="4F02541C">
            <w:pPr>
              <w:widowControl w:val="0"/>
              <w:autoSpaceDE w:val="0"/>
              <w:autoSpaceDN w:val="0"/>
              <w:spacing w:after="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kern w:val="2"/>
                <w:sz w:val="24"/>
                <w:szCs w:val="24"/>
                <w:highlight w:val="none"/>
              </w:rPr>
              <w:t>规划情况</w:t>
            </w:r>
          </w:p>
        </w:tc>
        <w:tc>
          <w:tcPr>
            <w:tcW w:w="7879" w:type="dxa"/>
            <w:gridSpan w:val="3"/>
            <w:noWrap/>
            <w:vAlign w:val="center"/>
          </w:tcPr>
          <w:p w14:paraId="66598998">
            <w:pPr>
              <w:widowControl w:val="0"/>
              <w:autoSpaceDE w:val="0"/>
              <w:autoSpaceDN w:val="0"/>
              <w:spacing w:after="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无</w:t>
            </w:r>
          </w:p>
        </w:tc>
      </w:tr>
      <w:tr w14:paraId="237B69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841" w:type="dxa"/>
            <w:noWrap/>
            <w:vAlign w:val="center"/>
          </w:tcPr>
          <w:p w14:paraId="358AA61D">
            <w:pPr>
              <w:widowControl w:val="0"/>
              <w:spacing w:after="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kern w:val="2"/>
                <w:sz w:val="24"/>
                <w:szCs w:val="24"/>
                <w:highlight w:val="none"/>
              </w:rPr>
              <w:t>规划环境影响评价情况</w:t>
            </w:r>
          </w:p>
        </w:tc>
        <w:tc>
          <w:tcPr>
            <w:tcW w:w="7879" w:type="dxa"/>
            <w:gridSpan w:val="3"/>
            <w:noWrap/>
            <w:vAlign w:val="center"/>
          </w:tcPr>
          <w:p w14:paraId="3AB97E9E">
            <w:pPr>
              <w:widowControl w:val="0"/>
              <w:autoSpaceDE w:val="0"/>
              <w:autoSpaceDN w:val="0"/>
              <w:spacing w:after="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无</w:t>
            </w:r>
          </w:p>
        </w:tc>
      </w:tr>
      <w:tr w14:paraId="60F8B0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7" w:hRule="atLeast"/>
        </w:trPr>
        <w:tc>
          <w:tcPr>
            <w:tcW w:w="1841" w:type="dxa"/>
            <w:noWrap/>
            <w:vAlign w:val="center"/>
          </w:tcPr>
          <w:p w14:paraId="7D542A45">
            <w:pPr>
              <w:widowControl w:val="0"/>
              <w:autoSpaceDE w:val="0"/>
              <w:autoSpaceDN w:val="0"/>
              <w:spacing w:after="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规划及规划环境影响评价符合性分析</w:t>
            </w:r>
          </w:p>
        </w:tc>
        <w:tc>
          <w:tcPr>
            <w:tcW w:w="7879" w:type="dxa"/>
            <w:gridSpan w:val="3"/>
            <w:noWrap/>
            <w:vAlign w:val="center"/>
          </w:tcPr>
          <w:p w14:paraId="17412E20">
            <w:pPr>
              <w:widowControl w:val="0"/>
              <w:adjustRightInd/>
              <w:snapToGrid/>
              <w:spacing w:after="0" w:line="360" w:lineRule="auto"/>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无</w:t>
            </w:r>
          </w:p>
        </w:tc>
      </w:tr>
      <w:tr w14:paraId="5472C2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41" w:type="dxa"/>
            <w:noWrap/>
            <w:vAlign w:val="center"/>
          </w:tcPr>
          <w:p w14:paraId="15EEFFB8">
            <w:pPr>
              <w:widowControl w:val="0"/>
              <w:autoSpaceDE w:val="0"/>
              <w:autoSpaceDN w:val="0"/>
              <w:spacing w:after="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其他符合性分析</w:t>
            </w:r>
          </w:p>
        </w:tc>
        <w:tc>
          <w:tcPr>
            <w:tcW w:w="7879" w:type="dxa"/>
            <w:gridSpan w:val="3"/>
            <w:noWrap/>
            <w:vAlign w:val="center"/>
          </w:tcPr>
          <w:p w14:paraId="5FE7D08B">
            <w:pPr>
              <w:widowControl w:val="0"/>
              <w:autoSpaceDE w:val="0"/>
              <w:autoSpaceDN w:val="0"/>
              <w:spacing w:after="0" w:line="360" w:lineRule="auto"/>
              <w:ind w:firstLine="241" w:firstLineChars="100"/>
              <w:jc w:val="both"/>
              <w:rPr>
                <w:rFonts w:hint="default" w:ascii="Times New Roman" w:hAnsi="Times New Roman" w:eastAsia="宋体" w:cs="Times New Roman"/>
                <w:b/>
                <w:bCs/>
                <w:color w:val="auto"/>
                <w:sz w:val="24"/>
                <w:szCs w:val="21"/>
                <w:highlight w:val="none"/>
              </w:rPr>
            </w:pPr>
            <w:r>
              <w:rPr>
                <w:rFonts w:hint="default" w:ascii="Times New Roman" w:hAnsi="Times New Roman" w:eastAsia="宋体" w:cs="Times New Roman"/>
                <w:b/>
                <w:bCs/>
                <w:color w:val="auto"/>
                <w:sz w:val="24"/>
                <w:szCs w:val="21"/>
                <w:highlight w:val="none"/>
              </w:rPr>
              <w:t>1、</w:t>
            </w:r>
            <w:r>
              <w:rPr>
                <w:rFonts w:hint="default" w:ascii="Times New Roman" w:hAnsi="Times New Roman" w:eastAsia="宋体" w:cs="Times New Roman"/>
                <w:b/>
                <w:bCs/>
                <w:color w:val="auto"/>
                <w:kern w:val="0"/>
                <w:sz w:val="24"/>
                <w:szCs w:val="24"/>
                <w:highlight w:val="none"/>
              </w:rPr>
              <w:t>“三线一单”符合性分析</w:t>
            </w:r>
          </w:p>
          <w:p w14:paraId="01A7E03B">
            <w:pPr>
              <w:widowControl w:val="0"/>
              <w:autoSpaceDE w:val="0"/>
              <w:autoSpaceDN w:val="0"/>
              <w:adjustRightInd w:val="0"/>
              <w:snapToGrid w:val="0"/>
              <w:spacing w:after="0" w:line="360" w:lineRule="auto"/>
              <w:ind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0"/>
                <w:sz w:val="24"/>
                <w:szCs w:val="24"/>
                <w:highlight w:val="none"/>
              </w:rPr>
              <w:t>根据</w:t>
            </w:r>
            <w:r>
              <w:rPr>
                <w:rFonts w:hint="default" w:ascii="Times New Roman" w:hAnsi="Times New Roman" w:eastAsia="宋体" w:cs="Times New Roman"/>
                <w:color w:val="auto"/>
                <w:kern w:val="2"/>
                <w:sz w:val="24"/>
                <w:szCs w:val="24"/>
                <w:highlight w:val="none"/>
              </w:rPr>
              <w:t>《博罗县生态保护红线、环境质量底线、资源利用上线和环境准入清单研究报告》及《博罗县“三线一单”生态环境分区管控图集》</w:t>
            </w:r>
            <w:r>
              <w:rPr>
                <w:rFonts w:hint="default" w:ascii="Times New Roman" w:hAnsi="Times New Roman" w:eastAsia="宋体" w:cs="Times New Roman"/>
                <w:color w:val="auto"/>
                <w:kern w:val="0"/>
                <w:sz w:val="24"/>
                <w:szCs w:val="24"/>
                <w:highlight w:val="none"/>
              </w:rPr>
              <w:t>，</w:t>
            </w:r>
            <w:r>
              <w:rPr>
                <w:rFonts w:hint="default" w:ascii="Times New Roman" w:hAnsi="Times New Roman" w:eastAsia="宋体" w:cs="Times New Roman"/>
                <w:color w:val="auto"/>
                <w:kern w:val="0"/>
                <w:sz w:val="24"/>
                <w:szCs w:val="24"/>
                <w:highlight w:val="none"/>
                <w:lang w:val="en-US" w:eastAsia="zh-CN"/>
              </w:rPr>
              <w:t>本项目</w:t>
            </w:r>
            <w:r>
              <w:rPr>
                <w:rFonts w:hint="default" w:ascii="Times New Roman" w:hAnsi="Times New Roman" w:eastAsia="宋体" w:cs="Times New Roman"/>
                <w:color w:val="auto"/>
                <w:kern w:val="2"/>
                <w:sz w:val="24"/>
                <w:szCs w:val="24"/>
                <w:highlight w:val="none"/>
                <w:lang w:val="en-US" w:eastAsia="zh-CN"/>
              </w:rPr>
              <w:t>位于</w:t>
            </w:r>
            <w:r>
              <w:rPr>
                <w:rFonts w:hint="default" w:ascii="Times New Roman" w:hAnsi="Times New Roman" w:eastAsia="宋体" w:cs="Times New Roman"/>
                <w:color w:val="auto"/>
                <w:kern w:val="2"/>
                <w:sz w:val="24"/>
                <w:szCs w:val="24"/>
                <w:highlight w:val="none"/>
                <w:lang w:eastAsia="zh-CN"/>
              </w:rPr>
              <w:t>广东省惠州市博罗县罗阳街道小金村（大径小组地段桦泰工业园）</w:t>
            </w:r>
            <w:r>
              <w:rPr>
                <w:rFonts w:hint="default" w:ascii="Times New Roman" w:hAnsi="Times New Roman" w:eastAsia="宋体" w:cs="Times New Roman"/>
                <w:color w:val="auto"/>
                <w:kern w:val="0"/>
                <w:sz w:val="24"/>
                <w:szCs w:val="24"/>
                <w:highlight w:val="none"/>
                <w:lang w:val="en-US" w:eastAsia="zh-CN"/>
              </w:rPr>
              <w:t>，根据博罗县环境管控单元图（详见附图12）可知，项目所在区域属于ZH44132220001博罗沙河流域重点管控单元，与项目相符性分析如下表所示</w:t>
            </w:r>
            <w:r>
              <w:rPr>
                <w:rFonts w:hint="default" w:ascii="Times New Roman" w:hAnsi="Times New Roman" w:eastAsia="宋体" w:cs="Times New Roman"/>
                <w:color w:val="auto"/>
                <w:kern w:val="2"/>
                <w:sz w:val="24"/>
                <w:szCs w:val="24"/>
                <w:highlight w:val="none"/>
              </w:rPr>
              <w:t>。</w:t>
            </w:r>
          </w:p>
          <w:p w14:paraId="66E26DB9">
            <w:pPr>
              <w:pStyle w:val="43"/>
              <w:keepNext w:val="0"/>
              <w:keepLines w:val="0"/>
              <w:pageBreakBefore w:val="0"/>
              <w:widowControl/>
              <w:kinsoku/>
              <w:wordWrap/>
              <w:overflowPunct/>
              <w:topLinePunct w:val="0"/>
              <w:autoSpaceDE w:val="0"/>
              <w:autoSpaceDN w:val="0"/>
              <w:bidi w:val="0"/>
              <w:adjustRightInd w:val="0"/>
              <w:snapToGrid w:val="0"/>
              <w:spacing w:after="0"/>
              <w:jc w:val="center"/>
              <w:textAlignment w:val="baseline"/>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表1-1</w:t>
            </w:r>
            <w:r>
              <w:rPr>
                <w:rFonts w:hint="default" w:ascii="Times New Roman" w:hAnsi="Times New Roman" w:eastAsia="宋体" w:cs="Times New Roman"/>
                <w:b/>
                <w:color w:val="auto"/>
                <w:sz w:val="21"/>
                <w:szCs w:val="21"/>
                <w:highlight w:val="none"/>
                <w:lang w:val="en-US" w:eastAsia="zh-CN"/>
              </w:rPr>
              <w:t xml:space="preserve"> </w:t>
            </w:r>
            <w:r>
              <w:rPr>
                <w:rFonts w:hint="default" w:ascii="Times New Roman" w:hAnsi="Times New Roman" w:eastAsia="宋体" w:cs="Times New Roman"/>
                <w:b/>
                <w:color w:val="auto"/>
                <w:sz w:val="21"/>
                <w:szCs w:val="21"/>
                <w:highlight w:val="none"/>
              </w:rPr>
              <w:t>与博罗县“三线一单”相符性分析</w:t>
            </w:r>
          </w:p>
          <w:tbl>
            <w:tblPr>
              <w:tblStyle w:val="35"/>
              <w:tblW w:w="78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6"/>
              <w:gridCol w:w="698"/>
              <w:gridCol w:w="3350"/>
              <w:gridCol w:w="2977"/>
              <w:gridCol w:w="397"/>
            </w:tblGrid>
            <w:tr w14:paraId="00C28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4444" w:type="dxa"/>
                  <w:gridSpan w:val="3"/>
                  <w:noWrap w:val="0"/>
                  <w:vAlign w:val="center"/>
                </w:tcPr>
                <w:p w14:paraId="1546972B">
                  <w:pPr>
                    <w:keepNext w:val="0"/>
                    <w:keepLines w:val="0"/>
                    <w:pageBreakBefore w:val="0"/>
                    <w:widowControl w:val="0"/>
                    <w:kinsoku/>
                    <w:wordWrap/>
                    <w:overflowPunct/>
                    <w:topLinePunct w:val="0"/>
                    <w:autoSpaceDE/>
                    <w:autoSpaceDN/>
                    <w:bidi w:val="0"/>
                    <w:adjustRightInd w:val="0"/>
                    <w:snapToGrid w:val="0"/>
                    <w:spacing w:after="0"/>
                    <w:ind w:left="0"/>
                    <w:jc w:val="center"/>
                    <w:textAlignment w:val="auto"/>
                    <w:rPr>
                      <w:rFonts w:hint="default" w:ascii="Times New Roman" w:hAnsi="Times New Roman" w:eastAsia="宋体" w:cs="Times New Roman"/>
                      <w:b/>
                      <w:bCs/>
                      <w:color w:val="auto"/>
                      <w:kern w:val="0"/>
                      <w:sz w:val="21"/>
                      <w:szCs w:val="21"/>
                      <w:highlight w:val="none"/>
                      <w:vertAlign w:val="baseline"/>
                      <w:lang w:val="en-US" w:eastAsia="zh-CN"/>
                    </w:rPr>
                  </w:pPr>
                  <w:r>
                    <w:rPr>
                      <w:rFonts w:hint="default" w:ascii="Times New Roman" w:hAnsi="Times New Roman" w:eastAsia="宋体" w:cs="Times New Roman"/>
                      <w:b/>
                      <w:bCs/>
                      <w:color w:val="auto"/>
                      <w:kern w:val="0"/>
                      <w:sz w:val="21"/>
                      <w:szCs w:val="21"/>
                      <w:highlight w:val="none"/>
                      <w:vertAlign w:val="baseline"/>
                      <w:lang w:val="en-US" w:eastAsia="zh-CN" w:bidi="ar-SA"/>
                    </w:rPr>
                    <w:t>文件要求</w:t>
                  </w:r>
                </w:p>
              </w:tc>
              <w:tc>
                <w:tcPr>
                  <w:tcW w:w="2977" w:type="dxa"/>
                  <w:noWrap w:val="0"/>
                  <w:vAlign w:val="center"/>
                </w:tcPr>
                <w:p w14:paraId="62972633">
                  <w:pPr>
                    <w:keepNext w:val="0"/>
                    <w:keepLines w:val="0"/>
                    <w:pageBreakBefore w:val="0"/>
                    <w:widowControl w:val="0"/>
                    <w:kinsoku/>
                    <w:wordWrap/>
                    <w:overflowPunct/>
                    <w:topLinePunct w:val="0"/>
                    <w:autoSpaceDE/>
                    <w:autoSpaceDN/>
                    <w:bidi w:val="0"/>
                    <w:adjustRightInd w:val="0"/>
                    <w:snapToGrid w:val="0"/>
                    <w:spacing w:after="0"/>
                    <w:ind w:left="0"/>
                    <w:jc w:val="center"/>
                    <w:textAlignment w:val="auto"/>
                    <w:rPr>
                      <w:rFonts w:hint="default" w:ascii="Times New Roman" w:hAnsi="Times New Roman" w:eastAsia="宋体" w:cs="Times New Roman"/>
                      <w:b/>
                      <w:bCs/>
                      <w:color w:val="auto"/>
                      <w:kern w:val="0"/>
                      <w:sz w:val="21"/>
                      <w:szCs w:val="21"/>
                      <w:highlight w:val="none"/>
                      <w:vertAlign w:val="baseline"/>
                      <w:lang w:eastAsia="zh-CN"/>
                    </w:rPr>
                  </w:pPr>
                  <w:r>
                    <w:rPr>
                      <w:rFonts w:hint="default" w:ascii="Times New Roman" w:hAnsi="Times New Roman" w:eastAsia="宋体" w:cs="Times New Roman"/>
                      <w:b/>
                      <w:bCs/>
                      <w:color w:val="auto"/>
                      <w:kern w:val="0"/>
                      <w:sz w:val="21"/>
                      <w:szCs w:val="21"/>
                      <w:highlight w:val="none"/>
                      <w:vertAlign w:val="baseline"/>
                      <w:lang w:eastAsia="zh-CN"/>
                    </w:rPr>
                    <w:t>本项目情况</w:t>
                  </w:r>
                </w:p>
              </w:tc>
              <w:tc>
                <w:tcPr>
                  <w:tcW w:w="397" w:type="dxa"/>
                  <w:noWrap w:val="0"/>
                  <w:vAlign w:val="center"/>
                </w:tcPr>
                <w:p w14:paraId="33025435">
                  <w:pPr>
                    <w:keepNext w:val="0"/>
                    <w:keepLines w:val="0"/>
                    <w:pageBreakBefore w:val="0"/>
                    <w:widowControl w:val="0"/>
                    <w:kinsoku/>
                    <w:wordWrap/>
                    <w:overflowPunct/>
                    <w:topLinePunct w:val="0"/>
                    <w:autoSpaceDE/>
                    <w:autoSpaceDN/>
                    <w:bidi w:val="0"/>
                    <w:adjustRightInd w:val="0"/>
                    <w:snapToGrid w:val="0"/>
                    <w:spacing w:after="0"/>
                    <w:ind w:left="0"/>
                    <w:jc w:val="center"/>
                    <w:textAlignment w:val="auto"/>
                    <w:rPr>
                      <w:rFonts w:hint="default" w:ascii="Times New Roman" w:hAnsi="Times New Roman" w:eastAsia="宋体" w:cs="Times New Roman"/>
                      <w:b/>
                      <w:bCs/>
                      <w:color w:val="auto"/>
                      <w:kern w:val="0"/>
                      <w:sz w:val="21"/>
                      <w:szCs w:val="21"/>
                      <w:highlight w:val="none"/>
                      <w:vertAlign w:val="baseline"/>
                      <w:lang w:eastAsia="zh-CN"/>
                    </w:rPr>
                  </w:pPr>
                  <w:r>
                    <w:rPr>
                      <w:rFonts w:hint="default" w:ascii="Times New Roman" w:hAnsi="Times New Roman" w:eastAsia="宋体" w:cs="Times New Roman"/>
                      <w:b/>
                      <w:bCs/>
                      <w:color w:val="auto"/>
                      <w:kern w:val="0"/>
                      <w:sz w:val="21"/>
                      <w:szCs w:val="21"/>
                      <w:highlight w:val="none"/>
                      <w:vertAlign w:val="baseline"/>
                      <w:lang w:val="en-US" w:eastAsia="zh-CN"/>
                    </w:rPr>
                    <w:t>相符性</w:t>
                  </w:r>
                </w:p>
              </w:tc>
            </w:tr>
            <w:tr w14:paraId="2D796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396" w:type="dxa"/>
                  <w:noWrap w:val="0"/>
                  <w:vAlign w:val="center"/>
                </w:tcPr>
                <w:p w14:paraId="0A96EE57">
                  <w:pPr>
                    <w:keepNext w:val="0"/>
                    <w:keepLines w:val="0"/>
                    <w:pageBreakBefore w:val="0"/>
                    <w:widowControl w:val="0"/>
                    <w:kinsoku/>
                    <w:wordWrap/>
                    <w:overflowPunct/>
                    <w:topLinePunct w:val="0"/>
                    <w:autoSpaceDE/>
                    <w:autoSpaceDN/>
                    <w:bidi w:val="0"/>
                    <w:adjustRightInd w:val="0"/>
                    <w:snapToGrid w:val="0"/>
                    <w:spacing w:after="0"/>
                    <w:ind w:left="0"/>
                    <w:jc w:val="center"/>
                    <w:textAlignment w:val="auto"/>
                    <w:rPr>
                      <w:rFonts w:hint="default" w:ascii="Times New Roman" w:hAnsi="Times New Roman" w:eastAsia="宋体" w:cs="Times New Roman"/>
                      <w:b w:val="0"/>
                      <w:bCs w:val="0"/>
                      <w:color w:val="auto"/>
                      <w:kern w:val="0"/>
                      <w:sz w:val="21"/>
                      <w:szCs w:val="21"/>
                      <w:highlight w:val="none"/>
                      <w:vertAlign w:val="baseline"/>
                      <w:lang w:eastAsia="zh-CN"/>
                    </w:rPr>
                  </w:pPr>
                  <w:r>
                    <w:rPr>
                      <w:rFonts w:hint="default" w:ascii="Times New Roman" w:hAnsi="Times New Roman" w:eastAsia="宋体" w:cs="Times New Roman"/>
                      <w:b w:val="0"/>
                      <w:bCs w:val="0"/>
                      <w:color w:val="auto"/>
                      <w:kern w:val="0"/>
                      <w:sz w:val="21"/>
                      <w:szCs w:val="21"/>
                      <w:highlight w:val="none"/>
                      <w:vertAlign w:val="baseline"/>
                      <w:lang w:eastAsia="zh-CN"/>
                    </w:rPr>
                    <w:t>生态环保红线</w:t>
                  </w:r>
                </w:p>
              </w:tc>
              <w:tc>
                <w:tcPr>
                  <w:tcW w:w="4048" w:type="dxa"/>
                  <w:gridSpan w:val="2"/>
                  <w:noWrap w:val="0"/>
                  <w:vAlign w:val="center"/>
                </w:tcPr>
                <w:p w14:paraId="6EAAC687">
                  <w:pPr>
                    <w:adjustRightInd w:val="0"/>
                    <w:snapToGrid w:val="0"/>
                    <w:jc w:val="center"/>
                    <w:rPr>
                      <w:rFonts w:hint="default" w:ascii="Times New Roman" w:hAnsi="Times New Roman" w:cs="Times New Roman"/>
                      <w:b/>
                      <w:bCs/>
                      <w:color w:val="auto"/>
                      <w:kern w:val="0"/>
                      <w:sz w:val="21"/>
                      <w:szCs w:val="21"/>
                      <w:highlight w:val="none"/>
                      <w:lang w:val="en-US" w:eastAsia="zh-CN"/>
                    </w:rPr>
                  </w:pPr>
                  <w:r>
                    <w:rPr>
                      <w:rFonts w:hint="default" w:ascii="Times New Roman" w:hAnsi="Times New Roman" w:cs="Times New Roman"/>
                      <w:b/>
                      <w:bCs/>
                      <w:color w:val="auto"/>
                      <w:kern w:val="0"/>
                      <w:sz w:val="21"/>
                      <w:szCs w:val="21"/>
                      <w:highlight w:val="none"/>
                      <w:lang w:eastAsia="zh-CN"/>
                    </w:rPr>
                    <w:t>表</w:t>
                  </w:r>
                  <w:r>
                    <w:rPr>
                      <w:rFonts w:hint="default" w:ascii="Times New Roman" w:hAnsi="Times New Roman" w:cs="Times New Roman"/>
                      <w:b/>
                      <w:bCs/>
                      <w:color w:val="auto"/>
                      <w:kern w:val="0"/>
                      <w:sz w:val="21"/>
                      <w:szCs w:val="21"/>
                      <w:highlight w:val="none"/>
                      <w:lang w:val="en-US" w:eastAsia="zh-CN"/>
                    </w:rPr>
                    <w:t>1.1-1 罗阳镇生态空间管控分区面积（平方公里）</w:t>
                  </w:r>
                </w:p>
                <w:tbl>
                  <w:tblPr>
                    <w:tblStyle w:val="35"/>
                    <w:tblW w:w="3979" w:type="dxa"/>
                    <w:tblInd w:w="-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43"/>
                    <w:gridCol w:w="1736"/>
                  </w:tblGrid>
                  <w:tr w14:paraId="1394B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2243" w:type="dxa"/>
                        <w:vAlign w:val="center"/>
                      </w:tcPr>
                      <w:p w14:paraId="69277FA7">
                        <w:pPr>
                          <w:keepNext w:val="0"/>
                          <w:keepLines w:val="0"/>
                          <w:pageBreakBefore w:val="0"/>
                          <w:widowControl w:val="0"/>
                          <w:kinsoku/>
                          <w:wordWrap/>
                          <w:overflowPunct/>
                          <w:topLinePunct w:val="0"/>
                          <w:autoSpaceDE/>
                          <w:autoSpaceDN/>
                          <w:bidi w:val="0"/>
                          <w:adjustRightInd w:val="0"/>
                          <w:snapToGrid w:val="0"/>
                          <w:ind w:right="0" w:rightChars="0"/>
                          <w:jc w:val="center"/>
                          <w:textAlignment w:val="auto"/>
                          <w:rPr>
                            <w:rFonts w:hint="default" w:ascii="Times New Roman" w:hAnsi="Times New Roman" w:cs="Times New Roman"/>
                            <w:b/>
                            <w:bCs/>
                            <w:color w:val="auto"/>
                            <w:kern w:val="0"/>
                            <w:sz w:val="21"/>
                            <w:szCs w:val="21"/>
                            <w:highlight w:val="none"/>
                            <w:vertAlign w:val="baseline"/>
                            <w:lang w:val="en-US" w:eastAsia="zh-CN"/>
                          </w:rPr>
                        </w:pPr>
                        <w:r>
                          <w:rPr>
                            <w:rFonts w:hint="default" w:ascii="Times New Roman" w:hAnsi="Times New Roman" w:eastAsia="宋体" w:cs="Times New Roman"/>
                            <w:color w:val="auto"/>
                            <w:kern w:val="2"/>
                            <w:sz w:val="21"/>
                            <w:szCs w:val="21"/>
                            <w:highlight w:val="none"/>
                            <w:vertAlign w:val="baseline"/>
                            <w:lang w:val="en-US" w:eastAsia="zh-CN" w:bidi="zh-CN"/>
                          </w:rPr>
                          <w:t>生态保护红线</w:t>
                        </w:r>
                      </w:p>
                    </w:tc>
                    <w:tc>
                      <w:tcPr>
                        <w:tcW w:w="1736" w:type="dxa"/>
                        <w:vAlign w:val="center"/>
                      </w:tcPr>
                      <w:p w14:paraId="612B8676">
                        <w:pPr>
                          <w:keepNext w:val="0"/>
                          <w:keepLines w:val="0"/>
                          <w:pageBreakBefore w:val="0"/>
                          <w:widowControl w:val="0"/>
                          <w:kinsoku/>
                          <w:wordWrap/>
                          <w:overflowPunct/>
                          <w:topLinePunct w:val="0"/>
                          <w:autoSpaceDE/>
                          <w:autoSpaceDN/>
                          <w:bidi w:val="0"/>
                          <w:adjustRightInd w:val="0"/>
                          <w:snapToGrid w:val="0"/>
                          <w:ind w:right="0" w:rightChars="0"/>
                          <w:jc w:val="center"/>
                          <w:textAlignment w:val="auto"/>
                          <w:rPr>
                            <w:rFonts w:hint="default" w:ascii="Times New Roman" w:hAnsi="Times New Roman" w:cs="Times New Roman"/>
                            <w:b/>
                            <w:bCs/>
                            <w:color w:val="auto"/>
                            <w:kern w:val="0"/>
                            <w:sz w:val="21"/>
                            <w:szCs w:val="21"/>
                            <w:highlight w:val="none"/>
                            <w:vertAlign w:val="baseline"/>
                            <w:lang w:val="en-US" w:eastAsia="zh-CN"/>
                          </w:rPr>
                        </w:pPr>
                        <w:r>
                          <w:rPr>
                            <w:rFonts w:hint="default" w:ascii="Times New Roman" w:hAnsi="Times New Roman" w:eastAsia="宋体" w:cs="Times New Roman"/>
                            <w:color w:val="auto"/>
                            <w:kern w:val="2"/>
                            <w:sz w:val="21"/>
                            <w:szCs w:val="21"/>
                            <w:highlight w:val="none"/>
                            <w:vertAlign w:val="baseline"/>
                            <w:lang w:val="en-US" w:eastAsia="zh-CN" w:bidi="zh-CN"/>
                          </w:rPr>
                          <w:t>33.864</w:t>
                        </w:r>
                      </w:p>
                    </w:tc>
                  </w:tr>
                  <w:tr w14:paraId="049DC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2243" w:type="dxa"/>
                        <w:vAlign w:val="center"/>
                      </w:tcPr>
                      <w:p w14:paraId="41B1B447">
                        <w:pPr>
                          <w:keepNext w:val="0"/>
                          <w:keepLines w:val="0"/>
                          <w:pageBreakBefore w:val="0"/>
                          <w:widowControl w:val="0"/>
                          <w:kinsoku/>
                          <w:wordWrap/>
                          <w:overflowPunct/>
                          <w:topLinePunct w:val="0"/>
                          <w:autoSpaceDE/>
                          <w:autoSpaceDN/>
                          <w:bidi w:val="0"/>
                          <w:adjustRightInd w:val="0"/>
                          <w:snapToGrid w:val="0"/>
                          <w:ind w:right="0" w:rightChars="0"/>
                          <w:jc w:val="center"/>
                          <w:textAlignment w:val="auto"/>
                          <w:rPr>
                            <w:rFonts w:hint="default" w:ascii="Times New Roman" w:hAnsi="Times New Roman" w:cs="Times New Roman"/>
                            <w:b/>
                            <w:bCs/>
                            <w:color w:val="auto"/>
                            <w:kern w:val="0"/>
                            <w:sz w:val="21"/>
                            <w:szCs w:val="21"/>
                            <w:highlight w:val="none"/>
                            <w:vertAlign w:val="baseline"/>
                            <w:lang w:val="en-US" w:eastAsia="zh-CN"/>
                          </w:rPr>
                        </w:pPr>
                        <w:r>
                          <w:rPr>
                            <w:rFonts w:hint="default" w:ascii="Times New Roman" w:hAnsi="Times New Roman" w:eastAsia="宋体" w:cs="Times New Roman"/>
                            <w:color w:val="auto"/>
                            <w:kern w:val="2"/>
                            <w:sz w:val="21"/>
                            <w:szCs w:val="21"/>
                            <w:highlight w:val="none"/>
                            <w:vertAlign w:val="baseline"/>
                            <w:lang w:val="en-US" w:eastAsia="zh-CN" w:bidi="zh-CN"/>
                          </w:rPr>
                          <w:t>一般生态空间</w:t>
                        </w:r>
                      </w:p>
                    </w:tc>
                    <w:tc>
                      <w:tcPr>
                        <w:tcW w:w="1736" w:type="dxa"/>
                        <w:vAlign w:val="center"/>
                      </w:tcPr>
                      <w:p w14:paraId="525BEA85">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rPr>
                            <w:rFonts w:hint="default" w:ascii="Times New Roman" w:hAnsi="Times New Roman" w:cs="Times New Roman"/>
                            <w:b/>
                            <w:bCs/>
                            <w:color w:val="auto"/>
                            <w:kern w:val="0"/>
                            <w:sz w:val="21"/>
                            <w:szCs w:val="21"/>
                            <w:highlight w:val="none"/>
                            <w:vertAlign w:val="baseline"/>
                            <w:lang w:val="en-US" w:eastAsia="zh-CN"/>
                          </w:rPr>
                        </w:pPr>
                        <w:r>
                          <w:rPr>
                            <w:rFonts w:hint="default" w:ascii="Times New Roman" w:hAnsi="Times New Roman" w:eastAsia="宋体" w:cs="Times New Roman"/>
                            <w:color w:val="auto"/>
                            <w:kern w:val="2"/>
                            <w:sz w:val="21"/>
                            <w:szCs w:val="21"/>
                            <w:highlight w:val="none"/>
                            <w:vertAlign w:val="baseline"/>
                            <w:lang w:val="en-US" w:eastAsia="zh-CN" w:bidi="zh-CN"/>
                          </w:rPr>
                          <w:t>24.444</w:t>
                        </w:r>
                      </w:p>
                    </w:tc>
                  </w:tr>
                  <w:tr w14:paraId="3407E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2243" w:type="dxa"/>
                        <w:vAlign w:val="center"/>
                      </w:tcPr>
                      <w:p w14:paraId="6B76B693">
                        <w:pPr>
                          <w:keepNext w:val="0"/>
                          <w:keepLines w:val="0"/>
                          <w:pageBreakBefore w:val="0"/>
                          <w:widowControl w:val="0"/>
                          <w:kinsoku/>
                          <w:wordWrap/>
                          <w:overflowPunct/>
                          <w:topLinePunct w:val="0"/>
                          <w:autoSpaceDE/>
                          <w:autoSpaceDN/>
                          <w:bidi w:val="0"/>
                          <w:adjustRightInd w:val="0"/>
                          <w:snapToGrid w:val="0"/>
                          <w:ind w:right="0" w:rightChars="0"/>
                          <w:jc w:val="center"/>
                          <w:textAlignment w:val="auto"/>
                          <w:rPr>
                            <w:rFonts w:hint="default" w:ascii="Times New Roman" w:hAnsi="Times New Roman" w:cs="Times New Roman"/>
                            <w:b/>
                            <w:bCs/>
                            <w:color w:val="auto"/>
                            <w:kern w:val="0"/>
                            <w:sz w:val="21"/>
                            <w:szCs w:val="21"/>
                            <w:highlight w:val="none"/>
                            <w:vertAlign w:val="baseline"/>
                            <w:lang w:val="en-US" w:eastAsia="zh-CN"/>
                          </w:rPr>
                        </w:pPr>
                        <w:r>
                          <w:rPr>
                            <w:rFonts w:hint="default" w:ascii="Times New Roman" w:hAnsi="Times New Roman" w:eastAsia="宋体" w:cs="Times New Roman"/>
                            <w:color w:val="auto"/>
                            <w:kern w:val="2"/>
                            <w:sz w:val="21"/>
                            <w:szCs w:val="21"/>
                            <w:highlight w:val="none"/>
                            <w:vertAlign w:val="baseline"/>
                            <w:lang w:val="en-US" w:eastAsia="zh-CN" w:bidi="zh-CN"/>
                          </w:rPr>
                          <w:t>生态空间一般管控区</w:t>
                        </w:r>
                      </w:p>
                    </w:tc>
                    <w:tc>
                      <w:tcPr>
                        <w:tcW w:w="1736" w:type="dxa"/>
                        <w:vAlign w:val="center"/>
                      </w:tcPr>
                      <w:p w14:paraId="7053DFF9">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rPr>
                            <w:rFonts w:hint="default" w:ascii="Times New Roman" w:hAnsi="Times New Roman" w:cs="Times New Roman"/>
                            <w:b/>
                            <w:bCs/>
                            <w:color w:val="auto"/>
                            <w:kern w:val="0"/>
                            <w:sz w:val="21"/>
                            <w:szCs w:val="21"/>
                            <w:highlight w:val="none"/>
                            <w:vertAlign w:val="baseline"/>
                            <w:lang w:val="en-US" w:eastAsia="zh-CN"/>
                          </w:rPr>
                        </w:pPr>
                        <w:r>
                          <w:rPr>
                            <w:rFonts w:hint="default" w:ascii="Times New Roman" w:hAnsi="Times New Roman" w:eastAsia="宋体" w:cs="Times New Roman"/>
                            <w:color w:val="auto"/>
                            <w:kern w:val="2"/>
                            <w:sz w:val="21"/>
                            <w:szCs w:val="21"/>
                            <w:highlight w:val="none"/>
                            <w:vertAlign w:val="baseline"/>
                            <w:lang w:val="en-US" w:eastAsia="zh-CN" w:bidi="zh-CN"/>
                          </w:rPr>
                          <w:t>193.318</w:t>
                        </w:r>
                      </w:p>
                    </w:tc>
                  </w:tr>
                </w:tbl>
                <w:p w14:paraId="63175B98">
                  <w:pPr>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Fonts w:hint="default" w:ascii="Times New Roman" w:hAnsi="Times New Roman" w:eastAsia="宋体" w:cs="Times New Roman"/>
                      <w:b w:val="0"/>
                      <w:bCs w:val="0"/>
                      <w:color w:val="auto"/>
                      <w:kern w:val="0"/>
                      <w:sz w:val="21"/>
                      <w:szCs w:val="21"/>
                      <w:highlight w:val="none"/>
                      <w:vertAlign w:val="baseline"/>
                    </w:rPr>
                  </w:pPr>
                </w:p>
              </w:tc>
              <w:tc>
                <w:tcPr>
                  <w:tcW w:w="2977" w:type="dxa"/>
                  <w:noWrap w:val="0"/>
                  <w:vAlign w:val="center"/>
                </w:tcPr>
                <w:p w14:paraId="40DBF3C7">
                  <w:pPr>
                    <w:keepNext w:val="0"/>
                    <w:keepLines w:val="0"/>
                    <w:pageBreakBefore w:val="0"/>
                    <w:widowControl w:val="0"/>
                    <w:kinsoku/>
                    <w:wordWrap/>
                    <w:overflowPunct/>
                    <w:topLinePunct w:val="0"/>
                    <w:autoSpaceDE/>
                    <w:autoSpaceDN/>
                    <w:bidi w:val="0"/>
                    <w:adjustRightInd w:val="0"/>
                    <w:snapToGrid w:val="0"/>
                    <w:spacing w:after="0"/>
                    <w:ind w:left="0"/>
                    <w:jc w:val="center"/>
                    <w:textAlignment w:val="auto"/>
                    <w:rPr>
                      <w:rFonts w:hint="default" w:ascii="Times New Roman" w:hAnsi="Times New Roman" w:eastAsia="宋体" w:cs="Times New Roman"/>
                      <w:b/>
                      <w:bCs/>
                      <w:color w:val="auto"/>
                      <w:kern w:val="0"/>
                      <w:sz w:val="21"/>
                      <w:szCs w:val="21"/>
                      <w:highlight w:val="none"/>
                      <w:vertAlign w:val="baseline"/>
                      <w:lang w:eastAsia="zh-CN"/>
                    </w:rPr>
                  </w:pPr>
                  <w:r>
                    <w:rPr>
                      <w:rFonts w:hint="default" w:ascii="Times New Roman" w:hAnsi="Times New Roman" w:eastAsia="宋体" w:cs="Times New Roman"/>
                      <w:b w:val="0"/>
                      <w:bCs w:val="0"/>
                      <w:color w:val="auto"/>
                      <w:sz w:val="21"/>
                      <w:szCs w:val="21"/>
                      <w:highlight w:val="none"/>
                      <w:lang w:val="en-US" w:eastAsia="zh-CN"/>
                    </w:rPr>
                    <w:t>本项目</w:t>
                  </w:r>
                  <w:r>
                    <w:rPr>
                      <w:rFonts w:hint="default" w:ascii="Times New Roman" w:hAnsi="Times New Roman" w:eastAsia="宋体" w:cs="Times New Roman"/>
                      <w:b w:val="0"/>
                      <w:bCs w:val="0"/>
                      <w:color w:val="auto"/>
                      <w:sz w:val="21"/>
                      <w:szCs w:val="21"/>
                      <w:highlight w:val="none"/>
                      <w:lang w:eastAsia="zh-CN"/>
                    </w:rPr>
                    <w:t>位于广东省惠州市博罗县罗阳街道小金村（大径小组地段桦泰工业园）。根据</w:t>
                  </w:r>
                  <w:r>
                    <w:rPr>
                      <w:rFonts w:hint="default" w:ascii="Times New Roman" w:hAnsi="Times New Roman" w:eastAsia="宋体" w:cs="Times New Roman"/>
                      <w:b w:val="0"/>
                      <w:bCs w:val="0"/>
                      <w:color w:val="auto"/>
                      <w:sz w:val="21"/>
                      <w:szCs w:val="21"/>
                      <w:highlight w:val="none"/>
                      <w:lang w:val="en-US" w:eastAsia="zh-CN"/>
                    </w:rPr>
                    <w:t>附图13，本项目不属于生态保护红线区和一般生态空间，</w:t>
                  </w:r>
                  <w:r>
                    <w:rPr>
                      <w:rFonts w:hint="default" w:ascii="Times New Roman" w:hAnsi="Times New Roman" w:eastAsia="宋体" w:cs="Times New Roman"/>
                      <w:b w:val="0"/>
                      <w:bCs w:val="0"/>
                      <w:color w:val="auto"/>
                      <w:kern w:val="0"/>
                      <w:sz w:val="21"/>
                      <w:szCs w:val="21"/>
                      <w:highlight w:val="none"/>
                      <w:vertAlign w:val="baseline"/>
                      <w:lang w:val="en-US" w:eastAsia="zh-CN" w:bidi="ar-SA"/>
                    </w:rPr>
                    <w:t>位于生态空间一般管控区</w:t>
                  </w:r>
                  <w:r>
                    <w:rPr>
                      <w:rFonts w:hint="default" w:ascii="Times New Roman" w:hAnsi="Times New Roman" w:eastAsia="宋体" w:cs="Times New Roman"/>
                      <w:b w:val="0"/>
                      <w:bCs w:val="0"/>
                      <w:color w:val="auto"/>
                      <w:sz w:val="21"/>
                      <w:szCs w:val="21"/>
                      <w:highlight w:val="none"/>
                      <w:lang w:val="en-US" w:eastAsia="zh-CN"/>
                    </w:rPr>
                    <w:t>。</w:t>
                  </w:r>
                </w:p>
              </w:tc>
              <w:tc>
                <w:tcPr>
                  <w:tcW w:w="397" w:type="dxa"/>
                  <w:noWrap w:val="0"/>
                  <w:vAlign w:val="center"/>
                </w:tcPr>
                <w:p w14:paraId="12112DC6">
                  <w:pPr>
                    <w:keepNext w:val="0"/>
                    <w:keepLines w:val="0"/>
                    <w:pageBreakBefore w:val="0"/>
                    <w:widowControl w:val="0"/>
                    <w:kinsoku/>
                    <w:wordWrap/>
                    <w:overflowPunct/>
                    <w:topLinePunct w:val="0"/>
                    <w:autoSpaceDE/>
                    <w:autoSpaceDN/>
                    <w:bidi w:val="0"/>
                    <w:adjustRightInd w:val="0"/>
                    <w:snapToGrid w:val="0"/>
                    <w:spacing w:after="0"/>
                    <w:ind w:left="0"/>
                    <w:jc w:val="center"/>
                    <w:textAlignment w:val="auto"/>
                    <w:rPr>
                      <w:rFonts w:hint="default" w:ascii="Times New Roman" w:hAnsi="Times New Roman" w:eastAsia="宋体" w:cs="Times New Roman"/>
                      <w:b/>
                      <w:bCs/>
                      <w:color w:val="auto"/>
                      <w:kern w:val="0"/>
                      <w:sz w:val="21"/>
                      <w:szCs w:val="21"/>
                      <w:highlight w:val="none"/>
                      <w:vertAlign w:val="baseline"/>
                      <w:lang w:eastAsia="zh-CN"/>
                    </w:rPr>
                  </w:pPr>
                  <w:r>
                    <w:rPr>
                      <w:rFonts w:hint="default" w:ascii="Times New Roman" w:hAnsi="Times New Roman" w:eastAsia="宋体" w:cs="Times New Roman"/>
                      <w:b w:val="0"/>
                      <w:bCs w:val="0"/>
                      <w:color w:val="auto"/>
                      <w:kern w:val="0"/>
                      <w:sz w:val="21"/>
                      <w:szCs w:val="21"/>
                      <w:highlight w:val="none"/>
                      <w:vertAlign w:val="baseline"/>
                      <w:lang w:eastAsia="zh-CN"/>
                    </w:rPr>
                    <w:t>相符</w:t>
                  </w:r>
                </w:p>
              </w:tc>
            </w:tr>
            <w:tr w14:paraId="38AEE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6" w:hRule="atLeast"/>
                <w:jc w:val="center"/>
              </w:trPr>
              <w:tc>
                <w:tcPr>
                  <w:tcW w:w="396" w:type="dxa"/>
                  <w:vMerge w:val="restart"/>
                  <w:noWrap w:val="0"/>
                  <w:vAlign w:val="center"/>
                </w:tcPr>
                <w:p w14:paraId="2F002E87">
                  <w:pPr>
                    <w:keepNext w:val="0"/>
                    <w:keepLines w:val="0"/>
                    <w:pageBreakBefore w:val="0"/>
                    <w:widowControl w:val="0"/>
                    <w:kinsoku/>
                    <w:wordWrap/>
                    <w:overflowPunct/>
                    <w:topLinePunct w:val="0"/>
                    <w:autoSpaceDE/>
                    <w:autoSpaceDN/>
                    <w:bidi w:val="0"/>
                    <w:adjustRightInd w:val="0"/>
                    <w:snapToGrid w:val="0"/>
                    <w:spacing w:after="0"/>
                    <w:ind w:left="0"/>
                    <w:jc w:val="center"/>
                    <w:textAlignment w:val="auto"/>
                    <w:rPr>
                      <w:rFonts w:hint="default" w:ascii="Times New Roman" w:hAnsi="Times New Roman" w:eastAsia="宋体" w:cs="Times New Roman"/>
                      <w:b/>
                      <w:bCs/>
                      <w:color w:val="auto"/>
                      <w:kern w:val="0"/>
                      <w:sz w:val="21"/>
                      <w:szCs w:val="21"/>
                      <w:highlight w:val="none"/>
                      <w:vertAlign w:val="baseline"/>
                      <w:lang w:eastAsia="zh-CN"/>
                    </w:rPr>
                  </w:pPr>
                  <w:r>
                    <w:rPr>
                      <w:rFonts w:hint="default" w:ascii="Times New Roman" w:hAnsi="Times New Roman" w:eastAsia="宋体" w:cs="Times New Roman"/>
                      <w:b w:val="0"/>
                      <w:bCs w:val="0"/>
                      <w:color w:val="auto"/>
                      <w:kern w:val="0"/>
                      <w:sz w:val="21"/>
                      <w:szCs w:val="21"/>
                      <w:highlight w:val="none"/>
                      <w:vertAlign w:val="baseline"/>
                      <w:lang w:eastAsia="zh-CN"/>
                    </w:rPr>
                    <w:t>环境质量底线</w:t>
                  </w:r>
                </w:p>
              </w:tc>
              <w:tc>
                <w:tcPr>
                  <w:tcW w:w="698" w:type="dxa"/>
                  <w:noWrap w:val="0"/>
                  <w:vAlign w:val="center"/>
                </w:tcPr>
                <w:p w14:paraId="16331E89">
                  <w:pPr>
                    <w:pStyle w:val="61"/>
                    <w:keepNext w:val="0"/>
                    <w:keepLines w:val="0"/>
                    <w:pageBreakBefore w:val="0"/>
                    <w:widowControl w:val="0"/>
                    <w:kinsoku/>
                    <w:wordWrap/>
                    <w:overflowPunct/>
                    <w:topLinePunct w:val="0"/>
                    <w:autoSpaceDE/>
                    <w:autoSpaceDN/>
                    <w:bidi w:val="0"/>
                    <w:adjustRightInd w:val="0"/>
                    <w:snapToGrid w:val="0"/>
                    <w:spacing w:before="0" w:after="0" w:line="240" w:lineRule="auto"/>
                    <w:ind w:left="0" w:right="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vertAlign w:val="baseline"/>
                      <w:lang w:val="en-US" w:eastAsia="zh-CN" w:bidi="ar-SA"/>
                    </w:rPr>
                    <w:t>大气环境质量底线及管控分</w:t>
                  </w:r>
                </w:p>
                <w:p w14:paraId="16A1A221">
                  <w:pPr>
                    <w:pStyle w:val="61"/>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vertAlign w:val="baseline"/>
                      <w:lang w:val="en-US" w:eastAsia="zh-CN" w:bidi="ar-SA"/>
                    </w:rPr>
                    <w:t>区</w:t>
                  </w:r>
                </w:p>
              </w:tc>
              <w:tc>
                <w:tcPr>
                  <w:tcW w:w="3350" w:type="dxa"/>
                  <w:noWrap w:val="0"/>
                  <w:vAlign w:val="center"/>
                </w:tcPr>
                <w:p w14:paraId="7A63EAF7">
                  <w:pPr>
                    <w:pStyle w:val="61"/>
                    <w:keepNext w:val="0"/>
                    <w:keepLines w:val="0"/>
                    <w:pageBreakBefore w:val="0"/>
                    <w:widowControl w:val="0"/>
                    <w:kinsoku/>
                    <w:wordWrap/>
                    <w:overflowPunct/>
                    <w:topLinePunct w:val="0"/>
                    <w:autoSpaceDE/>
                    <w:autoSpaceDN/>
                    <w:bidi w:val="0"/>
                    <w:adjustRightInd w:val="0"/>
                    <w:snapToGrid w:val="0"/>
                    <w:spacing w:before="0"/>
                    <w:ind w:left="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eastAsia="zh-CN"/>
                    </w:rPr>
                    <w:t>表</w:t>
                  </w:r>
                  <w:r>
                    <w:rPr>
                      <w:rFonts w:hint="default" w:ascii="Times New Roman" w:hAnsi="Times New Roman" w:cs="Times New Roman"/>
                      <w:b/>
                      <w:bCs/>
                      <w:color w:val="auto"/>
                      <w:kern w:val="0"/>
                      <w:sz w:val="21"/>
                      <w:szCs w:val="21"/>
                      <w:highlight w:val="none"/>
                      <w:lang w:val="en-US" w:eastAsia="zh-CN"/>
                    </w:rPr>
                    <w:t>1.1-2</w:t>
                  </w:r>
                  <w:r>
                    <w:rPr>
                      <w:rFonts w:hint="default" w:ascii="Times New Roman" w:hAnsi="Times New Roman" w:eastAsia="宋体" w:cs="Times New Roman"/>
                      <w:b/>
                      <w:bCs/>
                      <w:color w:val="auto"/>
                      <w:sz w:val="21"/>
                      <w:szCs w:val="21"/>
                      <w:highlight w:val="none"/>
                      <w:lang w:val="en-US" w:eastAsia="zh-CN"/>
                    </w:rPr>
                    <w:t xml:space="preserve"> </w:t>
                  </w:r>
                  <w:r>
                    <w:rPr>
                      <w:rFonts w:hint="default" w:ascii="Times New Roman" w:hAnsi="Times New Roman" w:cs="Times New Roman"/>
                      <w:b/>
                      <w:bCs/>
                      <w:color w:val="auto"/>
                      <w:kern w:val="0"/>
                      <w:sz w:val="21"/>
                      <w:szCs w:val="21"/>
                      <w:highlight w:val="none"/>
                      <w:lang w:val="en-US" w:eastAsia="zh-CN"/>
                    </w:rPr>
                    <w:t>罗阳镇</w:t>
                  </w:r>
                  <w:r>
                    <w:rPr>
                      <w:rFonts w:hint="default" w:ascii="Times New Roman" w:hAnsi="Times New Roman" w:eastAsia="宋体" w:cs="Times New Roman"/>
                      <w:b/>
                      <w:bCs/>
                      <w:color w:val="auto"/>
                      <w:sz w:val="21"/>
                      <w:szCs w:val="21"/>
                      <w:highlight w:val="none"/>
                      <w:lang w:val="en-US" w:eastAsia="zh-CN"/>
                    </w:rPr>
                    <w:t>大气环境质量底线统计表（面积：km</w:t>
                  </w:r>
                  <w:r>
                    <w:rPr>
                      <w:rFonts w:hint="default" w:ascii="Times New Roman" w:hAnsi="Times New Roman" w:eastAsia="宋体" w:cs="Times New Roman"/>
                      <w:b/>
                      <w:bCs/>
                      <w:color w:val="auto"/>
                      <w:sz w:val="21"/>
                      <w:szCs w:val="21"/>
                      <w:highlight w:val="none"/>
                      <w:vertAlign w:val="superscript"/>
                      <w:lang w:val="en-US" w:eastAsia="zh-CN"/>
                    </w:rPr>
                    <w:t>2</w:t>
                  </w:r>
                  <w:r>
                    <w:rPr>
                      <w:rFonts w:hint="default" w:ascii="Times New Roman" w:hAnsi="Times New Roman" w:eastAsia="宋体" w:cs="Times New Roman"/>
                      <w:b/>
                      <w:bCs/>
                      <w:color w:val="auto"/>
                      <w:sz w:val="21"/>
                      <w:szCs w:val="21"/>
                      <w:highlight w:val="none"/>
                      <w:lang w:val="en-US" w:eastAsia="zh-CN"/>
                    </w:rPr>
                    <w:t>）</w:t>
                  </w:r>
                </w:p>
                <w:tbl>
                  <w:tblPr>
                    <w:tblStyle w:val="35"/>
                    <w:tblW w:w="3259" w:type="dxa"/>
                    <w:tblInd w:w="-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7"/>
                    <w:gridCol w:w="982"/>
                  </w:tblGrid>
                  <w:tr w14:paraId="07CCA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2277" w:type="dxa"/>
                        <w:vAlign w:val="center"/>
                      </w:tcPr>
                      <w:p w14:paraId="5D6BBF70">
                        <w:pPr>
                          <w:keepNext w:val="0"/>
                          <w:keepLines w:val="0"/>
                          <w:pageBreakBefore w:val="0"/>
                          <w:widowControl w:val="0"/>
                          <w:kinsoku/>
                          <w:wordWrap/>
                          <w:overflowPunct/>
                          <w:topLinePunct w:val="0"/>
                          <w:autoSpaceDE/>
                          <w:autoSpaceDN/>
                          <w:bidi w:val="0"/>
                          <w:adjustRightInd w:val="0"/>
                          <w:snapToGrid w:val="0"/>
                          <w:ind w:right="0" w:right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color w:val="auto"/>
                            <w:kern w:val="2"/>
                            <w:sz w:val="21"/>
                            <w:szCs w:val="21"/>
                            <w:highlight w:val="none"/>
                            <w:vertAlign w:val="baseline"/>
                            <w:lang w:val="en-US" w:eastAsia="zh-CN" w:bidi="zh-CN"/>
                          </w:rPr>
                          <w:t>大气环境优先保护区面积</w:t>
                        </w:r>
                      </w:p>
                    </w:tc>
                    <w:tc>
                      <w:tcPr>
                        <w:tcW w:w="982" w:type="dxa"/>
                        <w:vAlign w:val="center"/>
                      </w:tcPr>
                      <w:p w14:paraId="03684B53">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color w:val="auto"/>
                            <w:kern w:val="2"/>
                            <w:sz w:val="21"/>
                            <w:szCs w:val="21"/>
                            <w:highlight w:val="none"/>
                            <w:vertAlign w:val="baseline"/>
                            <w:lang w:val="en-US" w:eastAsia="zh-CN" w:bidi="zh-CN"/>
                          </w:rPr>
                          <w:t>40.999</w:t>
                        </w:r>
                      </w:p>
                    </w:tc>
                  </w:tr>
                  <w:tr w14:paraId="2A1D0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2277" w:type="dxa"/>
                        <w:vAlign w:val="center"/>
                      </w:tcPr>
                      <w:p w14:paraId="140412E2">
                        <w:pPr>
                          <w:keepNext w:val="0"/>
                          <w:keepLines w:val="0"/>
                          <w:pageBreakBefore w:val="0"/>
                          <w:widowControl w:val="0"/>
                          <w:kinsoku/>
                          <w:wordWrap/>
                          <w:overflowPunct/>
                          <w:topLinePunct w:val="0"/>
                          <w:autoSpaceDE/>
                          <w:autoSpaceDN/>
                          <w:bidi w:val="0"/>
                          <w:adjustRightInd w:val="0"/>
                          <w:snapToGrid w:val="0"/>
                          <w:ind w:right="0" w:right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color w:val="auto"/>
                            <w:kern w:val="2"/>
                            <w:sz w:val="21"/>
                            <w:szCs w:val="21"/>
                            <w:highlight w:val="none"/>
                            <w:vertAlign w:val="baseline"/>
                            <w:lang w:val="en-US" w:eastAsia="zh-CN" w:bidi="zh-CN"/>
                          </w:rPr>
                          <w:t>大气环境布局敏感重点管控区面积</w:t>
                        </w:r>
                      </w:p>
                    </w:tc>
                    <w:tc>
                      <w:tcPr>
                        <w:tcW w:w="982" w:type="dxa"/>
                        <w:vAlign w:val="center"/>
                      </w:tcPr>
                      <w:p w14:paraId="7F44F2E6">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color w:val="auto"/>
                            <w:kern w:val="2"/>
                            <w:sz w:val="21"/>
                            <w:szCs w:val="21"/>
                            <w:highlight w:val="none"/>
                            <w:vertAlign w:val="baseline"/>
                            <w:lang w:val="en-US" w:eastAsia="zh-CN" w:bidi="zh-CN"/>
                          </w:rPr>
                          <w:t>0</w:t>
                        </w:r>
                      </w:p>
                    </w:tc>
                  </w:tr>
                  <w:tr w14:paraId="6615C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2277" w:type="dxa"/>
                        <w:vAlign w:val="center"/>
                      </w:tcPr>
                      <w:p w14:paraId="35D84F4C">
                        <w:pPr>
                          <w:keepNext w:val="0"/>
                          <w:keepLines w:val="0"/>
                          <w:pageBreakBefore w:val="0"/>
                          <w:widowControl w:val="0"/>
                          <w:kinsoku/>
                          <w:wordWrap/>
                          <w:overflowPunct/>
                          <w:topLinePunct w:val="0"/>
                          <w:autoSpaceDE/>
                          <w:autoSpaceDN/>
                          <w:bidi w:val="0"/>
                          <w:adjustRightInd w:val="0"/>
                          <w:snapToGrid w:val="0"/>
                          <w:ind w:right="0" w:right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color w:val="auto"/>
                            <w:kern w:val="2"/>
                            <w:sz w:val="21"/>
                            <w:szCs w:val="21"/>
                            <w:highlight w:val="none"/>
                            <w:vertAlign w:val="baseline"/>
                            <w:lang w:val="en-US" w:eastAsia="zh-CN" w:bidi="zh-CN"/>
                          </w:rPr>
                          <w:t>大气环境高排放重点管控区面积</w:t>
                        </w:r>
                      </w:p>
                    </w:tc>
                    <w:tc>
                      <w:tcPr>
                        <w:tcW w:w="982" w:type="dxa"/>
                        <w:vAlign w:val="center"/>
                      </w:tcPr>
                      <w:p w14:paraId="15C63287">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color w:val="auto"/>
                            <w:kern w:val="2"/>
                            <w:sz w:val="21"/>
                            <w:szCs w:val="21"/>
                            <w:highlight w:val="none"/>
                            <w:vertAlign w:val="baseline"/>
                            <w:lang w:val="en-US" w:eastAsia="zh-CN" w:bidi="zh-CN"/>
                          </w:rPr>
                          <w:t>82.433</w:t>
                        </w:r>
                      </w:p>
                    </w:tc>
                  </w:tr>
                  <w:tr w14:paraId="4C360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2277" w:type="dxa"/>
                        <w:vAlign w:val="center"/>
                      </w:tcPr>
                      <w:p w14:paraId="608D3E60">
                        <w:pPr>
                          <w:keepNext w:val="0"/>
                          <w:keepLines w:val="0"/>
                          <w:pageBreakBefore w:val="0"/>
                          <w:widowControl w:val="0"/>
                          <w:kinsoku/>
                          <w:wordWrap/>
                          <w:overflowPunct/>
                          <w:topLinePunct w:val="0"/>
                          <w:autoSpaceDE/>
                          <w:autoSpaceDN/>
                          <w:bidi w:val="0"/>
                          <w:adjustRightInd w:val="0"/>
                          <w:snapToGrid w:val="0"/>
                          <w:ind w:right="0" w:right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color w:val="auto"/>
                            <w:kern w:val="2"/>
                            <w:sz w:val="21"/>
                            <w:szCs w:val="21"/>
                            <w:highlight w:val="none"/>
                            <w:vertAlign w:val="baseline"/>
                            <w:lang w:val="en-US" w:eastAsia="zh-CN" w:bidi="zh-CN"/>
                          </w:rPr>
                          <w:t>大气环境弱扩散重点管控区面积</w:t>
                        </w:r>
                      </w:p>
                    </w:tc>
                    <w:tc>
                      <w:tcPr>
                        <w:tcW w:w="982" w:type="dxa"/>
                        <w:vAlign w:val="center"/>
                      </w:tcPr>
                      <w:p w14:paraId="1E9B2D53">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color w:val="auto"/>
                            <w:kern w:val="2"/>
                            <w:sz w:val="21"/>
                            <w:szCs w:val="21"/>
                            <w:highlight w:val="none"/>
                            <w:vertAlign w:val="baseline"/>
                            <w:lang w:val="en-US" w:eastAsia="zh-CN" w:bidi="zh-CN"/>
                          </w:rPr>
                          <w:t>0</w:t>
                        </w:r>
                      </w:p>
                    </w:tc>
                  </w:tr>
                  <w:tr w14:paraId="7EF4D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2277" w:type="dxa"/>
                        <w:vAlign w:val="center"/>
                      </w:tcPr>
                      <w:p w14:paraId="3BD6AE12">
                        <w:pPr>
                          <w:keepNext w:val="0"/>
                          <w:keepLines w:val="0"/>
                          <w:pageBreakBefore w:val="0"/>
                          <w:widowControl w:val="0"/>
                          <w:kinsoku/>
                          <w:wordWrap/>
                          <w:overflowPunct/>
                          <w:topLinePunct w:val="0"/>
                          <w:autoSpaceDE/>
                          <w:autoSpaceDN/>
                          <w:bidi w:val="0"/>
                          <w:adjustRightInd w:val="0"/>
                          <w:snapToGrid w:val="0"/>
                          <w:ind w:right="0" w:right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color w:val="auto"/>
                            <w:kern w:val="2"/>
                            <w:sz w:val="21"/>
                            <w:szCs w:val="21"/>
                            <w:highlight w:val="none"/>
                            <w:vertAlign w:val="baseline"/>
                            <w:lang w:val="en-US" w:eastAsia="zh-CN" w:bidi="zh-CN"/>
                          </w:rPr>
                          <w:t>大气环境一般管控区面积</w:t>
                        </w:r>
                      </w:p>
                    </w:tc>
                    <w:tc>
                      <w:tcPr>
                        <w:tcW w:w="982" w:type="dxa"/>
                        <w:vAlign w:val="center"/>
                      </w:tcPr>
                      <w:p w14:paraId="7CE6AA41">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color w:val="auto"/>
                            <w:kern w:val="2"/>
                            <w:sz w:val="21"/>
                            <w:szCs w:val="21"/>
                            <w:highlight w:val="none"/>
                            <w:vertAlign w:val="baseline"/>
                            <w:lang w:val="en-US" w:eastAsia="zh-CN" w:bidi="zh-CN"/>
                          </w:rPr>
                          <w:t>128.195</w:t>
                        </w:r>
                      </w:p>
                    </w:tc>
                  </w:tr>
                </w:tbl>
                <w:p w14:paraId="42F83451">
                  <w:pPr>
                    <w:pStyle w:val="61"/>
                    <w:keepNext w:val="0"/>
                    <w:keepLines w:val="0"/>
                    <w:pageBreakBefore w:val="0"/>
                    <w:widowControl w:val="0"/>
                    <w:kinsoku/>
                    <w:wordWrap/>
                    <w:overflowPunct/>
                    <w:topLinePunct w:val="0"/>
                    <w:autoSpaceDE/>
                    <w:autoSpaceDN/>
                    <w:bidi w:val="0"/>
                    <w:adjustRightInd w:val="0"/>
                    <w:snapToGrid w:val="0"/>
                    <w:spacing w:before="0" w:after="0" w:line="240" w:lineRule="auto"/>
                    <w:ind w:left="0" w:right="0"/>
                    <w:jc w:val="center"/>
                    <w:textAlignment w:val="auto"/>
                    <w:rPr>
                      <w:rFonts w:hint="default" w:ascii="Times New Roman" w:hAnsi="Times New Roman" w:eastAsia="宋体" w:cs="Times New Roman"/>
                      <w:b/>
                      <w:bCs/>
                      <w:color w:val="auto"/>
                      <w:kern w:val="0"/>
                      <w:sz w:val="21"/>
                      <w:szCs w:val="21"/>
                      <w:highlight w:val="none"/>
                      <w:vertAlign w:val="baseline"/>
                    </w:rPr>
                  </w:pPr>
                </w:p>
              </w:tc>
              <w:tc>
                <w:tcPr>
                  <w:tcW w:w="2977" w:type="dxa"/>
                  <w:noWrap w:val="0"/>
                  <w:vAlign w:val="center"/>
                </w:tcPr>
                <w:p w14:paraId="0719220C">
                  <w:pPr>
                    <w:keepNext w:val="0"/>
                    <w:keepLines w:val="0"/>
                    <w:pageBreakBefore w:val="0"/>
                    <w:widowControl w:val="0"/>
                    <w:numPr>
                      <w:ilvl w:val="0"/>
                      <w:numId w:val="0"/>
                    </w:numPr>
                    <w:kinsoku/>
                    <w:wordWrap/>
                    <w:overflowPunct/>
                    <w:topLinePunct w:val="0"/>
                    <w:autoSpaceDE w:val="0"/>
                    <w:autoSpaceDN w:val="0"/>
                    <w:bidi w:val="0"/>
                    <w:adjustRightInd w:val="0"/>
                    <w:snapToGrid w:val="0"/>
                    <w:spacing w:after="0" w:line="240" w:lineRule="auto"/>
                    <w:jc w:val="both"/>
                    <w:textAlignment w:val="auto"/>
                    <w:rPr>
                      <w:rFonts w:hint="default" w:ascii="Times New Roman" w:hAnsi="Times New Roman" w:eastAsia="宋体" w:cs="Times New Roman"/>
                      <w:b/>
                      <w:bCs/>
                      <w:color w:val="auto"/>
                      <w:kern w:val="0"/>
                      <w:sz w:val="21"/>
                      <w:szCs w:val="21"/>
                      <w:highlight w:val="none"/>
                      <w:vertAlign w:val="baseline"/>
                      <w:lang w:val="en-US" w:eastAsia="zh-CN"/>
                    </w:rPr>
                  </w:pPr>
                  <w:r>
                    <w:rPr>
                      <w:rFonts w:hint="default" w:ascii="Times New Roman" w:hAnsi="Times New Roman" w:eastAsia="宋体" w:cs="Times New Roman"/>
                      <w:b w:val="0"/>
                      <w:bCs w:val="0"/>
                      <w:color w:val="auto"/>
                      <w:kern w:val="0"/>
                      <w:sz w:val="21"/>
                      <w:szCs w:val="21"/>
                      <w:highlight w:val="none"/>
                      <w:vertAlign w:val="baseline"/>
                      <w:lang w:val="en-US" w:eastAsia="zh-CN" w:bidi="ar-SA"/>
                    </w:rPr>
                    <w:t>根据附图14，项目位于大气环境一般管控区。根据《2023年惠州市生态环境状况公报》项目所在地为达标区；</w:t>
                  </w:r>
                  <w:r>
                    <w:rPr>
                      <w:rFonts w:hint="default" w:ascii="Times New Roman" w:hAnsi="Times New Roman" w:eastAsia="宋体" w:cs="Times New Roman"/>
                      <w:b w:val="0"/>
                      <w:bCs w:val="0"/>
                      <w:color w:val="auto"/>
                      <w:sz w:val="21"/>
                      <w:szCs w:val="21"/>
                      <w:highlight w:val="none"/>
                      <w:lang w:val="en-US" w:eastAsia="zh-CN"/>
                    </w:rPr>
                    <w:t>根据《惠州市沃特新材料有限公司年产5000t改性工程塑料建设项目报告表》</w:t>
                  </w:r>
                  <w:r>
                    <w:rPr>
                      <w:rFonts w:hint="default" w:ascii="Times New Roman" w:hAnsi="Times New Roman" w:eastAsia="宋体" w:cs="Times New Roman"/>
                      <w:b w:val="0"/>
                      <w:bCs w:val="0"/>
                      <w:color w:val="auto"/>
                      <w:sz w:val="21"/>
                      <w:szCs w:val="21"/>
                      <w:highlight w:val="none"/>
                      <w:lang w:eastAsia="zh-CN"/>
                    </w:rPr>
                    <w:t>中</w:t>
                  </w:r>
                  <w:r>
                    <w:rPr>
                      <w:rFonts w:hint="default" w:ascii="Times New Roman" w:hAnsi="Times New Roman" w:eastAsia="宋体" w:cs="Times New Roman"/>
                      <w:b w:val="0"/>
                      <w:bCs w:val="0"/>
                      <w:color w:val="auto"/>
                      <w:sz w:val="21"/>
                      <w:szCs w:val="21"/>
                      <w:highlight w:val="none"/>
                      <w:lang w:val="en-US" w:eastAsia="zh-CN"/>
                    </w:rPr>
                    <w:t>委托广东君正检测技术有限公司于2024年10月30日～11月1日连续3日对A1（柏岗布）</w:t>
                  </w:r>
                  <w:r>
                    <w:rPr>
                      <w:rFonts w:hint="eastAsia" w:ascii="Times New Roman" w:hAnsi="Times New Roman" w:eastAsia="宋体" w:cs="Times New Roman"/>
                      <w:b w:val="0"/>
                      <w:bCs w:val="0"/>
                      <w:color w:val="auto"/>
                      <w:sz w:val="21"/>
                      <w:szCs w:val="21"/>
                      <w:highlight w:val="none"/>
                      <w:lang w:val="en-US" w:eastAsia="zh-CN"/>
                    </w:rPr>
                    <w:t>的监测数据，</w:t>
                  </w:r>
                  <w:r>
                    <w:rPr>
                      <w:rFonts w:hint="eastAsia" w:ascii="Times New Roman" w:hAnsi="Times New Roman" w:eastAsia="宋体" w:cs="Times New Roman"/>
                      <w:bCs/>
                      <w:color w:val="auto"/>
                      <w:kern w:val="28"/>
                      <w:sz w:val="21"/>
                      <w:szCs w:val="21"/>
                      <w:highlight w:val="none"/>
                      <w:lang w:val="en-US" w:eastAsia="zh-CN"/>
                    </w:rPr>
                    <w:t>氮氧化物引用惠州市博罗精工五金制品有限公司委托广东宏科检测技术有限公司于2024年1月30日对厂界下风向4#监测点的监测，</w:t>
                  </w:r>
                  <w:r>
                    <w:rPr>
                      <w:rFonts w:hint="default" w:ascii="Times New Roman" w:hAnsi="Times New Roman" w:eastAsia="宋体" w:cs="Times New Roman"/>
                      <w:b w:val="0"/>
                      <w:bCs w:val="0"/>
                      <w:color w:val="auto"/>
                      <w:sz w:val="21"/>
                      <w:szCs w:val="21"/>
                      <w:highlight w:val="none"/>
                      <w:lang w:val="en-US" w:eastAsia="zh-CN"/>
                    </w:rPr>
                    <w:t>TSP24小时浓度</w:t>
                  </w:r>
                  <w:r>
                    <w:rPr>
                      <w:rFonts w:hint="eastAsia" w:ascii="Times New Roman" w:hAnsi="Times New Roman" w:eastAsia="宋体" w:cs="Times New Roman"/>
                      <w:b w:val="0"/>
                      <w:bCs w:val="0"/>
                      <w:color w:val="auto"/>
                      <w:sz w:val="21"/>
                      <w:szCs w:val="21"/>
                      <w:highlight w:val="none"/>
                      <w:lang w:val="en-US" w:eastAsia="zh-CN"/>
                    </w:rPr>
                    <w:t>及氮氧化物1小时浓度均</w:t>
                  </w:r>
                  <w:r>
                    <w:rPr>
                      <w:rFonts w:hint="default" w:ascii="Times New Roman" w:hAnsi="Times New Roman" w:eastAsia="宋体" w:cs="Times New Roman"/>
                      <w:b w:val="0"/>
                      <w:bCs w:val="0"/>
                      <w:color w:val="auto"/>
                      <w:sz w:val="21"/>
                      <w:szCs w:val="21"/>
                      <w:highlight w:val="none"/>
                      <w:lang w:val="en-US" w:eastAsia="zh-CN"/>
                    </w:rPr>
                    <w:t>满足《环境空气质量标准》(GB3095-2012）中的二级标准及其2018年修改单的相关规定</w:t>
                  </w:r>
                  <w:r>
                    <w:rPr>
                      <w:rFonts w:hint="eastAsia" w:ascii="Times New Roman" w:hAnsi="Times New Roman" w:eastAsia="宋体" w:cs="Times New Roman"/>
                      <w:bCs/>
                      <w:color w:val="auto"/>
                      <w:kern w:val="28"/>
                      <w:sz w:val="21"/>
                      <w:szCs w:val="21"/>
                      <w:highlight w:val="none"/>
                      <w:lang w:val="en-US" w:eastAsia="zh-CN"/>
                    </w:rPr>
                    <w:t>；</w:t>
                  </w:r>
                  <w:r>
                    <w:rPr>
                      <w:rFonts w:hint="default" w:ascii="Times New Roman" w:hAnsi="Times New Roman" w:eastAsia="宋体" w:cs="Times New Roman"/>
                      <w:b w:val="0"/>
                      <w:bCs w:val="0"/>
                      <w:color w:val="auto"/>
                      <w:sz w:val="21"/>
                      <w:szCs w:val="21"/>
                      <w:highlight w:val="none"/>
                      <w:lang w:val="en-US" w:eastAsia="zh-CN"/>
                    </w:rPr>
                    <w:t>项目所在区域</w:t>
                  </w:r>
                  <w:r>
                    <w:rPr>
                      <w:rFonts w:hint="default" w:ascii="Times New Roman" w:hAnsi="Times New Roman" w:eastAsia="宋体" w:cs="Times New Roman"/>
                      <w:b w:val="0"/>
                      <w:bCs w:val="0"/>
                      <w:color w:val="auto"/>
                      <w:kern w:val="0"/>
                      <w:sz w:val="21"/>
                      <w:szCs w:val="21"/>
                      <w:highlight w:val="none"/>
                      <w:vertAlign w:val="baseline"/>
                      <w:lang w:val="en-US" w:eastAsia="zh-CN" w:bidi="ar-SA"/>
                    </w:rPr>
                    <w:t>环境质量现状良好，项目在运营期会产生少量废气，在采取相应的防治措施后，废气的排放不会对周边造成不良影响，</w:t>
                  </w:r>
                  <w:r>
                    <w:rPr>
                      <w:rFonts w:hint="default" w:ascii="Times New Roman" w:hAnsi="Times New Roman" w:eastAsia="宋体" w:cs="Times New Roman"/>
                      <w:color w:val="auto"/>
                      <w:highlight w:val="none"/>
                      <w:lang w:val="en-US" w:eastAsia="zh-CN"/>
                    </w:rPr>
                    <w:t>不会突破大气环境质量底线。</w:t>
                  </w:r>
                </w:p>
              </w:tc>
              <w:tc>
                <w:tcPr>
                  <w:tcW w:w="397" w:type="dxa"/>
                  <w:vMerge w:val="restart"/>
                  <w:noWrap w:val="0"/>
                  <w:vAlign w:val="center"/>
                </w:tcPr>
                <w:p w14:paraId="1EDBEB92">
                  <w:pPr>
                    <w:keepNext w:val="0"/>
                    <w:keepLines w:val="0"/>
                    <w:pageBreakBefore w:val="0"/>
                    <w:widowControl w:val="0"/>
                    <w:kinsoku/>
                    <w:wordWrap/>
                    <w:overflowPunct/>
                    <w:topLinePunct w:val="0"/>
                    <w:autoSpaceDE/>
                    <w:autoSpaceDN/>
                    <w:bidi w:val="0"/>
                    <w:adjustRightInd w:val="0"/>
                    <w:snapToGrid w:val="0"/>
                    <w:spacing w:after="0"/>
                    <w:ind w:left="0"/>
                    <w:jc w:val="center"/>
                    <w:textAlignment w:val="auto"/>
                    <w:rPr>
                      <w:rFonts w:hint="default" w:ascii="Times New Roman" w:hAnsi="Times New Roman" w:eastAsia="宋体" w:cs="Times New Roman"/>
                      <w:b/>
                      <w:bCs/>
                      <w:color w:val="auto"/>
                      <w:kern w:val="0"/>
                      <w:sz w:val="21"/>
                      <w:szCs w:val="21"/>
                      <w:highlight w:val="none"/>
                      <w:vertAlign w:val="baseline"/>
                      <w:lang w:eastAsia="zh-CN"/>
                    </w:rPr>
                  </w:pPr>
                  <w:r>
                    <w:rPr>
                      <w:rFonts w:hint="default" w:ascii="Times New Roman" w:hAnsi="Times New Roman" w:eastAsia="宋体" w:cs="Times New Roman"/>
                      <w:b w:val="0"/>
                      <w:bCs w:val="0"/>
                      <w:color w:val="auto"/>
                      <w:kern w:val="0"/>
                      <w:sz w:val="21"/>
                      <w:szCs w:val="21"/>
                      <w:highlight w:val="none"/>
                      <w:vertAlign w:val="baseline"/>
                      <w:lang w:eastAsia="zh-CN"/>
                    </w:rPr>
                    <w:t>相符</w:t>
                  </w:r>
                </w:p>
              </w:tc>
            </w:tr>
            <w:tr w14:paraId="46F17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5" w:hRule="atLeast"/>
                <w:jc w:val="center"/>
              </w:trPr>
              <w:tc>
                <w:tcPr>
                  <w:tcW w:w="396" w:type="dxa"/>
                  <w:vMerge w:val="continue"/>
                  <w:noWrap w:val="0"/>
                  <w:vAlign w:val="center"/>
                </w:tcPr>
                <w:p w14:paraId="7C0801CB">
                  <w:pPr>
                    <w:keepNext w:val="0"/>
                    <w:keepLines w:val="0"/>
                    <w:pageBreakBefore w:val="0"/>
                    <w:widowControl w:val="0"/>
                    <w:kinsoku/>
                    <w:wordWrap/>
                    <w:overflowPunct/>
                    <w:topLinePunct w:val="0"/>
                    <w:autoSpaceDE/>
                    <w:autoSpaceDN/>
                    <w:bidi w:val="0"/>
                    <w:adjustRightInd w:val="0"/>
                    <w:snapToGrid w:val="0"/>
                    <w:spacing w:after="0"/>
                    <w:ind w:left="0"/>
                    <w:jc w:val="center"/>
                    <w:textAlignment w:val="auto"/>
                    <w:rPr>
                      <w:rFonts w:hint="default" w:ascii="Times New Roman" w:hAnsi="Times New Roman" w:eastAsia="宋体" w:cs="Times New Roman"/>
                      <w:color w:val="auto"/>
                      <w:highlight w:val="none"/>
                    </w:rPr>
                  </w:pPr>
                </w:p>
              </w:tc>
              <w:tc>
                <w:tcPr>
                  <w:tcW w:w="698" w:type="dxa"/>
                  <w:noWrap w:val="0"/>
                  <w:vAlign w:val="center"/>
                </w:tcPr>
                <w:p w14:paraId="6712EBF6">
                  <w:pPr>
                    <w:pStyle w:val="61"/>
                    <w:keepNext w:val="0"/>
                    <w:keepLines w:val="0"/>
                    <w:pageBreakBefore w:val="0"/>
                    <w:widowControl w:val="0"/>
                    <w:kinsoku/>
                    <w:wordWrap/>
                    <w:overflowPunct/>
                    <w:topLinePunct w:val="0"/>
                    <w:autoSpaceDE/>
                    <w:autoSpaceDN/>
                    <w:bidi w:val="0"/>
                    <w:adjustRightInd w:val="0"/>
                    <w:snapToGrid w:val="0"/>
                    <w:spacing w:before="0" w:after="0" w:line="240" w:lineRule="auto"/>
                    <w:ind w:left="0" w:right="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p>
                <w:p w14:paraId="4846D52E">
                  <w:pPr>
                    <w:pStyle w:val="61"/>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right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vertAlign w:val="baseline"/>
                      <w:lang w:val="en-US" w:eastAsia="zh-CN" w:bidi="ar-SA"/>
                    </w:rPr>
                    <w:t>地表水环境质量底线及管控分区</w:t>
                  </w:r>
                </w:p>
              </w:tc>
              <w:tc>
                <w:tcPr>
                  <w:tcW w:w="3350" w:type="dxa"/>
                  <w:noWrap w:val="0"/>
                  <w:vAlign w:val="center"/>
                </w:tcPr>
                <w:p w14:paraId="0C34A087">
                  <w:pPr>
                    <w:pStyle w:val="61"/>
                    <w:autoSpaceDE/>
                    <w:autoSpaceDN/>
                    <w:adjustRightInd w:val="0"/>
                    <w:snapToGrid w:val="0"/>
                    <w:spacing w:before="0"/>
                    <w:ind w:left="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表</w:t>
                  </w:r>
                  <w:r>
                    <w:rPr>
                      <w:rFonts w:hint="default" w:ascii="Times New Roman" w:hAnsi="Times New Roman" w:cs="Times New Roman"/>
                      <w:b/>
                      <w:bCs/>
                      <w:color w:val="auto"/>
                      <w:kern w:val="0"/>
                      <w:sz w:val="21"/>
                      <w:szCs w:val="21"/>
                      <w:highlight w:val="none"/>
                      <w:lang w:val="en-US" w:eastAsia="zh-CN"/>
                    </w:rPr>
                    <w:t>1.1-3</w:t>
                  </w:r>
                  <w:r>
                    <w:rPr>
                      <w:rFonts w:hint="default" w:ascii="Times New Roman" w:hAnsi="Times New Roman" w:eastAsia="宋体" w:cs="Times New Roman"/>
                      <w:b/>
                      <w:bCs/>
                      <w:color w:val="auto"/>
                      <w:sz w:val="21"/>
                      <w:szCs w:val="21"/>
                      <w:highlight w:val="none"/>
                      <w:lang w:val="en-US" w:eastAsia="zh-CN"/>
                    </w:rPr>
                    <w:t xml:space="preserve"> </w:t>
                  </w:r>
                  <w:r>
                    <w:rPr>
                      <w:rFonts w:hint="default" w:ascii="Times New Roman" w:hAnsi="Times New Roman" w:cs="Times New Roman"/>
                      <w:b/>
                      <w:bCs/>
                      <w:color w:val="auto"/>
                      <w:kern w:val="0"/>
                      <w:sz w:val="21"/>
                      <w:szCs w:val="21"/>
                      <w:highlight w:val="none"/>
                      <w:lang w:val="en-US" w:eastAsia="zh-CN"/>
                    </w:rPr>
                    <w:t>罗阳镇</w:t>
                  </w:r>
                  <w:r>
                    <w:rPr>
                      <w:rFonts w:hint="default" w:ascii="Times New Roman" w:hAnsi="Times New Roman" w:eastAsia="宋体" w:cs="Times New Roman"/>
                      <w:b/>
                      <w:bCs/>
                      <w:color w:val="auto"/>
                      <w:sz w:val="21"/>
                      <w:szCs w:val="21"/>
                      <w:highlight w:val="none"/>
                      <w:lang w:val="en-US" w:eastAsia="zh-CN"/>
                    </w:rPr>
                    <w:t>水环境质量底线统计表（面积：km</w:t>
                  </w:r>
                  <w:r>
                    <w:rPr>
                      <w:rFonts w:hint="default" w:ascii="Times New Roman" w:hAnsi="Times New Roman" w:eastAsia="宋体" w:cs="Times New Roman"/>
                      <w:b/>
                      <w:bCs/>
                      <w:color w:val="auto"/>
                      <w:sz w:val="21"/>
                      <w:szCs w:val="21"/>
                      <w:highlight w:val="none"/>
                      <w:vertAlign w:val="superscript"/>
                      <w:lang w:val="en-US" w:eastAsia="zh-CN"/>
                    </w:rPr>
                    <w:t>2</w:t>
                  </w:r>
                  <w:r>
                    <w:rPr>
                      <w:rFonts w:hint="default" w:ascii="Times New Roman" w:hAnsi="Times New Roman" w:eastAsia="宋体" w:cs="Times New Roman"/>
                      <w:b/>
                      <w:bCs/>
                      <w:color w:val="auto"/>
                      <w:sz w:val="21"/>
                      <w:szCs w:val="21"/>
                      <w:highlight w:val="none"/>
                      <w:lang w:val="en-US" w:eastAsia="zh-CN"/>
                    </w:rPr>
                    <w:t>）</w:t>
                  </w:r>
                </w:p>
                <w:tbl>
                  <w:tblPr>
                    <w:tblStyle w:val="35"/>
                    <w:tblW w:w="3279" w:type="dxa"/>
                    <w:tblInd w:w="-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7"/>
                    <w:gridCol w:w="912"/>
                  </w:tblGrid>
                  <w:tr w14:paraId="2395F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2367" w:type="dxa"/>
                        <w:vAlign w:val="center"/>
                      </w:tcPr>
                      <w:p w14:paraId="115C7850">
                        <w:pPr>
                          <w:keepNext w:val="0"/>
                          <w:keepLines w:val="0"/>
                          <w:pageBreakBefore w:val="0"/>
                          <w:widowControl w:val="0"/>
                          <w:kinsoku/>
                          <w:wordWrap/>
                          <w:overflowPunct/>
                          <w:topLinePunct w:val="0"/>
                          <w:autoSpaceDE/>
                          <w:autoSpaceDN/>
                          <w:bidi w:val="0"/>
                          <w:adjustRightInd w:val="0"/>
                          <w:snapToGrid w:val="0"/>
                          <w:ind w:right="0" w:right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color w:val="auto"/>
                            <w:kern w:val="2"/>
                            <w:sz w:val="21"/>
                            <w:szCs w:val="21"/>
                            <w:highlight w:val="none"/>
                            <w:vertAlign w:val="baseline"/>
                            <w:lang w:val="en-US" w:eastAsia="zh-CN" w:bidi="zh-CN"/>
                          </w:rPr>
                          <w:t>水环境优先保护区面积</w:t>
                        </w:r>
                      </w:p>
                    </w:tc>
                    <w:tc>
                      <w:tcPr>
                        <w:tcW w:w="912" w:type="dxa"/>
                        <w:vAlign w:val="center"/>
                      </w:tcPr>
                      <w:p w14:paraId="5872911E">
                        <w:pPr>
                          <w:keepNext w:val="0"/>
                          <w:keepLines w:val="0"/>
                          <w:pageBreakBefore w:val="0"/>
                          <w:widowControl w:val="0"/>
                          <w:kinsoku/>
                          <w:wordWrap/>
                          <w:overflowPunct/>
                          <w:topLinePunct w:val="0"/>
                          <w:autoSpaceDE/>
                          <w:autoSpaceDN/>
                          <w:bidi w:val="0"/>
                          <w:adjustRightInd w:val="0"/>
                          <w:snapToGrid w:val="0"/>
                          <w:ind w:right="0" w:right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color w:val="auto"/>
                            <w:kern w:val="2"/>
                            <w:sz w:val="21"/>
                            <w:szCs w:val="21"/>
                            <w:highlight w:val="none"/>
                            <w:vertAlign w:val="baseline"/>
                            <w:lang w:val="en-US" w:eastAsia="zh-CN" w:bidi="zh-CN"/>
                          </w:rPr>
                          <w:t>36.547</w:t>
                        </w:r>
                      </w:p>
                    </w:tc>
                  </w:tr>
                  <w:tr w14:paraId="1D915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2367" w:type="dxa"/>
                        <w:vAlign w:val="center"/>
                      </w:tcPr>
                      <w:p w14:paraId="17B6971F">
                        <w:pPr>
                          <w:keepNext w:val="0"/>
                          <w:keepLines w:val="0"/>
                          <w:pageBreakBefore w:val="0"/>
                          <w:widowControl w:val="0"/>
                          <w:kinsoku/>
                          <w:wordWrap/>
                          <w:overflowPunct/>
                          <w:topLinePunct w:val="0"/>
                          <w:autoSpaceDE/>
                          <w:autoSpaceDN/>
                          <w:bidi w:val="0"/>
                          <w:adjustRightInd w:val="0"/>
                          <w:snapToGrid w:val="0"/>
                          <w:ind w:right="0" w:right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color w:val="auto"/>
                            <w:kern w:val="2"/>
                            <w:sz w:val="21"/>
                            <w:szCs w:val="21"/>
                            <w:highlight w:val="none"/>
                            <w:vertAlign w:val="baseline"/>
                            <w:lang w:val="en-US" w:eastAsia="zh-CN" w:bidi="zh-CN"/>
                          </w:rPr>
                          <w:t>水环境生活污染重点管控区面积</w:t>
                        </w:r>
                      </w:p>
                    </w:tc>
                    <w:tc>
                      <w:tcPr>
                        <w:tcW w:w="912" w:type="dxa"/>
                        <w:vAlign w:val="center"/>
                      </w:tcPr>
                      <w:p w14:paraId="23B5CE80">
                        <w:pPr>
                          <w:keepNext w:val="0"/>
                          <w:keepLines w:val="0"/>
                          <w:pageBreakBefore w:val="0"/>
                          <w:widowControl w:val="0"/>
                          <w:kinsoku/>
                          <w:wordWrap/>
                          <w:overflowPunct/>
                          <w:topLinePunct w:val="0"/>
                          <w:autoSpaceDE/>
                          <w:autoSpaceDN/>
                          <w:bidi w:val="0"/>
                          <w:adjustRightInd w:val="0"/>
                          <w:snapToGrid w:val="0"/>
                          <w:ind w:right="0" w:right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color w:val="auto"/>
                            <w:kern w:val="2"/>
                            <w:sz w:val="21"/>
                            <w:szCs w:val="21"/>
                            <w:highlight w:val="none"/>
                            <w:vertAlign w:val="baseline"/>
                            <w:lang w:val="en-US" w:eastAsia="zh-CN" w:bidi="zh-CN"/>
                          </w:rPr>
                          <w:t>136.947</w:t>
                        </w:r>
                      </w:p>
                    </w:tc>
                  </w:tr>
                  <w:tr w14:paraId="4CF95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2367" w:type="dxa"/>
                        <w:vAlign w:val="center"/>
                      </w:tcPr>
                      <w:p w14:paraId="4DF599A7">
                        <w:pPr>
                          <w:keepNext w:val="0"/>
                          <w:keepLines w:val="0"/>
                          <w:pageBreakBefore w:val="0"/>
                          <w:widowControl w:val="0"/>
                          <w:kinsoku/>
                          <w:wordWrap/>
                          <w:overflowPunct/>
                          <w:topLinePunct w:val="0"/>
                          <w:autoSpaceDE/>
                          <w:autoSpaceDN/>
                          <w:bidi w:val="0"/>
                          <w:adjustRightInd w:val="0"/>
                          <w:snapToGrid w:val="0"/>
                          <w:ind w:right="0" w:right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color w:val="auto"/>
                            <w:kern w:val="2"/>
                            <w:sz w:val="21"/>
                            <w:szCs w:val="21"/>
                            <w:highlight w:val="none"/>
                            <w:vertAlign w:val="baseline"/>
                            <w:lang w:val="en-US" w:eastAsia="zh-CN" w:bidi="zh-CN"/>
                          </w:rPr>
                          <w:t>水环境工业污染重点管控区面积</w:t>
                        </w:r>
                      </w:p>
                    </w:tc>
                    <w:tc>
                      <w:tcPr>
                        <w:tcW w:w="912" w:type="dxa"/>
                        <w:vAlign w:val="center"/>
                      </w:tcPr>
                      <w:p w14:paraId="3D2F452C">
                        <w:pPr>
                          <w:keepNext w:val="0"/>
                          <w:keepLines w:val="0"/>
                          <w:pageBreakBefore w:val="0"/>
                          <w:widowControl w:val="0"/>
                          <w:kinsoku/>
                          <w:wordWrap/>
                          <w:overflowPunct/>
                          <w:topLinePunct w:val="0"/>
                          <w:autoSpaceDE/>
                          <w:autoSpaceDN/>
                          <w:bidi w:val="0"/>
                          <w:adjustRightInd w:val="0"/>
                          <w:snapToGrid w:val="0"/>
                          <w:ind w:right="0" w:right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color w:val="auto"/>
                            <w:kern w:val="2"/>
                            <w:sz w:val="21"/>
                            <w:szCs w:val="21"/>
                            <w:highlight w:val="none"/>
                            <w:vertAlign w:val="baseline"/>
                            <w:lang w:val="en-US" w:eastAsia="zh-CN" w:bidi="zh-CN"/>
                          </w:rPr>
                          <w:t xml:space="preserve">61.335 </w:t>
                        </w:r>
                      </w:p>
                    </w:tc>
                  </w:tr>
                  <w:tr w14:paraId="6E52D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2367" w:type="dxa"/>
                        <w:vAlign w:val="center"/>
                      </w:tcPr>
                      <w:p w14:paraId="4F9AC030">
                        <w:pPr>
                          <w:keepNext w:val="0"/>
                          <w:keepLines w:val="0"/>
                          <w:pageBreakBefore w:val="0"/>
                          <w:widowControl w:val="0"/>
                          <w:kinsoku/>
                          <w:wordWrap/>
                          <w:overflowPunct/>
                          <w:topLinePunct w:val="0"/>
                          <w:autoSpaceDE/>
                          <w:autoSpaceDN/>
                          <w:bidi w:val="0"/>
                          <w:adjustRightInd w:val="0"/>
                          <w:snapToGrid w:val="0"/>
                          <w:ind w:right="0" w:right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color w:val="auto"/>
                            <w:kern w:val="2"/>
                            <w:sz w:val="21"/>
                            <w:szCs w:val="21"/>
                            <w:highlight w:val="none"/>
                            <w:vertAlign w:val="baseline"/>
                            <w:lang w:val="en-US" w:eastAsia="zh-CN" w:bidi="zh-CN"/>
                          </w:rPr>
                          <w:t>水环境一般管控区面积</w:t>
                        </w:r>
                      </w:p>
                    </w:tc>
                    <w:tc>
                      <w:tcPr>
                        <w:tcW w:w="912" w:type="dxa"/>
                        <w:vAlign w:val="center"/>
                      </w:tcPr>
                      <w:p w14:paraId="1D5239FC">
                        <w:pPr>
                          <w:keepNext w:val="0"/>
                          <w:keepLines w:val="0"/>
                          <w:pageBreakBefore w:val="0"/>
                          <w:widowControl w:val="0"/>
                          <w:kinsoku/>
                          <w:wordWrap/>
                          <w:overflowPunct/>
                          <w:topLinePunct w:val="0"/>
                          <w:autoSpaceDE/>
                          <w:autoSpaceDN/>
                          <w:bidi w:val="0"/>
                          <w:adjustRightInd w:val="0"/>
                          <w:snapToGrid w:val="0"/>
                          <w:ind w:right="0" w:right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color w:val="auto"/>
                            <w:kern w:val="2"/>
                            <w:sz w:val="21"/>
                            <w:szCs w:val="21"/>
                            <w:highlight w:val="none"/>
                            <w:vertAlign w:val="baseline"/>
                            <w:lang w:val="en-US" w:eastAsia="zh-CN" w:bidi="zh-CN"/>
                          </w:rPr>
                          <w:t>16.799</w:t>
                        </w:r>
                      </w:p>
                    </w:tc>
                  </w:tr>
                </w:tbl>
                <w:p w14:paraId="23391949">
                  <w:pPr>
                    <w:pStyle w:val="61"/>
                    <w:keepNext w:val="0"/>
                    <w:keepLines w:val="0"/>
                    <w:pageBreakBefore w:val="0"/>
                    <w:widowControl w:val="0"/>
                    <w:kinsoku/>
                    <w:wordWrap/>
                    <w:overflowPunct/>
                    <w:topLinePunct w:val="0"/>
                    <w:autoSpaceDE/>
                    <w:autoSpaceDN/>
                    <w:bidi w:val="0"/>
                    <w:adjustRightInd w:val="0"/>
                    <w:snapToGrid w:val="0"/>
                    <w:spacing w:before="0" w:after="0" w:line="240" w:lineRule="auto"/>
                    <w:ind w:left="0" w:right="0"/>
                    <w:jc w:val="both"/>
                    <w:textAlignment w:val="auto"/>
                    <w:rPr>
                      <w:rFonts w:hint="default" w:ascii="Times New Roman" w:hAnsi="Times New Roman" w:eastAsia="宋体" w:cs="Times New Roman"/>
                      <w:b w:val="0"/>
                      <w:bCs w:val="0"/>
                      <w:color w:val="auto"/>
                      <w:kern w:val="0"/>
                      <w:sz w:val="21"/>
                      <w:szCs w:val="21"/>
                      <w:highlight w:val="none"/>
                      <w:vertAlign w:val="baseline"/>
                      <w:lang w:eastAsia="zh-CN"/>
                    </w:rPr>
                  </w:pPr>
                </w:p>
              </w:tc>
              <w:tc>
                <w:tcPr>
                  <w:tcW w:w="2977" w:type="dxa"/>
                  <w:noWrap w:val="0"/>
                  <w:vAlign w:val="center"/>
                </w:tcPr>
                <w:p w14:paraId="7D439740">
                  <w:pPr>
                    <w:keepNext w:val="0"/>
                    <w:keepLines w:val="0"/>
                    <w:pageBreakBefore w:val="0"/>
                    <w:widowControl w:val="0"/>
                    <w:kinsoku/>
                    <w:wordWrap/>
                    <w:overflowPunct/>
                    <w:topLinePunct w:val="0"/>
                    <w:autoSpaceDE/>
                    <w:autoSpaceDN/>
                    <w:bidi w:val="0"/>
                    <w:adjustRightInd w:val="0"/>
                    <w:snapToGrid w:val="0"/>
                    <w:spacing w:after="0"/>
                    <w:ind w:left="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rPr>
                  </w:pPr>
                  <w:r>
                    <w:rPr>
                      <w:rFonts w:hint="default" w:ascii="Times New Roman" w:hAnsi="Times New Roman" w:eastAsia="宋体" w:cs="Times New Roman"/>
                      <w:color w:val="auto"/>
                      <w:highlight w:val="none"/>
                    </w:rPr>
                    <w:t>根据</w:t>
                  </w:r>
                  <w:r>
                    <w:rPr>
                      <w:rFonts w:hint="default" w:ascii="Times New Roman" w:hAnsi="Times New Roman" w:eastAsia="宋体" w:cs="Times New Roman"/>
                      <w:b w:val="0"/>
                      <w:bCs w:val="0"/>
                      <w:color w:val="auto"/>
                      <w:kern w:val="0"/>
                      <w:sz w:val="21"/>
                      <w:szCs w:val="21"/>
                      <w:highlight w:val="none"/>
                      <w:vertAlign w:val="baseline"/>
                      <w:lang w:val="en-US" w:eastAsia="zh-CN" w:bidi="ar-SA"/>
                    </w:rPr>
                    <w:t>附图15，项目位于水环境</w:t>
                  </w:r>
                  <w:r>
                    <w:rPr>
                      <w:rFonts w:hint="eastAsia" w:ascii="Times New Roman" w:hAnsi="Times New Roman" w:eastAsia="宋体" w:cs="Times New Roman"/>
                      <w:b w:val="0"/>
                      <w:bCs w:val="0"/>
                      <w:color w:val="auto"/>
                      <w:kern w:val="0"/>
                      <w:sz w:val="21"/>
                      <w:szCs w:val="21"/>
                      <w:highlight w:val="none"/>
                      <w:vertAlign w:val="baseline"/>
                      <w:lang w:val="en-US" w:eastAsia="zh-CN" w:bidi="ar-SA"/>
                    </w:rPr>
                    <w:t>城镇生活污染重点管控区重点</w:t>
                  </w:r>
                  <w:r>
                    <w:rPr>
                      <w:rFonts w:hint="default" w:ascii="Times New Roman" w:hAnsi="Times New Roman" w:eastAsia="宋体" w:cs="Times New Roman"/>
                      <w:b w:val="0"/>
                      <w:bCs w:val="0"/>
                      <w:color w:val="auto"/>
                      <w:kern w:val="0"/>
                      <w:sz w:val="21"/>
                      <w:szCs w:val="21"/>
                      <w:highlight w:val="none"/>
                      <w:vertAlign w:val="baseline"/>
                      <w:lang w:val="en-US" w:eastAsia="zh-CN" w:bidi="ar-SA"/>
                    </w:rPr>
                    <w:t>管控区。项目纳污水体为小金河，根据引用的广东君正检测技术有限公司于2022年10月20日~2022年10月22日对小金河断面（监测断面2#）的监测数据，小金河各项水质指标均未超过《地表水环境质量标准》（GB3838-2002）</w:t>
                  </w:r>
                  <w:r>
                    <w:rPr>
                      <w:rFonts w:hint="default" w:ascii="Times New Roman" w:hAnsi="Times New Roman" w:eastAsia="宋体" w:cs="Times New Roman"/>
                      <w:color w:val="auto"/>
                      <w:kern w:val="0"/>
                      <w:sz w:val="21"/>
                      <w:szCs w:val="21"/>
                      <w:highlight w:val="none"/>
                      <w:lang w:val="en-US" w:eastAsia="zh-CN" w:bidi="ar"/>
                    </w:rPr>
                    <w:t>III</w:t>
                  </w:r>
                  <w:r>
                    <w:rPr>
                      <w:rFonts w:hint="default" w:ascii="Times New Roman" w:hAnsi="Times New Roman" w:eastAsia="宋体" w:cs="Times New Roman"/>
                      <w:b w:val="0"/>
                      <w:bCs w:val="0"/>
                      <w:color w:val="auto"/>
                      <w:kern w:val="0"/>
                      <w:sz w:val="21"/>
                      <w:szCs w:val="21"/>
                      <w:highlight w:val="none"/>
                      <w:vertAlign w:val="baseline"/>
                      <w:lang w:val="en-US" w:eastAsia="zh-CN" w:bidi="ar-SA"/>
                    </w:rPr>
                    <w:t>类标准，由此可见，小金河水环境质量现状良好。项目无生产废水外排，生活污水经预处理后纳入博罗县罗阳街道小金生活污水处理厂深度处理，故小金河水不会因为本项目建成而导致地表水质超标排放。</w:t>
                  </w:r>
                </w:p>
              </w:tc>
              <w:tc>
                <w:tcPr>
                  <w:tcW w:w="397" w:type="dxa"/>
                  <w:vMerge w:val="continue"/>
                  <w:noWrap w:val="0"/>
                  <w:vAlign w:val="center"/>
                </w:tcPr>
                <w:p w14:paraId="65EDC8A2">
                  <w:pPr>
                    <w:keepNext w:val="0"/>
                    <w:keepLines w:val="0"/>
                    <w:pageBreakBefore w:val="0"/>
                    <w:widowControl w:val="0"/>
                    <w:kinsoku/>
                    <w:wordWrap/>
                    <w:overflowPunct/>
                    <w:topLinePunct w:val="0"/>
                    <w:autoSpaceDE/>
                    <w:autoSpaceDN/>
                    <w:bidi w:val="0"/>
                    <w:adjustRightInd w:val="0"/>
                    <w:snapToGrid w:val="0"/>
                    <w:spacing w:after="0"/>
                    <w:ind w:left="0"/>
                    <w:jc w:val="center"/>
                    <w:textAlignment w:val="auto"/>
                    <w:rPr>
                      <w:rFonts w:hint="default" w:ascii="Times New Roman" w:hAnsi="Times New Roman" w:eastAsia="宋体" w:cs="Times New Roman"/>
                      <w:b w:val="0"/>
                      <w:bCs w:val="0"/>
                      <w:color w:val="auto"/>
                      <w:kern w:val="0"/>
                      <w:sz w:val="21"/>
                      <w:szCs w:val="21"/>
                      <w:highlight w:val="none"/>
                      <w:vertAlign w:val="baseline"/>
                      <w:lang w:eastAsia="zh-CN"/>
                    </w:rPr>
                  </w:pPr>
                </w:p>
              </w:tc>
            </w:tr>
            <w:tr w14:paraId="385C2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7" w:hRule="atLeast"/>
                <w:jc w:val="center"/>
              </w:trPr>
              <w:tc>
                <w:tcPr>
                  <w:tcW w:w="396" w:type="dxa"/>
                  <w:vMerge w:val="continue"/>
                  <w:noWrap w:val="0"/>
                  <w:vAlign w:val="center"/>
                </w:tcPr>
                <w:p w14:paraId="0B1F978D">
                  <w:pPr>
                    <w:keepNext w:val="0"/>
                    <w:keepLines w:val="0"/>
                    <w:pageBreakBefore w:val="0"/>
                    <w:widowControl w:val="0"/>
                    <w:kinsoku/>
                    <w:wordWrap/>
                    <w:overflowPunct/>
                    <w:topLinePunct w:val="0"/>
                    <w:autoSpaceDE/>
                    <w:autoSpaceDN/>
                    <w:bidi w:val="0"/>
                    <w:adjustRightInd w:val="0"/>
                    <w:snapToGrid w:val="0"/>
                    <w:spacing w:after="0"/>
                    <w:ind w:left="0"/>
                    <w:jc w:val="center"/>
                    <w:textAlignment w:val="auto"/>
                    <w:rPr>
                      <w:rFonts w:hint="default" w:ascii="Times New Roman" w:hAnsi="Times New Roman" w:eastAsia="宋体" w:cs="Times New Roman"/>
                      <w:b w:val="0"/>
                      <w:bCs w:val="0"/>
                      <w:color w:val="auto"/>
                      <w:kern w:val="0"/>
                      <w:sz w:val="21"/>
                      <w:szCs w:val="21"/>
                      <w:highlight w:val="none"/>
                      <w:vertAlign w:val="baseline"/>
                      <w:lang w:eastAsia="zh-CN"/>
                    </w:rPr>
                  </w:pPr>
                </w:p>
              </w:tc>
              <w:tc>
                <w:tcPr>
                  <w:tcW w:w="698" w:type="dxa"/>
                  <w:noWrap w:val="0"/>
                  <w:vAlign w:val="center"/>
                </w:tcPr>
                <w:p w14:paraId="763A3D97">
                  <w:pPr>
                    <w:pStyle w:val="61"/>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right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vertAlign w:val="baseline"/>
                      <w:lang w:val="en-US" w:eastAsia="zh-CN" w:bidi="ar-SA"/>
                    </w:rPr>
                    <w:t>土壤环境安全利用底线</w:t>
                  </w:r>
                </w:p>
              </w:tc>
              <w:tc>
                <w:tcPr>
                  <w:tcW w:w="3350" w:type="dxa"/>
                  <w:noWrap w:val="0"/>
                  <w:vAlign w:val="center"/>
                </w:tcPr>
                <w:p w14:paraId="382A772F">
                  <w:pPr>
                    <w:pStyle w:val="61"/>
                    <w:autoSpaceDE/>
                    <w:autoSpaceDN/>
                    <w:adjustRightInd w:val="0"/>
                    <w:snapToGrid w:val="0"/>
                    <w:spacing w:before="0"/>
                    <w:ind w:left="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表1.1-4 土壤环境管控区统计表 （面积：km</w:t>
                  </w:r>
                  <w:r>
                    <w:rPr>
                      <w:rFonts w:hint="default" w:ascii="Times New Roman" w:hAnsi="Times New Roman" w:eastAsia="宋体" w:cs="Times New Roman"/>
                      <w:b/>
                      <w:bCs/>
                      <w:color w:val="auto"/>
                      <w:sz w:val="21"/>
                      <w:szCs w:val="21"/>
                      <w:highlight w:val="none"/>
                      <w:vertAlign w:val="superscript"/>
                      <w:lang w:val="en-US" w:eastAsia="zh-CN"/>
                    </w:rPr>
                    <w:t>2</w:t>
                  </w:r>
                  <w:r>
                    <w:rPr>
                      <w:rFonts w:hint="default" w:ascii="Times New Roman" w:hAnsi="Times New Roman" w:eastAsia="宋体" w:cs="Times New Roman"/>
                      <w:b/>
                      <w:bCs/>
                      <w:color w:val="auto"/>
                      <w:sz w:val="21"/>
                      <w:szCs w:val="21"/>
                      <w:highlight w:val="none"/>
                      <w:lang w:val="en-US" w:eastAsia="zh-CN"/>
                    </w:rPr>
                    <w:t>）</w:t>
                  </w:r>
                </w:p>
                <w:tbl>
                  <w:tblPr>
                    <w:tblStyle w:val="35"/>
                    <w:tblW w:w="3279" w:type="dxa"/>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20"/>
                    <w:gridCol w:w="859"/>
                  </w:tblGrid>
                  <w:tr w14:paraId="43F01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2420" w:type="dxa"/>
                        <w:vAlign w:val="center"/>
                      </w:tcPr>
                      <w:p w14:paraId="78D19B7E">
                        <w:pPr>
                          <w:keepNext w:val="0"/>
                          <w:keepLines w:val="0"/>
                          <w:pageBreakBefore w:val="0"/>
                          <w:widowControl w:val="0"/>
                          <w:kinsoku/>
                          <w:wordWrap/>
                          <w:overflowPunct/>
                          <w:topLinePunct w:val="0"/>
                          <w:autoSpaceDE/>
                          <w:autoSpaceDN/>
                          <w:bidi w:val="0"/>
                          <w:adjustRightInd w:val="0"/>
                          <w:snapToGrid w:val="0"/>
                          <w:ind w:right="0" w:right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color w:val="auto"/>
                            <w:kern w:val="2"/>
                            <w:sz w:val="21"/>
                            <w:szCs w:val="21"/>
                            <w:highlight w:val="none"/>
                            <w:vertAlign w:val="baseline"/>
                            <w:lang w:val="en-US" w:eastAsia="zh-CN" w:bidi="zh-CN"/>
                          </w:rPr>
                          <w:t>博罗县建设用地土壤污染风险重点管控区面积</w:t>
                        </w:r>
                      </w:p>
                    </w:tc>
                    <w:tc>
                      <w:tcPr>
                        <w:tcW w:w="859" w:type="dxa"/>
                        <w:vAlign w:val="center"/>
                      </w:tcPr>
                      <w:p w14:paraId="72CABF9B">
                        <w:pPr>
                          <w:keepNext w:val="0"/>
                          <w:keepLines w:val="0"/>
                          <w:pageBreakBefore w:val="0"/>
                          <w:widowControl w:val="0"/>
                          <w:kinsoku/>
                          <w:wordWrap/>
                          <w:overflowPunct/>
                          <w:topLinePunct w:val="0"/>
                          <w:autoSpaceDE/>
                          <w:autoSpaceDN/>
                          <w:bidi w:val="0"/>
                          <w:adjustRightInd w:val="0"/>
                          <w:snapToGrid w:val="0"/>
                          <w:ind w:right="0" w:right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color w:val="auto"/>
                            <w:kern w:val="2"/>
                            <w:sz w:val="21"/>
                            <w:szCs w:val="21"/>
                            <w:highlight w:val="none"/>
                            <w:vertAlign w:val="baseline"/>
                            <w:lang w:val="en-US" w:eastAsia="zh-CN" w:bidi="zh-CN"/>
                          </w:rPr>
                          <w:t>340.8688125</w:t>
                        </w:r>
                      </w:p>
                    </w:tc>
                  </w:tr>
                  <w:tr w14:paraId="7221A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2420" w:type="dxa"/>
                        <w:vAlign w:val="center"/>
                      </w:tcPr>
                      <w:p w14:paraId="555FE442">
                        <w:pPr>
                          <w:keepNext w:val="0"/>
                          <w:keepLines w:val="0"/>
                          <w:pageBreakBefore w:val="0"/>
                          <w:widowControl w:val="0"/>
                          <w:kinsoku/>
                          <w:wordWrap/>
                          <w:overflowPunct/>
                          <w:topLinePunct w:val="0"/>
                          <w:autoSpaceDE/>
                          <w:autoSpaceDN/>
                          <w:bidi w:val="0"/>
                          <w:adjustRightInd w:val="0"/>
                          <w:snapToGrid w:val="0"/>
                          <w:ind w:right="0" w:right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color w:val="auto"/>
                            <w:kern w:val="2"/>
                            <w:sz w:val="21"/>
                            <w:szCs w:val="21"/>
                            <w:highlight w:val="none"/>
                            <w:vertAlign w:val="baseline"/>
                            <w:lang w:val="en-US" w:eastAsia="zh-CN" w:bidi="zh-CN"/>
                          </w:rPr>
                          <w:t>罗阳镇建设用地一般管控区面积</w:t>
                        </w:r>
                      </w:p>
                    </w:tc>
                    <w:tc>
                      <w:tcPr>
                        <w:tcW w:w="859" w:type="dxa"/>
                        <w:vAlign w:val="center"/>
                      </w:tcPr>
                      <w:p w14:paraId="5E9A56E5">
                        <w:pPr>
                          <w:keepNext w:val="0"/>
                          <w:keepLines w:val="0"/>
                          <w:pageBreakBefore w:val="0"/>
                          <w:widowControl w:val="0"/>
                          <w:kinsoku/>
                          <w:wordWrap/>
                          <w:overflowPunct/>
                          <w:topLinePunct w:val="0"/>
                          <w:autoSpaceDE/>
                          <w:autoSpaceDN/>
                          <w:bidi w:val="0"/>
                          <w:adjustRightInd w:val="0"/>
                          <w:snapToGrid w:val="0"/>
                          <w:ind w:right="0" w:right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color w:val="auto"/>
                            <w:kern w:val="2"/>
                            <w:sz w:val="21"/>
                            <w:szCs w:val="21"/>
                            <w:highlight w:val="none"/>
                            <w:vertAlign w:val="baseline"/>
                            <w:lang w:val="en-US" w:eastAsia="zh-CN" w:bidi="zh-CN"/>
                          </w:rPr>
                          <w:t>40.187</w:t>
                        </w:r>
                      </w:p>
                    </w:tc>
                  </w:tr>
                  <w:tr w14:paraId="190BF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2420" w:type="dxa"/>
                        <w:vAlign w:val="center"/>
                      </w:tcPr>
                      <w:p w14:paraId="672CF215">
                        <w:pPr>
                          <w:keepNext w:val="0"/>
                          <w:keepLines w:val="0"/>
                          <w:pageBreakBefore w:val="0"/>
                          <w:widowControl w:val="0"/>
                          <w:kinsoku/>
                          <w:wordWrap/>
                          <w:overflowPunct/>
                          <w:topLinePunct w:val="0"/>
                          <w:autoSpaceDE/>
                          <w:autoSpaceDN/>
                          <w:bidi w:val="0"/>
                          <w:adjustRightInd w:val="0"/>
                          <w:snapToGrid w:val="0"/>
                          <w:ind w:right="0" w:right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color w:val="auto"/>
                            <w:kern w:val="2"/>
                            <w:sz w:val="21"/>
                            <w:szCs w:val="21"/>
                            <w:highlight w:val="none"/>
                            <w:vertAlign w:val="baseline"/>
                            <w:lang w:val="en-US" w:eastAsia="zh-CN" w:bidi="zh-CN"/>
                          </w:rPr>
                          <w:t>罗阳镇未利用地一般管控区面积</w:t>
                        </w:r>
                      </w:p>
                    </w:tc>
                    <w:tc>
                      <w:tcPr>
                        <w:tcW w:w="859" w:type="dxa"/>
                        <w:vAlign w:val="center"/>
                      </w:tcPr>
                      <w:p w14:paraId="5D306FC9">
                        <w:pPr>
                          <w:keepNext w:val="0"/>
                          <w:keepLines w:val="0"/>
                          <w:pageBreakBefore w:val="0"/>
                          <w:widowControl w:val="0"/>
                          <w:kinsoku/>
                          <w:wordWrap/>
                          <w:overflowPunct/>
                          <w:topLinePunct w:val="0"/>
                          <w:autoSpaceDE/>
                          <w:autoSpaceDN/>
                          <w:bidi w:val="0"/>
                          <w:adjustRightInd w:val="0"/>
                          <w:snapToGrid w:val="0"/>
                          <w:ind w:right="0" w:right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color w:val="auto"/>
                            <w:kern w:val="2"/>
                            <w:sz w:val="21"/>
                            <w:szCs w:val="21"/>
                            <w:highlight w:val="none"/>
                            <w:vertAlign w:val="baseline"/>
                            <w:lang w:val="en-US" w:eastAsia="zh-CN" w:bidi="zh-CN"/>
                          </w:rPr>
                          <w:t>16.493</w:t>
                        </w:r>
                      </w:p>
                    </w:tc>
                  </w:tr>
                  <w:tr w14:paraId="490EF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2420" w:type="dxa"/>
                        <w:vAlign w:val="center"/>
                      </w:tcPr>
                      <w:p w14:paraId="62814E65">
                        <w:pPr>
                          <w:keepNext w:val="0"/>
                          <w:keepLines w:val="0"/>
                          <w:pageBreakBefore w:val="0"/>
                          <w:widowControl w:val="0"/>
                          <w:kinsoku/>
                          <w:wordWrap/>
                          <w:overflowPunct/>
                          <w:topLinePunct w:val="0"/>
                          <w:autoSpaceDE/>
                          <w:autoSpaceDN/>
                          <w:bidi w:val="0"/>
                          <w:adjustRightInd w:val="0"/>
                          <w:snapToGrid w:val="0"/>
                          <w:ind w:right="0" w:right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color w:val="auto"/>
                            <w:kern w:val="2"/>
                            <w:sz w:val="21"/>
                            <w:szCs w:val="21"/>
                            <w:highlight w:val="none"/>
                            <w:vertAlign w:val="baseline"/>
                            <w:lang w:val="en-US" w:eastAsia="zh-CN" w:bidi="zh-CN"/>
                          </w:rPr>
                          <w:t>博罗县土壤环境一般管控区面积</w:t>
                        </w:r>
                      </w:p>
                    </w:tc>
                    <w:tc>
                      <w:tcPr>
                        <w:tcW w:w="859" w:type="dxa"/>
                        <w:vAlign w:val="center"/>
                      </w:tcPr>
                      <w:p w14:paraId="7634CAF1">
                        <w:pPr>
                          <w:keepNext w:val="0"/>
                          <w:keepLines w:val="0"/>
                          <w:pageBreakBefore w:val="0"/>
                          <w:widowControl w:val="0"/>
                          <w:kinsoku/>
                          <w:wordWrap/>
                          <w:overflowPunct/>
                          <w:topLinePunct w:val="0"/>
                          <w:autoSpaceDE/>
                          <w:autoSpaceDN/>
                          <w:bidi w:val="0"/>
                          <w:adjustRightInd w:val="0"/>
                          <w:snapToGrid w:val="0"/>
                          <w:ind w:right="0" w:right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color w:val="auto"/>
                            <w:kern w:val="2"/>
                            <w:sz w:val="21"/>
                            <w:szCs w:val="21"/>
                            <w:highlight w:val="none"/>
                            <w:vertAlign w:val="baseline"/>
                            <w:lang w:val="en-US" w:eastAsia="zh-CN" w:bidi="zh-CN"/>
                          </w:rPr>
                          <w:t>17.406</w:t>
                        </w:r>
                      </w:p>
                    </w:tc>
                  </w:tr>
                </w:tbl>
                <w:p w14:paraId="6EF77941">
                  <w:pPr>
                    <w:pStyle w:val="61"/>
                    <w:keepNext w:val="0"/>
                    <w:keepLines w:val="0"/>
                    <w:pageBreakBefore w:val="0"/>
                    <w:widowControl w:val="0"/>
                    <w:kinsoku/>
                    <w:wordWrap/>
                    <w:overflowPunct/>
                    <w:topLinePunct w:val="0"/>
                    <w:autoSpaceDE/>
                    <w:autoSpaceDN/>
                    <w:bidi w:val="0"/>
                    <w:adjustRightInd w:val="0"/>
                    <w:snapToGrid w:val="0"/>
                    <w:spacing w:before="0" w:after="0" w:line="240" w:lineRule="auto"/>
                    <w:ind w:left="0" w:right="0"/>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p>
              </w:tc>
              <w:tc>
                <w:tcPr>
                  <w:tcW w:w="2977" w:type="dxa"/>
                  <w:noWrap w:val="0"/>
                  <w:vAlign w:val="center"/>
                </w:tcPr>
                <w:p w14:paraId="1771398D">
                  <w:pPr>
                    <w:keepNext w:val="0"/>
                    <w:keepLines w:val="0"/>
                    <w:pageBreakBefore w:val="0"/>
                    <w:widowControl w:val="0"/>
                    <w:kinsoku/>
                    <w:wordWrap/>
                    <w:overflowPunct/>
                    <w:topLinePunct w:val="0"/>
                    <w:autoSpaceDE/>
                    <w:autoSpaceDN/>
                    <w:bidi w:val="0"/>
                    <w:adjustRightInd w:val="0"/>
                    <w:snapToGrid w:val="0"/>
                    <w:spacing w:after="0"/>
                    <w:ind w:left="0"/>
                    <w:jc w:val="center"/>
                    <w:textAlignment w:val="auto"/>
                    <w:rPr>
                      <w:rFonts w:hint="default" w:ascii="Times New Roman" w:hAnsi="Times New Roman" w:eastAsia="宋体" w:cs="Times New Roman"/>
                      <w:b w:val="0"/>
                      <w:bCs w:val="0"/>
                      <w:color w:val="auto"/>
                      <w:kern w:val="0"/>
                      <w:sz w:val="21"/>
                      <w:szCs w:val="21"/>
                      <w:highlight w:val="none"/>
                      <w:vertAlign w:val="baseline"/>
                      <w:lang w:eastAsia="zh-CN"/>
                    </w:rPr>
                  </w:pPr>
                  <w:r>
                    <w:rPr>
                      <w:rFonts w:hint="default" w:ascii="Times New Roman" w:hAnsi="Times New Roman" w:eastAsia="宋体" w:cs="Times New Roman"/>
                      <w:b w:val="0"/>
                      <w:bCs w:val="0"/>
                      <w:color w:val="auto"/>
                      <w:kern w:val="0"/>
                      <w:sz w:val="21"/>
                      <w:szCs w:val="21"/>
                      <w:highlight w:val="none"/>
                      <w:vertAlign w:val="baseline"/>
                      <w:lang w:val="en-US" w:eastAsia="zh-CN" w:bidi="ar-SA"/>
                    </w:rPr>
                    <w:t>根据附图18，本项目位于罗阳镇建设用地土壤环境一般管控区-不含农用地。</w:t>
                  </w:r>
                  <w:r>
                    <w:rPr>
                      <w:rFonts w:hint="default" w:ascii="Times New Roman" w:hAnsi="Times New Roman" w:eastAsia="宋体" w:cs="Times New Roman"/>
                      <w:b w:val="0"/>
                      <w:bCs w:val="0"/>
                      <w:color w:val="auto"/>
                      <w:kern w:val="0"/>
                      <w:sz w:val="21"/>
                      <w:szCs w:val="21"/>
                      <w:highlight w:val="none"/>
                      <w:vertAlign w:val="baseline"/>
                      <w:lang w:val="en-US" w:eastAsia="zh-CN"/>
                    </w:rPr>
                    <w:t>本项目废气污染因子为颗粒物、二氧化硫、氮氧化物，不涉及重金属大气沉降，也不涉及地面漫流和垂直渗入，项目用地范围地面将全部硬化，且本项目的危险废物暂存间将进行防腐防渗防泄漏处理，不会对土壤环境造成污染。</w:t>
                  </w:r>
                </w:p>
              </w:tc>
              <w:tc>
                <w:tcPr>
                  <w:tcW w:w="397" w:type="dxa"/>
                  <w:vMerge w:val="continue"/>
                  <w:noWrap w:val="0"/>
                  <w:vAlign w:val="center"/>
                </w:tcPr>
                <w:p w14:paraId="2B23C91B">
                  <w:pPr>
                    <w:keepNext w:val="0"/>
                    <w:keepLines w:val="0"/>
                    <w:pageBreakBefore w:val="0"/>
                    <w:widowControl w:val="0"/>
                    <w:kinsoku/>
                    <w:wordWrap/>
                    <w:overflowPunct/>
                    <w:topLinePunct w:val="0"/>
                    <w:autoSpaceDE/>
                    <w:autoSpaceDN/>
                    <w:bidi w:val="0"/>
                    <w:adjustRightInd w:val="0"/>
                    <w:snapToGrid w:val="0"/>
                    <w:spacing w:after="0"/>
                    <w:ind w:left="0"/>
                    <w:jc w:val="center"/>
                    <w:textAlignment w:val="auto"/>
                    <w:rPr>
                      <w:rFonts w:hint="default" w:ascii="Times New Roman" w:hAnsi="Times New Roman" w:eastAsia="宋体" w:cs="Times New Roman"/>
                      <w:b w:val="0"/>
                      <w:bCs w:val="0"/>
                      <w:color w:val="auto"/>
                      <w:kern w:val="0"/>
                      <w:sz w:val="21"/>
                      <w:szCs w:val="21"/>
                      <w:highlight w:val="none"/>
                      <w:vertAlign w:val="baseline"/>
                      <w:lang w:eastAsia="zh-CN"/>
                    </w:rPr>
                  </w:pPr>
                </w:p>
              </w:tc>
            </w:tr>
            <w:tr w14:paraId="5232C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3" w:hRule="atLeast"/>
                <w:jc w:val="center"/>
              </w:trPr>
              <w:tc>
                <w:tcPr>
                  <w:tcW w:w="396" w:type="dxa"/>
                  <w:vMerge w:val="restart"/>
                  <w:noWrap w:val="0"/>
                  <w:vAlign w:val="center"/>
                </w:tcPr>
                <w:p w14:paraId="2E429302">
                  <w:pPr>
                    <w:keepNext w:val="0"/>
                    <w:keepLines w:val="0"/>
                    <w:pageBreakBefore w:val="0"/>
                    <w:widowControl w:val="0"/>
                    <w:kinsoku/>
                    <w:wordWrap/>
                    <w:overflowPunct/>
                    <w:topLinePunct w:val="0"/>
                    <w:autoSpaceDE/>
                    <w:autoSpaceDN/>
                    <w:bidi w:val="0"/>
                    <w:adjustRightInd w:val="0"/>
                    <w:snapToGrid w:val="0"/>
                    <w:spacing w:after="0"/>
                    <w:ind w:left="0"/>
                    <w:jc w:val="center"/>
                    <w:textAlignment w:val="auto"/>
                    <w:rPr>
                      <w:rFonts w:hint="default" w:ascii="Times New Roman" w:hAnsi="Times New Roman" w:eastAsia="宋体" w:cs="Times New Roman"/>
                      <w:b/>
                      <w:bCs/>
                      <w:color w:val="auto"/>
                      <w:kern w:val="0"/>
                      <w:sz w:val="21"/>
                      <w:szCs w:val="21"/>
                      <w:highlight w:val="none"/>
                      <w:vertAlign w:val="baseline"/>
                    </w:rPr>
                  </w:pPr>
                  <w:r>
                    <w:rPr>
                      <w:rFonts w:hint="default" w:ascii="Times New Roman" w:hAnsi="Times New Roman" w:eastAsia="宋体" w:cs="Times New Roman"/>
                      <w:b w:val="0"/>
                      <w:bCs w:val="0"/>
                      <w:color w:val="auto"/>
                      <w:kern w:val="0"/>
                      <w:sz w:val="21"/>
                      <w:szCs w:val="21"/>
                      <w:highlight w:val="none"/>
                      <w:vertAlign w:val="baseline"/>
                      <w:lang w:val="en-US" w:eastAsia="zh-CN" w:bidi="ar-SA"/>
                    </w:rPr>
                    <w:t>资源利用上线</w:t>
                  </w:r>
                </w:p>
              </w:tc>
              <w:tc>
                <w:tcPr>
                  <w:tcW w:w="4048" w:type="dxa"/>
                  <w:gridSpan w:val="2"/>
                  <w:noWrap w:val="0"/>
                  <w:vAlign w:val="center"/>
                </w:tcPr>
                <w:p w14:paraId="72C17247">
                  <w:pPr>
                    <w:pStyle w:val="61"/>
                    <w:keepNext w:val="0"/>
                    <w:keepLines w:val="0"/>
                    <w:pageBreakBefore w:val="0"/>
                    <w:widowControl w:val="0"/>
                    <w:kinsoku/>
                    <w:wordWrap/>
                    <w:overflowPunct/>
                    <w:topLinePunct w:val="0"/>
                    <w:autoSpaceDE/>
                    <w:autoSpaceDN/>
                    <w:bidi w:val="0"/>
                    <w:adjustRightInd w:val="0"/>
                    <w:snapToGrid w:val="0"/>
                    <w:spacing w:before="0" w:after="0" w:line="240" w:lineRule="auto"/>
                    <w:ind w:left="0" w:right="0"/>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default" w:ascii="Times New Roman" w:hAnsi="Times New Roman" w:eastAsia="宋体" w:cs="Times New Roman"/>
                      <w:b/>
                      <w:bCs/>
                      <w:color w:val="auto"/>
                      <w:kern w:val="0"/>
                      <w:sz w:val="21"/>
                      <w:szCs w:val="21"/>
                      <w:highlight w:val="none"/>
                      <w:vertAlign w:val="baseline"/>
                      <w:lang w:val="en-US" w:eastAsia="zh-CN" w:bidi="ar-SA"/>
                    </w:rPr>
                    <w:t>土地资源管控分区：</w:t>
                  </w:r>
                  <w:r>
                    <w:rPr>
                      <w:rFonts w:hint="default" w:ascii="Times New Roman" w:hAnsi="Times New Roman" w:eastAsia="宋体" w:cs="Times New Roman"/>
                      <w:b w:val="0"/>
                      <w:bCs w:val="0"/>
                      <w:color w:val="auto"/>
                      <w:kern w:val="0"/>
                      <w:sz w:val="21"/>
                      <w:szCs w:val="21"/>
                      <w:highlight w:val="none"/>
                      <w:vertAlign w:val="baseline"/>
                      <w:lang w:val="en-US" w:eastAsia="zh-CN" w:bidi="ar-SA"/>
                    </w:rPr>
                    <w:t>对于土地资源分区，将土地资源划分为优先保护区、重点管控区和一般管控区3类。其中，将生态保护红线和永久基本农田的图层叠加取并集形成优先保护区；将受污染建设用地作为重点管控区；其他区域为一般管控区。博罗县共划定土地资源优先保护区834.505km</w:t>
                  </w:r>
                  <w:r>
                    <w:rPr>
                      <w:rFonts w:hint="default" w:ascii="Times New Roman" w:hAnsi="Times New Roman" w:eastAsia="宋体" w:cs="Times New Roman"/>
                      <w:b w:val="0"/>
                      <w:bCs w:val="0"/>
                      <w:color w:val="auto"/>
                      <w:kern w:val="0"/>
                      <w:sz w:val="21"/>
                      <w:szCs w:val="21"/>
                      <w:highlight w:val="none"/>
                      <w:vertAlign w:val="superscript"/>
                      <w:lang w:val="en-US" w:eastAsia="zh-CN" w:bidi="ar-SA"/>
                    </w:rPr>
                    <w:t>2</w:t>
                  </w:r>
                  <w:r>
                    <w:rPr>
                      <w:rFonts w:hint="default" w:ascii="Times New Roman" w:hAnsi="Times New Roman" w:eastAsia="宋体" w:cs="Times New Roman"/>
                      <w:b w:val="0"/>
                      <w:bCs w:val="0"/>
                      <w:color w:val="auto"/>
                      <w:kern w:val="0"/>
                      <w:sz w:val="21"/>
                      <w:szCs w:val="21"/>
                      <w:highlight w:val="none"/>
                      <w:vertAlign w:val="baseline"/>
                      <w:lang w:val="en-US" w:eastAsia="zh-CN" w:bidi="ar-SA"/>
                    </w:rPr>
                    <w:t>。</w:t>
                  </w:r>
                </w:p>
              </w:tc>
              <w:tc>
                <w:tcPr>
                  <w:tcW w:w="2977" w:type="dxa"/>
                  <w:noWrap w:val="0"/>
                  <w:vAlign w:val="center"/>
                </w:tcPr>
                <w:p w14:paraId="36757175">
                  <w:pPr>
                    <w:keepNext w:val="0"/>
                    <w:keepLines w:val="0"/>
                    <w:pageBreakBefore w:val="0"/>
                    <w:widowControl w:val="0"/>
                    <w:kinsoku/>
                    <w:wordWrap/>
                    <w:overflowPunct/>
                    <w:topLinePunct w:val="0"/>
                    <w:autoSpaceDE/>
                    <w:autoSpaceDN/>
                    <w:bidi w:val="0"/>
                    <w:adjustRightInd w:val="0"/>
                    <w:snapToGrid w:val="0"/>
                    <w:spacing w:after="0"/>
                    <w:ind w:left="0"/>
                    <w:jc w:val="center"/>
                    <w:textAlignment w:val="auto"/>
                    <w:rPr>
                      <w:rFonts w:hint="default" w:ascii="Times New Roman" w:hAnsi="Times New Roman" w:eastAsia="宋体" w:cs="Times New Roman"/>
                      <w:b/>
                      <w:bCs/>
                      <w:color w:val="auto"/>
                      <w:kern w:val="0"/>
                      <w:sz w:val="21"/>
                      <w:szCs w:val="21"/>
                      <w:highlight w:val="none"/>
                      <w:vertAlign w:val="baseline"/>
                    </w:rPr>
                  </w:pPr>
                  <w:r>
                    <w:rPr>
                      <w:rFonts w:hint="default" w:ascii="Times New Roman" w:hAnsi="Times New Roman" w:eastAsia="宋体" w:cs="Times New Roman"/>
                      <w:b w:val="0"/>
                      <w:bCs w:val="0"/>
                      <w:color w:val="auto"/>
                      <w:kern w:val="0"/>
                      <w:sz w:val="21"/>
                      <w:szCs w:val="21"/>
                      <w:highlight w:val="none"/>
                      <w:vertAlign w:val="baseline"/>
                      <w:lang w:val="en-US" w:eastAsia="zh-CN" w:bidi="ar-SA"/>
                    </w:rPr>
                    <w:t>根据附图16，根据博罗县资源利用上线—土地资源优先保护区划定情况，本项目不位于土地资源优先保护区，属于一般管控区。</w:t>
                  </w:r>
                </w:p>
              </w:tc>
              <w:tc>
                <w:tcPr>
                  <w:tcW w:w="397" w:type="dxa"/>
                  <w:vMerge w:val="restart"/>
                  <w:noWrap w:val="0"/>
                  <w:vAlign w:val="center"/>
                </w:tcPr>
                <w:p w14:paraId="55120107">
                  <w:pPr>
                    <w:keepNext w:val="0"/>
                    <w:keepLines w:val="0"/>
                    <w:pageBreakBefore w:val="0"/>
                    <w:widowControl w:val="0"/>
                    <w:kinsoku/>
                    <w:wordWrap/>
                    <w:overflowPunct/>
                    <w:topLinePunct w:val="0"/>
                    <w:autoSpaceDE/>
                    <w:autoSpaceDN/>
                    <w:bidi w:val="0"/>
                    <w:adjustRightInd w:val="0"/>
                    <w:snapToGrid w:val="0"/>
                    <w:spacing w:after="0"/>
                    <w:ind w:left="0"/>
                    <w:jc w:val="center"/>
                    <w:textAlignment w:val="auto"/>
                    <w:rPr>
                      <w:rFonts w:hint="default" w:ascii="Times New Roman" w:hAnsi="Times New Roman" w:eastAsia="宋体" w:cs="Times New Roman"/>
                      <w:b/>
                      <w:bCs/>
                      <w:color w:val="auto"/>
                      <w:kern w:val="0"/>
                      <w:sz w:val="21"/>
                      <w:szCs w:val="21"/>
                      <w:highlight w:val="none"/>
                      <w:vertAlign w:val="baseline"/>
                      <w:lang w:eastAsia="zh-CN"/>
                    </w:rPr>
                  </w:pPr>
                  <w:r>
                    <w:rPr>
                      <w:rFonts w:hint="default" w:ascii="Times New Roman" w:hAnsi="Times New Roman" w:eastAsia="宋体" w:cs="Times New Roman"/>
                      <w:b w:val="0"/>
                      <w:bCs w:val="0"/>
                      <w:color w:val="auto"/>
                      <w:kern w:val="0"/>
                      <w:sz w:val="21"/>
                      <w:szCs w:val="21"/>
                      <w:highlight w:val="none"/>
                      <w:vertAlign w:val="baseline"/>
                      <w:lang w:eastAsia="zh-CN"/>
                    </w:rPr>
                    <w:t>符合</w:t>
                  </w:r>
                </w:p>
              </w:tc>
            </w:tr>
            <w:tr w14:paraId="168C5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396" w:type="dxa"/>
                  <w:vMerge w:val="continue"/>
                  <w:noWrap w:val="0"/>
                  <w:vAlign w:val="center"/>
                </w:tcPr>
                <w:p w14:paraId="6EB94463">
                  <w:pPr>
                    <w:pStyle w:val="61"/>
                    <w:keepNext w:val="0"/>
                    <w:keepLines w:val="0"/>
                    <w:pageBreakBefore w:val="0"/>
                    <w:widowControl w:val="0"/>
                    <w:kinsoku/>
                    <w:wordWrap/>
                    <w:overflowPunct/>
                    <w:topLinePunct w:val="0"/>
                    <w:autoSpaceDE/>
                    <w:autoSpaceDN/>
                    <w:bidi w:val="0"/>
                    <w:adjustRightInd w:val="0"/>
                    <w:snapToGrid w:val="0"/>
                    <w:spacing w:before="0" w:after="0" w:line="240" w:lineRule="auto"/>
                    <w:ind w:left="0" w:right="0"/>
                    <w:textAlignment w:val="auto"/>
                    <w:rPr>
                      <w:rFonts w:hint="default" w:ascii="Times New Roman" w:hAnsi="Times New Roman" w:eastAsia="宋体" w:cs="Times New Roman"/>
                      <w:color w:val="auto"/>
                      <w:highlight w:val="none"/>
                    </w:rPr>
                  </w:pPr>
                </w:p>
              </w:tc>
              <w:tc>
                <w:tcPr>
                  <w:tcW w:w="4048" w:type="dxa"/>
                  <w:gridSpan w:val="2"/>
                  <w:noWrap w:val="0"/>
                  <w:vAlign w:val="center"/>
                </w:tcPr>
                <w:p w14:paraId="02EC9784">
                  <w:pPr>
                    <w:pStyle w:val="61"/>
                    <w:keepNext w:val="0"/>
                    <w:keepLines w:val="0"/>
                    <w:pageBreakBefore w:val="0"/>
                    <w:widowControl w:val="0"/>
                    <w:kinsoku/>
                    <w:wordWrap/>
                    <w:overflowPunct/>
                    <w:topLinePunct w:val="0"/>
                    <w:autoSpaceDE/>
                    <w:autoSpaceDN/>
                    <w:bidi w:val="0"/>
                    <w:adjustRightInd w:val="0"/>
                    <w:snapToGrid w:val="0"/>
                    <w:spacing w:before="0" w:after="0" w:line="240" w:lineRule="auto"/>
                    <w:ind w:left="0" w:right="0"/>
                    <w:jc w:val="both"/>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default" w:ascii="Times New Roman" w:hAnsi="Times New Roman" w:eastAsia="宋体" w:cs="Times New Roman"/>
                      <w:b/>
                      <w:bCs/>
                      <w:color w:val="auto"/>
                      <w:kern w:val="0"/>
                      <w:sz w:val="21"/>
                      <w:szCs w:val="21"/>
                      <w:highlight w:val="none"/>
                      <w:vertAlign w:val="baseline"/>
                      <w:lang w:val="en-US" w:eastAsia="zh-CN" w:bidi="ar-SA"/>
                    </w:rPr>
                    <w:t>能源（煤炭）管控分区：</w:t>
                  </w:r>
                  <w:r>
                    <w:rPr>
                      <w:rFonts w:hint="default" w:ascii="Times New Roman" w:hAnsi="Times New Roman" w:eastAsia="宋体" w:cs="Times New Roman"/>
                      <w:b w:val="0"/>
                      <w:bCs w:val="0"/>
                      <w:color w:val="auto"/>
                      <w:kern w:val="0"/>
                      <w:sz w:val="21"/>
                      <w:szCs w:val="21"/>
                      <w:highlight w:val="none"/>
                      <w:vertAlign w:val="baseline"/>
                      <w:lang w:val="en-US" w:eastAsia="zh-CN" w:bidi="ar-SA"/>
                    </w:rPr>
                    <w:t>将《惠州市人民政府关于重新划定惠州市高污染燃料禁燃区的通告》（惠府〔2018〕2号）文件中Ⅲ类管控燃料控制区划入高污染燃料禁燃区，作为能源（煤炭）利用的重点管控区，总面积394.927km</w:t>
                  </w:r>
                  <w:r>
                    <w:rPr>
                      <w:rFonts w:hint="default" w:ascii="Times New Roman" w:hAnsi="Times New Roman" w:eastAsia="宋体" w:cs="Times New Roman"/>
                      <w:b w:val="0"/>
                      <w:bCs w:val="0"/>
                      <w:color w:val="auto"/>
                      <w:kern w:val="0"/>
                      <w:sz w:val="21"/>
                      <w:szCs w:val="21"/>
                      <w:highlight w:val="none"/>
                      <w:vertAlign w:val="superscript"/>
                      <w:lang w:val="en-US" w:eastAsia="zh-CN" w:bidi="ar-SA"/>
                    </w:rPr>
                    <w:t>2</w:t>
                  </w:r>
                  <w:r>
                    <w:rPr>
                      <w:rFonts w:hint="default" w:ascii="Times New Roman" w:hAnsi="Times New Roman" w:eastAsia="宋体" w:cs="Times New Roman"/>
                      <w:b w:val="0"/>
                      <w:bCs w:val="0"/>
                      <w:color w:val="auto"/>
                      <w:kern w:val="0"/>
                      <w:sz w:val="21"/>
                      <w:szCs w:val="21"/>
                      <w:highlight w:val="none"/>
                      <w:vertAlign w:val="baseline"/>
                      <w:lang w:val="en-US" w:eastAsia="zh-CN" w:bidi="ar-SA"/>
                    </w:rPr>
                    <w:t>。</w:t>
                  </w:r>
                </w:p>
              </w:tc>
              <w:tc>
                <w:tcPr>
                  <w:tcW w:w="2977" w:type="dxa"/>
                  <w:noWrap w:val="0"/>
                  <w:vAlign w:val="center"/>
                </w:tcPr>
                <w:p w14:paraId="1530A02B">
                  <w:pPr>
                    <w:pStyle w:val="61"/>
                    <w:keepNext w:val="0"/>
                    <w:keepLines w:val="0"/>
                    <w:pageBreakBefore w:val="0"/>
                    <w:widowControl w:val="0"/>
                    <w:kinsoku/>
                    <w:wordWrap/>
                    <w:overflowPunct/>
                    <w:topLinePunct w:val="0"/>
                    <w:autoSpaceDE/>
                    <w:autoSpaceDN/>
                    <w:bidi w:val="0"/>
                    <w:adjustRightInd w:val="0"/>
                    <w:snapToGrid w:val="0"/>
                    <w:spacing w:before="0" w:after="0" w:line="240" w:lineRule="auto"/>
                    <w:ind w:left="0" w:right="0"/>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vertAlign w:val="baseline"/>
                      <w:lang w:val="en-US" w:eastAsia="zh-CN" w:bidi="ar-SA"/>
                    </w:rPr>
                    <w:t>根据附图17，</w:t>
                  </w:r>
                  <w:r>
                    <w:rPr>
                      <w:rFonts w:hint="default" w:ascii="Times New Roman" w:hAnsi="Times New Roman" w:eastAsia="宋体" w:cs="Times New Roman"/>
                      <w:b w:val="0"/>
                      <w:bCs w:val="0"/>
                      <w:color w:val="auto"/>
                      <w:sz w:val="21"/>
                      <w:szCs w:val="21"/>
                      <w:highlight w:val="none"/>
                      <w:lang w:val="en-US" w:eastAsia="zh-CN"/>
                    </w:rPr>
                    <w:t>本项目</w:t>
                  </w:r>
                  <w:r>
                    <w:rPr>
                      <w:rFonts w:hint="default" w:ascii="Times New Roman" w:hAnsi="Times New Roman" w:eastAsia="宋体" w:cs="Times New Roman"/>
                      <w:b w:val="0"/>
                      <w:bCs w:val="0"/>
                      <w:color w:val="auto"/>
                      <w:kern w:val="0"/>
                      <w:sz w:val="21"/>
                      <w:szCs w:val="21"/>
                      <w:highlight w:val="none"/>
                      <w:vertAlign w:val="baseline"/>
                      <w:lang w:val="en-US" w:eastAsia="zh-CN" w:bidi="ar-SA"/>
                    </w:rPr>
                    <w:t>不位于博罗县高污染燃料禁燃区。项目使用电能及管道天然气能源，不使用高污染燃料。</w:t>
                  </w:r>
                </w:p>
              </w:tc>
              <w:tc>
                <w:tcPr>
                  <w:tcW w:w="397" w:type="dxa"/>
                  <w:vMerge w:val="continue"/>
                  <w:noWrap w:val="0"/>
                  <w:vAlign w:val="center"/>
                </w:tcPr>
                <w:p w14:paraId="240EBE5D">
                  <w:pPr>
                    <w:pStyle w:val="61"/>
                    <w:keepNext w:val="0"/>
                    <w:keepLines w:val="0"/>
                    <w:pageBreakBefore w:val="0"/>
                    <w:widowControl w:val="0"/>
                    <w:kinsoku/>
                    <w:wordWrap/>
                    <w:overflowPunct/>
                    <w:topLinePunct w:val="0"/>
                    <w:autoSpaceDE/>
                    <w:autoSpaceDN/>
                    <w:bidi w:val="0"/>
                    <w:adjustRightInd w:val="0"/>
                    <w:snapToGrid w:val="0"/>
                    <w:spacing w:before="0" w:after="0" w:line="240" w:lineRule="auto"/>
                    <w:ind w:left="0" w:right="0"/>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p>
              </w:tc>
            </w:tr>
            <w:tr w14:paraId="6BF9C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0" w:hRule="atLeast"/>
                <w:jc w:val="center"/>
              </w:trPr>
              <w:tc>
                <w:tcPr>
                  <w:tcW w:w="396" w:type="dxa"/>
                  <w:vMerge w:val="continue"/>
                  <w:noWrap w:val="0"/>
                  <w:vAlign w:val="center"/>
                </w:tcPr>
                <w:p w14:paraId="664A0EB8">
                  <w:pPr>
                    <w:pStyle w:val="61"/>
                    <w:keepNext w:val="0"/>
                    <w:keepLines w:val="0"/>
                    <w:pageBreakBefore w:val="0"/>
                    <w:widowControl w:val="0"/>
                    <w:kinsoku/>
                    <w:wordWrap/>
                    <w:overflowPunct/>
                    <w:topLinePunct w:val="0"/>
                    <w:autoSpaceDE/>
                    <w:autoSpaceDN/>
                    <w:bidi w:val="0"/>
                    <w:adjustRightInd w:val="0"/>
                    <w:snapToGrid w:val="0"/>
                    <w:spacing w:before="0" w:after="0" w:line="240" w:lineRule="auto"/>
                    <w:ind w:left="0" w:right="0"/>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p>
              </w:tc>
              <w:tc>
                <w:tcPr>
                  <w:tcW w:w="4048" w:type="dxa"/>
                  <w:gridSpan w:val="2"/>
                  <w:noWrap w:val="0"/>
                  <w:vAlign w:val="center"/>
                </w:tcPr>
                <w:p w14:paraId="2C082AD1">
                  <w:pPr>
                    <w:pStyle w:val="61"/>
                    <w:keepNext w:val="0"/>
                    <w:keepLines w:val="0"/>
                    <w:pageBreakBefore w:val="0"/>
                    <w:widowControl w:val="0"/>
                    <w:kinsoku/>
                    <w:wordWrap/>
                    <w:overflowPunct/>
                    <w:topLinePunct w:val="0"/>
                    <w:autoSpaceDE/>
                    <w:autoSpaceDN/>
                    <w:bidi w:val="0"/>
                    <w:adjustRightInd w:val="0"/>
                    <w:snapToGrid w:val="0"/>
                    <w:spacing w:before="0" w:after="0" w:line="240" w:lineRule="auto"/>
                    <w:ind w:left="0" w:right="0"/>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default" w:ascii="Times New Roman" w:hAnsi="Times New Roman" w:eastAsia="宋体" w:cs="Times New Roman"/>
                      <w:b/>
                      <w:bCs/>
                      <w:color w:val="auto"/>
                      <w:kern w:val="0"/>
                      <w:sz w:val="21"/>
                      <w:szCs w:val="21"/>
                      <w:highlight w:val="none"/>
                      <w:vertAlign w:val="baseline"/>
                      <w:lang w:val="en-US" w:eastAsia="zh-CN" w:bidi="ar-SA"/>
                    </w:rPr>
                    <w:t>矿产资源管控分区：</w:t>
                  </w:r>
                  <w:r>
                    <w:rPr>
                      <w:rFonts w:hint="default" w:ascii="Times New Roman" w:hAnsi="Times New Roman" w:eastAsia="宋体" w:cs="Times New Roman"/>
                      <w:b w:val="0"/>
                      <w:bCs w:val="0"/>
                      <w:color w:val="auto"/>
                      <w:kern w:val="0"/>
                      <w:sz w:val="21"/>
                      <w:szCs w:val="21"/>
                      <w:highlight w:val="none"/>
                      <w:vertAlign w:val="baseline"/>
                      <w:lang w:val="en-US" w:eastAsia="zh-CN" w:bidi="ar-SA"/>
                    </w:rPr>
                    <w:t>对于矿产资源管控分区，衔接省市矿产资源总体规划中勘查及开采规划分区，划分优先保护区、重点管控区和一般管控区3类分区。其中，将生态保护红线和县级以上禁止开发区域叠加形成矿产资源开采敏感区，作为优先保护区；将重点勘查区中的连片山区（结合地类斑块进行边界落地）和重点矿区作为重点管控区；其他区域为一般管控区。博罗县划定为优先保护区和一般管控区2类，其中优先保护区面积为633.776km</w:t>
                  </w:r>
                  <w:r>
                    <w:rPr>
                      <w:rFonts w:hint="default" w:ascii="Times New Roman" w:hAnsi="Times New Roman" w:eastAsia="宋体" w:cs="Times New Roman"/>
                      <w:b w:val="0"/>
                      <w:bCs w:val="0"/>
                      <w:color w:val="auto"/>
                      <w:kern w:val="0"/>
                      <w:sz w:val="21"/>
                      <w:szCs w:val="21"/>
                      <w:highlight w:val="none"/>
                      <w:vertAlign w:val="superscript"/>
                      <w:lang w:val="en-US" w:eastAsia="zh-CN" w:bidi="ar-SA"/>
                    </w:rPr>
                    <w:t>2</w:t>
                  </w:r>
                  <w:r>
                    <w:rPr>
                      <w:rFonts w:hint="default" w:ascii="Times New Roman" w:hAnsi="Times New Roman" w:eastAsia="宋体" w:cs="Times New Roman"/>
                      <w:b w:val="0"/>
                      <w:bCs w:val="0"/>
                      <w:color w:val="auto"/>
                      <w:kern w:val="0"/>
                      <w:sz w:val="21"/>
                      <w:szCs w:val="21"/>
                      <w:highlight w:val="none"/>
                      <w:vertAlign w:val="baseline"/>
                      <w:lang w:val="en-US" w:eastAsia="zh-CN" w:bidi="ar-SA"/>
                    </w:rPr>
                    <w:t>。</w:t>
                  </w:r>
                </w:p>
              </w:tc>
              <w:tc>
                <w:tcPr>
                  <w:tcW w:w="2977" w:type="dxa"/>
                  <w:noWrap w:val="0"/>
                  <w:vAlign w:val="center"/>
                </w:tcPr>
                <w:p w14:paraId="36CB1BC4">
                  <w:pPr>
                    <w:pStyle w:val="61"/>
                    <w:keepNext w:val="0"/>
                    <w:keepLines w:val="0"/>
                    <w:pageBreakBefore w:val="0"/>
                    <w:widowControl w:val="0"/>
                    <w:kinsoku/>
                    <w:wordWrap/>
                    <w:overflowPunct/>
                    <w:topLinePunct w:val="0"/>
                    <w:autoSpaceDE/>
                    <w:autoSpaceDN/>
                    <w:bidi w:val="0"/>
                    <w:adjustRightInd w:val="0"/>
                    <w:snapToGrid w:val="0"/>
                    <w:spacing w:before="0" w:after="0" w:line="240" w:lineRule="auto"/>
                    <w:ind w:left="0" w:right="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vertAlign w:val="baseline"/>
                      <w:lang w:val="en-US" w:eastAsia="zh-CN" w:bidi="ar-SA"/>
                    </w:rPr>
                    <w:t>根据附图19，本项目不位于矿产资源开采敏感区，属于一般管控区。</w:t>
                  </w:r>
                </w:p>
              </w:tc>
              <w:tc>
                <w:tcPr>
                  <w:tcW w:w="397" w:type="dxa"/>
                  <w:vMerge w:val="continue"/>
                  <w:noWrap w:val="0"/>
                  <w:vAlign w:val="center"/>
                </w:tcPr>
                <w:p w14:paraId="29CFD02F">
                  <w:pPr>
                    <w:pStyle w:val="61"/>
                    <w:keepNext w:val="0"/>
                    <w:keepLines w:val="0"/>
                    <w:pageBreakBefore w:val="0"/>
                    <w:widowControl w:val="0"/>
                    <w:kinsoku/>
                    <w:wordWrap/>
                    <w:overflowPunct/>
                    <w:topLinePunct w:val="0"/>
                    <w:autoSpaceDE/>
                    <w:autoSpaceDN/>
                    <w:bidi w:val="0"/>
                    <w:adjustRightInd w:val="0"/>
                    <w:snapToGrid w:val="0"/>
                    <w:spacing w:before="0" w:after="0" w:line="240" w:lineRule="auto"/>
                    <w:ind w:left="0" w:right="0"/>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p>
              </w:tc>
            </w:tr>
            <w:tr w14:paraId="6FA88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7818" w:type="dxa"/>
                  <w:gridSpan w:val="5"/>
                  <w:noWrap w:val="0"/>
                  <w:vAlign w:val="center"/>
                </w:tcPr>
                <w:p w14:paraId="618B5F17">
                  <w:pPr>
                    <w:keepNext w:val="0"/>
                    <w:keepLines w:val="0"/>
                    <w:pageBreakBefore w:val="0"/>
                    <w:widowControl w:val="0"/>
                    <w:kinsoku/>
                    <w:wordWrap/>
                    <w:overflowPunct/>
                    <w:topLinePunct w:val="0"/>
                    <w:autoSpaceDE/>
                    <w:autoSpaceDN/>
                    <w:bidi w:val="0"/>
                    <w:adjustRightInd w:val="0"/>
                    <w:snapToGrid w:val="0"/>
                    <w:spacing w:after="0"/>
                    <w:ind w:left="0"/>
                    <w:jc w:val="center"/>
                    <w:textAlignment w:val="auto"/>
                    <w:rPr>
                      <w:rFonts w:hint="default" w:ascii="Times New Roman" w:hAnsi="Times New Roman" w:eastAsia="宋体" w:cs="Times New Roman"/>
                      <w:b/>
                      <w:bCs/>
                      <w:color w:val="auto"/>
                      <w:kern w:val="0"/>
                      <w:sz w:val="21"/>
                      <w:szCs w:val="21"/>
                      <w:highlight w:val="none"/>
                      <w:vertAlign w:val="baseline"/>
                      <w:lang w:eastAsia="zh-CN"/>
                    </w:rPr>
                  </w:pPr>
                  <w:r>
                    <w:rPr>
                      <w:rFonts w:hint="default" w:ascii="Times New Roman" w:hAnsi="Times New Roman" w:cs="Times New Roman"/>
                      <w:b/>
                      <w:bCs/>
                      <w:color w:val="auto"/>
                      <w:highlight w:val="none"/>
                    </w:rPr>
                    <w:t>与博罗东江干流重点管控单元(ZH44132220002）生态环境准入清单相符性分析</w:t>
                  </w:r>
                </w:p>
              </w:tc>
            </w:tr>
            <w:tr w14:paraId="29265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4444" w:type="dxa"/>
                  <w:gridSpan w:val="3"/>
                  <w:noWrap w:val="0"/>
                  <w:vAlign w:val="center"/>
                </w:tcPr>
                <w:p w14:paraId="15142F6A">
                  <w:pPr>
                    <w:keepNext w:val="0"/>
                    <w:keepLines w:val="0"/>
                    <w:pageBreakBefore w:val="0"/>
                    <w:widowControl w:val="0"/>
                    <w:kinsoku/>
                    <w:wordWrap/>
                    <w:overflowPunct/>
                    <w:topLinePunct w:val="0"/>
                    <w:autoSpaceDE/>
                    <w:autoSpaceDN/>
                    <w:bidi w:val="0"/>
                    <w:adjustRightInd w:val="0"/>
                    <w:snapToGrid w:val="0"/>
                    <w:spacing w:after="0"/>
                    <w:ind w:left="0"/>
                    <w:jc w:val="center"/>
                    <w:textAlignment w:val="auto"/>
                    <w:rPr>
                      <w:rFonts w:hint="default" w:ascii="Times New Roman" w:hAnsi="Times New Roman" w:eastAsia="宋体" w:cs="Times New Roman"/>
                      <w:b/>
                      <w:bCs/>
                      <w:color w:val="auto"/>
                      <w:kern w:val="0"/>
                      <w:sz w:val="21"/>
                      <w:szCs w:val="21"/>
                      <w:highlight w:val="none"/>
                      <w:vertAlign w:val="baseline"/>
                      <w:lang w:val="en-US" w:eastAsia="zh-CN"/>
                    </w:rPr>
                  </w:pPr>
                  <w:r>
                    <w:rPr>
                      <w:rFonts w:hint="default" w:ascii="Times New Roman" w:hAnsi="Times New Roman" w:eastAsia="宋体" w:cs="Times New Roman"/>
                      <w:b/>
                      <w:bCs/>
                      <w:color w:val="auto"/>
                      <w:sz w:val="21"/>
                      <w:highlight w:val="none"/>
                      <w:lang w:eastAsia="zh-CN"/>
                    </w:rPr>
                    <w:t>文件内容</w:t>
                  </w:r>
                </w:p>
              </w:tc>
              <w:tc>
                <w:tcPr>
                  <w:tcW w:w="2977" w:type="dxa"/>
                  <w:noWrap w:val="0"/>
                  <w:vAlign w:val="center"/>
                </w:tcPr>
                <w:p w14:paraId="1FA595F6">
                  <w:pPr>
                    <w:keepNext w:val="0"/>
                    <w:keepLines w:val="0"/>
                    <w:pageBreakBefore w:val="0"/>
                    <w:widowControl w:val="0"/>
                    <w:kinsoku/>
                    <w:wordWrap/>
                    <w:overflowPunct/>
                    <w:topLinePunct w:val="0"/>
                    <w:autoSpaceDE/>
                    <w:autoSpaceDN/>
                    <w:bidi w:val="0"/>
                    <w:adjustRightInd w:val="0"/>
                    <w:snapToGrid w:val="0"/>
                    <w:spacing w:after="0"/>
                    <w:ind w:left="0"/>
                    <w:jc w:val="center"/>
                    <w:textAlignment w:val="auto"/>
                    <w:rPr>
                      <w:rFonts w:hint="default" w:ascii="Times New Roman" w:hAnsi="Times New Roman" w:eastAsia="宋体" w:cs="Times New Roman"/>
                      <w:b/>
                      <w:bCs/>
                      <w:color w:val="auto"/>
                      <w:kern w:val="0"/>
                      <w:sz w:val="21"/>
                      <w:szCs w:val="21"/>
                      <w:highlight w:val="none"/>
                      <w:vertAlign w:val="baseline"/>
                      <w:lang w:val="en-US" w:eastAsia="zh-CN"/>
                    </w:rPr>
                  </w:pPr>
                  <w:r>
                    <w:rPr>
                      <w:rFonts w:hint="default" w:ascii="Times New Roman" w:hAnsi="Times New Roman" w:eastAsia="宋体" w:cs="Times New Roman"/>
                      <w:b/>
                      <w:bCs/>
                      <w:color w:val="auto"/>
                      <w:kern w:val="0"/>
                      <w:sz w:val="21"/>
                      <w:szCs w:val="21"/>
                      <w:highlight w:val="none"/>
                      <w:vertAlign w:val="baseline"/>
                      <w:lang w:val="en-US" w:eastAsia="zh-CN"/>
                    </w:rPr>
                    <w:t>本项目情况</w:t>
                  </w:r>
                </w:p>
              </w:tc>
              <w:tc>
                <w:tcPr>
                  <w:tcW w:w="397" w:type="dxa"/>
                  <w:noWrap w:val="0"/>
                  <w:vAlign w:val="center"/>
                </w:tcPr>
                <w:p w14:paraId="69969372">
                  <w:pPr>
                    <w:keepNext w:val="0"/>
                    <w:keepLines w:val="0"/>
                    <w:pageBreakBefore w:val="0"/>
                    <w:widowControl w:val="0"/>
                    <w:kinsoku/>
                    <w:wordWrap/>
                    <w:overflowPunct/>
                    <w:topLinePunct w:val="0"/>
                    <w:autoSpaceDE/>
                    <w:autoSpaceDN/>
                    <w:bidi w:val="0"/>
                    <w:adjustRightInd w:val="0"/>
                    <w:snapToGrid w:val="0"/>
                    <w:spacing w:after="0"/>
                    <w:ind w:left="0"/>
                    <w:jc w:val="center"/>
                    <w:textAlignment w:val="auto"/>
                    <w:rPr>
                      <w:rFonts w:hint="default" w:ascii="Times New Roman" w:hAnsi="Times New Roman" w:eastAsia="宋体" w:cs="Times New Roman"/>
                      <w:b/>
                      <w:bCs/>
                      <w:color w:val="auto"/>
                      <w:kern w:val="0"/>
                      <w:sz w:val="21"/>
                      <w:szCs w:val="21"/>
                      <w:highlight w:val="none"/>
                      <w:vertAlign w:val="baseline"/>
                      <w:lang w:val="en-US" w:eastAsia="zh-CN"/>
                    </w:rPr>
                  </w:pPr>
                  <w:r>
                    <w:rPr>
                      <w:rFonts w:hint="default" w:ascii="Times New Roman" w:hAnsi="Times New Roman" w:eastAsia="宋体" w:cs="Times New Roman"/>
                      <w:b/>
                      <w:bCs/>
                      <w:color w:val="auto"/>
                      <w:kern w:val="0"/>
                      <w:sz w:val="21"/>
                      <w:szCs w:val="21"/>
                      <w:highlight w:val="none"/>
                      <w:vertAlign w:val="baseline"/>
                      <w:lang w:val="en-US" w:eastAsia="zh-CN"/>
                    </w:rPr>
                    <w:t>相符性</w:t>
                  </w:r>
                </w:p>
              </w:tc>
            </w:tr>
            <w:tr w14:paraId="01145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6" w:type="dxa"/>
                  <w:noWrap w:val="0"/>
                  <w:vAlign w:val="center"/>
                </w:tcPr>
                <w:p w14:paraId="4D0BC2D3">
                  <w:pPr>
                    <w:keepNext w:val="0"/>
                    <w:keepLines w:val="0"/>
                    <w:pageBreakBefore w:val="0"/>
                    <w:widowControl w:val="0"/>
                    <w:kinsoku/>
                    <w:wordWrap/>
                    <w:overflowPunct/>
                    <w:topLinePunct w:val="0"/>
                    <w:autoSpaceDE/>
                    <w:autoSpaceDN/>
                    <w:bidi w:val="0"/>
                    <w:adjustRightInd w:val="0"/>
                    <w:snapToGrid w:val="0"/>
                    <w:spacing w:after="0"/>
                    <w:ind w:left="0"/>
                    <w:jc w:val="center"/>
                    <w:textAlignment w:val="auto"/>
                    <w:rPr>
                      <w:rFonts w:hint="default" w:ascii="Times New Roman" w:hAnsi="Times New Roman" w:eastAsia="宋体" w:cs="Times New Roman"/>
                      <w:b/>
                      <w:bCs/>
                      <w:color w:val="auto"/>
                      <w:kern w:val="0"/>
                      <w:sz w:val="21"/>
                      <w:szCs w:val="21"/>
                      <w:highlight w:val="none"/>
                      <w:vertAlign w:val="baseline"/>
                      <w:lang w:eastAsia="zh-CN"/>
                    </w:rPr>
                  </w:pPr>
                  <w:r>
                    <w:rPr>
                      <w:rFonts w:hint="default" w:ascii="Times New Roman" w:hAnsi="Times New Roman" w:eastAsia="宋体" w:cs="Times New Roman"/>
                      <w:b/>
                      <w:bCs/>
                      <w:color w:val="auto"/>
                      <w:kern w:val="0"/>
                      <w:sz w:val="21"/>
                      <w:szCs w:val="21"/>
                      <w:highlight w:val="none"/>
                      <w:vertAlign w:val="baseline"/>
                      <w:lang w:eastAsia="zh-CN"/>
                    </w:rPr>
                    <w:t>区域布局管控</w:t>
                  </w:r>
                </w:p>
              </w:tc>
              <w:tc>
                <w:tcPr>
                  <w:tcW w:w="4048" w:type="dxa"/>
                  <w:gridSpan w:val="2"/>
                  <w:noWrap w:val="0"/>
                  <w:vAlign w:val="center"/>
                </w:tcPr>
                <w:p w14:paraId="16FFF4D8">
                  <w:pPr>
                    <w:adjustRightInd w:val="0"/>
                    <w:snapToGrid w:val="0"/>
                    <w:rPr>
                      <w:rFonts w:hint="default" w:ascii="Times New Roman" w:hAnsi="Times New Roman" w:cs="Times New Roman"/>
                      <w:color w:val="auto"/>
                      <w:highlight w:val="none"/>
                    </w:rPr>
                  </w:pPr>
                  <w:r>
                    <w:rPr>
                      <w:rFonts w:hint="default" w:ascii="Times New Roman" w:hAnsi="Times New Roman" w:cs="Times New Roman"/>
                      <w:color w:val="auto"/>
                      <w:highlight w:val="none"/>
                    </w:rPr>
                    <w:t>1-1.【产业/鼓励引导类】饮用水水源保护区外的区域，重点发展先进制造业、高新技术产业、生态旅游等产业。</w:t>
                  </w:r>
                </w:p>
                <w:p w14:paraId="1CF73B6D">
                  <w:pPr>
                    <w:adjustRightInd w:val="0"/>
                    <w:snapToGrid w:val="0"/>
                    <w:rPr>
                      <w:rFonts w:hint="default" w:ascii="Times New Roman" w:hAnsi="Times New Roman" w:cs="Times New Roman"/>
                      <w:color w:val="auto"/>
                      <w:highlight w:val="none"/>
                    </w:rPr>
                  </w:pPr>
                  <w:r>
                    <w:rPr>
                      <w:rFonts w:hint="default" w:ascii="Times New Roman" w:hAnsi="Times New Roman" w:cs="Times New Roman"/>
                      <w:color w:val="auto"/>
                      <w:highlight w:val="none"/>
                    </w:rPr>
                    <w:t>1-2.【产业/禁止类】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p w14:paraId="3FBB93B5">
                  <w:pPr>
                    <w:adjustRightInd w:val="0"/>
                    <w:snapToGrid w:val="0"/>
                    <w:rPr>
                      <w:rFonts w:hint="default" w:ascii="Times New Roman" w:hAnsi="Times New Roman" w:cs="Times New Roman"/>
                      <w:color w:val="auto"/>
                      <w:highlight w:val="none"/>
                    </w:rPr>
                  </w:pPr>
                  <w:r>
                    <w:rPr>
                      <w:rFonts w:hint="default" w:ascii="Times New Roman" w:hAnsi="Times New Roman" w:cs="Times New Roman"/>
                      <w:color w:val="auto"/>
                      <w:highlight w:val="none"/>
                    </w:rPr>
                    <w:t>1-3.【产业/限制类】严格限制化工、包装印刷、工业涂装等高VOCs排放建设项目。</w:t>
                  </w:r>
                </w:p>
                <w:p w14:paraId="13D5A3F6">
                  <w:pPr>
                    <w:adjustRightInd w:val="0"/>
                    <w:snapToGrid w:val="0"/>
                    <w:rPr>
                      <w:rFonts w:hint="default" w:ascii="Times New Roman" w:hAnsi="Times New Roman" w:cs="Times New Roman"/>
                      <w:color w:val="auto"/>
                      <w:highlight w:val="none"/>
                    </w:rPr>
                  </w:pPr>
                  <w:r>
                    <w:rPr>
                      <w:rFonts w:hint="default" w:ascii="Times New Roman" w:hAnsi="Times New Roman" w:cs="Times New Roman"/>
                      <w:color w:val="auto"/>
                      <w:highlight w:val="none"/>
                    </w:rPr>
                    <w:t>1-4.【生态/禁止类】生态保护红线执行《关于在国土空间规划中统筹划定落实三条控制线的指导意见》中的准入要求，红线内自然保护地核心保护区原则上禁止人为活动，其他区域严格禁止开发性、生产性建设活动，在符合现行法律法规前提下，除国家重大战略项目外，仅允许对生态功能不造成破坏的有限人为活动。</w:t>
                  </w:r>
                </w:p>
                <w:p w14:paraId="5FB119A1">
                  <w:pPr>
                    <w:adjustRightInd w:val="0"/>
                    <w:snapToGrid w:val="0"/>
                    <w:rPr>
                      <w:rFonts w:hint="default" w:ascii="Times New Roman" w:hAnsi="Times New Roman" w:cs="Times New Roman"/>
                      <w:color w:val="auto"/>
                      <w:highlight w:val="none"/>
                    </w:rPr>
                  </w:pPr>
                  <w:r>
                    <w:rPr>
                      <w:rFonts w:hint="default" w:ascii="Times New Roman" w:hAnsi="Times New Roman" w:cs="Times New Roman"/>
                      <w:color w:val="auto"/>
                      <w:highlight w:val="none"/>
                    </w:rPr>
                    <w:t>1-5.【生态/限制类】一般生态空间内可开展生态保护红线内允许的活动，在不影响主导生态功能的前提下，还可开展国家和省规定不纳入环评管理的项目建设，以及生态旅游、基础设施建设、村庄建设等人为活动。</w:t>
                  </w:r>
                </w:p>
                <w:p w14:paraId="53D26D85">
                  <w:pPr>
                    <w:adjustRightInd w:val="0"/>
                    <w:snapToGrid w:val="0"/>
                    <w:rPr>
                      <w:rFonts w:hint="default" w:ascii="Times New Roman" w:hAnsi="Times New Roman" w:cs="Times New Roman"/>
                      <w:color w:val="auto"/>
                      <w:highlight w:val="none"/>
                    </w:rPr>
                  </w:pPr>
                  <w:r>
                    <w:rPr>
                      <w:rFonts w:hint="default" w:ascii="Times New Roman" w:hAnsi="Times New Roman" w:cs="Times New Roman"/>
                      <w:color w:val="auto"/>
                      <w:highlight w:val="none"/>
                    </w:rPr>
                    <w:t>1-6.【水/禁止类】饮用水水源保护区涉及罗阳镇东江饮用水水源保护区、潼湖镇东江饮用水水源保护区、龙溪镇东江饮用水水源保护区、东江龙溪新围村饮用水水源保护区、东江龙溪陈屋村饮用水水源保护区，饮用水水源保护区按照《广东省水污染防治条例》“第五章 饮用水水源保护和流域特别规定”进行管理。一级保护区内禁止新建、改建、扩建与供水设施和保护水源无关的建设项目；已建成的与供水设施和保护水源无关的建设项目须拆除或者关闭。二级保护区内禁止新建、改建、扩建排放污染物的建设项目；已建成的排放污染物的建设项目须责令拆除或者关闭；不排放污染物的建设项目，除与供水设施和保护水源有关的外，应当尽量避让饮用水水源二级保护区；经组织论证确实无法避让的，应当依法严格审批。</w:t>
                  </w:r>
                </w:p>
                <w:p w14:paraId="13EE7E3D">
                  <w:pPr>
                    <w:adjustRightInd w:val="0"/>
                    <w:snapToGrid w:val="0"/>
                    <w:rPr>
                      <w:rFonts w:hint="default" w:ascii="Times New Roman" w:hAnsi="Times New Roman" w:cs="Times New Roman"/>
                      <w:color w:val="auto"/>
                      <w:highlight w:val="none"/>
                    </w:rPr>
                  </w:pPr>
                  <w:r>
                    <w:rPr>
                      <w:rFonts w:hint="default" w:ascii="Times New Roman" w:hAnsi="Times New Roman" w:cs="Times New Roman"/>
                      <w:color w:val="auto"/>
                      <w:highlight w:val="none"/>
                    </w:rPr>
                    <w:t>1-7.【水/禁止类】禁止在东江干流两岸最高水位线外延五百米范围内新建废弃物堆放场和处理场。已有的堆放场和处理场需采取有效的防治污染措施，危及水体水质安全的，由县级以上人民政府责令限期搬迁。</w:t>
                  </w:r>
                </w:p>
                <w:p w14:paraId="4EDCEA8D">
                  <w:pPr>
                    <w:adjustRightInd w:val="0"/>
                    <w:snapToGrid w:val="0"/>
                    <w:rPr>
                      <w:rFonts w:hint="default" w:ascii="Times New Roman" w:hAnsi="Times New Roman" w:cs="Times New Roman"/>
                      <w:color w:val="auto"/>
                      <w:highlight w:val="none"/>
                    </w:rPr>
                  </w:pPr>
                  <w:r>
                    <w:rPr>
                      <w:rFonts w:hint="default" w:ascii="Times New Roman" w:hAnsi="Times New Roman" w:cs="Times New Roman"/>
                      <w:color w:val="auto"/>
                      <w:highlight w:val="none"/>
                    </w:rPr>
                    <w:t>1-8.【水/禁止类】畜禽禁养区内不得从事畜禽养殖业。</w:t>
                  </w:r>
                </w:p>
                <w:p w14:paraId="5C72BE9C">
                  <w:pPr>
                    <w:adjustRightInd w:val="0"/>
                    <w:snapToGrid w:val="0"/>
                    <w:rPr>
                      <w:rFonts w:hint="default" w:ascii="Times New Roman" w:hAnsi="Times New Roman" w:cs="Times New Roman"/>
                      <w:color w:val="auto"/>
                      <w:highlight w:val="none"/>
                    </w:rPr>
                  </w:pPr>
                  <w:r>
                    <w:rPr>
                      <w:rFonts w:hint="default" w:ascii="Times New Roman" w:hAnsi="Times New Roman" w:cs="Times New Roman"/>
                      <w:color w:val="auto"/>
                      <w:highlight w:val="none"/>
                    </w:rPr>
                    <w:t>1-9.【大气/限制类】大气环境受体敏感重点管控区内严格限制新建储油库项目、产生和排放有毒有害大气污染物的建设项目以及使用溶剂型油墨、涂料、清洗剂、胶黏剂等高挥发性有机物原辅材料项目，鼓励现有该类项目搬迁退出。</w:t>
                  </w:r>
                </w:p>
                <w:p w14:paraId="1D33F714">
                  <w:pPr>
                    <w:adjustRightInd w:val="0"/>
                    <w:snapToGrid w:val="0"/>
                    <w:rPr>
                      <w:rFonts w:hint="default" w:ascii="Times New Roman" w:hAnsi="Times New Roman" w:cs="Times New Roman"/>
                      <w:color w:val="auto"/>
                      <w:highlight w:val="none"/>
                    </w:rPr>
                  </w:pPr>
                  <w:r>
                    <w:rPr>
                      <w:rFonts w:hint="default" w:ascii="Times New Roman" w:hAnsi="Times New Roman" w:cs="Times New Roman"/>
                      <w:color w:val="auto"/>
                      <w:highlight w:val="none"/>
                    </w:rPr>
                    <w:t>1-10.【大气/鼓励引导类】大气环境高排放重点管控区内，强化达标监管，引导工业项目落地集聚发展，有序推进区域内行业企业提标改造。</w:t>
                  </w:r>
                </w:p>
                <w:p w14:paraId="793534CC">
                  <w:pPr>
                    <w:adjustRightInd w:val="0"/>
                    <w:snapToGrid w:val="0"/>
                    <w:rPr>
                      <w:rFonts w:hint="default" w:ascii="Times New Roman" w:hAnsi="Times New Roman" w:cs="Times New Roman"/>
                      <w:color w:val="auto"/>
                      <w:highlight w:val="none"/>
                    </w:rPr>
                  </w:pPr>
                  <w:r>
                    <w:rPr>
                      <w:rFonts w:hint="default" w:ascii="Times New Roman" w:hAnsi="Times New Roman" w:cs="Times New Roman"/>
                      <w:color w:val="auto"/>
                      <w:highlight w:val="none"/>
                    </w:rPr>
                    <w:t>1-11.【土壤/禁止类】禁止在重金属重点防控区域内新建、改建、扩建增加重金属污染物排放总量的建设项目。</w:t>
                  </w:r>
                </w:p>
                <w:p w14:paraId="6C351F95">
                  <w:pPr>
                    <w:adjustRightInd w:val="0"/>
                    <w:snapToGrid w:val="0"/>
                    <w:rPr>
                      <w:rFonts w:hint="default" w:ascii="Times New Roman" w:hAnsi="Times New Roman" w:cs="Times New Roman"/>
                      <w:color w:val="auto"/>
                      <w:highlight w:val="none"/>
                    </w:rPr>
                  </w:pPr>
                  <w:r>
                    <w:rPr>
                      <w:rFonts w:hint="default" w:ascii="Times New Roman" w:hAnsi="Times New Roman" w:cs="Times New Roman"/>
                      <w:color w:val="auto"/>
                      <w:highlight w:val="none"/>
                    </w:rPr>
                    <w:t>1-12.【土壤/限制类】重金属污染防控非重点区新建、改扩建重金属排放项目，应落实重金属总量替代与削减要求，严格控制重点行业发展规模。强化涉重金属污染行业建设项目环评审批管理，严格执行环保“三同时”制度。</w:t>
                  </w:r>
                </w:p>
                <w:p w14:paraId="71F30AEE">
                  <w:pPr>
                    <w:keepNext w:val="0"/>
                    <w:keepLines w:val="0"/>
                    <w:pageBreakBefore w:val="0"/>
                    <w:widowControl/>
                    <w:suppressLineNumbers w:val="0"/>
                    <w:kinsoku/>
                    <w:wordWrap/>
                    <w:overflowPunct/>
                    <w:topLinePunct w:val="0"/>
                    <w:autoSpaceDE/>
                    <w:autoSpaceDN/>
                    <w:bidi w:val="0"/>
                    <w:adjustRightInd w:val="0"/>
                    <w:snapToGrid w:val="0"/>
                    <w:jc w:val="left"/>
                    <w:textAlignment w:val="auto"/>
                    <w:rPr>
                      <w:rFonts w:hint="default" w:ascii="Times New Roman" w:hAnsi="Times New Roman" w:eastAsia="宋体" w:cs="Times New Roman"/>
                      <w:color w:val="auto"/>
                      <w:highlight w:val="none"/>
                    </w:rPr>
                  </w:pPr>
                  <w:r>
                    <w:rPr>
                      <w:rFonts w:hint="default" w:ascii="Times New Roman" w:hAnsi="Times New Roman" w:cs="Times New Roman"/>
                      <w:color w:val="auto"/>
                      <w:highlight w:val="none"/>
                    </w:rPr>
                    <w:t>1-13.【岸线/综合类】严格水域岸线用途管制，土地开发利用应按照有关法律法规和技术标准要求，留足河道和湖库的管理和保护范围，非法挤占的应限期退出。</w:t>
                  </w:r>
                </w:p>
              </w:tc>
              <w:tc>
                <w:tcPr>
                  <w:tcW w:w="2977" w:type="dxa"/>
                  <w:noWrap w:val="0"/>
                  <w:vAlign w:val="center"/>
                </w:tcPr>
                <w:p w14:paraId="23BF9957">
                  <w:pPr>
                    <w:adjustRightInd w:val="0"/>
                    <w:snapToGrid w:val="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1-1</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1-2</w:t>
                  </w:r>
                  <w:r>
                    <w:rPr>
                      <w:rFonts w:hint="default" w:ascii="Times New Roman" w:hAnsi="Times New Roman" w:cs="Times New Roman"/>
                      <w:color w:val="auto"/>
                      <w:sz w:val="21"/>
                      <w:szCs w:val="21"/>
                      <w:highlight w:val="none"/>
                      <w:lang w:val="en-US" w:eastAsia="zh-CN"/>
                    </w:rPr>
                    <w:t>项目从事轨道板及Ⅲa型轨枕的生产，</w:t>
                  </w:r>
                  <w:r>
                    <w:rPr>
                      <w:rFonts w:hint="default" w:ascii="Times New Roman" w:hAnsi="Times New Roman" w:cs="Times New Roman"/>
                      <w:color w:val="auto"/>
                      <w:sz w:val="21"/>
                      <w:szCs w:val="21"/>
                      <w:highlight w:val="none"/>
                    </w:rPr>
                    <w:t>不属于产业鼓励/引导类、禁止类、限制类项目。</w:t>
                  </w:r>
                </w:p>
                <w:p w14:paraId="0BB584DD">
                  <w:pPr>
                    <w:adjustRightInd w:val="0"/>
                    <w:snapToGrid w:val="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1-4本项目不在生态保护红线内。</w:t>
                  </w:r>
                </w:p>
                <w:p w14:paraId="2C014248">
                  <w:pPr>
                    <w:adjustRightInd w:val="0"/>
                    <w:snapToGrid w:val="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1-5本项目不在一般生态空间内。</w:t>
                  </w:r>
                </w:p>
                <w:p w14:paraId="092D7E3B">
                  <w:pPr>
                    <w:adjustRightInd w:val="0"/>
                    <w:snapToGrid w:val="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1-6本项目不在饮用水水源保护区内。</w:t>
                  </w:r>
                </w:p>
                <w:p w14:paraId="365A50B5">
                  <w:pPr>
                    <w:adjustRightInd w:val="0"/>
                    <w:snapToGrid w:val="0"/>
                    <w:rPr>
                      <w:rFonts w:hint="default" w:ascii="Times New Roman" w:hAnsi="Times New Roman" w:cs="Times New Roman" w:eastAsiaTheme="minorEastAsia"/>
                      <w:color w:val="auto"/>
                      <w:sz w:val="21"/>
                      <w:szCs w:val="21"/>
                      <w:highlight w:val="none"/>
                      <w:lang w:eastAsia="zh-CN"/>
                    </w:rPr>
                  </w:pPr>
                  <w:r>
                    <w:rPr>
                      <w:rFonts w:hint="default" w:ascii="Times New Roman" w:hAnsi="Times New Roman" w:cs="Times New Roman"/>
                      <w:color w:val="auto"/>
                      <w:sz w:val="21"/>
                      <w:szCs w:val="21"/>
                      <w:highlight w:val="none"/>
                    </w:rPr>
                    <w:t>1-7本项目不属于新建废弃物堆放场和处理场项目</w:t>
                  </w:r>
                  <w:r>
                    <w:rPr>
                      <w:rFonts w:hint="default" w:ascii="Times New Roman" w:hAnsi="Times New Roman" w:cs="Times New Roman"/>
                      <w:color w:val="auto"/>
                      <w:sz w:val="21"/>
                      <w:szCs w:val="21"/>
                      <w:highlight w:val="none"/>
                      <w:lang w:eastAsia="zh-CN"/>
                    </w:rPr>
                    <w:t>。</w:t>
                  </w:r>
                </w:p>
                <w:p w14:paraId="46BAC33D">
                  <w:pPr>
                    <w:pStyle w:val="51"/>
                    <w:jc w:val="both"/>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1-8本项目不属于</w:t>
                  </w:r>
                  <w:r>
                    <w:rPr>
                      <w:rFonts w:hint="default" w:ascii="Times New Roman" w:hAnsi="Times New Roman" w:cs="Times New Roman"/>
                      <w:color w:val="auto"/>
                      <w:kern w:val="0"/>
                      <w:sz w:val="21"/>
                      <w:szCs w:val="21"/>
                      <w:highlight w:val="none"/>
                    </w:rPr>
                    <w:t>畜禽养殖业。</w:t>
                  </w:r>
                </w:p>
                <w:p w14:paraId="6711BCBF">
                  <w:pPr>
                    <w:adjustRightInd w:val="0"/>
                    <w:snapToGrid w:val="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1-9本</w:t>
                  </w:r>
                  <w:r>
                    <w:rPr>
                      <w:rFonts w:hint="default" w:ascii="Times New Roman" w:hAnsi="Times New Roman" w:cs="Times New Roman"/>
                      <w:color w:val="auto"/>
                      <w:kern w:val="0"/>
                      <w:sz w:val="21"/>
                      <w:szCs w:val="21"/>
                      <w:highlight w:val="none"/>
                    </w:rPr>
                    <w:t>项目位于大气环境一般管控区，</w:t>
                  </w:r>
                  <w:r>
                    <w:rPr>
                      <w:rFonts w:hint="default" w:ascii="Times New Roman" w:hAnsi="Times New Roman" w:cs="Times New Roman"/>
                      <w:color w:val="auto"/>
                      <w:sz w:val="21"/>
                      <w:szCs w:val="21"/>
                      <w:highlight w:val="none"/>
                    </w:rPr>
                    <w:t>项目不使用溶剂型油墨、涂料、清洗剂、胶黏剂等高挥发性有机物原辅材料。</w:t>
                  </w:r>
                </w:p>
                <w:p w14:paraId="4FF1E28B">
                  <w:pPr>
                    <w:adjustRightInd w:val="0"/>
                    <w:snapToGrid w:val="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1-10本</w:t>
                  </w:r>
                  <w:r>
                    <w:rPr>
                      <w:rFonts w:hint="default" w:ascii="Times New Roman" w:hAnsi="Times New Roman" w:cs="Times New Roman"/>
                      <w:color w:val="auto"/>
                      <w:kern w:val="0"/>
                      <w:sz w:val="21"/>
                      <w:szCs w:val="21"/>
                      <w:highlight w:val="none"/>
                    </w:rPr>
                    <w:t>项目位于大气环境一般管控区</w:t>
                  </w:r>
                  <w:r>
                    <w:rPr>
                      <w:rFonts w:hint="default" w:ascii="Times New Roman" w:hAnsi="Times New Roman" w:cs="Times New Roman"/>
                      <w:color w:val="auto"/>
                      <w:kern w:val="0"/>
                      <w:sz w:val="21"/>
                      <w:szCs w:val="21"/>
                      <w:highlight w:val="none"/>
                      <w:lang w:eastAsia="zh-CN"/>
                    </w:rPr>
                    <w:t>，</w:t>
                  </w:r>
                  <w:r>
                    <w:rPr>
                      <w:rFonts w:hint="default" w:ascii="Times New Roman" w:hAnsi="Times New Roman" w:cs="Times New Roman"/>
                      <w:color w:val="auto"/>
                      <w:kern w:val="0"/>
                      <w:sz w:val="21"/>
                      <w:szCs w:val="21"/>
                      <w:highlight w:val="none"/>
                      <w:lang w:val="en-US" w:eastAsia="zh-CN"/>
                    </w:rPr>
                    <w:t>项目产生的废气污染物经处理后能达标排放</w:t>
                  </w:r>
                  <w:r>
                    <w:rPr>
                      <w:rFonts w:hint="default" w:ascii="Times New Roman" w:hAnsi="Times New Roman" w:cs="Times New Roman"/>
                      <w:color w:val="auto"/>
                      <w:sz w:val="21"/>
                      <w:szCs w:val="21"/>
                      <w:highlight w:val="none"/>
                    </w:rPr>
                    <w:t>。</w:t>
                  </w:r>
                </w:p>
                <w:p w14:paraId="7065BE6D">
                  <w:pPr>
                    <w:adjustRightInd w:val="0"/>
                    <w:snapToGrid w:val="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1-11、1-12本项目不产生、排放重金属污染物。</w:t>
                  </w:r>
                </w:p>
                <w:p w14:paraId="7598536F">
                  <w:pPr>
                    <w:adjustRightInd w:val="0"/>
                    <w:snapToGrid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cs="Times New Roman"/>
                      <w:color w:val="auto"/>
                      <w:sz w:val="21"/>
                      <w:szCs w:val="21"/>
                      <w:highlight w:val="none"/>
                    </w:rPr>
                    <w:t>1-13本项目不在水域岸线范围内。</w:t>
                  </w:r>
                </w:p>
              </w:tc>
              <w:tc>
                <w:tcPr>
                  <w:tcW w:w="397" w:type="dxa"/>
                  <w:noWrap w:val="0"/>
                  <w:vAlign w:val="center"/>
                </w:tcPr>
                <w:p w14:paraId="143A05DD">
                  <w:pPr>
                    <w:keepNext w:val="0"/>
                    <w:keepLines w:val="0"/>
                    <w:pageBreakBefore w:val="0"/>
                    <w:widowControl w:val="0"/>
                    <w:kinsoku/>
                    <w:wordWrap/>
                    <w:overflowPunct/>
                    <w:topLinePunct w:val="0"/>
                    <w:autoSpaceDE/>
                    <w:autoSpaceDN/>
                    <w:bidi w:val="0"/>
                    <w:adjustRightInd w:val="0"/>
                    <w:snapToGrid w:val="0"/>
                    <w:spacing w:after="0"/>
                    <w:ind w:left="0"/>
                    <w:jc w:val="center"/>
                    <w:textAlignment w:val="auto"/>
                    <w:rPr>
                      <w:rFonts w:hint="default" w:ascii="Times New Roman" w:hAnsi="Times New Roman" w:eastAsia="宋体" w:cs="Times New Roman"/>
                      <w:b w:val="0"/>
                      <w:bCs w:val="0"/>
                      <w:color w:val="auto"/>
                      <w:kern w:val="0"/>
                      <w:sz w:val="21"/>
                      <w:szCs w:val="21"/>
                      <w:highlight w:val="none"/>
                      <w:vertAlign w:val="baseline"/>
                      <w:lang w:eastAsia="zh-CN"/>
                    </w:rPr>
                  </w:pPr>
                  <w:r>
                    <w:rPr>
                      <w:rFonts w:hint="default" w:ascii="Times New Roman" w:hAnsi="Times New Roman" w:eastAsia="宋体" w:cs="Times New Roman"/>
                      <w:b w:val="0"/>
                      <w:bCs w:val="0"/>
                      <w:color w:val="auto"/>
                      <w:kern w:val="0"/>
                      <w:sz w:val="21"/>
                      <w:szCs w:val="21"/>
                      <w:highlight w:val="none"/>
                      <w:vertAlign w:val="baseline"/>
                      <w:lang w:eastAsia="zh-CN"/>
                    </w:rPr>
                    <w:t>符合</w:t>
                  </w:r>
                </w:p>
              </w:tc>
            </w:tr>
            <w:tr w14:paraId="07755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8" w:hRule="atLeast"/>
                <w:jc w:val="center"/>
              </w:trPr>
              <w:tc>
                <w:tcPr>
                  <w:tcW w:w="396" w:type="dxa"/>
                  <w:noWrap w:val="0"/>
                  <w:vAlign w:val="center"/>
                </w:tcPr>
                <w:p w14:paraId="0956D661">
                  <w:pPr>
                    <w:keepNext w:val="0"/>
                    <w:keepLines w:val="0"/>
                    <w:pageBreakBefore w:val="0"/>
                    <w:widowControl w:val="0"/>
                    <w:kinsoku/>
                    <w:wordWrap/>
                    <w:overflowPunct/>
                    <w:topLinePunct w:val="0"/>
                    <w:autoSpaceDE/>
                    <w:autoSpaceDN/>
                    <w:bidi w:val="0"/>
                    <w:adjustRightInd w:val="0"/>
                    <w:snapToGrid w:val="0"/>
                    <w:spacing w:after="0"/>
                    <w:ind w:left="0"/>
                    <w:jc w:val="center"/>
                    <w:textAlignment w:val="auto"/>
                    <w:rPr>
                      <w:rFonts w:hint="default" w:ascii="Times New Roman" w:hAnsi="Times New Roman" w:eastAsia="宋体" w:cs="Times New Roman"/>
                      <w:b/>
                      <w:bCs/>
                      <w:color w:val="auto"/>
                      <w:kern w:val="0"/>
                      <w:sz w:val="21"/>
                      <w:szCs w:val="21"/>
                      <w:highlight w:val="none"/>
                      <w:vertAlign w:val="baseline"/>
                    </w:rPr>
                  </w:pPr>
                  <w:r>
                    <w:rPr>
                      <w:rFonts w:hint="default" w:ascii="Times New Roman" w:hAnsi="Times New Roman" w:eastAsia="宋体" w:cs="Times New Roman"/>
                      <w:b/>
                      <w:bCs/>
                      <w:color w:val="auto"/>
                      <w:kern w:val="0"/>
                      <w:sz w:val="21"/>
                      <w:szCs w:val="21"/>
                      <w:highlight w:val="none"/>
                      <w:vertAlign w:val="baseline"/>
                      <w:lang w:eastAsia="zh-CN"/>
                    </w:rPr>
                    <w:t>能源资源利用</w:t>
                  </w:r>
                </w:p>
              </w:tc>
              <w:tc>
                <w:tcPr>
                  <w:tcW w:w="4048" w:type="dxa"/>
                  <w:gridSpan w:val="2"/>
                  <w:noWrap w:val="0"/>
                  <w:vAlign w:val="center"/>
                </w:tcPr>
                <w:p w14:paraId="3D57A92B">
                  <w:pPr>
                    <w:pStyle w:val="51"/>
                    <w:adjustRightInd w:val="0"/>
                    <w:snapToGrid w:val="0"/>
                    <w:jc w:val="both"/>
                    <w:rPr>
                      <w:rFonts w:hint="default" w:ascii="Times New Roman" w:hAnsi="Times New Roman" w:cs="Times New Roman"/>
                      <w:color w:val="auto"/>
                      <w:highlight w:val="none"/>
                    </w:rPr>
                  </w:pPr>
                  <w:r>
                    <w:rPr>
                      <w:rFonts w:hint="default" w:ascii="Times New Roman" w:hAnsi="Times New Roman" w:cs="Times New Roman"/>
                      <w:color w:val="auto"/>
                      <w:highlight w:val="none"/>
                    </w:rPr>
                    <w:t>2-1.【能源/鼓励引导类】鼓励降低煤炭消耗、能源消耗，引导光伏等多种形式的新能源利用。</w:t>
                  </w:r>
                </w:p>
                <w:p w14:paraId="11AD4668">
                  <w:pPr>
                    <w:pStyle w:val="51"/>
                    <w:keepNext w:val="0"/>
                    <w:keepLines w:val="0"/>
                    <w:pageBreakBefore w:val="0"/>
                    <w:widowControl w:val="0"/>
                    <w:kinsoku/>
                    <w:wordWrap/>
                    <w:overflowPunct/>
                    <w:topLinePunct w:val="0"/>
                    <w:bidi w:val="0"/>
                    <w:adjustRightInd w:val="0"/>
                    <w:snapToGrid w:val="0"/>
                    <w:spacing w:after="0"/>
                    <w:ind w:left="0"/>
                    <w:jc w:val="both"/>
                    <w:rPr>
                      <w:rFonts w:hint="default" w:ascii="Times New Roman" w:hAnsi="Times New Roman" w:eastAsia="宋体" w:cs="Times New Roman"/>
                      <w:b/>
                      <w:bCs/>
                      <w:color w:val="auto"/>
                      <w:kern w:val="0"/>
                      <w:sz w:val="21"/>
                      <w:szCs w:val="21"/>
                      <w:highlight w:val="none"/>
                      <w:vertAlign w:val="baseline"/>
                      <w:lang w:eastAsia="zh-CN"/>
                    </w:rPr>
                  </w:pPr>
                  <w:r>
                    <w:rPr>
                      <w:rFonts w:hint="default" w:ascii="Times New Roman" w:hAnsi="Times New Roman" w:cs="Times New Roman"/>
                      <w:color w:val="auto"/>
                      <w:highlight w:val="none"/>
                    </w:rPr>
                    <w:t>2-2.【能源/综合类】根据本地区大气环境质量改善要求逐步扩大高污染燃料禁燃区范围。</w:t>
                  </w:r>
                </w:p>
              </w:tc>
              <w:tc>
                <w:tcPr>
                  <w:tcW w:w="2977" w:type="dxa"/>
                  <w:noWrap w:val="0"/>
                  <w:vAlign w:val="center"/>
                </w:tcPr>
                <w:p w14:paraId="23E1365C">
                  <w:pPr>
                    <w:keepNext w:val="0"/>
                    <w:keepLines w:val="0"/>
                    <w:pageBreakBefore w:val="0"/>
                    <w:widowControl w:val="0"/>
                    <w:kinsoku/>
                    <w:wordWrap/>
                    <w:overflowPunct/>
                    <w:topLinePunct w:val="0"/>
                    <w:autoSpaceDE/>
                    <w:autoSpaceDN/>
                    <w:bidi w:val="0"/>
                    <w:adjustRightInd w:val="0"/>
                    <w:snapToGrid w:val="0"/>
                    <w:spacing w:after="0"/>
                    <w:ind w:left="0"/>
                    <w:jc w:val="center"/>
                    <w:textAlignment w:val="auto"/>
                    <w:rPr>
                      <w:rFonts w:hint="default" w:ascii="Times New Roman" w:hAnsi="Times New Roman" w:eastAsia="宋体" w:cs="Times New Roman"/>
                      <w:b/>
                      <w:bCs/>
                      <w:color w:val="auto"/>
                      <w:kern w:val="0"/>
                      <w:sz w:val="21"/>
                      <w:szCs w:val="21"/>
                      <w:highlight w:val="none"/>
                      <w:vertAlign w:val="baseline"/>
                      <w:lang w:eastAsia="zh-CN"/>
                    </w:rPr>
                  </w:pPr>
                  <w:r>
                    <w:rPr>
                      <w:rFonts w:hint="default" w:ascii="Times New Roman" w:hAnsi="Times New Roman" w:eastAsia="宋体" w:cs="Times New Roman"/>
                      <w:b w:val="0"/>
                      <w:bCs w:val="0"/>
                      <w:color w:val="auto"/>
                      <w:kern w:val="0"/>
                      <w:sz w:val="21"/>
                      <w:szCs w:val="21"/>
                      <w:highlight w:val="none"/>
                      <w:vertAlign w:val="baseline"/>
                      <w:lang w:val="en-US" w:eastAsia="zh-CN"/>
                    </w:rPr>
                    <w:t>2.1、2.2</w:t>
                  </w:r>
                  <w:r>
                    <w:rPr>
                      <w:rFonts w:hint="default" w:ascii="Times New Roman" w:hAnsi="Times New Roman" w:eastAsia="宋体" w:cs="Times New Roman"/>
                      <w:b w:val="0"/>
                      <w:bCs w:val="0"/>
                      <w:color w:val="auto"/>
                      <w:sz w:val="21"/>
                      <w:szCs w:val="21"/>
                      <w:highlight w:val="none"/>
                      <w:lang w:val="en-US" w:eastAsia="zh-CN"/>
                    </w:rPr>
                    <w:t>本项目</w:t>
                  </w:r>
                  <w:r>
                    <w:rPr>
                      <w:rFonts w:hint="default" w:ascii="Times New Roman" w:hAnsi="Times New Roman" w:eastAsia="宋体" w:cs="Times New Roman"/>
                      <w:b w:val="0"/>
                      <w:bCs w:val="0"/>
                      <w:color w:val="auto"/>
                      <w:kern w:val="0"/>
                      <w:sz w:val="21"/>
                      <w:szCs w:val="21"/>
                      <w:highlight w:val="none"/>
                      <w:vertAlign w:val="baseline"/>
                      <w:lang w:eastAsia="zh-CN"/>
                    </w:rPr>
                    <w:t>使用的设备采用电能</w:t>
                  </w:r>
                  <w:r>
                    <w:rPr>
                      <w:rFonts w:hint="default" w:ascii="Times New Roman" w:hAnsi="Times New Roman" w:eastAsia="宋体" w:cs="Times New Roman"/>
                      <w:b w:val="0"/>
                      <w:bCs w:val="0"/>
                      <w:color w:val="auto"/>
                      <w:kern w:val="0"/>
                      <w:sz w:val="21"/>
                      <w:szCs w:val="21"/>
                      <w:highlight w:val="none"/>
                      <w:vertAlign w:val="baseline"/>
                      <w:lang w:val="en-US" w:eastAsia="zh-CN"/>
                    </w:rPr>
                    <w:t>及管道天然气能源</w:t>
                  </w:r>
                  <w:r>
                    <w:rPr>
                      <w:rFonts w:hint="default" w:ascii="Times New Roman" w:hAnsi="Times New Roman" w:eastAsia="宋体" w:cs="Times New Roman"/>
                      <w:b w:val="0"/>
                      <w:bCs w:val="0"/>
                      <w:color w:val="auto"/>
                      <w:kern w:val="0"/>
                      <w:sz w:val="21"/>
                      <w:szCs w:val="21"/>
                      <w:highlight w:val="none"/>
                      <w:vertAlign w:val="baseline"/>
                      <w:lang w:val="en-US" w:eastAsia="zh-CN" w:bidi="ar-SA"/>
                    </w:rPr>
                    <w:t>，</w:t>
                  </w:r>
                  <w:r>
                    <w:rPr>
                      <w:rFonts w:hint="default" w:ascii="Times New Roman" w:hAnsi="Times New Roman" w:eastAsia="宋体" w:cs="Times New Roman"/>
                      <w:b w:val="0"/>
                      <w:bCs w:val="0"/>
                      <w:color w:val="auto"/>
                      <w:kern w:val="0"/>
                      <w:sz w:val="21"/>
                      <w:szCs w:val="21"/>
                      <w:highlight w:val="none"/>
                      <w:vertAlign w:val="baseline"/>
                      <w:lang w:eastAsia="zh-CN"/>
                    </w:rPr>
                    <w:t>符合能源资源利用要求。</w:t>
                  </w:r>
                </w:p>
              </w:tc>
              <w:tc>
                <w:tcPr>
                  <w:tcW w:w="397" w:type="dxa"/>
                  <w:noWrap w:val="0"/>
                  <w:vAlign w:val="center"/>
                </w:tcPr>
                <w:p w14:paraId="4E31F6FF">
                  <w:pPr>
                    <w:keepNext w:val="0"/>
                    <w:keepLines w:val="0"/>
                    <w:pageBreakBefore w:val="0"/>
                    <w:widowControl w:val="0"/>
                    <w:kinsoku/>
                    <w:wordWrap/>
                    <w:overflowPunct/>
                    <w:topLinePunct w:val="0"/>
                    <w:autoSpaceDE/>
                    <w:autoSpaceDN/>
                    <w:bidi w:val="0"/>
                    <w:adjustRightInd w:val="0"/>
                    <w:snapToGrid w:val="0"/>
                    <w:spacing w:after="0"/>
                    <w:ind w:left="0"/>
                    <w:jc w:val="center"/>
                    <w:textAlignment w:val="auto"/>
                    <w:rPr>
                      <w:rFonts w:hint="default" w:ascii="Times New Roman" w:hAnsi="Times New Roman" w:eastAsia="宋体" w:cs="Times New Roman"/>
                      <w:b/>
                      <w:bCs/>
                      <w:color w:val="auto"/>
                      <w:kern w:val="0"/>
                      <w:sz w:val="21"/>
                      <w:szCs w:val="21"/>
                      <w:highlight w:val="none"/>
                      <w:vertAlign w:val="baseline"/>
                      <w:lang w:eastAsia="zh-CN"/>
                    </w:rPr>
                  </w:pPr>
                  <w:r>
                    <w:rPr>
                      <w:rFonts w:hint="default" w:ascii="Times New Roman" w:hAnsi="Times New Roman" w:eastAsia="宋体" w:cs="Times New Roman"/>
                      <w:b w:val="0"/>
                      <w:bCs w:val="0"/>
                      <w:color w:val="auto"/>
                      <w:kern w:val="0"/>
                      <w:sz w:val="21"/>
                      <w:szCs w:val="21"/>
                      <w:highlight w:val="none"/>
                      <w:vertAlign w:val="baseline"/>
                      <w:lang w:eastAsia="zh-CN"/>
                    </w:rPr>
                    <w:t>符合</w:t>
                  </w:r>
                </w:p>
              </w:tc>
            </w:tr>
            <w:tr w14:paraId="064DD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 w:hRule="atLeast"/>
                <w:jc w:val="center"/>
              </w:trPr>
              <w:tc>
                <w:tcPr>
                  <w:tcW w:w="396" w:type="dxa"/>
                  <w:noWrap w:val="0"/>
                  <w:vAlign w:val="center"/>
                </w:tcPr>
                <w:p w14:paraId="3BFC5982">
                  <w:pPr>
                    <w:keepNext w:val="0"/>
                    <w:keepLines w:val="0"/>
                    <w:pageBreakBefore w:val="0"/>
                    <w:widowControl w:val="0"/>
                    <w:kinsoku/>
                    <w:wordWrap/>
                    <w:overflowPunct/>
                    <w:topLinePunct w:val="0"/>
                    <w:autoSpaceDE/>
                    <w:autoSpaceDN/>
                    <w:bidi w:val="0"/>
                    <w:adjustRightInd w:val="0"/>
                    <w:snapToGrid w:val="0"/>
                    <w:spacing w:after="0"/>
                    <w:ind w:left="0"/>
                    <w:jc w:val="center"/>
                    <w:textAlignment w:val="auto"/>
                    <w:rPr>
                      <w:rFonts w:hint="default" w:ascii="Times New Roman" w:hAnsi="Times New Roman" w:eastAsia="宋体" w:cs="Times New Roman"/>
                      <w:b/>
                      <w:bCs/>
                      <w:color w:val="auto"/>
                      <w:kern w:val="0"/>
                      <w:sz w:val="21"/>
                      <w:szCs w:val="21"/>
                      <w:highlight w:val="none"/>
                      <w:vertAlign w:val="baseline"/>
                      <w:lang w:eastAsia="zh-CN"/>
                    </w:rPr>
                  </w:pPr>
                  <w:r>
                    <w:rPr>
                      <w:rFonts w:hint="default" w:ascii="Times New Roman" w:hAnsi="Times New Roman" w:eastAsia="宋体" w:cs="Times New Roman"/>
                      <w:b/>
                      <w:bCs/>
                      <w:color w:val="auto"/>
                      <w:kern w:val="0"/>
                      <w:sz w:val="21"/>
                      <w:szCs w:val="21"/>
                      <w:highlight w:val="none"/>
                      <w:vertAlign w:val="baseline"/>
                      <w:lang w:eastAsia="zh-CN"/>
                    </w:rPr>
                    <w:t>污染物排放管控</w:t>
                  </w:r>
                </w:p>
                <w:p w14:paraId="04C33565">
                  <w:pPr>
                    <w:keepNext w:val="0"/>
                    <w:keepLines w:val="0"/>
                    <w:pageBreakBefore w:val="0"/>
                    <w:widowControl w:val="0"/>
                    <w:kinsoku/>
                    <w:wordWrap/>
                    <w:overflowPunct/>
                    <w:topLinePunct w:val="0"/>
                    <w:autoSpaceDE/>
                    <w:autoSpaceDN/>
                    <w:bidi w:val="0"/>
                    <w:adjustRightInd w:val="0"/>
                    <w:snapToGrid w:val="0"/>
                    <w:spacing w:after="0"/>
                    <w:ind w:left="0"/>
                    <w:jc w:val="center"/>
                    <w:textAlignment w:val="auto"/>
                    <w:rPr>
                      <w:rFonts w:hint="default" w:ascii="Times New Roman" w:hAnsi="Times New Roman" w:eastAsia="宋体" w:cs="Times New Roman"/>
                      <w:b/>
                      <w:bCs/>
                      <w:color w:val="auto"/>
                      <w:kern w:val="0"/>
                      <w:sz w:val="21"/>
                      <w:szCs w:val="21"/>
                      <w:highlight w:val="none"/>
                      <w:vertAlign w:val="baseline"/>
                    </w:rPr>
                  </w:pPr>
                </w:p>
              </w:tc>
              <w:tc>
                <w:tcPr>
                  <w:tcW w:w="4048" w:type="dxa"/>
                  <w:gridSpan w:val="2"/>
                  <w:noWrap w:val="0"/>
                  <w:vAlign w:val="center"/>
                </w:tcPr>
                <w:p w14:paraId="55FFA1E3">
                  <w:pPr>
                    <w:pStyle w:val="51"/>
                    <w:adjustRightInd w:val="0"/>
                    <w:snapToGrid w:val="0"/>
                    <w:jc w:val="both"/>
                    <w:rPr>
                      <w:rFonts w:hint="default" w:ascii="Times New Roman" w:hAnsi="Times New Roman" w:cs="Times New Roman"/>
                      <w:color w:val="auto"/>
                      <w:highlight w:val="none"/>
                    </w:rPr>
                  </w:pPr>
                  <w:r>
                    <w:rPr>
                      <w:rFonts w:hint="default" w:ascii="Times New Roman" w:hAnsi="Times New Roman" w:cs="Times New Roman"/>
                      <w:color w:val="auto"/>
                      <w:highlight w:val="none"/>
                    </w:rPr>
                    <w:t>3-1.【水/限制类】严格控制稿树下水、马嘶河（龙溪水）、江东、榕溪沥（罗阳）、廖洞等直排东江的排水渠流域内增加水污染物排放或对东江水质、水环境安全构成影响的项目。</w:t>
                  </w:r>
                </w:p>
                <w:p w14:paraId="131887C6">
                  <w:pPr>
                    <w:pStyle w:val="51"/>
                    <w:adjustRightInd w:val="0"/>
                    <w:snapToGrid w:val="0"/>
                    <w:jc w:val="both"/>
                    <w:rPr>
                      <w:rFonts w:hint="default" w:ascii="Times New Roman" w:hAnsi="Times New Roman" w:cs="Times New Roman"/>
                      <w:color w:val="auto"/>
                      <w:highlight w:val="none"/>
                    </w:rPr>
                  </w:pPr>
                  <w:r>
                    <w:rPr>
                      <w:rFonts w:hint="default" w:ascii="Times New Roman" w:hAnsi="Times New Roman" w:cs="Times New Roman"/>
                      <w:color w:val="auto"/>
                      <w:highlight w:val="none"/>
                    </w:rPr>
                    <w:t>3-2.【水/综合类】统筹规划农村环境基础设施建设，加强农村人居环境综合整治，采用集中与分散相结合的模式建设和完善农村污水、垃圾收集和处理设施，实施农村厕所改造，因地制宜实施雨污分流，将有条件的农村和城镇周边村庄纳入城镇污水、垃圾处理体系，并做好资金保障。</w:t>
                  </w:r>
                </w:p>
                <w:p w14:paraId="3A7D2C9A">
                  <w:pPr>
                    <w:pStyle w:val="51"/>
                    <w:adjustRightInd w:val="0"/>
                    <w:snapToGrid w:val="0"/>
                    <w:jc w:val="both"/>
                    <w:rPr>
                      <w:rFonts w:hint="default" w:ascii="Times New Roman" w:hAnsi="Times New Roman" w:cs="Times New Roman"/>
                      <w:color w:val="auto"/>
                      <w:highlight w:val="none"/>
                    </w:rPr>
                  </w:pPr>
                  <w:r>
                    <w:rPr>
                      <w:rFonts w:hint="default" w:ascii="Times New Roman" w:hAnsi="Times New Roman" w:cs="Times New Roman"/>
                      <w:color w:val="auto"/>
                      <w:highlight w:val="none"/>
                    </w:rPr>
                    <w:t>3-3.【水/限制类】加强流域内涉重金属废水排放企业的管理，减少含重金属废水排放。</w:t>
                  </w:r>
                </w:p>
                <w:p w14:paraId="53816FF6">
                  <w:pPr>
                    <w:pStyle w:val="51"/>
                    <w:adjustRightInd w:val="0"/>
                    <w:snapToGrid w:val="0"/>
                    <w:jc w:val="both"/>
                    <w:rPr>
                      <w:rFonts w:hint="default" w:ascii="Times New Roman" w:hAnsi="Times New Roman" w:cs="Times New Roman"/>
                      <w:color w:val="auto"/>
                      <w:highlight w:val="none"/>
                    </w:rPr>
                  </w:pPr>
                  <w:r>
                    <w:rPr>
                      <w:rFonts w:hint="default" w:ascii="Times New Roman" w:hAnsi="Times New Roman" w:cs="Times New Roman"/>
                      <w:color w:val="auto"/>
                      <w:highlight w:val="none"/>
                    </w:rPr>
                    <w:t>3-4.【水/综合类】强化农业面源污染治理，控制农药化肥使用量。</w:t>
                  </w:r>
                </w:p>
                <w:p w14:paraId="715A2ABC">
                  <w:pPr>
                    <w:pStyle w:val="51"/>
                    <w:adjustRightInd w:val="0"/>
                    <w:snapToGrid w:val="0"/>
                    <w:jc w:val="both"/>
                    <w:rPr>
                      <w:rFonts w:hint="default" w:ascii="Times New Roman" w:hAnsi="Times New Roman" w:cs="Times New Roman"/>
                      <w:color w:val="auto"/>
                      <w:highlight w:val="none"/>
                    </w:rPr>
                  </w:pPr>
                  <w:r>
                    <w:rPr>
                      <w:rFonts w:hint="default" w:ascii="Times New Roman" w:hAnsi="Times New Roman" w:cs="Times New Roman"/>
                      <w:color w:val="auto"/>
                      <w:highlight w:val="none"/>
                    </w:rPr>
                    <w:t>3-5. 【大气/限制类】重点行业新建涉VOCs排放的工业企业原则上应入园进区。新建项目VOCs实施倍量替代。</w:t>
                  </w:r>
                </w:p>
                <w:p w14:paraId="27C65711">
                  <w:pPr>
                    <w:keepNext w:val="0"/>
                    <w:keepLines w:val="0"/>
                    <w:pageBreakBefore w:val="0"/>
                    <w:widowControl/>
                    <w:suppressLineNumbers w:val="0"/>
                    <w:kinsoku/>
                    <w:wordWrap/>
                    <w:overflowPunct/>
                    <w:topLinePunct w:val="0"/>
                    <w:autoSpaceDE/>
                    <w:autoSpaceDN/>
                    <w:bidi w:val="0"/>
                    <w:adjustRightInd w:val="0"/>
                    <w:snapToGrid w:val="0"/>
                    <w:jc w:val="left"/>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default" w:ascii="Times New Roman" w:hAnsi="Times New Roman" w:cs="Times New Roman"/>
                      <w:color w:val="auto"/>
                      <w:highlight w:val="none"/>
                    </w:rPr>
                    <w:t>3-6.【土壤/禁止类】禁止向农用地排放重金属或者其他有毒有害物质含量超标的污水、污泥，以及可能造成土壤污染的清淤底泥、尾矿、矿渣等。</w:t>
                  </w:r>
                </w:p>
              </w:tc>
              <w:tc>
                <w:tcPr>
                  <w:tcW w:w="2977" w:type="dxa"/>
                  <w:noWrap w:val="0"/>
                  <w:vAlign w:val="center"/>
                </w:tcPr>
                <w:p w14:paraId="121ADDA3">
                  <w:pPr>
                    <w:adjustRightInd w:val="0"/>
                    <w:snapToGrid w:val="0"/>
                    <w:rPr>
                      <w:rFonts w:hint="default" w:ascii="Times New Roman" w:hAnsi="Times New Roman" w:cs="Times New Roman"/>
                      <w:color w:val="auto"/>
                      <w:highlight w:val="none"/>
                    </w:rPr>
                  </w:pPr>
                  <w:r>
                    <w:rPr>
                      <w:rFonts w:hint="default" w:ascii="Times New Roman" w:hAnsi="Times New Roman" w:cs="Times New Roman"/>
                      <w:color w:val="auto"/>
                      <w:highlight w:val="none"/>
                    </w:rPr>
                    <w:t>3-1、3-2</w:t>
                  </w:r>
                  <w:r>
                    <w:rPr>
                      <w:rFonts w:hint="default" w:ascii="Times New Roman" w:hAnsi="Times New Roman" w:cs="Times New Roman"/>
                      <w:color w:val="auto"/>
                      <w:szCs w:val="21"/>
                      <w:highlight w:val="none"/>
                    </w:rPr>
                    <w:t>本项目</w:t>
                  </w:r>
                  <w:r>
                    <w:rPr>
                      <w:rFonts w:hint="default" w:ascii="Times New Roman" w:hAnsi="Times New Roman" w:cs="Times New Roman"/>
                      <w:color w:val="auto"/>
                      <w:highlight w:val="none"/>
                    </w:rPr>
                    <w:t>无生产废水外排，</w:t>
                  </w:r>
                  <w:r>
                    <w:rPr>
                      <w:rFonts w:hint="eastAsia" w:ascii="Times New Roman" w:hAnsi="Times New Roman" w:cs="Times New Roman"/>
                      <w:color w:val="auto"/>
                      <w:highlight w:val="none"/>
                      <w:lang w:val="en-US" w:eastAsia="zh-CN"/>
                    </w:rPr>
                    <w:t>锅炉排污及软化再生废水经调节絮凝+三级沉淀池处理后回用于原料调配用水；</w:t>
                  </w:r>
                  <w:r>
                    <w:rPr>
                      <w:rFonts w:hint="default" w:ascii="Times New Roman" w:hAnsi="Times New Roman" w:eastAsia="宋体" w:cs="Times New Roman"/>
                      <w:color w:val="auto"/>
                      <w:sz w:val="21"/>
                      <w:szCs w:val="21"/>
                      <w:highlight w:val="none"/>
                      <w:lang w:val="en-US" w:eastAsia="zh-CN"/>
                    </w:rPr>
                    <w:t>搅拌机清洗、运输原材料车辆</w:t>
                  </w:r>
                  <w:r>
                    <w:rPr>
                      <w:rFonts w:hint="default" w:ascii="Times New Roman" w:hAnsi="Times New Roman" w:cs="Times New Roman"/>
                      <w:color w:val="auto"/>
                      <w:sz w:val="21"/>
                      <w:szCs w:val="21"/>
                      <w:highlight w:val="none"/>
                      <w:lang w:val="en-US" w:eastAsia="zh-CN"/>
                    </w:rPr>
                    <w:t>清</w:t>
                  </w:r>
                  <w:r>
                    <w:rPr>
                      <w:rFonts w:hint="default" w:ascii="Times New Roman" w:hAnsi="Times New Roman" w:eastAsia="宋体" w:cs="Times New Roman"/>
                      <w:i w:val="0"/>
                      <w:iCs w:val="0"/>
                      <w:color w:val="auto"/>
                      <w:kern w:val="0"/>
                      <w:sz w:val="21"/>
                      <w:szCs w:val="21"/>
                      <w:highlight w:val="none"/>
                      <w:u w:val="none"/>
                      <w:lang w:val="en-US" w:eastAsia="zh-CN" w:bidi="ar"/>
                    </w:rPr>
                    <w:t>洗</w:t>
                  </w:r>
                  <w:r>
                    <w:rPr>
                      <w:rFonts w:hint="default" w:ascii="Times New Roman" w:hAnsi="Times New Roman" w:eastAsia="宋体" w:cs="Times New Roman"/>
                      <w:color w:val="auto"/>
                      <w:sz w:val="21"/>
                      <w:szCs w:val="21"/>
                      <w:highlight w:val="none"/>
                      <w:lang w:val="en-US" w:eastAsia="zh-CN"/>
                    </w:rPr>
                    <w:t>、搅拌区地面清洗废水</w:t>
                  </w:r>
                  <w:r>
                    <w:rPr>
                      <w:rFonts w:hint="eastAsia" w:ascii="Times New Roman" w:hAnsi="Times New Roman" w:eastAsia="宋体" w:cs="Times New Roman"/>
                      <w:color w:val="auto"/>
                      <w:sz w:val="21"/>
                      <w:szCs w:val="21"/>
                      <w:highlight w:val="none"/>
                      <w:lang w:val="en-US" w:eastAsia="zh-CN"/>
                    </w:rPr>
                    <w:t>经</w:t>
                  </w:r>
                  <w:r>
                    <w:rPr>
                      <w:rFonts w:hint="default" w:ascii="Times New Roman" w:hAnsi="Times New Roman" w:cs="Times New Roman"/>
                      <w:color w:val="auto"/>
                      <w:highlight w:val="none"/>
                      <w:lang w:val="en-US" w:eastAsia="zh-CN"/>
                    </w:rPr>
                    <w:t>三</w:t>
                  </w:r>
                  <w:r>
                    <w:rPr>
                      <w:rFonts w:hint="default" w:ascii="Times New Roman" w:hAnsi="Times New Roman" w:cs="Times New Roman"/>
                      <w:color w:val="auto"/>
                      <w:highlight w:val="none"/>
                    </w:rPr>
                    <w:t>级沉淀池处理后</w:t>
                  </w:r>
                  <w:r>
                    <w:rPr>
                      <w:rFonts w:hint="default" w:ascii="Times New Roman" w:hAnsi="Times New Roman" w:cs="Times New Roman"/>
                      <w:color w:val="auto"/>
                      <w:highlight w:val="none"/>
                      <w:lang w:eastAsia="zh-CN"/>
                    </w:rPr>
                    <w:t>回用于</w:t>
                  </w:r>
                  <w:r>
                    <w:rPr>
                      <w:rFonts w:hint="default" w:ascii="Times New Roman" w:hAnsi="Times New Roman" w:eastAsia="宋体" w:cs="Times New Roman"/>
                      <w:b w:val="0"/>
                      <w:bCs/>
                      <w:color w:val="auto"/>
                      <w:sz w:val="21"/>
                      <w:szCs w:val="21"/>
                      <w:highlight w:val="none"/>
                      <w:vertAlign w:val="baseline"/>
                      <w:lang w:val="en-US" w:eastAsia="zh-CN"/>
                    </w:rPr>
                    <w:t>原料调配用水</w:t>
                  </w:r>
                  <w:r>
                    <w:rPr>
                      <w:rFonts w:hint="eastAsia" w:ascii="Times New Roman" w:hAnsi="Times New Roman" w:eastAsia="宋体" w:cs="Times New Roman"/>
                      <w:color w:val="auto"/>
                      <w:highlight w:val="none"/>
                      <w:lang w:eastAsia="zh-CN"/>
                    </w:rPr>
                    <w:t>；</w:t>
                  </w:r>
                  <w:r>
                    <w:rPr>
                      <w:rFonts w:hint="eastAsia" w:ascii="Times New Roman" w:hAnsi="Times New Roman" w:eastAsia="宋体" w:cs="Times New Roman"/>
                      <w:color w:val="auto"/>
                      <w:highlight w:val="none"/>
                      <w:lang w:val="en-US" w:eastAsia="zh-CN"/>
                    </w:rPr>
                    <w:t>初期雨水经</w:t>
                  </w:r>
                  <w:r>
                    <w:rPr>
                      <w:rFonts w:hint="default" w:ascii="Times New Roman" w:hAnsi="Times New Roman" w:cs="Times New Roman"/>
                      <w:color w:val="auto"/>
                      <w:highlight w:val="none"/>
                    </w:rPr>
                    <w:t>初期雨水收集沉淀后</w:t>
                  </w:r>
                  <w:r>
                    <w:rPr>
                      <w:rFonts w:hint="default" w:ascii="Times New Roman" w:hAnsi="Times New Roman" w:cs="Times New Roman"/>
                      <w:color w:val="auto"/>
                      <w:highlight w:val="none"/>
                      <w:lang w:eastAsia="zh-CN"/>
                    </w:rPr>
                    <w:t>回用于</w:t>
                  </w:r>
                  <w:r>
                    <w:rPr>
                      <w:rFonts w:hint="default" w:ascii="Times New Roman" w:hAnsi="Times New Roman" w:cs="Times New Roman"/>
                      <w:color w:val="auto"/>
                      <w:highlight w:val="none"/>
                      <w:lang w:val="en-US" w:eastAsia="zh-CN"/>
                    </w:rPr>
                    <w:t>养护用水</w:t>
                  </w:r>
                  <w:r>
                    <w:rPr>
                      <w:rFonts w:hint="eastAsia" w:ascii="Times New Roman" w:hAnsi="Times New Roman" w:cs="Times New Roman"/>
                      <w:color w:val="auto"/>
                      <w:highlight w:val="none"/>
                      <w:lang w:val="en-US" w:eastAsia="zh-CN"/>
                    </w:rPr>
                    <w:t>；</w:t>
                  </w:r>
                  <w:r>
                    <w:rPr>
                      <w:rFonts w:hint="default" w:ascii="Times New Roman" w:hAnsi="Times New Roman" w:cs="Times New Roman"/>
                      <w:color w:val="auto"/>
                      <w:highlight w:val="none"/>
                    </w:rPr>
                    <w:t>生活污水经三级化粪池预处理后纳入市政管网排入</w:t>
                  </w:r>
                  <w:r>
                    <w:rPr>
                      <w:rFonts w:hint="default" w:ascii="Times New Roman" w:hAnsi="Times New Roman" w:cs="Times New Roman"/>
                      <w:color w:val="auto"/>
                      <w:szCs w:val="21"/>
                      <w:highlight w:val="none"/>
                    </w:rPr>
                    <w:t>博罗县罗阳街道小金生活污水处理厂</w:t>
                  </w:r>
                  <w:r>
                    <w:rPr>
                      <w:rFonts w:hint="default" w:ascii="Times New Roman" w:hAnsi="Times New Roman" w:cs="Times New Roman"/>
                      <w:color w:val="auto"/>
                      <w:highlight w:val="none"/>
                    </w:rPr>
                    <w:t>深度处理。不会对东江水质、水环境安全构成影响。</w:t>
                  </w:r>
                </w:p>
                <w:p w14:paraId="7755E6B4">
                  <w:pPr>
                    <w:adjustRightInd w:val="0"/>
                    <w:snapToGrid w:val="0"/>
                    <w:rPr>
                      <w:rFonts w:hint="default" w:ascii="Times New Roman" w:hAnsi="Times New Roman" w:cs="Times New Roman"/>
                      <w:color w:val="auto"/>
                      <w:highlight w:val="none"/>
                    </w:rPr>
                  </w:pPr>
                  <w:r>
                    <w:rPr>
                      <w:rFonts w:hint="default" w:ascii="Times New Roman" w:hAnsi="Times New Roman" w:cs="Times New Roman"/>
                      <w:color w:val="auto"/>
                      <w:highlight w:val="none"/>
                    </w:rPr>
                    <w:t>3-3</w:t>
                  </w:r>
                  <w:r>
                    <w:rPr>
                      <w:rFonts w:hint="default" w:ascii="Times New Roman" w:hAnsi="Times New Roman" w:cs="Times New Roman"/>
                      <w:color w:val="auto"/>
                      <w:szCs w:val="21"/>
                      <w:highlight w:val="none"/>
                    </w:rPr>
                    <w:t>本项目无生产废水外排。</w:t>
                  </w:r>
                </w:p>
                <w:p w14:paraId="7A84816B">
                  <w:pPr>
                    <w:adjustRightInd w:val="0"/>
                    <w:snapToGrid w:val="0"/>
                    <w:rPr>
                      <w:rFonts w:hint="default" w:ascii="Times New Roman" w:hAnsi="Times New Roman" w:cs="Times New Roman"/>
                      <w:color w:val="auto"/>
                      <w:highlight w:val="none"/>
                    </w:rPr>
                  </w:pPr>
                  <w:r>
                    <w:rPr>
                      <w:rFonts w:hint="default" w:ascii="Times New Roman" w:hAnsi="Times New Roman" w:cs="Times New Roman"/>
                      <w:color w:val="auto"/>
                      <w:highlight w:val="none"/>
                    </w:rPr>
                    <w:t>3-4</w:t>
                  </w:r>
                  <w:r>
                    <w:rPr>
                      <w:rFonts w:hint="default" w:ascii="Times New Roman" w:hAnsi="Times New Roman" w:cs="Times New Roman"/>
                      <w:color w:val="auto"/>
                      <w:szCs w:val="21"/>
                      <w:highlight w:val="none"/>
                    </w:rPr>
                    <w:t>本项目</w:t>
                  </w:r>
                  <w:r>
                    <w:rPr>
                      <w:rFonts w:hint="default" w:ascii="Times New Roman" w:hAnsi="Times New Roman" w:cs="Times New Roman"/>
                      <w:color w:val="auto"/>
                      <w:highlight w:val="none"/>
                    </w:rPr>
                    <w:t>不涉及农业污染。不使用农药化肥。</w:t>
                  </w:r>
                </w:p>
                <w:p w14:paraId="609A592B">
                  <w:pPr>
                    <w:adjustRightInd w:val="0"/>
                    <w:snapToGrid w:val="0"/>
                    <w:jc w:val="lef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3</w:t>
                  </w:r>
                  <w:r>
                    <w:rPr>
                      <w:rFonts w:hint="default" w:ascii="Times New Roman" w:hAnsi="Times New Roman" w:cs="Times New Roman"/>
                      <w:color w:val="auto"/>
                      <w:highlight w:val="none"/>
                    </w:rPr>
                    <w:t>-</w:t>
                  </w:r>
                  <w:r>
                    <w:rPr>
                      <w:rFonts w:hint="default" w:ascii="Times New Roman" w:hAnsi="Times New Roman" w:cs="Times New Roman"/>
                      <w:color w:val="auto"/>
                      <w:szCs w:val="21"/>
                      <w:highlight w:val="none"/>
                    </w:rPr>
                    <w:t>5</w:t>
                  </w:r>
                  <w:r>
                    <w:rPr>
                      <w:rFonts w:hint="default" w:ascii="Times New Roman" w:hAnsi="Times New Roman" w:eastAsia="宋体" w:cs="Times New Roman"/>
                      <w:color w:val="auto"/>
                      <w:highlight w:val="none"/>
                      <w:lang w:val="en-US" w:eastAsia="zh-CN"/>
                    </w:rPr>
                    <w:t>本项目不属于重点行业，且不涉及VOCs产排。</w:t>
                  </w:r>
                </w:p>
                <w:p w14:paraId="4732D5E5">
                  <w:pPr>
                    <w:adjustRightInd w:val="0"/>
                    <w:snapToGrid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rPr>
                    <w:t>3-6本项目用地不属于农用地，且不涉重金属或者其他有毒有害物质含量超标的污水、污泥，以及可能造成土壤污染的清淤底泥、尾矿、矿渣等。</w:t>
                  </w:r>
                </w:p>
              </w:tc>
              <w:tc>
                <w:tcPr>
                  <w:tcW w:w="397" w:type="dxa"/>
                  <w:noWrap w:val="0"/>
                  <w:vAlign w:val="center"/>
                </w:tcPr>
                <w:p w14:paraId="6CDA47EB">
                  <w:pPr>
                    <w:keepNext w:val="0"/>
                    <w:keepLines w:val="0"/>
                    <w:pageBreakBefore w:val="0"/>
                    <w:widowControl w:val="0"/>
                    <w:kinsoku/>
                    <w:wordWrap/>
                    <w:overflowPunct/>
                    <w:topLinePunct w:val="0"/>
                    <w:autoSpaceDE/>
                    <w:autoSpaceDN/>
                    <w:bidi w:val="0"/>
                    <w:adjustRightInd w:val="0"/>
                    <w:snapToGrid w:val="0"/>
                    <w:spacing w:after="0"/>
                    <w:ind w:left="0"/>
                    <w:jc w:val="center"/>
                    <w:textAlignment w:val="auto"/>
                    <w:rPr>
                      <w:rFonts w:hint="default" w:ascii="Times New Roman" w:hAnsi="Times New Roman" w:eastAsia="宋体" w:cs="Times New Roman"/>
                      <w:b/>
                      <w:bCs/>
                      <w:color w:val="auto"/>
                      <w:kern w:val="0"/>
                      <w:sz w:val="21"/>
                      <w:szCs w:val="21"/>
                      <w:highlight w:val="none"/>
                      <w:vertAlign w:val="baseline"/>
                      <w:lang w:eastAsia="zh-CN"/>
                    </w:rPr>
                  </w:pPr>
                  <w:r>
                    <w:rPr>
                      <w:rFonts w:hint="default" w:ascii="Times New Roman" w:hAnsi="Times New Roman" w:eastAsia="宋体" w:cs="Times New Roman"/>
                      <w:b w:val="0"/>
                      <w:bCs w:val="0"/>
                      <w:color w:val="auto"/>
                      <w:kern w:val="0"/>
                      <w:sz w:val="21"/>
                      <w:szCs w:val="21"/>
                      <w:highlight w:val="none"/>
                      <w:vertAlign w:val="baseline"/>
                      <w:lang w:eastAsia="zh-CN"/>
                    </w:rPr>
                    <w:t>符合</w:t>
                  </w:r>
                </w:p>
              </w:tc>
            </w:tr>
            <w:tr w14:paraId="7ACE6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6" w:type="dxa"/>
                  <w:noWrap w:val="0"/>
                  <w:vAlign w:val="center"/>
                </w:tcPr>
                <w:p w14:paraId="5F3E3963">
                  <w:pPr>
                    <w:keepNext w:val="0"/>
                    <w:keepLines w:val="0"/>
                    <w:pageBreakBefore w:val="0"/>
                    <w:widowControl w:val="0"/>
                    <w:kinsoku/>
                    <w:wordWrap/>
                    <w:overflowPunct/>
                    <w:topLinePunct w:val="0"/>
                    <w:autoSpaceDE/>
                    <w:autoSpaceDN/>
                    <w:bidi w:val="0"/>
                    <w:adjustRightInd w:val="0"/>
                    <w:snapToGrid w:val="0"/>
                    <w:spacing w:after="0"/>
                    <w:ind w:left="0"/>
                    <w:jc w:val="center"/>
                    <w:textAlignment w:val="auto"/>
                    <w:rPr>
                      <w:rFonts w:hint="default" w:ascii="Times New Roman" w:hAnsi="Times New Roman" w:eastAsia="宋体" w:cs="Times New Roman"/>
                      <w:b/>
                      <w:bCs/>
                      <w:color w:val="auto"/>
                      <w:kern w:val="0"/>
                      <w:sz w:val="21"/>
                      <w:szCs w:val="21"/>
                      <w:highlight w:val="none"/>
                      <w:vertAlign w:val="baseline"/>
                    </w:rPr>
                  </w:pPr>
                  <w:r>
                    <w:rPr>
                      <w:rFonts w:hint="default" w:ascii="Times New Roman" w:hAnsi="Times New Roman" w:eastAsia="宋体" w:cs="Times New Roman"/>
                      <w:b/>
                      <w:bCs/>
                      <w:color w:val="auto"/>
                      <w:kern w:val="0"/>
                      <w:sz w:val="21"/>
                      <w:szCs w:val="21"/>
                      <w:highlight w:val="none"/>
                      <w:vertAlign w:val="baseline"/>
                      <w:lang w:eastAsia="zh-CN"/>
                    </w:rPr>
                    <w:t>环境风险防控要求</w:t>
                  </w:r>
                </w:p>
              </w:tc>
              <w:tc>
                <w:tcPr>
                  <w:tcW w:w="4048" w:type="dxa"/>
                  <w:gridSpan w:val="2"/>
                  <w:noWrap w:val="0"/>
                  <w:vAlign w:val="center"/>
                </w:tcPr>
                <w:p w14:paraId="6C1614A3">
                  <w:pPr>
                    <w:pStyle w:val="51"/>
                    <w:adjustRightInd w:val="0"/>
                    <w:snapToGrid w:val="0"/>
                    <w:jc w:val="both"/>
                    <w:rPr>
                      <w:rFonts w:hint="default" w:ascii="Times New Roman" w:hAnsi="Times New Roman" w:cs="Times New Roman"/>
                      <w:color w:val="auto"/>
                      <w:highlight w:val="none"/>
                    </w:rPr>
                  </w:pPr>
                  <w:r>
                    <w:rPr>
                      <w:rFonts w:hint="default" w:ascii="Times New Roman" w:hAnsi="Times New Roman" w:cs="Times New Roman"/>
                      <w:color w:val="auto"/>
                      <w:highlight w:val="none"/>
                    </w:rPr>
                    <w:t>4-1. 【水/综合类】城镇污水处理厂、涉水企业应采取有效措施，防止事故废水直接排入水体。</w:t>
                  </w:r>
                </w:p>
                <w:p w14:paraId="797CA7C8">
                  <w:pPr>
                    <w:pStyle w:val="51"/>
                    <w:adjustRightInd w:val="0"/>
                    <w:snapToGrid w:val="0"/>
                    <w:jc w:val="both"/>
                    <w:rPr>
                      <w:rFonts w:hint="default" w:ascii="Times New Roman" w:hAnsi="Times New Roman" w:cs="Times New Roman"/>
                      <w:color w:val="auto"/>
                      <w:highlight w:val="none"/>
                    </w:rPr>
                  </w:pPr>
                  <w:r>
                    <w:rPr>
                      <w:rFonts w:hint="default" w:ascii="Times New Roman" w:hAnsi="Times New Roman" w:cs="Times New Roman"/>
                      <w:color w:val="auto"/>
                      <w:highlight w:val="none"/>
                    </w:rPr>
                    <w:t>4-2.【水/综合类】加强饮用水水源保护区内环境风险排查，开展风险评估及水环境预警监测。</w:t>
                  </w:r>
                </w:p>
                <w:p w14:paraId="6C098F14">
                  <w:pPr>
                    <w:keepNext w:val="0"/>
                    <w:keepLines w:val="0"/>
                    <w:pageBreakBefore w:val="0"/>
                    <w:widowControl/>
                    <w:suppressLineNumbers w:val="0"/>
                    <w:kinsoku/>
                    <w:wordWrap/>
                    <w:overflowPunct/>
                    <w:topLinePunct w:val="0"/>
                    <w:autoSpaceDE/>
                    <w:autoSpaceDN/>
                    <w:bidi w:val="0"/>
                    <w:adjustRightInd w:val="0"/>
                    <w:snapToGrid w:val="0"/>
                    <w:jc w:val="left"/>
                    <w:textAlignment w:val="auto"/>
                    <w:rPr>
                      <w:rFonts w:hint="default" w:ascii="Times New Roman" w:hAnsi="Times New Roman" w:eastAsia="宋体" w:cs="Times New Roman"/>
                      <w:b/>
                      <w:bCs/>
                      <w:color w:val="auto"/>
                      <w:kern w:val="0"/>
                      <w:sz w:val="21"/>
                      <w:szCs w:val="21"/>
                      <w:highlight w:val="none"/>
                      <w:vertAlign w:val="baseline"/>
                      <w:lang w:eastAsia="zh-CN"/>
                    </w:rPr>
                  </w:pPr>
                  <w:r>
                    <w:rPr>
                      <w:rFonts w:hint="default" w:ascii="Times New Roman" w:hAnsi="Times New Roman" w:cs="Times New Roman"/>
                      <w:color w:val="auto"/>
                      <w:highlight w:val="none"/>
                    </w:rPr>
                    <w:t>4-3.【大气/综合类】建立环境监测预警制度，加强污染天气预警预报；生产、储存和使用有毒有害气体的企业（有毒有害气体的企业指列入《有毒有害大气污染物名录》的、以及其他对人体健康和生态环境造成危害的气体），需建立有毒有害气体环境风险预警体系。</w:t>
                  </w:r>
                </w:p>
              </w:tc>
              <w:tc>
                <w:tcPr>
                  <w:tcW w:w="2977" w:type="dxa"/>
                  <w:noWrap w:val="0"/>
                  <w:vAlign w:val="center"/>
                </w:tcPr>
                <w:p w14:paraId="6A05D7C2">
                  <w:pPr>
                    <w:adjustRightInd w:val="0"/>
                    <w:snapToGrid w:val="0"/>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4</w:t>
                  </w:r>
                  <w:r>
                    <w:rPr>
                      <w:rFonts w:hint="default" w:ascii="Times New Roman" w:hAnsi="Times New Roman" w:cs="Times New Roman"/>
                      <w:color w:val="auto"/>
                      <w:highlight w:val="none"/>
                    </w:rPr>
                    <w:t>-</w:t>
                  </w:r>
                  <w:r>
                    <w:rPr>
                      <w:rFonts w:hint="default" w:ascii="Times New Roman" w:hAnsi="Times New Roman" w:cs="Times New Roman"/>
                      <w:color w:val="auto"/>
                      <w:kern w:val="0"/>
                      <w:szCs w:val="21"/>
                      <w:highlight w:val="none"/>
                    </w:rPr>
                    <w:t>1本项目不属于城镇污水处理厂、涉水企业。</w:t>
                  </w:r>
                </w:p>
                <w:p w14:paraId="212C8DA1">
                  <w:pPr>
                    <w:adjustRightInd w:val="0"/>
                    <w:snapToGrid w:val="0"/>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4</w:t>
                  </w:r>
                  <w:r>
                    <w:rPr>
                      <w:rFonts w:hint="default" w:ascii="Times New Roman" w:hAnsi="Times New Roman" w:cs="Times New Roman"/>
                      <w:color w:val="auto"/>
                      <w:highlight w:val="none"/>
                    </w:rPr>
                    <w:t>-</w:t>
                  </w:r>
                  <w:r>
                    <w:rPr>
                      <w:rFonts w:hint="default" w:ascii="Times New Roman" w:hAnsi="Times New Roman" w:cs="Times New Roman"/>
                      <w:color w:val="auto"/>
                      <w:kern w:val="0"/>
                      <w:szCs w:val="21"/>
                      <w:highlight w:val="none"/>
                    </w:rPr>
                    <w:t>2本项目不位于饮用水水源保护区内。</w:t>
                  </w:r>
                </w:p>
                <w:p w14:paraId="5BD53234">
                  <w:pPr>
                    <w:adjustRightInd w:val="0"/>
                    <w:snapToGrid w:val="0"/>
                    <w:rPr>
                      <w:rFonts w:hint="default" w:ascii="Times New Roman" w:hAnsi="Times New Roman" w:eastAsia="宋体" w:cs="Times New Roman"/>
                      <w:b/>
                      <w:bCs/>
                      <w:color w:val="auto"/>
                      <w:kern w:val="0"/>
                      <w:sz w:val="21"/>
                      <w:szCs w:val="21"/>
                      <w:highlight w:val="none"/>
                      <w:vertAlign w:val="baseline"/>
                      <w:lang w:val="en-US" w:eastAsia="zh-CN"/>
                    </w:rPr>
                  </w:pPr>
                  <w:r>
                    <w:rPr>
                      <w:rFonts w:hint="default" w:ascii="Times New Roman" w:hAnsi="Times New Roman" w:cs="Times New Roman"/>
                      <w:color w:val="auto"/>
                      <w:kern w:val="0"/>
                      <w:szCs w:val="21"/>
                      <w:highlight w:val="none"/>
                    </w:rPr>
                    <w:t>4</w:t>
                  </w:r>
                  <w:r>
                    <w:rPr>
                      <w:rFonts w:hint="default" w:ascii="Times New Roman" w:hAnsi="Times New Roman" w:cs="Times New Roman"/>
                      <w:color w:val="auto"/>
                      <w:highlight w:val="none"/>
                    </w:rPr>
                    <w:t>-</w:t>
                  </w:r>
                  <w:r>
                    <w:rPr>
                      <w:rFonts w:hint="default" w:ascii="Times New Roman" w:hAnsi="Times New Roman" w:cs="Times New Roman"/>
                      <w:color w:val="auto"/>
                      <w:kern w:val="0"/>
                      <w:szCs w:val="21"/>
                      <w:highlight w:val="none"/>
                    </w:rPr>
                    <w:t>3本项目不属于生产、储存和使用有毒有害气体的企业。</w:t>
                  </w:r>
                </w:p>
              </w:tc>
              <w:tc>
                <w:tcPr>
                  <w:tcW w:w="397" w:type="dxa"/>
                  <w:noWrap w:val="0"/>
                  <w:vAlign w:val="center"/>
                </w:tcPr>
                <w:p w14:paraId="274B53AA">
                  <w:pPr>
                    <w:keepNext w:val="0"/>
                    <w:keepLines w:val="0"/>
                    <w:pageBreakBefore w:val="0"/>
                    <w:widowControl w:val="0"/>
                    <w:kinsoku/>
                    <w:wordWrap/>
                    <w:overflowPunct/>
                    <w:topLinePunct w:val="0"/>
                    <w:autoSpaceDE/>
                    <w:autoSpaceDN/>
                    <w:bidi w:val="0"/>
                    <w:adjustRightInd w:val="0"/>
                    <w:snapToGrid w:val="0"/>
                    <w:spacing w:after="0"/>
                    <w:ind w:left="0"/>
                    <w:jc w:val="center"/>
                    <w:textAlignment w:val="auto"/>
                    <w:rPr>
                      <w:rFonts w:hint="default" w:ascii="Times New Roman" w:hAnsi="Times New Roman" w:eastAsia="宋体" w:cs="Times New Roman"/>
                      <w:b/>
                      <w:bCs/>
                      <w:color w:val="auto"/>
                      <w:kern w:val="0"/>
                      <w:sz w:val="21"/>
                      <w:szCs w:val="21"/>
                      <w:highlight w:val="none"/>
                      <w:vertAlign w:val="baseline"/>
                    </w:rPr>
                  </w:pPr>
                  <w:r>
                    <w:rPr>
                      <w:rFonts w:hint="default" w:ascii="Times New Roman" w:hAnsi="Times New Roman" w:eastAsia="宋体" w:cs="Times New Roman"/>
                      <w:b w:val="0"/>
                      <w:bCs w:val="0"/>
                      <w:color w:val="auto"/>
                      <w:kern w:val="0"/>
                      <w:sz w:val="21"/>
                      <w:szCs w:val="21"/>
                      <w:highlight w:val="none"/>
                      <w:vertAlign w:val="baseline"/>
                      <w:lang w:eastAsia="zh-CN"/>
                    </w:rPr>
                    <w:t>符合</w:t>
                  </w:r>
                </w:p>
              </w:tc>
            </w:tr>
          </w:tbl>
          <w:p w14:paraId="2C6B5572">
            <w:pPr>
              <w:keepNext w:val="0"/>
              <w:keepLines w:val="0"/>
              <w:pageBreakBefore w:val="0"/>
              <w:widowControl/>
              <w:kinsoku/>
              <w:wordWrap/>
              <w:overflowPunct/>
              <w:topLinePunct w:val="0"/>
              <w:autoSpaceDE/>
              <w:autoSpaceDN/>
              <w:bidi w:val="0"/>
              <w:adjustRightInd w:val="0"/>
              <w:snapToGrid w:val="0"/>
              <w:spacing w:after="0" w:line="360" w:lineRule="auto"/>
              <w:ind w:left="0" w:leftChars="0" w:firstLine="480" w:firstLineChars="200"/>
              <w:jc w:val="both"/>
              <w:textAlignment w:val="auto"/>
              <w:rPr>
                <w:rFonts w:hint="default" w:ascii="Times New Roman" w:hAnsi="Times New Roman" w:eastAsia="宋体" w:cs="Times New Roman"/>
                <w:b/>
                <w:bCs/>
                <w:color w:val="auto"/>
                <w:kern w:val="44"/>
                <w:sz w:val="24"/>
                <w:szCs w:val="21"/>
                <w:highlight w:val="none"/>
                <w:lang w:val="en-US" w:eastAsia="zh-CN" w:bidi="ar-SA"/>
              </w:rPr>
            </w:pPr>
            <w:r>
              <w:rPr>
                <w:rFonts w:hint="default" w:ascii="Times New Roman" w:hAnsi="Times New Roman" w:eastAsia="宋体" w:cs="Times New Roman"/>
                <w:b w:val="0"/>
                <w:bCs w:val="0"/>
                <w:color w:val="auto"/>
                <w:kern w:val="44"/>
                <w:sz w:val="24"/>
                <w:szCs w:val="21"/>
                <w:highlight w:val="none"/>
                <w:lang w:val="en-US" w:eastAsia="zh-CN" w:bidi="ar-SA"/>
              </w:rPr>
              <w:t>综上所述，项目符合《博罗县生态保护红线、环境质量底线、资源利用上线和环境准入清单研究报告》及《博罗县“三线一单”生态环境分区管控图集》的要求。</w:t>
            </w:r>
          </w:p>
          <w:p w14:paraId="64798728">
            <w:pPr>
              <w:keepNext w:val="0"/>
              <w:keepLines w:val="0"/>
              <w:pageBreakBefore w:val="0"/>
              <w:widowControl w:val="0"/>
              <w:kinsoku/>
              <w:wordWrap/>
              <w:overflowPunct/>
              <w:topLinePunct w:val="0"/>
              <w:autoSpaceDE w:val="0"/>
              <w:autoSpaceDN w:val="0"/>
              <w:bidi w:val="0"/>
              <w:adjustRightInd w:val="0"/>
              <w:snapToGrid w:val="0"/>
              <w:spacing w:after="0" w:line="360" w:lineRule="auto"/>
              <w:ind w:firstLine="482" w:firstLineChars="200"/>
              <w:jc w:val="both"/>
              <w:rPr>
                <w:rFonts w:hint="default" w:ascii="Times New Roman" w:hAnsi="Times New Roman" w:eastAsia="宋体" w:cs="Times New Roman"/>
                <w:b/>
                <w:bCs/>
                <w:color w:val="auto"/>
                <w:sz w:val="24"/>
                <w:szCs w:val="21"/>
                <w:highlight w:val="none"/>
              </w:rPr>
            </w:pPr>
            <w:r>
              <w:rPr>
                <w:rFonts w:hint="default" w:ascii="Times New Roman" w:hAnsi="Times New Roman" w:eastAsia="宋体" w:cs="Times New Roman"/>
                <w:b/>
                <w:bCs/>
                <w:color w:val="auto"/>
                <w:sz w:val="24"/>
                <w:szCs w:val="21"/>
                <w:highlight w:val="none"/>
                <w:lang w:val="en-US" w:eastAsia="zh-CN"/>
              </w:rPr>
              <w:t>2</w:t>
            </w:r>
            <w:r>
              <w:rPr>
                <w:rFonts w:hint="default" w:ascii="Times New Roman" w:hAnsi="Times New Roman" w:eastAsia="宋体" w:cs="Times New Roman"/>
                <w:b/>
                <w:bCs/>
                <w:color w:val="auto"/>
                <w:sz w:val="24"/>
                <w:szCs w:val="21"/>
                <w:highlight w:val="none"/>
              </w:rPr>
              <w:t>、与产业政策合理性分析</w:t>
            </w:r>
          </w:p>
          <w:p w14:paraId="63D3BBC1">
            <w:pPr>
              <w:adjustRightInd w:val="0"/>
              <w:snapToGrid w:val="0"/>
              <w:spacing w:line="360" w:lineRule="auto"/>
              <w:ind w:firstLine="470" w:firstLineChars="196"/>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szCs w:val="24"/>
                <w:highlight w:val="none"/>
                <w:lang w:eastAsia="zh-CN"/>
              </w:rPr>
              <w:t>项目</w:t>
            </w:r>
            <w:r>
              <w:rPr>
                <w:rFonts w:hint="default" w:ascii="Times New Roman" w:hAnsi="Times New Roman" w:eastAsia="宋体" w:cs="Times New Roman"/>
                <w:color w:val="auto"/>
                <w:sz w:val="24"/>
                <w:szCs w:val="24"/>
                <w:highlight w:val="none"/>
              </w:rPr>
              <w:t>主要</w:t>
            </w:r>
            <w:r>
              <w:rPr>
                <w:rFonts w:hint="default" w:ascii="Times New Roman" w:hAnsi="Times New Roman" w:eastAsia="宋体" w:cs="Times New Roman"/>
                <w:color w:val="auto"/>
                <w:sz w:val="24"/>
                <w:szCs w:val="24"/>
                <w:highlight w:val="none"/>
                <w:lang w:eastAsia="zh-CN"/>
              </w:rPr>
              <w:t>从事轨道板及Ⅲa型轨枕的生产</w:t>
            </w:r>
            <w:r>
              <w:rPr>
                <w:rFonts w:hint="default" w:ascii="Times New Roman" w:hAnsi="Times New Roman" w:eastAsia="宋体" w:cs="Times New Roman"/>
                <w:color w:val="auto"/>
                <w:sz w:val="24"/>
                <w:szCs w:val="24"/>
                <w:highlight w:val="none"/>
              </w:rPr>
              <w:t>，属于《国民经济行业分类》（GB</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T4754-2017</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（按第1号修改单修订）中的</w:t>
            </w:r>
            <w:r>
              <w:rPr>
                <w:rFonts w:hint="default" w:ascii="Times New Roman" w:hAnsi="Times New Roman" w:eastAsia="宋体" w:cs="Times New Roman"/>
                <w:color w:val="auto"/>
                <w:kern w:val="2"/>
                <w:sz w:val="24"/>
                <w:szCs w:val="21"/>
                <w:highlight w:val="none"/>
                <w:lang w:val="en-US" w:eastAsia="zh-CN"/>
              </w:rPr>
              <w:t>C</w:t>
            </w:r>
            <w:r>
              <w:rPr>
                <w:rFonts w:hint="default" w:ascii="Times New Roman" w:hAnsi="Times New Roman" w:eastAsia="宋体" w:cs="Times New Roman"/>
                <w:color w:val="auto"/>
                <w:sz w:val="24"/>
                <w:highlight w:val="none"/>
              </w:rPr>
              <w:t>3021水泥制品制造</w:t>
            </w:r>
            <w:r>
              <w:rPr>
                <w:rFonts w:hint="default" w:ascii="Times New Roman" w:hAnsi="Times New Roman" w:eastAsia="宋体" w:cs="Times New Roman"/>
                <w:color w:val="auto"/>
                <w:sz w:val="24"/>
                <w:highlight w:val="none"/>
                <w:lang w:val="en-US" w:eastAsia="zh-CN"/>
              </w:rPr>
              <w:t>及</w:t>
            </w:r>
            <w:r>
              <w:rPr>
                <w:rFonts w:hint="default" w:ascii="Times New Roman" w:hAnsi="Times New Roman" w:eastAsia="宋体" w:cs="Times New Roman"/>
                <w:color w:val="auto"/>
                <w:kern w:val="2"/>
                <w:sz w:val="24"/>
                <w:szCs w:val="21"/>
                <w:highlight w:val="none"/>
                <w:lang w:val="en-US" w:eastAsia="zh-CN"/>
              </w:rPr>
              <w:t>C</w:t>
            </w:r>
            <w:r>
              <w:rPr>
                <w:rFonts w:hint="default" w:ascii="Times New Roman" w:hAnsi="Times New Roman" w:eastAsia="宋体" w:cs="Times New Roman"/>
                <w:color w:val="auto"/>
                <w:spacing w:val="-2"/>
                <w:sz w:val="24"/>
                <w:highlight w:val="none"/>
              </w:rPr>
              <w:t>3022砼结构构件制造</w:t>
            </w:r>
            <w:r>
              <w:rPr>
                <w:rFonts w:hint="default" w:ascii="Times New Roman" w:hAnsi="Times New Roman" w:eastAsia="宋体" w:cs="Times New Roman"/>
                <w:color w:val="auto"/>
                <w:kern w:val="2"/>
                <w:sz w:val="24"/>
                <w:szCs w:val="21"/>
                <w:highlight w:val="none"/>
                <w:lang w:eastAsia="zh-CN"/>
              </w:rPr>
              <w:t>，</w:t>
            </w:r>
            <w:r>
              <w:rPr>
                <w:rFonts w:hint="default" w:ascii="Times New Roman" w:hAnsi="Times New Roman" w:eastAsia="宋体" w:cs="Times New Roman"/>
                <w:color w:val="auto"/>
                <w:sz w:val="24"/>
                <w:szCs w:val="24"/>
                <w:highlight w:val="none"/>
              </w:rPr>
              <w:t>不属于</w:t>
            </w:r>
            <w:r>
              <w:rPr>
                <w:rFonts w:hint="default" w:ascii="Times New Roman" w:hAnsi="Times New Roman" w:cs="Times New Roman"/>
                <w:color w:val="auto"/>
                <w:sz w:val="24"/>
                <w:szCs w:val="24"/>
                <w:highlight w:val="none"/>
                <w:lang w:val="en-US" w:eastAsia="zh-CN"/>
              </w:rPr>
              <w:t>《中华人民共和国国家发展和改革委员会令第7号产业结构调整指导目录（2024年本）》（中华人民共和国国家发展和改革委员会令第7号）</w:t>
            </w:r>
            <w:r>
              <w:rPr>
                <w:rFonts w:hint="default" w:ascii="Times New Roman" w:hAnsi="Times New Roman" w:eastAsia="宋体" w:cs="Times New Roman"/>
                <w:color w:val="auto"/>
                <w:sz w:val="24"/>
                <w:szCs w:val="24"/>
                <w:highlight w:val="none"/>
              </w:rPr>
              <w:t>中的限制类</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本项目生产的轨枕主要为</w:t>
            </w:r>
            <w:r>
              <w:rPr>
                <w:rFonts w:hint="default" w:ascii="Times New Roman" w:hAnsi="Times New Roman" w:eastAsia="宋体" w:cs="Times New Roman"/>
                <w:color w:val="auto"/>
                <w:kern w:val="2"/>
                <w:sz w:val="24"/>
                <w:szCs w:val="21"/>
                <w:highlight w:val="none"/>
                <w:lang w:val="en-US" w:eastAsia="zh-CN" w:bidi="ar-SA"/>
              </w:rPr>
              <w:t>Ⅲa型，</w:t>
            </w:r>
            <w:r>
              <w:rPr>
                <w:rFonts w:hint="default" w:ascii="Times New Roman" w:hAnsi="Times New Roman" w:eastAsia="宋体" w:cs="Times New Roman"/>
                <w:color w:val="auto"/>
                <w:kern w:val="0"/>
                <w:sz w:val="24"/>
                <w:highlight w:val="none"/>
              </w:rPr>
              <w:t>不属于该名录中“淘汰类：二、落后产品（五）建材类4、S-2型混凝土轨枕，不属于淘汰类，</w:t>
            </w:r>
            <w:r>
              <w:rPr>
                <w:rFonts w:hint="default" w:ascii="Times New Roman" w:hAnsi="Times New Roman" w:eastAsia="宋体" w:cs="Times New Roman"/>
                <w:color w:val="auto"/>
                <w:kern w:val="0"/>
                <w:sz w:val="24"/>
                <w:highlight w:val="none"/>
                <w:lang w:val="en-US" w:eastAsia="zh-CN"/>
              </w:rPr>
              <w:t>项目轨道板及轨枕生产</w:t>
            </w:r>
            <w:r>
              <w:rPr>
                <w:rFonts w:hint="default" w:ascii="Times New Roman" w:hAnsi="Times New Roman" w:eastAsia="宋体" w:cs="Times New Roman"/>
                <w:color w:val="auto"/>
                <w:kern w:val="0"/>
                <w:sz w:val="24"/>
                <w:highlight w:val="none"/>
              </w:rPr>
              <w:t>为允许类项目。</w:t>
            </w:r>
          </w:p>
          <w:p w14:paraId="26D17A70">
            <w:pPr>
              <w:keepNext w:val="0"/>
              <w:keepLines w:val="0"/>
              <w:pageBreakBefore w:val="0"/>
              <w:widowControl w:val="0"/>
              <w:kinsoku/>
              <w:wordWrap/>
              <w:overflowPunct/>
              <w:topLinePunct w:val="0"/>
              <w:autoSpaceDE w:val="0"/>
              <w:autoSpaceDN w:val="0"/>
              <w:bidi w:val="0"/>
              <w:adjustRightInd w:val="0"/>
              <w:snapToGrid w:val="0"/>
              <w:spacing w:after="0" w:line="360" w:lineRule="auto"/>
              <w:ind w:firstLine="482" w:firstLineChars="200"/>
              <w:jc w:val="both"/>
              <w:textAlignment w:val="auto"/>
              <w:rPr>
                <w:rFonts w:hint="default" w:ascii="Times New Roman" w:hAnsi="Times New Roman" w:eastAsia="宋体" w:cs="Times New Roman"/>
                <w:b/>
                <w:bCs/>
                <w:color w:val="auto"/>
                <w:sz w:val="24"/>
                <w:szCs w:val="21"/>
                <w:highlight w:val="none"/>
              </w:rPr>
            </w:pPr>
            <w:r>
              <w:rPr>
                <w:rFonts w:hint="default" w:ascii="Times New Roman" w:hAnsi="Times New Roman" w:eastAsia="宋体" w:cs="Times New Roman"/>
                <w:b/>
                <w:bCs/>
                <w:color w:val="auto"/>
                <w:sz w:val="24"/>
                <w:szCs w:val="21"/>
                <w:highlight w:val="none"/>
                <w:lang w:val="en-US" w:eastAsia="zh-CN"/>
              </w:rPr>
              <w:t>3</w:t>
            </w:r>
            <w:r>
              <w:rPr>
                <w:rFonts w:hint="default" w:ascii="Times New Roman" w:hAnsi="Times New Roman" w:eastAsia="宋体" w:cs="Times New Roman"/>
                <w:b/>
                <w:bCs/>
                <w:color w:val="auto"/>
                <w:sz w:val="24"/>
                <w:szCs w:val="21"/>
                <w:highlight w:val="none"/>
              </w:rPr>
              <w:t>、与</w:t>
            </w:r>
            <w:r>
              <w:rPr>
                <w:rFonts w:hint="default" w:ascii="Times New Roman" w:hAnsi="Times New Roman" w:eastAsia="宋体" w:cs="Times New Roman"/>
                <w:b/>
                <w:bCs/>
                <w:color w:val="auto"/>
                <w:kern w:val="0"/>
                <w:sz w:val="24"/>
                <w:szCs w:val="21"/>
                <w:highlight w:val="none"/>
                <w:lang w:val="en-US" w:eastAsia="zh-CN"/>
              </w:rPr>
              <w:t>《市场准入负面清单（202</w:t>
            </w:r>
            <w:r>
              <w:rPr>
                <w:rFonts w:hint="eastAsia" w:ascii="Times New Roman" w:hAnsi="Times New Roman" w:eastAsia="宋体" w:cs="Times New Roman"/>
                <w:b/>
                <w:bCs/>
                <w:color w:val="auto"/>
                <w:kern w:val="0"/>
                <w:sz w:val="24"/>
                <w:szCs w:val="21"/>
                <w:highlight w:val="none"/>
                <w:lang w:val="en-US" w:eastAsia="zh-CN"/>
              </w:rPr>
              <w:t>5</w:t>
            </w:r>
            <w:r>
              <w:rPr>
                <w:rFonts w:hint="default" w:ascii="Times New Roman" w:hAnsi="Times New Roman" w:eastAsia="宋体" w:cs="Times New Roman"/>
                <w:b/>
                <w:bCs/>
                <w:color w:val="auto"/>
                <w:kern w:val="0"/>
                <w:sz w:val="24"/>
                <w:szCs w:val="21"/>
                <w:highlight w:val="none"/>
                <w:lang w:val="en-US" w:eastAsia="zh-CN"/>
              </w:rPr>
              <w:t>年版）》（</w:t>
            </w:r>
            <w:r>
              <w:rPr>
                <w:rFonts w:ascii="Times New Roman" w:hAnsi="Times New Roman" w:eastAsia="宋体" w:cs="Times New Roman"/>
                <w:b/>
                <w:bCs/>
                <w:color w:val="auto"/>
                <w:kern w:val="0"/>
                <w:sz w:val="24"/>
                <w:szCs w:val="21"/>
                <w:highlight w:val="none"/>
              </w:rPr>
              <w:t>发改体改规〔202</w:t>
            </w:r>
            <w:r>
              <w:rPr>
                <w:rFonts w:hint="eastAsia" w:ascii="Times New Roman" w:hAnsi="Times New Roman" w:eastAsia="宋体" w:cs="Times New Roman"/>
                <w:b/>
                <w:bCs/>
                <w:color w:val="auto"/>
                <w:kern w:val="0"/>
                <w:sz w:val="24"/>
                <w:szCs w:val="21"/>
                <w:highlight w:val="none"/>
              </w:rPr>
              <w:t>5</w:t>
            </w:r>
            <w:r>
              <w:rPr>
                <w:rFonts w:ascii="Times New Roman" w:hAnsi="Times New Roman" w:eastAsia="宋体" w:cs="Times New Roman"/>
                <w:b/>
                <w:bCs/>
                <w:color w:val="auto"/>
                <w:kern w:val="0"/>
                <w:sz w:val="24"/>
                <w:szCs w:val="21"/>
                <w:highlight w:val="none"/>
              </w:rPr>
              <w:t>〕</w:t>
            </w:r>
            <w:r>
              <w:rPr>
                <w:rFonts w:hint="eastAsia" w:ascii="Times New Roman" w:hAnsi="Times New Roman" w:eastAsia="宋体" w:cs="Times New Roman"/>
                <w:b/>
                <w:bCs/>
                <w:color w:val="auto"/>
                <w:kern w:val="0"/>
                <w:sz w:val="24"/>
                <w:szCs w:val="21"/>
                <w:highlight w:val="none"/>
              </w:rPr>
              <w:t>466</w:t>
            </w:r>
            <w:r>
              <w:rPr>
                <w:rFonts w:ascii="Times New Roman" w:hAnsi="Times New Roman" w:eastAsia="宋体" w:cs="Times New Roman"/>
                <w:b/>
                <w:bCs/>
                <w:color w:val="auto"/>
                <w:kern w:val="0"/>
                <w:sz w:val="24"/>
                <w:szCs w:val="21"/>
                <w:highlight w:val="none"/>
              </w:rPr>
              <w:t>号</w:t>
            </w:r>
            <w:r>
              <w:rPr>
                <w:rFonts w:hint="default" w:ascii="Times New Roman" w:hAnsi="Times New Roman" w:eastAsia="宋体" w:cs="Times New Roman"/>
                <w:b/>
                <w:bCs/>
                <w:color w:val="auto"/>
                <w:kern w:val="0"/>
                <w:sz w:val="24"/>
                <w:szCs w:val="21"/>
                <w:highlight w:val="none"/>
                <w:lang w:val="en-US" w:eastAsia="zh-CN"/>
              </w:rPr>
              <w:t>）</w:t>
            </w:r>
            <w:r>
              <w:rPr>
                <w:rFonts w:hint="default" w:ascii="Times New Roman" w:hAnsi="Times New Roman" w:eastAsia="宋体" w:cs="Times New Roman"/>
                <w:b/>
                <w:bCs/>
                <w:color w:val="auto"/>
                <w:sz w:val="24"/>
                <w:szCs w:val="21"/>
                <w:highlight w:val="none"/>
              </w:rPr>
              <w:t>的相符性分析</w:t>
            </w:r>
          </w:p>
          <w:p w14:paraId="147FC410">
            <w:pPr>
              <w:keepNext w:val="0"/>
              <w:keepLines w:val="0"/>
              <w:pageBreakBefore w:val="0"/>
              <w:widowControl w:val="0"/>
              <w:kinsoku/>
              <w:wordWrap/>
              <w:overflowPunct/>
              <w:topLinePunct w:val="0"/>
              <w:autoSpaceDE w:val="0"/>
              <w:autoSpaceDN w:val="0"/>
              <w:bidi w:val="0"/>
              <w:adjustRightInd w:val="0"/>
              <w:snapToGrid w:val="0"/>
              <w:spacing w:after="0" w:line="360" w:lineRule="auto"/>
              <w:ind w:firstLine="480" w:firstLineChars="200"/>
              <w:jc w:val="both"/>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根据《市场准入负面清单》（202</w:t>
            </w:r>
            <w:r>
              <w:rPr>
                <w:rFonts w:hint="eastAsia"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年版）内容：对禁止准入事项，市场主体不得进入，行政机关不予审批、核准，不得办理有关手续；对许可准入事项，包括有关资格的要求和程序、技术标准和许可要求等，由市场主体提出申请，行政机关依法依规作出是否予以准入的决定；对市场准入负面清单以外的行业、领域、业务等，各类市场主体皆可依法平等进入。</w:t>
            </w:r>
          </w:p>
          <w:p w14:paraId="48582DA1">
            <w:pPr>
              <w:keepNext w:val="0"/>
              <w:keepLines w:val="0"/>
              <w:pageBreakBefore w:val="0"/>
              <w:widowControl w:val="0"/>
              <w:kinsoku/>
              <w:wordWrap/>
              <w:overflowPunct/>
              <w:topLinePunct w:val="0"/>
              <w:autoSpaceDE w:val="0"/>
              <w:autoSpaceDN w:val="0"/>
              <w:bidi w:val="0"/>
              <w:adjustRightInd w:val="0"/>
              <w:snapToGrid w:val="0"/>
              <w:spacing w:after="0" w:line="360" w:lineRule="auto"/>
              <w:ind w:firstLine="480" w:firstLineChars="200"/>
              <w:jc w:val="both"/>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项目主要从事轨道板及Ⅲa型轨枕的生产</w:t>
            </w:r>
            <w:r>
              <w:rPr>
                <w:rFonts w:hint="default" w:ascii="Times New Roman" w:hAnsi="Times New Roman" w:eastAsia="宋体" w:cs="Times New Roman"/>
                <w:color w:val="auto"/>
                <w:sz w:val="24"/>
                <w:szCs w:val="24"/>
                <w:highlight w:val="none"/>
              </w:rPr>
              <w:t>，属于《国民经济行业分类》（GB</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T4754-2017</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（按第1号修改单修订）中的</w:t>
            </w:r>
            <w:r>
              <w:rPr>
                <w:rFonts w:hint="default" w:ascii="Times New Roman" w:hAnsi="Times New Roman" w:eastAsia="宋体" w:cs="Times New Roman"/>
                <w:color w:val="auto"/>
                <w:kern w:val="2"/>
                <w:sz w:val="24"/>
                <w:szCs w:val="21"/>
                <w:highlight w:val="none"/>
                <w:lang w:val="en-US" w:eastAsia="zh-CN"/>
              </w:rPr>
              <w:t>C3021水泥制品制造及C3022砼结构构件制造</w:t>
            </w:r>
            <w:r>
              <w:rPr>
                <w:rFonts w:hint="default" w:ascii="Times New Roman" w:hAnsi="Times New Roman" w:eastAsia="宋体" w:cs="Times New Roman"/>
                <w:color w:val="auto"/>
                <w:kern w:val="2"/>
                <w:sz w:val="24"/>
                <w:szCs w:val="21"/>
                <w:highlight w:val="none"/>
                <w:lang w:eastAsia="zh-CN"/>
              </w:rPr>
              <w:t>，</w:t>
            </w:r>
            <w:r>
              <w:rPr>
                <w:rFonts w:hint="default" w:ascii="Times New Roman" w:hAnsi="Times New Roman" w:cs="Times New Roman"/>
                <w:color w:val="auto"/>
                <w:kern w:val="0"/>
                <w:sz w:val="24"/>
                <w:szCs w:val="21"/>
                <w:highlight w:val="none"/>
              </w:rPr>
              <w:t>不属于</w:t>
            </w:r>
            <w:r>
              <w:rPr>
                <w:rFonts w:hint="default" w:ascii="Times New Roman" w:hAnsi="Times New Roman" w:eastAsia="宋体" w:cs="Times New Roman"/>
                <w:color w:val="auto"/>
                <w:kern w:val="0"/>
                <w:sz w:val="24"/>
                <w:szCs w:val="21"/>
                <w:highlight w:val="none"/>
              </w:rPr>
              <w:t>《市场准入负</w:t>
            </w:r>
            <w:r>
              <w:rPr>
                <w:rFonts w:hint="default" w:ascii="Times New Roman" w:hAnsi="Times New Roman" w:cs="Times New Roman"/>
                <w:color w:val="auto"/>
                <w:sz w:val="24"/>
                <w:szCs w:val="21"/>
                <w:highlight w:val="none"/>
              </w:rPr>
              <w:t>面清单》</w:t>
            </w:r>
            <w:r>
              <w:rPr>
                <w:rFonts w:hint="default" w:ascii="Times New Roman" w:hAnsi="Times New Roman" w:eastAsia="宋体" w:cs="Times New Roman"/>
                <w:color w:val="auto"/>
                <w:sz w:val="24"/>
                <w:highlight w:val="none"/>
              </w:rPr>
              <w:t>（202</w:t>
            </w:r>
            <w:r>
              <w:rPr>
                <w:rFonts w:hint="eastAsia" w:ascii="Times New Roman" w:hAnsi="Times New Roman" w:eastAsia="宋体" w:cs="Times New Roman"/>
                <w:color w:val="auto"/>
                <w:sz w:val="24"/>
                <w:highlight w:val="none"/>
                <w:lang w:val="en-US" w:eastAsia="zh-CN"/>
              </w:rPr>
              <w:t>5</w:t>
            </w:r>
            <w:r>
              <w:rPr>
                <w:rFonts w:hint="default" w:ascii="Times New Roman" w:hAnsi="Times New Roman" w:eastAsia="宋体" w:cs="Times New Roman"/>
                <w:color w:val="auto"/>
                <w:sz w:val="24"/>
                <w:highlight w:val="none"/>
              </w:rPr>
              <w:t>年版）（发改体改规〔202</w:t>
            </w:r>
            <w:r>
              <w:rPr>
                <w:rFonts w:hint="eastAsia" w:ascii="Times New Roman" w:hAnsi="Times New Roman" w:eastAsia="宋体" w:cs="Times New Roman"/>
                <w:color w:val="auto"/>
                <w:sz w:val="24"/>
                <w:highlight w:val="none"/>
                <w:lang w:val="en-US" w:eastAsia="zh-CN"/>
              </w:rPr>
              <w:t>5</w:t>
            </w:r>
            <w:r>
              <w:rPr>
                <w:rFonts w:hint="default"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lang w:val="en-US" w:eastAsia="zh-CN"/>
              </w:rPr>
              <w:t>466</w:t>
            </w:r>
            <w:r>
              <w:rPr>
                <w:rFonts w:hint="default" w:ascii="Times New Roman" w:hAnsi="Times New Roman" w:eastAsia="宋体" w:cs="Times New Roman"/>
                <w:color w:val="auto"/>
                <w:sz w:val="24"/>
                <w:highlight w:val="none"/>
              </w:rPr>
              <w:t>号）</w:t>
            </w:r>
            <w:r>
              <w:rPr>
                <w:rFonts w:hint="default" w:ascii="Times New Roman" w:hAnsi="Times New Roman" w:eastAsia="宋体" w:cs="Times New Roman"/>
                <w:color w:val="auto"/>
                <w:sz w:val="24"/>
                <w:szCs w:val="24"/>
                <w:highlight w:val="none"/>
              </w:rPr>
              <w:t>禁止或需要许可的类别，</w:t>
            </w:r>
            <w:r>
              <w:rPr>
                <w:rFonts w:hint="default" w:ascii="Times New Roman" w:hAnsi="Times New Roman" w:eastAsia="宋体" w:cs="Times New Roman"/>
                <w:color w:val="auto"/>
                <w:sz w:val="24"/>
                <w:szCs w:val="24"/>
                <w:highlight w:val="none"/>
                <w:lang w:eastAsia="zh-CN"/>
              </w:rPr>
              <w:t>项目</w:t>
            </w:r>
            <w:r>
              <w:rPr>
                <w:rFonts w:hint="default" w:ascii="Times New Roman" w:hAnsi="Times New Roman" w:eastAsia="宋体" w:cs="Times New Roman"/>
                <w:color w:val="auto"/>
                <w:sz w:val="24"/>
                <w:szCs w:val="24"/>
                <w:highlight w:val="none"/>
              </w:rPr>
              <w:t>建设符合</w:t>
            </w:r>
            <w:r>
              <w:rPr>
                <w:rFonts w:hint="default" w:ascii="Times New Roman" w:hAnsi="Times New Roman" w:cs="Times New Roman"/>
                <w:color w:val="auto"/>
                <w:kern w:val="0"/>
                <w:sz w:val="24"/>
                <w:szCs w:val="21"/>
                <w:highlight w:val="none"/>
              </w:rPr>
              <w:t>不属于</w:t>
            </w:r>
            <w:r>
              <w:rPr>
                <w:rFonts w:hint="default" w:ascii="Times New Roman" w:hAnsi="Times New Roman" w:eastAsia="宋体" w:cs="Times New Roman"/>
                <w:color w:val="auto"/>
                <w:kern w:val="0"/>
                <w:sz w:val="24"/>
                <w:szCs w:val="21"/>
                <w:highlight w:val="none"/>
              </w:rPr>
              <w:t>《市场准入负</w:t>
            </w:r>
            <w:r>
              <w:rPr>
                <w:rFonts w:hint="default" w:ascii="Times New Roman" w:hAnsi="Times New Roman" w:cs="Times New Roman"/>
                <w:color w:val="auto"/>
                <w:sz w:val="24"/>
                <w:szCs w:val="21"/>
                <w:highlight w:val="none"/>
              </w:rPr>
              <w:t>面清单》</w:t>
            </w:r>
            <w:r>
              <w:rPr>
                <w:rFonts w:hint="default" w:ascii="Times New Roman" w:hAnsi="Times New Roman" w:eastAsia="宋体" w:cs="Times New Roman"/>
                <w:color w:val="auto"/>
                <w:sz w:val="24"/>
                <w:highlight w:val="none"/>
              </w:rPr>
              <w:t>（202</w:t>
            </w:r>
            <w:r>
              <w:rPr>
                <w:rFonts w:hint="eastAsia" w:ascii="Times New Roman" w:hAnsi="Times New Roman" w:eastAsia="宋体" w:cs="Times New Roman"/>
                <w:color w:val="auto"/>
                <w:sz w:val="24"/>
                <w:highlight w:val="none"/>
                <w:lang w:val="en-US" w:eastAsia="zh-CN"/>
              </w:rPr>
              <w:t>5</w:t>
            </w:r>
            <w:r>
              <w:rPr>
                <w:rFonts w:hint="default" w:ascii="Times New Roman" w:hAnsi="Times New Roman" w:eastAsia="宋体" w:cs="Times New Roman"/>
                <w:color w:val="auto"/>
                <w:sz w:val="24"/>
                <w:highlight w:val="none"/>
              </w:rPr>
              <w:t>年版）（发改体改规〔202</w:t>
            </w:r>
            <w:r>
              <w:rPr>
                <w:rFonts w:hint="eastAsia" w:ascii="Times New Roman" w:hAnsi="Times New Roman" w:eastAsia="宋体" w:cs="Times New Roman"/>
                <w:color w:val="auto"/>
                <w:sz w:val="24"/>
                <w:highlight w:val="none"/>
                <w:lang w:val="en-US" w:eastAsia="zh-CN"/>
              </w:rPr>
              <w:t>5</w:t>
            </w:r>
            <w:r>
              <w:rPr>
                <w:rFonts w:hint="default" w:ascii="Times New Roman" w:hAnsi="Times New Roman" w:eastAsia="宋体" w:cs="Times New Roman"/>
                <w:color w:val="auto"/>
                <w:sz w:val="24"/>
                <w:highlight w:val="none"/>
              </w:rPr>
              <w:t>2〕</w:t>
            </w:r>
            <w:r>
              <w:rPr>
                <w:rFonts w:hint="eastAsia" w:ascii="Times New Roman" w:hAnsi="Times New Roman" w:eastAsia="宋体" w:cs="Times New Roman"/>
                <w:color w:val="auto"/>
                <w:sz w:val="24"/>
                <w:highlight w:val="none"/>
                <w:lang w:val="en-US" w:eastAsia="zh-CN"/>
              </w:rPr>
              <w:t>466</w:t>
            </w:r>
            <w:r>
              <w:rPr>
                <w:rFonts w:hint="default" w:ascii="Times New Roman" w:hAnsi="Times New Roman" w:eastAsia="宋体" w:cs="Times New Roman"/>
                <w:color w:val="auto"/>
                <w:sz w:val="24"/>
                <w:highlight w:val="none"/>
              </w:rPr>
              <w:t>号）</w:t>
            </w:r>
            <w:r>
              <w:rPr>
                <w:rFonts w:hint="default" w:ascii="Times New Roman" w:hAnsi="Times New Roman" w:eastAsia="宋体" w:cs="Times New Roman"/>
                <w:color w:val="auto"/>
                <w:sz w:val="24"/>
                <w:highlight w:val="none"/>
                <w:lang w:val="en-US" w:eastAsia="zh-CN"/>
              </w:rPr>
              <w:t>相关要求</w:t>
            </w:r>
            <w:r>
              <w:rPr>
                <w:rFonts w:hint="default" w:ascii="Times New Roman" w:hAnsi="Times New Roman" w:eastAsia="宋体" w:cs="Times New Roman"/>
                <w:color w:val="auto"/>
                <w:sz w:val="24"/>
                <w:szCs w:val="24"/>
                <w:highlight w:val="none"/>
              </w:rPr>
              <w:t>。</w:t>
            </w:r>
          </w:p>
          <w:p w14:paraId="1830C01F">
            <w:pPr>
              <w:keepNext w:val="0"/>
              <w:keepLines w:val="0"/>
              <w:pageBreakBefore w:val="0"/>
              <w:widowControl w:val="0"/>
              <w:kinsoku/>
              <w:wordWrap/>
              <w:overflowPunct/>
              <w:topLinePunct w:val="0"/>
              <w:autoSpaceDE w:val="0"/>
              <w:autoSpaceDN w:val="0"/>
              <w:bidi w:val="0"/>
              <w:adjustRightInd w:val="0"/>
              <w:snapToGrid w:val="0"/>
              <w:spacing w:after="0" w:line="360" w:lineRule="auto"/>
              <w:ind w:firstLine="482" w:firstLineChars="200"/>
              <w:jc w:val="both"/>
              <w:rPr>
                <w:rFonts w:hint="default" w:ascii="Times New Roman" w:hAnsi="Times New Roman" w:eastAsia="宋体" w:cs="Times New Roman"/>
                <w:b/>
                <w:bCs/>
                <w:color w:val="auto"/>
                <w:sz w:val="24"/>
                <w:szCs w:val="21"/>
                <w:highlight w:val="none"/>
                <w:lang w:val="en-US" w:eastAsia="zh-CN"/>
              </w:rPr>
            </w:pPr>
            <w:r>
              <w:rPr>
                <w:rFonts w:hint="eastAsia" w:ascii="Times New Roman" w:hAnsi="Times New Roman" w:eastAsia="宋体" w:cs="Times New Roman"/>
                <w:b/>
                <w:bCs/>
                <w:color w:val="auto"/>
                <w:sz w:val="24"/>
                <w:szCs w:val="21"/>
                <w:highlight w:val="none"/>
                <w:lang w:val="en-US" w:eastAsia="zh-CN"/>
              </w:rPr>
              <w:t>4</w:t>
            </w:r>
            <w:r>
              <w:rPr>
                <w:rFonts w:hint="default" w:ascii="Times New Roman" w:hAnsi="Times New Roman" w:eastAsia="宋体" w:cs="Times New Roman"/>
                <w:b/>
                <w:bCs/>
                <w:color w:val="auto"/>
                <w:sz w:val="24"/>
                <w:szCs w:val="21"/>
                <w:highlight w:val="none"/>
                <w:lang w:val="en-US" w:eastAsia="zh-CN"/>
              </w:rPr>
              <w:t>、用地性质相符性分析：</w:t>
            </w:r>
          </w:p>
          <w:p w14:paraId="1ACE6DB4">
            <w:pPr>
              <w:keepNext w:val="0"/>
              <w:keepLines w:val="0"/>
              <w:pageBreakBefore w:val="0"/>
              <w:widowControl/>
              <w:numPr>
                <w:ilvl w:val="0"/>
                <w:numId w:val="0"/>
              </w:numPr>
              <w:kinsoku/>
              <w:wordWrap/>
              <w:overflowPunct/>
              <w:topLinePunct w:val="0"/>
              <w:autoSpaceDE w:val="0"/>
              <w:autoSpaceDN w:val="0"/>
              <w:bidi w:val="0"/>
              <w:adjustRightInd w:val="0"/>
              <w:snapToGrid w:val="0"/>
              <w:spacing w:after="0" w:line="360" w:lineRule="auto"/>
              <w:ind w:firstLine="480" w:firstLineChars="200"/>
              <w:jc w:val="both"/>
              <w:textAlignment w:val="baseline"/>
              <w:rPr>
                <w:rFonts w:hint="default" w:ascii="Times New Roman" w:hAnsi="Times New Roman" w:eastAsia="宋体" w:cs="Times New Roman"/>
                <w:color w:val="auto"/>
                <w:kern w:val="2"/>
                <w:sz w:val="24"/>
                <w:szCs w:val="21"/>
                <w:highlight w:val="none"/>
                <w:lang w:val="en-US" w:eastAsia="zh-CN" w:bidi="ar-SA"/>
              </w:rPr>
            </w:pPr>
            <w:r>
              <w:rPr>
                <w:rFonts w:hint="default" w:ascii="Times New Roman" w:hAnsi="Times New Roman" w:eastAsia="宋体" w:cs="Times New Roman"/>
                <w:color w:val="auto"/>
                <w:kern w:val="2"/>
                <w:sz w:val="24"/>
                <w:szCs w:val="21"/>
                <w:highlight w:val="none"/>
                <w:lang w:val="en-US" w:eastAsia="zh-CN" w:bidi="ar-SA"/>
              </w:rPr>
              <w:t>本项目位于广东省惠州市博罗县罗阳街道小金村（大径小组地段桦泰工业园），根据建设单位提供的不动产权证（见附件3），证号为：粤（2016）博罗县不动产权第0000190号及粤（2016）博罗县不动产权第0000062号，显示项目用地为工业用地，用地性质符合要求。根据《博罗县</w:t>
            </w:r>
            <w:r>
              <w:rPr>
                <w:rFonts w:hint="eastAsia" w:ascii="Times New Roman" w:hAnsi="Times New Roman" w:eastAsia="宋体" w:cs="Times New Roman"/>
                <w:color w:val="auto"/>
                <w:kern w:val="2"/>
                <w:sz w:val="24"/>
                <w:szCs w:val="21"/>
                <w:highlight w:val="none"/>
                <w:lang w:val="en-US" w:eastAsia="zh-CN" w:bidi="ar-SA"/>
              </w:rPr>
              <w:t>国土空间</w:t>
            </w:r>
            <w:r>
              <w:rPr>
                <w:rFonts w:hint="default" w:ascii="Times New Roman" w:hAnsi="Times New Roman" w:eastAsia="宋体" w:cs="Times New Roman"/>
                <w:color w:val="auto"/>
                <w:kern w:val="2"/>
                <w:sz w:val="24"/>
                <w:szCs w:val="21"/>
                <w:highlight w:val="none"/>
                <w:lang w:val="en-US" w:eastAsia="zh-CN" w:bidi="ar-SA"/>
              </w:rPr>
              <w:t>总体规划（20</w:t>
            </w:r>
            <w:r>
              <w:rPr>
                <w:rFonts w:hint="eastAsia" w:ascii="Times New Roman" w:hAnsi="Times New Roman" w:eastAsia="宋体" w:cs="Times New Roman"/>
                <w:color w:val="auto"/>
                <w:kern w:val="2"/>
                <w:sz w:val="24"/>
                <w:szCs w:val="21"/>
                <w:highlight w:val="none"/>
                <w:lang w:val="en-US" w:eastAsia="zh-CN" w:bidi="ar-SA"/>
              </w:rPr>
              <w:t>2</w:t>
            </w:r>
            <w:r>
              <w:rPr>
                <w:rFonts w:hint="default" w:ascii="Times New Roman" w:hAnsi="Times New Roman" w:eastAsia="宋体" w:cs="Times New Roman"/>
                <w:color w:val="auto"/>
                <w:kern w:val="2"/>
                <w:sz w:val="24"/>
                <w:szCs w:val="21"/>
                <w:highlight w:val="none"/>
                <w:lang w:val="en-US" w:eastAsia="zh-CN" w:bidi="ar-SA"/>
              </w:rPr>
              <w:t>1-2035年）》（详见附图21），项目所在地为</w:t>
            </w:r>
            <w:r>
              <w:rPr>
                <w:rFonts w:hint="eastAsia" w:ascii="Times New Roman" w:hAnsi="Times New Roman" w:eastAsia="宋体" w:cs="Times New Roman"/>
                <w:color w:val="auto"/>
                <w:kern w:val="2"/>
                <w:sz w:val="24"/>
                <w:szCs w:val="21"/>
                <w:highlight w:val="none"/>
                <w:lang w:val="en-US" w:eastAsia="zh-CN" w:bidi="ar-SA"/>
              </w:rPr>
              <w:t>工业发展区</w:t>
            </w:r>
            <w:r>
              <w:rPr>
                <w:rFonts w:hint="default" w:ascii="Times New Roman" w:hAnsi="Times New Roman" w:eastAsia="宋体" w:cs="Times New Roman"/>
                <w:color w:val="auto"/>
                <w:kern w:val="2"/>
                <w:sz w:val="24"/>
                <w:szCs w:val="21"/>
                <w:highlight w:val="none"/>
                <w:lang w:val="en-US" w:eastAsia="zh-CN" w:bidi="ar-SA"/>
              </w:rPr>
              <w:t>。项目所在地不涉及自然保护区、风景名胜区、基本农田保护区，也不涉及饮用水源保护区，符合用地规划要求。因此，本项目的选址符合规划要求。</w:t>
            </w:r>
          </w:p>
          <w:p w14:paraId="1CEF6F21">
            <w:pPr>
              <w:keepNext w:val="0"/>
              <w:keepLines w:val="0"/>
              <w:pageBreakBefore w:val="0"/>
              <w:widowControl/>
              <w:numPr>
                <w:ilvl w:val="0"/>
                <w:numId w:val="0"/>
              </w:numPr>
              <w:kinsoku/>
              <w:wordWrap/>
              <w:overflowPunct/>
              <w:topLinePunct w:val="0"/>
              <w:autoSpaceDE w:val="0"/>
              <w:autoSpaceDN w:val="0"/>
              <w:bidi w:val="0"/>
              <w:adjustRightInd w:val="0"/>
              <w:snapToGrid w:val="0"/>
              <w:spacing w:after="0" w:line="360" w:lineRule="auto"/>
              <w:ind w:firstLine="482" w:firstLineChars="200"/>
              <w:textAlignment w:val="baseline"/>
              <w:rPr>
                <w:rFonts w:hint="default" w:ascii="Times New Roman" w:hAnsi="Times New Roman" w:eastAsia="宋体" w:cs="Times New Roman"/>
                <w:b/>
                <w:bCs/>
                <w:color w:val="auto"/>
                <w:kern w:val="2"/>
                <w:sz w:val="24"/>
                <w:szCs w:val="21"/>
                <w:highlight w:val="none"/>
                <w:lang w:val="en-US" w:eastAsia="zh-CN" w:bidi="ar-SA"/>
              </w:rPr>
            </w:pPr>
            <w:r>
              <w:rPr>
                <w:rFonts w:hint="default" w:ascii="Times New Roman" w:hAnsi="Times New Roman" w:eastAsia="宋体" w:cs="Times New Roman"/>
                <w:b/>
                <w:bCs/>
                <w:color w:val="auto"/>
                <w:kern w:val="2"/>
                <w:sz w:val="24"/>
                <w:szCs w:val="21"/>
                <w:highlight w:val="none"/>
                <w:lang w:val="en-US" w:eastAsia="zh-CN" w:bidi="ar-SA"/>
              </w:rPr>
              <w:t>5、区域环境功能区划相符性分析</w:t>
            </w:r>
          </w:p>
          <w:p w14:paraId="2301CB06">
            <w:pPr>
              <w:keepNext w:val="0"/>
              <w:keepLines w:val="0"/>
              <w:pageBreakBefore w:val="0"/>
              <w:widowControl w:val="0"/>
              <w:kinsoku/>
              <w:wordWrap/>
              <w:overflowPunct/>
              <w:topLinePunct w:val="0"/>
              <w:bidi w:val="0"/>
              <w:adjustRightInd w:val="0"/>
              <w:snapToGrid w:val="0"/>
              <w:spacing w:after="0" w:line="360" w:lineRule="auto"/>
              <w:ind w:firstLine="480" w:firstLineChars="200"/>
              <w:jc w:val="both"/>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eastAsia="宋体" w:cs="Times New Roman"/>
                <w:color w:val="auto"/>
                <w:kern w:val="2"/>
                <w:sz w:val="24"/>
                <w:szCs w:val="24"/>
                <w:highlight w:val="none"/>
                <w:lang w:val="en-US" w:eastAsia="zh-CN"/>
              </w:rPr>
              <w:t>◆水环境功能区划</w:t>
            </w:r>
          </w:p>
          <w:p w14:paraId="348A1381">
            <w:pPr>
              <w:keepNext w:val="0"/>
              <w:keepLines w:val="0"/>
              <w:pageBreakBefore w:val="0"/>
              <w:widowControl w:val="0"/>
              <w:numPr>
                <w:ilvl w:val="0"/>
                <w:numId w:val="0"/>
              </w:numPr>
              <w:kinsoku/>
              <w:wordWrap/>
              <w:overflowPunct/>
              <w:topLinePunct w:val="0"/>
              <w:bidi w:val="0"/>
              <w:adjustRightInd w:val="0"/>
              <w:snapToGrid w:val="0"/>
              <w:spacing w:after="0" w:line="360" w:lineRule="auto"/>
              <w:ind w:firstLine="480" w:firstLineChars="200"/>
              <w:jc w:val="both"/>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eastAsia="宋体" w:cs="Times New Roman"/>
                <w:color w:val="auto"/>
                <w:kern w:val="2"/>
                <w:sz w:val="24"/>
                <w:szCs w:val="24"/>
                <w:highlight w:val="none"/>
                <w:lang w:val="en-US" w:eastAsia="zh-CN"/>
              </w:rPr>
              <w:t>1）根据《惠州市饮用水源保护区划调整方案》（经广东省人民政府批准，粤府函〔2014〕188 号）以及《广东省人民政府关于调整惠州市部分饮用水源保护区的批复》（粤府函〔2019〕270 号），《惠州市人民政府关于&lt;惠州市乡镇级及以下集中式饮用水水源保护区规定（调整）方案&gt;的批复》（惠府函〔2020〕317号），项目所在地不属于饮用水源保护区。</w:t>
            </w:r>
          </w:p>
          <w:p w14:paraId="7A0B8206">
            <w:pPr>
              <w:spacing w:line="360" w:lineRule="auto"/>
              <w:ind w:firstLine="480" w:firstLineChars="200"/>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rPr>
              <w:t>2</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kern w:val="2"/>
                <w:sz w:val="24"/>
                <w:szCs w:val="24"/>
                <w:highlight w:val="none"/>
                <w:lang w:val="en-US" w:eastAsia="zh-CN"/>
              </w:rPr>
              <w:t>根据《广东省地表水环境功能区划》（粤环</w:t>
            </w:r>
            <w:r>
              <w:rPr>
                <w:rFonts w:hint="default" w:ascii="Times New Roman" w:hAnsi="Times New Roman" w:cs="Times New Roman"/>
                <w:color w:val="auto"/>
                <w:sz w:val="24"/>
                <w:highlight w:val="none"/>
              </w:rPr>
              <w:t>〔</w:t>
            </w:r>
            <w:r>
              <w:rPr>
                <w:rFonts w:hint="default" w:ascii="Times New Roman" w:hAnsi="Times New Roman" w:eastAsia="宋体" w:cs="Times New Roman"/>
                <w:color w:val="auto"/>
                <w:kern w:val="2"/>
                <w:sz w:val="24"/>
                <w:szCs w:val="24"/>
                <w:highlight w:val="none"/>
                <w:lang w:val="en-US" w:eastAsia="zh-CN"/>
              </w:rPr>
              <w:t>2011</w:t>
            </w:r>
            <w:r>
              <w:rPr>
                <w:rFonts w:hint="default" w:ascii="Times New Roman" w:hAnsi="Times New Roman" w:cs="Times New Roman"/>
                <w:color w:val="auto"/>
                <w:sz w:val="24"/>
                <w:highlight w:val="none"/>
              </w:rPr>
              <w:t>〕</w:t>
            </w:r>
            <w:r>
              <w:rPr>
                <w:rFonts w:hint="default" w:ascii="Times New Roman" w:hAnsi="Times New Roman" w:eastAsia="宋体" w:cs="Times New Roman"/>
                <w:color w:val="auto"/>
                <w:kern w:val="2"/>
                <w:sz w:val="24"/>
                <w:szCs w:val="24"/>
                <w:highlight w:val="none"/>
                <w:lang w:val="en-US" w:eastAsia="zh-CN"/>
              </w:rPr>
              <w:t>14 号），</w:t>
            </w:r>
            <w:r>
              <w:rPr>
                <w:rFonts w:hint="default" w:ascii="Times New Roman" w:hAnsi="Times New Roman" w:cs="Times New Roman"/>
                <w:color w:val="auto"/>
                <w:sz w:val="24"/>
                <w:highlight w:val="none"/>
              </w:rPr>
              <w:t>小金河的水质目标为Ⅲ类，地表水功能区划为Ⅲ类功能区</w:t>
            </w:r>
            <w:r>
              <w:rPr>
                <w:rFonts w:hint="default" w:ascii="Times New Roman" w:hAnsi="Times New Roman" w:eastAsia="宋体" w:cs="Times New Roman"/>
                <w:color w:val="auto"/>
                <w:kern w:val="2"/>
                <w:sz w:val="24"/>
                <w:szCs w:val="24"/>
                <w:highlight w:val="none"/>
                <w:lang w:val="en-US" w:eastAsia="zh-CN"/>
              </w:rPr>
              <w:t>。执行《地表水环境质量标准》（GB3838-2002）</w:t>
            </w:r>
            <w:r>
              <w:rPr>
                <w:rFonts w:hint="default" w:ascii="Times New Roman" w:hAnsi="Times New Roman" w:eastAsia="宋体" w:cs="Times New Roman"/>
                <w:color w:val="auto"/>
                <w:kern w:val="2"/>
                <w:sz w:val="24"/>
                <w:szCs w:val="24"/>
                <w:highlight w:val="none"/>
              </w:rPr>
              <w:t>Ⅲ</w:t>
            </w:r>
            <w:r>
              <w:rPr>
                <w:rFonts w:hint="default" w:ascii="Times New Roman" w:hAnsi="Times New Roman" w:eastAsia="宋体" w:cs="Times New Roman"/>
                <w:color w:val="auto"/>
                <w:kern w:val="2"/>
                <w:sz w:val="24"/>
                <w:szCs w:val="24"/>
                <w:highlight w:val="none"/>
                <w:lang w:val="en-US" w:eastAsia="zh-CN"/>
              </w:rPr>
              <w:t>类标准。</w:t>
            </w:r>
          </w:p>
          <w:p w14:paraId="6EFE3E08">
            <w:pPr>
              <w:keepNext w:val="0"/>
              <w:keepLines w:val="0"/>
              <w:pageBreakBefore w:val="0"/>
              <w:widowControl w:val="0"/>
              <w:kinsoku/>
              <w:wordWrap/>
              <w:overflowPunct/>
              <w:topLinePunct w:val="0"/>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◆大气环境功能区划</w:t>
            </w:r>
          </w:p>
          <w:p w14:paraId="05D54399">
            <w:pPr>
              <w:keepNext w:val="0"/>
              <w:keepLines w:val="0"/>
              <w:pageBreakBefore w:val="0"/>
              <w:widowControl w:val="0"/>
              <w:kinsoku/>
              <w:wordWrap/>
              <w:overflowPunct/>
              <w:topLinePunct w:val="0"/>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根据《惠州市环境空气质量功能区划》</w:t>
            </w:r>
            <w:r>
              <w:rPr>
                <w:rFonts w:hint="default" w:ascii="Times New Roman" w:hAnsi="Times New Roman" w:eastAsia="宋体" w:cs="Times New Roman"/>
                <w:color w:val="auto"/>
                <w:kern w:val="2"/>
                <w:sz w:val="24"/>
                <w:szCs w:val="24"/>
                <w:highlight w:val="none"/>
                <w:lang w:eastAsia="zh-CN"/>
              </w:rPr>
              <w:t>（</w:t>
            </w:r>
            <w:r>
              <w:rPr>
                <w:rFonts w:hint="default" w:ascii="Times New Roman" w:hAnsi="Times New Roman" w:eastAsia="宋体" w:cs="Times New Roman"/>
                <w:color w:val="auto"/>
                <w:kern w:val="2"/>
                <w:sz w:val="24"/>
                <w:szCs w:val="24"/>
                <w:highlight w:val="none"/>
              </w:rPr>
              <w:t>202</w:t>
            </w:r>
            <w:r>
              <w:rPr>
                <w:rFonts w:hint="default" w:ascii="Times New Roman" w:hAnsi="Times New Roman" w:eastAsia="宋体" w:cs="Times New Roman"/>
                <w:color w:val="auto"/>
                <w:kern w:val="2"/>
                <w:sz w:val="24"/>
                <w:szCs w:val="24"/>
                <w:highlight w:val="none"/>
                <w:lang w:val="en-US" w:eastAsia="zh-CN"/>
              </w:rPr>
              <w:t>4</w:t>
            </w:r>
            <w:r>
              <w:rPr>
                <w:rFonts w:hint="default" w:ascii="Times New Roman" w:hAnsi="Times New Roman" w:eastAsia="宋体" w:cs="Times New Roman"/>
                <w:color w:val="auto"/>
                <w:kern w:val="2"/>
                <w:sz w:val="24"/>
                <w:szCs w:val="24"/>
                <w:highlight w:val="none"/>
              </w:rPr>
              <w:t>年修订）的规定，项目所在区域属于环境空气质量二类功能区。</w:t>
            </w:r>
          </w:p>
          <w:p w14:paraId="2F87D1C8">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◆声环境功能区划</w:t>
            </w:r>
          </w:p>
          <w:p w14:paraId="1FEF67E1">
            <w:pPr>
              <w:autoSpaceDE w:val="0"/>
              <w:autoSpaceDN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eastAsia="宋体" w:cs="Times New Roman"/>
                <w:b w:val="0"/>
                <w:bCs w:val="0"/>
                <w:color w:val="auto"/>
                <w:kern w:val="0"/>
                <w:sz w:val="24"/>
                <w:szCs w:val="21"/>
                <w:highlight w:val="none"/>
                <w:lang w:val="en-US" w:eastAsia="zh-CN"/>
              </w:rPr>
              <w:t>根据《惠州市声环境功能区划分方案（2022年）》（惠市环</w: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b w:val="0"/>
                <w:bCs w:val="0"/>
                <w:color w:val="auto"/>
                <w:kern w:val="0"/>
                <w:sz w:val="24"/>
                <w:szCs w:val="21"/>
                <w:highlight w:val="none"/>
                <w:lang w:val="en-US" w:eastAsia="zh-CN"/>
              </w:rPr>
              <w:t>2022</w: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b w:val="0"/>
                <w:bCs w:val="0"/>
                <w:color w:val="auto"/>
                <w:kern w:val="0"/>
                <w:sz w:val="24"/>
                <w:szCs w:val="21"/>
                <w:highlight w:val="none"/>
                <w:lang w:val="en-US" w:eastAsia="zh-CN"/>
              </w:rPr>
              <w:t>33号）</w:t>
            </w:r>
            <w:r>
              <w:rPr>
                <w:rFonts w:hint="eastAsia" w:ascii="Times New Roman" w:hAnsi="Times New Roman" w:eastAsia="宋体" w:cs="Times New Roman"/>
                <w:b w:val="0"/>
                <w:bCs w:val="0"/>
                <w:color w:val="auto"/>
                <w:kern w:val="0"/>
                <w:sz w:val="24"/>
                <w:szCs w:val="21"/>
                <w:highlight w:val="none"/>
                <w:lang w:val="en-US" w:eastAsia="zh-CN"/>
              </w:rPr>
              <w:t>高速公路、一级公路、二级公路、城市快速路、城市主干路、城市次干路、城市轨道交通（地面段）、城际轨道交通（地面段）、内河航道两侧区域为4a类</w:t>
            </w:r>
            <w:r>
              <w:rPr>
                <w:rFonts w:hint="default" w:ascii="Times New Roman" w:hAnsi="Times New Roman" w:eastAsia="宋体" w:cs="Times New Roman"/>
                <w:b w:val="0"/>
                <w:bCs w:val="0"/>
                <w:color w:val="auto"/>
                <w:kern w:val="0"/>
                <w:sz w:val="24"/>
                <w:szCs w:val="21"/>
                <w:highlight w:val="none"/>
                <w:lang w:val="en-US" w:eastAsia="zh-CN"/>
              </w:rPr>
              <w:t>声环境功能区</w:t>
            </w:r>
            <w:r>
              <w:rPr>
                <w:rFonts w:hint="eastAsia" w:ascii="Times New Roman" w:hAnsi="Times New Roman" w:eastAsia="宋体" w:cs="Times New Roman"/>
                <w:b w:val="0"/>
                <w:bCs w:val="0"/>
                <w:color w:val="auto"/>
                <w:kern w:val="0"/>
                <w:sz w:val="24"/>
                <w:szCs w:val="21"/>
                <w:highlight w:val="none"/>
                <w:lang w:val="en-US" w:eastAsia="zh-CN"/>
              </w:rPr>
              <w:t>，</w:t>
            </w:r>
            <w:r>
              <w:rPr>
                <w:rFonts w:hint="default" w:ascii="Times New Roman" w:hAnsi="Times New Roman" w:eastAsia="宋体" w:cs="Times New Roman"/>
                <w:b w:val="0"/>
                <w:bCs w:val="0"/>
                <w:color w:val="auto"/>
                <w:kern w:val="0"/>
                <w:sz w:val="24"/>
                <w:szCs w:val="21"/>
                <w:highlight w:val="none"/>
                <w:lang w:val="en-US" w:eastAsia="zh-CN"/>
              </w:rPr>
              <w:t>以工业生产、仓储物流为主要功能，需要防止工业噪声对周围环境产生严重影响的区域</w:t>
            </w:r>
            <w:r>
              <w:rPr>
                <w:rFonts w:hint="eastAsia" w:ascii="Times New Roman" w:hAnsi="Times New Roman" w:eastAsia="宋体" w:cs="Times New Roman"/>
                <w:b w:val="0"/>
                <w:bCs w:val="0"/>
                <w:color w:val="auto"/>
                <w:kern w:val="0"/>
                <w:sz w:val="24"/>
                <w:szCs w:val="21"/>
                <w:highlight w:val="none"/>
                <w:lang w:val="en-US" w:eastAsia="zh-CN"/>
              </w:rPr>
              <w:t>为</w:t>
            </w:r>
            <w:r>
              <w:rPr>
                <w:rFonts w:hint="default" w:ascii="Times New Roman" w:hAnsi="Times New Roman" w:eastAsia="宋体" w:cs="Times New Roman"/>
                <w:b w:val="0"/>
                <w:bCs w:val="0"/>
                <w:color w:val="auto"/>
                <w:kern w:val="0"/>
                <w:sz w:val="24"/>
                <w:szCs w:val="21"/>
                <w:highlight w:val="none"/>
                <w:lang w:val="en-US" w:eastAsia="zh-CN"/>
              </w:rPr>
              <w:t>3类声环境功能区</w:t>
            </w:r>
            <w:r>
              <w:rPr>
                <w:rFonts w:hint="eastAsia" w:ascii="Times New Roman" w:hAnsi="Times New Roman" w:eastAsia="宋体" w:cs="Times New Roman"/>
                <w:b w:val="0"/>
                <w:bCs w:val="0"/>
                <w:color w:val="auto"/>
                <w:kern w:val="0"/>
                <w:sz w:val="24"/>
                <w:szCs w:val="21"/>
                <w:highlight w:val="none"/>
                <w:lang w:val="en-US" w:eastAsia="zh-CN"/>
              </w:rPr>
              <w:t>。根据博罗县中心城区声环境功能区示意图（见附图8），本项目位于3类声环境功能区，且由于本项目东面为长深高速，该高速边界距离本项目东厂界最近的距离为22m＜25m，故</w:t>
            </w:r>
            <w:r>
              <w:rPr>
                <w:rFonts w:hint="default" w:ascii="Times New Roman" w:hAnsi="Times New Roman" w:cs="Times New Roman"/>
                <w:color w:val="auto"/>
                <w:sz w:val="24"/>
                <w:highlight w:val="none"/>
              </w:rPr>
              <w:t>项目</w:t>
            </w:r>
            <w:r>
              <w:rPr>
                <w:rFonts w:hint="default" w:ascii="Times New Roman" w:hAnsi="Times New Roman" w:cs="Times New Roman"/>
                <w:color w:val="auto"/>
                <w:sz w:val="24"/>
                <w:highlight w:val="none"/>
                <w:lang w:val="en-US" w:eastAsia="zh-CN"/>
              </w:rPr>
              <w:t>北面、西面、南面</w:t>
            </w:r>
            <w:r>
              <w:rPr>
                <w:rFonts w:hint="default" w:ascii="Times New Roman" w:hAnsi="Times New Roman" w:cs="Times New Roman"/>
                <w:color w:val="auto"/>
                <w:sz w:val="24"/>
                <w:highlight w:val="none"/>
              </w:rPr>
              <w:t>所在区域的声环境为</w:t>
            </w:r>
            <w:r>
              <w:rPr>
                <w:rFonts w:hint="default" w:ascii="Times New Roman" w:hAnsi="Times New Roman" w:cs="Times New Roman"/>
                <w:color w:val="auto"/>
                <w:sz w:val="24"/>
                <w:highlight w:val="none"/>
                <w:lang w:val="en-US" w:eastAsia="zh-CN"/>
              </w:rPr>
              <w:t>3</w:t>
            </w:r>
            <w:r>
              <w:rPr>
                <w:rFonts w:hint="default" w:ascii="Times New Roman" w:hAnsi="Times New Roman" w:cs="Times New Roman"/>
                <w:color w:val="auto"/>
                <w:sz w:val="24"/>
                <w:highlight w:val="none"/>
              </w:rPr>
              <w:t>类功能区</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项目东面所在区域</w:t>
            </w:r>
            <w:r>
              <w:rPr>
                <w:rFonts w:hint="default" w:ascii="Times New Roman" w:hAnsi="Times New Roman" w:cs="Times New Roman"/>
                <w:color w:val="auto"/>
                <w:sz w:val="24"/>
                <w:highlight w:val="none"/>
              </w:rPr>
              <w:t>的声环境为</w:t>
            </w:r>
            <w:r>
              <w:rPr>
                <w:rFonts w:hint="default" w:ascii="Times New Roman" w:hAnsi="Times New Roman" w:cs="Times New Roman"/>
                <w:color w:val="auto"/>
                <w:sz w:val="24"/>
                <w:highlight w:val="none"/>
                <w:lang w:val="en-US" w:eastAsia="zh-CN"/>
              </w:rPr>
              <w:t>4a</w:t>
            </w:r>
            <w:r>
              <w:rPr>
                <w:rFonts w:hint="default" w:ascii="Times New Roman" w:hAnsi="Times New Roman" w:cs="Times New Roman"/>
                <w:color w:val="auto"/>
                <w:sz w:val="24"/>
                <w:highlight w:val="none"/>
              </w:rPr>
              <w:t>类功能区。</w:t>
            </w:r>
          </w:p>
          <w:p w14:paraId="3A8200D4">
            <w:pPr>
              <w:keepNext w:val="0"/>
              <w:keepLines w:val="0"/>
              <w:pageBreakBefore w:val="0"/>
              <w:widowControl w:val="0"/>
              <w:kinsoku/>
              <w:wordWrap/>
              <w:overflowPunct/>
              <w:topLinePunct w:val="0"/>
              <w:autoSpaceDE w:val="0"/>
              <w:autoSpaceDN w:val="0"/>
              <w:bidi w:val="0"/>
              <w:adjustRightInd w:val="0"/>
              <w:snapToGrid w:val="0"/>
              <w:spacing w:after="0" w:line="360" w:lineRule="auto"/>
              <w:ind w:firstLine="482" w:firstLineChars="200"/>
              <w:jc w:val="both"/>
              <w:textAlignment w:val="auto"/>
              <w:rPr>
                <w:rFonts w:hint="default" w:ascii="Times New Roman" w:hAnsi="Times New Roman" w:eastAsia="宋体" w:cs="Times New Roman"/>
                <w:b/>
                <w:bCs/>
                <w:color w:val="auto"/>
                <w:sz w:val="24"/>
                <w:szCs w:val="21"/>
                <w:highlight w:val="none"/>
              </w:rPr>
            </w:pPr>
            <w:r>
              <w:rPr>
                <w:rFonts w:hint="default" w:ascii="Times New Roman" w:hAnsi="Times New Roman" w:eastAsia="宋体" w:cs="Times New Roman"/>
                <w:b/>
                <w:bCs/>
                <w:color w:val="auto"/>
                <w:sz w:val="24"/>
                <w:szCs w:val="21"/>
                <w:highlight w:val="none"/>
                <w:lang w:val="en-US" w:eastAsia="zh-CN"/>
              </w:rPr>
              <w:t>6、</w:t>
            </w:r>
            <w:r>
              <w:rPr>
                <w:rFonts w:hint="default" w:ascii="Times New Roman" w:hAnsi="Times New Roman" w:eastAsia="宋体" w:cs="Times New Roman"/>
                <w:b/>
                <w:bCs/>
                <w:color w:val="auto"/>
                <w:sz w:val="24"/>
                <w:szCs w:val="21"/>
                <w:highlight w:val="none"/>
              </w:rPr>
              <w:t>与《广东省人民政府关于严格限制东江流域水污染项目建设进一步做好东江水质保护工作的通知》（粤府函</w:t>
            </w:r>
            <w:r>
              <w:rPr>
                <w:rFonts w:hint="default" w:ascii="Times New Roman" w:hAnsi="Times New Roman" w:eastAsia="宋体" w:cs="Times New Roman"/>
                <w:b/>
                <w:bCs/>
                <w:color w:val="auto"/>
                <w:sz w:val="24"/>
                <w:szCs w:val="21"/>
                <w:highlight w:val="none"/>
                <w:lang w:eastAsia="zh-CN"/>
              </w:rPr>
              <w:t>〔2011〕</w:t>
            </w:r>
            <w:r>
              <w:rPr>
                <w:rFonts w:hint="default" w:ascii="Times New Roman" w:hAnsi="Times New Roman" w:eastAsia="宋体" w:cs="Times New Roman"/>
                <w:b/>
                <w:bCs/>
                <w:color w:val="auto"/>
                <w:sz w:val="24"/>
                <w:szCs w:val="21"/>
                <w:highlight w:val="none"/>
              </w:rPr>
              <w:t>339 号）及《广东省人民政府关于严格限制东江流域水污染项目建设进一步做好东江水质保护工作的补充通知》（粤府函〔2013〕231 号）的相符性分析</w:t>
            </w:r>
          </w:p>
          <w:p w14:paraId="1184D306">
            <w:pPr>
              <w:keepNext w:val="0"/>
              <w:keepLines w:val="0"/>
              <w:pageBreakBefore w:val="0"/>
              <w:widowControl w:val="0"/>
              <w:kinsoku/>
              <w:wordWrap/>
              <w:overflowPunct/>
              <w:topLinePunct w:val="0"/>
              <w:autoSpaceDE w:val="0"/>
              <w:autoSpaceDN w:val="0"/>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auto"/>
                <w:sz w:val="24"/>
                <w:szCs w:val="21"/>
                <w:highlight w:val="none"/>
                <w:lang w:eastAsia="zh-CN"/>
              </w:rPr>
            </w:pPr>
            <w:r>
              <w:rPr>
                <w:rFonts w:hint="default" w:ascii="Times New Roman" w:hAnsi="Times New Roman" w:eastAsia="宋体" w:cs="Times New Roman"/>
                <w:color w:val="auto"/>
                <w:sz w:val="24"/>
                <w:szCs w:val="21"/>
                <w:highlight w:val="none"/>
              </w:rPr>
              <w:t>1）《关于严格限制东江流域水污染项目建设进一步做好东江水质保护工作的通知》（粤府函</w:t>
            </w:r>
            <w:r>
              <w:rPr>
                <w:rFonts w:hint="default" w:ascii="Times New Roman" w:hAnsi="Times New Roman" w:eastAsia="宋体" w:cs="Times New Roman"/>
                <w:color w:val="auto"/>
                <w:sz w:val="24"/>
                <w:szCs w:val="21"/>
                <w:highlight w:val="none"/>
                <w:lang w:eastAsia="zh-CN"/>
              </w:rPr>
              <w:t>〔</w:t>
            </w:r>
            <w:r>
              <w:rPr>
                <w:rFonts w:hint="default" w:ascii="Times New Roman" w:hAnsi="Times New Roman" w:eastAsia="宋体" w:cs="Times New Roman"/>
                <w:color w:val="auto"/>
                <w:sz w:val="24"/>
                <w:szCs w:val="21"/>
                <w:highlight w:val="none"/>
              </w:rPr>
              <w:t>2011</w:t>
            </w:r>
            <w:r>
              <w:rPr>
                <w:rFonts w:hint="default" w:ascii="Times New Roman" w:hAnsi="Times New Roman" w:eastAsia="宋体" w:cs="Times New Roman"/>
                <w:color w:val="auto"/>
                <w:sz w:val="24"/>
                <w:szCs w:val="21"/>
                <w:highlight w:val="none"/>
                <w:lang w:eastAsia="zh-CN"/>
              </w:rPr>
              <w:t>〕</w:t>
            </w:r>
            <w:r>
              <w:rPr>
                <w:rFonts w:hint="default" w:ascii="Times New Roman" w:hAnsi="Times New Roman" w:eastAsia="宋体" w:cs="Times New Roman"/>
                <w:color w:val="auto"/>
                <w:sz w:val="24"/>
                <w:szCs w:val="21"/>
                <w:highlight w:val="none"/>
              </w:rPr>
              <w:t>339号）部分内容</w:t>
            </w:r>
            <w:r>
              <w:rPr>
                <w:rFonts w:hint="default" w:ascii="Times New Roman" w:hAnsi="Times New Roman" w:eastAsia="宋体" w:cs="Times New Roman"/>
                <w:color w:val="auto"/>
                <w:sz w:val="24"/>
                <w:szCs w:val="21"/>
                <w:highlight w:val="none"/>
                <w:lang w:eastAsia="zh-CN"/>
              </w:rPr>
              <w:t>：</w:t>
            </w:r>
          </w:p>
          <w:p w14:paraId="570AFCE5">
            <w:pPr>
              <w:widowControl/>
              <w:adjustRightInd w:val="0"/>
              <w:snapToGrid w:val="0"/>
              <w:spacing w:line="360" w:lineRule="auto"/>
              <w:ind w:firstLine="480" w:firstLineChars="200"/>
              <w:jc w:val="left"/>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二、强化涉重金属污染项目管理</w:t>
            </w:r>
          </w:p>
          <w:p w14:paraId="5B94D021">
            <w:pPr>
              <w:widowControl/>
              <w:adjustRightInd w:val="0"/>
              <w:snapToGrid w:val="0"/>
              <w:spacing w:line="360" w:lineRule="auto"/>
              <w:ind w:firstLine="480"/>
              <w:jc w:val="left"/>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重金属污染防治重点区域禁止新（改、扩）建增加重金属污染排放的项目，禁止在重要生态功能区和因重金属污染导致环境质量不能稳定达标的区域建设涉重金属污染项目。东江流域内停止审批向河流排放汞、砷、镉、铬、铅等重金属污染物和持久性有机污染物的项目。铅蓄电池加工制造（含铅板制造、生产、组装）建设项目的环评文件由省环境保护厅审批。</w:t>
            </w:r>
          </w:p>
          <w:p w14:paraId="44105393">
            <w:pPr>
              <w:widowControl/>
              <w:adjustRightInd w:val="0"/>
              <w:snapToGrid w:val="0"/>
              <w:spacing w:line="360" w:lineRule="auto"/>
              <w:ind w:firstLine="480"/>
              <w:jc w:val="left"/>
              <w:rPr>
                <w:rFonts w:ascii="Times New Roman" w:hAnsi="Times New Roman" w:eastAsia="宋体" w:cs="Times New Roman"/>
                <w:color w:val="auto"/>
                <w:sz w:val="24"/>
                <w:highlight w:val="none"/>
              </w:rPr>
            </w:pPr>
            <w:r>
              <w:rPr>
                <w:rFonts w:ascii="Times New Roman" w:hAnsi="Times New Roman" w:eastAsia="宋体" w:cs="Times New Roman"/>
                <w:color w:val="auto"/>
                <w:kern w:val="0"/>
                <w:sz w:val="24"/>
                <w:highlight w:val="none"/>
              </w:rPr>
              <w:t>……</w:t>
            </w:r>
          </w:p>
          <w:p w14:paraId="3F4AE1B3">
            <w:pPr>
              <w:keepNext w:val="0"/>
              <w:keepLines w:val="0"/>
              <w:pageBreakBefore w:val="0"/>
              <w:widowControl w:val="0"/>
              <w:kinsoku/>
              <w:wordWrap/>
              <w:overflowPunct/>
              <w:topLinePunct w:val="0"/>
              <w:autoSpaceDE w:val="0"/>
              <w:autoSpaceDN w:val="0"/>
              <w:bidi w:val="0"/>
              <w:adjustRightInd w:val="0"/>
              <w:snapToGrid w:val="0"/>
              <w:spacing w:after="0" w:line="360" w:lineRule="auto"/>
              <w:ind w:firstLine="420" w:firstLineChars="200"/>
              <w:jc w:val="both"/>
              <w:textAlignment w:val="auto"/>
              <w:rPr>
                <w:rFonts w:hint="default" w:ascii="Times New Roman" w:hAnsi="Times New Roman" w:eastAsia="宋体" w:cs="Times New Roman"/>
                <w:b w:val="0"/>
                <w:bCs w:val="0"/>
                <w:color w:val="auto"/>
                <w:kern w:val="2"/>
                <w:sz w:val="24"/>
                <w:szCs w:val="32"/>
                <w:highlight w:val="none"/>
                <w:lang w:val="en-US" w:eastAsia="zh-CN"/>
              </w:rPr>
            </w:pPr>
            <w:r>
              <w:rPr>
                <w:rFonts w:hint="eastAsia" w:ascii="Times New Roman" w:hAnsi="Times New Roman" w:cs="Times New Roman"/>
                <w:color w:val="auto"/>
                <w:highlight w:val="none"/>
                <w:lang w:val="en-US" w:eastAsia="zh-CN"/>
              </w:rPr>
              <w:t>五、</w:t>
            </w:r>
            <w:r>
              <w:rPr>
                <w:rFonts w:hint="default" w:ascii="Times New Roman" w:hAnsi="Times New Roman" w:eastAsia="宋体" w:cs="Times New Roman"/>
                <w:b w:val="0"/>
                <w:bCs w:val="0"/>
                <w:color w:val="auto"/>
                <w:kern w:val="2"/>
                <w:sz w:val="24"/>
                <w:szCs w:val="32"/>
                <w:highlight w:val="none"/>
                <w:lang w:val="en-US" w:eastAsia="zh-CN"/>
              </w:rPr>
              <w:t>严格控制支流污染增量：在淡水河（含龙岗河、坪山河等支流）、石马河（含观澜河、潼湖水等支流）、紧水河、稿树下水、马嘶河（龙溪水）等支流和东江惠州博罗段江东、榕溪沥（罗阳）、廖洞、合竹洲、永平等5个直接排往东江的排水渠流域内，禁止建设制浆造纸、电镀（含配套电镀和线路板）、印染、制革、发酵酿造、规模化养殖和危险废物综合利用或处置等重污染项目，暂停审批电氧化、化工和含酸洗、磷化、表面处理工艺以及其他新增超标或超总量污染物的项目。上述流域内，在污水未纳入污水处理厂收集管网的城镇中心区域，不得审批洗车、餐饮、沐足桑拿等耗水性项目。</w:t>
            </w:r>
          </w:p>
          <w:p w14:paraId="0D8EB6A1">
            <w:pPr>
              <w:keepNext w:val="0"/>
              <w:keepLines w:val="0"/>
              <w:pageBreakBefore w:val="0"/>
              <w:widowControl w:val="0"/>
              <w:kinsoku/>
              <w:wordWrap/>
              <w:overflowPunct/>
              <w:topLinePunct w:val="0"/>
              <w:autoSpaceDE w:val="0"/>
              <w:autoSpaceDN w:val="0"/>
              <w:bidi w:val="0"/>
              <w:adjustRightInd w:val="0"/>
              <w:snapToGrid w:val="0"/>
              <w:spacing w:after="0" w:line="360" w:lineRule="auto"/>
              <w:ind w:firstLine="480" w:firstLineChars="200"/>
              <w:jc w:val="both"/>
              <w:textAlignment w:val="auto"/>
              <w:rPr>
                <w:rFonts w:hint="default" w:ascii="Times New Roman" w:hAnsi="Times New Roman" w:eastAsia="宋体" w:cs="Times New Roman"/>
                <w:b w:val="0"/>
                <w:bCs w:val="0"/>
                <w:color w:val="auto"/>
                <w:kern w:val="2"/>
                <w:sz w:val="24"/>
                <w:szCs w:val="32"/>
                <w:highlight w:val="none"/>
                <w:lang w:val="en-US" w:eastAsia="zh-CN"/>
              </w:rPr>
            </w:pPr>
            <w:r>
              <w:rPr>
                <w:rFonts w:hint="default" w:ascii="Times New Roman" w:hAnsi="Times New Roman" w:eastAsia="宋体" w:cs="Times New Roman"/>
                <w:b w:val="0"/>
                <w:bCs w:val="0"/>
                <w:color w:val="auto"/>
                <w:kern w:val="2"/>
                <w:sz w:val="24"/>
                <w:szCs w:val="32"/>
                <w:highlight w:val="none"/>
                <w:lang w:val="en-US" w:eastAsia="zh-CN"/>
              </w:rPr>
              <w:t>落实工作责任：各有关地区、各有关部门要充分认识做好东江水质保护工作的重要性，把保护好东江水质作为保障科学发展的重要内容，增强工作责任感和紧迫感，采取切实有效措施，确保东江供水安全。要进一步强化监管责任，严格限制东江流域内水污染项目的建设，对禁止建设的项目，各级发展改革、经济和信息化部门不得办理审批、核准或备案手续，工商部门不得办理工商登记手续，国土资源部门不得批准用地，环境保护部门不得审批项目环评文件。对违反限批规定擅自审批项目的违规行为，要严肃追究有关部门和有关人员的责任。</w:t>
            </w:r>
          </w:p>
          <w:p w14:paraId="2D320AEE">
            <w:pPr>
              <w:keepNext w:val="0"/>
              <w:keepLines w:val="0"/>
              <w:pageBreakBefore w:val="0"/>
              <w:widowControl w:val="0"/>
              <w:kinsoku/>
              <w:wordWrap/>
              <w:overflowPunct/>
              <w:topLinePunct w:val="0"/>
              <w:autoSpaceDE w:val="0"/>
              <w:autoSpaceDN w:val="0"/>
              <w:bidi w:val="0"/>
              <w:adjustRightInd w:val="0"/>
              <w:snapToGrid w:val="0"/>
              <w:spacing w:after="0" w:line="360" w:lineRule="auto"/>
              <w:ind w:firstLine="480" w:firstLineChars="200"/>
              <w:jc w:val="both"/>
              <w:textAlignment w:val="auto"/>
              <w:rPr>
                <w:rFonts w:hint="default" w:ascii="Times New Roman" w:hAnsi="Times New Roman" w:eastAsia="宋体" w:cs="Times New Roman"/>
                <w:b/>
                <w:bCs/>
                <w:color w:val="auto"/>
                <w:kern w:val="2"/>
                <w:sz w:val="24"/>
                <w:szCs w:val="32"/>
                <w:highlight w:val="none"/>
                <w:lang w:val="en-US" w:eastAsia="zh-CN"/>
              </w:rPr>
            </w:pPr>
            <w:r>
              <w:rPr>
                <w:rFonts w:hint="default" w:ascii="Times New Roman" w:hAnsi="Times New Roman" w:eastAsia="宋体" w:cs="Times New Roman"/>
                <w:b w:val="0"/>
                <w:bCs w:val="0"/>
                <w:color w:val="auto"/>
                <w:kern w:val="2"/>
                <w:sz w:val="24"/>
                <w:szCs w:val="32"/>
                <w:highlight w:val="none"/>
                <w:lang w:val="en-US" w:eastAsia="zh-CN"/>
              </w:rPr>
              <w:t>2）《广东省人民政府关于严格限制东江流域水污染项目建设进一步做好东江水质保护工作的补充通知》（粤府函〔2013〕231号）部分内容。</w:t>
            </w:r>
          </w:p>
          <w:p w14:paraId="24EBE1AD">
            <w:pPr>
              <w:keepNext w:val="0"/>
              <w:keepLines w:val="0"/>
              <w:pageBreakBefore w:val="0"/>
              <w:widowControl w:val="0"/>
              <w:kinsoku/>
              <w:wordWrap/>
              <w:overflowPunct/>
              <w:topLinePunct w:val="0"/>
              <w:bidi w:val="0"/>
              <w:adjustRightInd w:val="0"/>
              <w:snapToGrid w:val="0"/>
              <w:spacing w:after="0" w:line="360" w:lineRule="auto"/>
              <w:ind w:firstLine="232" w:firstLineChars="100"/>
              <w:jc w:val="both"/>
              <w:textAlignment w:val="auto"/>
              <w:rPr>
                <w:rFonts w:hint="default" w:ascii="Times New Roman" w:hAnsi="Times New Roman" w:eastAsia="宋体" w:cs="Times New Roman"/>
                <w:color w:val="auto"/>
                <w:spacing w:val="-4"/>
                <w:kern w:val="2"/>
                <w:sz w:val="24"/>
                <w:szCs w:val="24"/>
                <w:highlight w:val="none"/>
              </w:rPr>
            </w:pPr>
            <w:r>
              <w:rPr>
                <w:rFonts w:hint="default" w:ascii="Times New Roman" w:hAnsi="Times New Roman" w:eastAsia="宋体" w:cs="Times New Roman"/>
                <w:color w:val="auto"/>
                <w:spacing w:val="-4"/>
                <w:kern w:val="2"/>
                <w:sz w:val="24"/>
                <w:szCs w:val="24"/>
                <w:highlight w:val="none"/>
              </w:rPr>
              <w:t>“I.增加东江一级支流沙河为流域严格控制污染项目建设的支流。</w:t>
            </w:r>
          </w:p>
          <w:p w14:paraId="5114A403">
            <w:pPr>
              <w:keepNext w:val="0"/>
              <w:keepLines w:val="0"/>
              <w:pageBreakBefore w:val="0"/>
              <w:widowControl w:val="0"/>
              <w:kinsoku/>
              <w:wordWrap/>
              <w:overflowPunct/>
              <w:topLinePunct w:val="0"/>
              <w:bidi w:val="0"/>
              <w:adjustRightInd w:val="0"/>
              <w:snapToGrid w:val="0"/>
              <w:spacing w:after="0" w:line="360" w:lineRule="auto"/>
              <w:ind w:firstLine="464" w:firstLineChars="200"/>
              <w:jc w:val="both"/>
              <w:textAlignment w:val="auto"/>
              <w:rPr>
                <w:rFonts w:hint="default" w:ascii="Times New Roman" w:hAnsi="Times New Roman" w:eastAsia="宋体" w:cs="Times New Roman"/>
                <w:color w:val="auto"/>
                <w:spacing w:val="-4"/>
                <w:kern w:val="2"/>
                <w:sz w:val="24"/>
                <w:szCs w:val="24"/>
                <w:highlight w:val="none"/>
              </w:rPr>
            </w:pPr>
            <w:r>
              <w:rPr>
                <w:rFonts w:hint="default" w:ascii="Times New Roman" w:hAnsi="Times New Roman" w:eastAsia="宋体" w:cs="Times New Roman"/>
                <w:color w:val="auto"/>
                <w:spacing w:val="-4"/>
                <w:kern w:val="2"/>
                <w:sz w:val="24"/>
                <w:szCs w:val="24"/>
                <w:highlight w:val="none"/>
              </w:rPr>
              <w:t>II.符合下列条件之一的建设项目，不列入禁止建设和暂停审批范围：</w:t>
            </w:r>
          </w:p>
          <w:p w14:paraId="7B9A95B0">
            <w:pPr>
              <w:widowControl w:val="0"/>
              <w:adjustRightInd w:val="0"/>
              <w:snapToGrid w:val="0"/>
              <w:spacing w:after="0" w:line="360" w:lineRule="auto"/>
              <w:ind w:firstLine="464" w:firstLineChars="200"/>
              <w:jc w:val="both"/>
              <w:rPr>
                <w:rFonts w:hint="default" w:ascii="Times New Roman" w:hAnsi="Times New Roman" w:eastAsia="宋体" w:cs="Times New Roman"/>
                <w:color w:val="auto"/>
                <w:spacing w:val="-4"/>
                <w:kern w:val="2"/>
                <w:sz w:val="24"/>
                <w:szCs w:val="24"/>
                <w:highlight w:val="none"/>
              </w:rPr>
            </w:pPr>
            <w:r>
              <w:rPr>
                <w:rFonts w:hint="default" w:ascii="Times New Roman" w:hAnsi="Times New Roman" w:eastAsia="宋体" w:cs="Times New Roman"/>
                <w:color w:val="auto"/>
                <w:spacing w:val="-4"/>
                <w:kern w:val="2"/>
                <w:sz w:val="24"/>
                <w:szCs w:val="24"/>
                <w:highlight w:val="none"/>
              </w:rPr>
              <w:t>a.建设地点位于东江流域，但不排放废水或废水不排入东江及其支流，不会对东江水质和水环境安全构成影响的项目；</w:t>
            </w:r>
          </w:p>
          <w:p w14:paraId="077C15A3">
            <w:pPr>
              <w:widowControl w:val="0"/>
              <w:adjustRightInd w:val="0"/>
              <w:snapToGrid w:val="0"/>
              <w:spacing w:after="0" w:line="360" w:lineRule="auto"/>
              <w:ind w:firstLine="464" w:firstLineChars="200"/>
              <w:jc w:val="both"/>
              <w:rPr>
                <w:rFonts w:hint="default" w:ascii="Times New Roman" w:hAnsi="Times New Roman" w:eastAsia="宋体" w:cs="Times New Roman"/>
                <w:color w:val="auto"/>
                <w:spacing w:val="-4"/>
                <w:kern w:val="2"/>
                <w:sz w:val="24"/>
                <w:szCs w:val="24"/>
                <w:highlight w:val="none"/>
              </w:rPr>
            </w:pPr>
            <w:r>
              <w:rPr>
                <w:rFonts w:hint="default" w:ascii="Times New Roman" w:hAnsi="Times New Roman" w:eastAsia="宋体" w:cs="Times New Roman"/>
                <w:color w:val="auto"/>
                <w:spacing w:val="-4"/>
                <w:kern w:val="2"/>
                <w:sz w:val="24"/>
                <w:szCs w:val="24"/>
                <w:highlight w:val="none"/>
              </w:rPr>
              <w:t>b.通过提高清洁生产和污染防治水平，能够做到增产不增污、增产减污、技改减污的改（扩）建项目及同流域内迁建减污项目；</w:t>
            </w:r>
          </w:p>
          <w:p w14:paraId="4F34B862">
            <w:pPr>
              <w:widowControl w:val="0"/>
              <w:adjustRightInd w:val="0"/>
              <w:snapToGrid w:val="0"/>
              <w:spacing w:after="0" w:line="360" w:lineRule="auto"/>
              <w:ind w:firstLine="464" w:firstLineChars="200"/>
              <w:jc w:val="both"/>
              <w:rPr>
                <w:rFonts w:hint="default" w:ascii="Times New Roman" w:hAnsi="Times New Roman" w:eastAsia="宋体" w:cs="Times New Roman"/>
                <w:color w:val="auto"/>
                <w:spacing w:val="-4"/>
                <w:kern w:val="2"/>
                <w:sz w:val="24"/>
                <w:szCs w:val="24"/>
                <w:highlight w:val="none"/>
              </w:rPr>
            </w:pPr>
            <w:r>
              <w:rPr>
                <w:rFonts w:hint="default" w:ascii="Times New Roman" w:hAnsi="Times New Roman" w:eastAsia="宋体" w:cs="Times New Roman"/>
                <w:color w:val="auto"/>
                <w:spacing w:val="-4"/>
                <w:kern w:val="2"/>
                <w:sz w:val="24"/>
                <w:szCs w:val="24"/>
                <w:highlight w:val="none"/>
              </w:rPr>
              <w:t>c.流域内拟迁入重污染行业统一规划、统一定点基地，且符合基地规划环评审查意见的建设项目。</w:t>
            </w:r>
          </w:p>
          <w:p w14:paraId="510E3328">
            <w:pPr>
              <w:widowControl w:val="0"/>
              <w:adjustRightInd w:val="0"/>
              <w:snapToGrid w:val="0"/>
              <w:spacing w:after="0" w:line="360" w:lineRule="auto"/>
              <w:ind w:firstLine="464" w:firstLineChars="200"/>
              <w:jc w:val="both"/>
              <w:rPr>
                <w:rFonts w:hint="default" w:ascii="Times New Roman" w:hAnsi="Times New Roman" w:eastAsia="宋体" w:cs="Times New Roman"/>
                <w:color w:val="auto"/>
                <w:spacing w:val="-4"/>
                <w:kern w:val="2"/>
                <w:sz w:val="24"/>
                <w:szCs w:val="24"/>
                <w:highlight w:val="none"/>
              </w:rPr>
            </w:pPr>
            <w:r>
              <w:rPr>
                <w:rFonts w:hint="default" w:ascii="Times New Roman" w:hAnsi="Times New Roman" w:eastAsia="宋体" w:cs="Times New Roman"/>
                <w:color w:val="auto"/>
                <w:spacing w:val="-4"/>
                <w:kern w:val="2"/>
                <w:sz w:val="24"/>
                <w:szCs w:val="24"/>
                <w:highlight w:val="none"/>
              </w:rPr>
              <w:t>III.对《通知》附件“东江流域包含的主要行政区域”作适当调整：</w:t>
            </w:r>
          </w:p>
          <w:p w14:paraId="12F23553">
            <w:pPr>
              <w:widowControl w:val="0"/>
              <w:adjustRightInd w:val="0"/>
              <w:snapToGrid w:val="0"/>
              <w:spacing w:after="0" w:line="360" w:lineRule="auto"/>
              <w:ind w:firstLine="480" w:firstLineChars="200"/>
              <w:jc w:val="both"/>
              <w:rPr>
                <w:rFonts w:hint="default" w:ascii="Times New Roman" w:hAnsi="Times New Roman" w:eastAsia="宋体" w:cs="Times New Roman"/>
                <w:color w:val="auto"/>
                <w:spacing w:val="-4"/>
                <w:kern w:val="2"/>
                <w:sz w:val="24"/>
                <w:szCs w:val="24"/>
                <w:highlight w:val="none"/>
              </w:rPr>
            </w:pPr>
            <w:r>
              <w:rPr>
                <w:rFonts w:hint="default" w:ascii="Times New Roman" w:hAnsi="Times New Roman" w:eastAsia="宋体" w:cs="Times New Roman"/>
                <w:color w:val="auto"/>
                <w:kern w:val="0"/>
                <w:sz w:val="24"/>
                <w:szCs w:val="24"/>
                <w:highlight w:val="none"/>
              </w:rPr>
              <w:t>……</w:t>
            </w:r>
          </w:p>
          <w:p w14:paraId="18DFC64B">
            <w:pPr>
              <w:widowControl w:val="0"/>
              <w:adjustRightInd w:val="0"/>
              <w:snapToGrid w:val="0"/>
              <w:spacing w:after="0" w:line="360" w:lineRule="auto"/>
              <w:ind w:firstLine="464" w:firstLineChars="200"/>
              <w:jc w:val="both"/>
              <w:rPr>
                <w:rFonts w:hint="default" w:ascii="Times New Roman" w:hAnsi="Times New Roman" w:eastAsia="宋体" w:cs="Times New Roman"/>
                <w:color w:val="auto"/>
                <w:spacing w:val="-4"/>
                <w:kern w:val="2"/>
                <w:sz w:val="24"/>
                <w:szCs w:val="24"/>
                <w:highlight w:val="none"/>
              </w:rPr>
            </w:pPr>
            <w:r>
              <w:rPr>
                <w:rFonts w:hint="default" w:ascii="Times New Roman" w:hAnsi="Times New Roman" w:eastAsia="宋体" w:cs="Times New Roman"/>
                <w:color w:val="auto"/>
                <w:spacing w:val="-4"/>
                <w:kern w:val="2"/>
                <w:sz w:val="24"/>
                <w:szCs w:val="24"/>
                <w:highlight w:val="none"/>
              </w:rPr>
              <w:t>c.惠州市的适用区域调整为除大亚</w:t>
            </w:r>
            <w:r>
              <w:rPr>
                <w:rFonts w:hint="default" w:ascii="Times New Roman" w:hAnsi="Times New Roman" w:eastAsia="宋体" w:cs="Times New Roman"/>
                <w:color w:val="auto"/>
                <w:spacing w:val="-4"/>
                <w:kern w:val="2"/>
                <w:sz w:val="24"/>
                <w:szCs w:val="24"/>
                <w:highlight w:val="none"/>
                <w:lang w:val="en-US" w:eastAsia="zh-CN"/>
              </w:rPr>
              <w:t xml:space="preserve"> </w:t>
            </w:r>
            <w:r>
              <w:rPr>
                <w:rFonts w:hint="default" w:ascii="Times New Roman" w:hAnsi="Times New Roman" w:eastAsia="宋体" w:cs="Times New Roman"/>
                <w:color w:val="auto"/>
                <w:spacing w:val="-4"/>
                <w:kern w:val="2"/>
                <w:sz w:val="24"/>
                <w:szCs w:val="24"/>
                <w:highlight w:val="none"/>
              </w:rPr>
              <w:t>湾经济技术开发区和惠阳区沿海地区、惠东县沿海地区（稔山镇、吉隆镇、铁涌镇、平海镇、巽寮办事处）之外废水排入东江及其支流的全部范围；</w:t>
            </w:r>
          </w:p>
          <w:p w14:paraId="788F2201">
            <w:pPr>
              <w:widowControl w:val="0"/>
              <w:autoSpaceDE w:val="0"/>
              <w:autoSpaceDN w:val="0"/>
              <w:spacing w:after="0" w:line="360" w:lineRule="auto"/>
              <w:ind w:firstLine="480" w:firstLineChars="200"/>
              <w:jc w:val="both"/>
              <w:rPr>
                <w:rFonts w:hint="default" w:ascii="Times New Roman" w:hAnsi="Times New Roman" w:eastAsia="宋体" w:cs="Times New Roman"/>
                <w:b/>
                <w:bCs/>
                <w:color w:val="auto"/>
                <w:sz w:val="24"/>
                <w:szCs w:val="21"/>
                <w:highlight w:val="none"/>
                <w:lang w:val="en-US" w:eastAsia="zh-CN"/>
              </w:rPr>
            </w:pPr>
            <w:r>
              <w:rPr>
                <w:rFonts w:hint="default" w:ascii="Times New Roman" w:hAnsi="Times New Roman" w:eastAsia="宋体" w:cs="Times New Roman"/>
                <w:color w:val="auto"/>
                <w:kern w:val="0"/>
                <w:sz w:val="24"/>
                <w:szCs w:val="24"/>
                <w:highlight w:val="none"/>
              </w:rPr>
              <w:t>……</w:t>
            </w:r>
            <w:r>
              <w:rPr>
                <w:rFonts w:hint="default" w:ascii="Times New Roman" w:hAnsi="Times New Roman" w:eastAsia="宋体" w:cs="Times New Roman"/>
                <w:color w:val="auto"/>
                <w:spacing w:val="-4"/>
                <w:kern w:val="2"/>
                <w:sz w:val="24"/>
                <w:szCs w:val="24"/>
                <w:highlight w:val="none"/>
              </w:rPr>
              <w:t>”</w:t>
            </w:r>
          </w:p>
          <w:p w14:paraId="3535F23F">
            <w:pPr>
              <w:widowControl w:val="0"/>
              <w:adjustRightInd w:val="0"/>
              <w:snapToGrid w:val="0"/>
              <w:spacing w:after="0" w:line="360" w:lineRule="auto"/>
              <w:ind w:firstLine="464" w:firstLineChars="200"/>
              <w:jc w:val="both"/>
              <w:rPr>
                <w:rFonts w:hint="default" w:ascii="Times New Roman" w:hAnsi="Times New Roman" w:eastAsia="宋体" w:cs="Times New Roman"/>
                <w:color w:val="auto"/>
                <w:spacing w:val="-4"/>
                <w:kern w:val="2"/>
                <w:sz w:val="24"/>
                <w:szCs w:val="24"/>
                <w:highlight w:val="none"/>
                <w:lang w:val="en-US" w:eastAsia="zh-CN"/>
              </w:rPr>
            </w:pPr>
            <w:r>
              <w:rPr>
                <w:rFonts w:hint="default" w:ascii="Times New Roman" w:hAnsi="Times New Roman" w:eastAsia="宋体" w:cs="Times New Roman"/>
                <w:color w:val="auto"/>
                <w:spacing w:val="-4"/>
                <w:kern w:val="2"/>
                <w:sz w:val="24"/>
                <w:szCs w:val="24"/>
                <w:highlight w:val="none"/>
                <w:lang w:val="en-US" w:eastAsia="zh-CN"/>
              </w:rPr>
              <w:t>相符性分析：项目位于博罗县罗阳街道小金村（大径小组地段桦泰工业园），</w:t>
            </w:r>
            <w:r>
              <w:rPr>
                <w:rFonts w:hint="default" w:ascii="Times New Roman" w:hAnsi="Times New Roman" w:eastAsia="宋体" w:cs="Times New Roman"/>
                <w:color w:val="auto"/>
                <w:spacing w:val="-4"/>
                <w:kern w:val="2"/>
                <w:sz w:val="24"/>
                <w:szCs w:val="24"/>
                <w:highlight w:val="none"/>
              </w:rPr>
              <w:t>不在饮用水源保护区范围内，</w:t>
            </w:r>
            <w:r>
              <w:rPr>
                <w:rFonts w:hint="default" w:ascii="Times New Roman" w:hAnsi="Times New Roman" w:eastAsia="宋体" w:cs="Times New Roman"/>
                <w:color w:val="auto"/>
                <w:spacing w:val="-4"/>
                <w:kern w:val="2"/>
                <w:sz w:val="24"/>
                <w:szCs w:val="24"/>
                <w:highlight w:val="none"/>
                <w:lang w:val="en-US" w:eastAsia="zh-CN"/>
              </w:rPr>
              <w:t>项目主要从事轨道板及Ⅲa型轨枕</w:t>
            </w:r>
            <w:r>
              <w:rPr>
                <w:rFonts w:hint="default" w:ascii="Times New Roman" w:hAnsi="Times New Roman" w:eastAsia="宋体" w:cs="Times New Roman"/>
                <w:color w:val="auto"/>
                <w:spacing w:val="-4"/>
                <w:kern w:val="2"/>
                <w:sz w:val="24"/>
                <w:szCs w:val="24"/>
                <w:highlight w:val="none"/>
                <w:lang w:eastAsia="zh-CN"/>
              </w:rPr>
              <w:t>的生产</w:t>
            </w:r>
            <w:r>
              <w:rPr>
                <w:rFonts w:hint="default" w:ascii="Times New Roman" w:hAnsi="Times New Roman" w:eastAsia="宋体" w:cs="Times New Roman"/>
                <w:color w:val="auto"/>
                <w:spacing w:val="-4"/>
                <w:kern w:val="2"/>
                <w:sz w:val="24"/>
                <w:szCs w:val="24"/>
                <w:highlight w:val="none"/>
                <w:lang w:val="en-US" w:eastAsia="zh-CN"/>
              </w:rPr>
              <w:t>，不属于以上文件禁止审批的行业类别，且项目无生产废水外排，搅拌机清洗废水、运输原材料车辆清洗废水、地面清洗废水经三</w:t>
            </w:r>
            <w:r>
              <w:rPr>
                <w:rFonts w:hint="default" w:ascii="Times New Roman" w:hAnsi="Times New Roman" w:eastAsia="宋体" w:cs="Times New Roman"/>
                <w:color w:val="auto"/>
                <w:spacing w:val="-4"/>
                <w:kern w:val="2"/>
                <w:sz w:val="24"/>
                <w:szCs w:val="24"/>
                <w:highlight w:val="none"/>
              </w:rPr>
              <w:t>级沉淀池处理后</w:t>
            </w:r>
            <w:r>
              <w:rPr>
                <w:rFonts w:hint="default" w:ascii="Times New Roman" w:hAnsi="Times New Roman" w:eastAsia="宋体" w:cs="Times New Roman"/>
                <w:color w:val="auto"/>
                <w:spacing w:val="-4"/>
                <w:kern w:val="2"/>
                <w:sz w:val="24"/>
                <w:szCs w:val="24"/>
                <w:highlight w:val="none"/>
                <w:lang w:eastAsia="zh-CN"/>
              </w:rPr>
              <w:t>回用于</w:t>
            </w:r>
            <w:r>
              <w:rPr>
                <w:rFonts w:hint="default" w:ascii="Times New Roman" w:hAnsi="Times New Roman" w:eastAsia="宋体" w:cs="Times New Roman"/>
                <w:color w:val="auto"/>
                <w:spacing w:val="-4"/>
                <w:kern w:val="2"/>
                <w:sz w:val="24"/>
                <w:szCs w:val="24"/>
                <w:highlight w:val="none"/>
                <w:lang w:val="en-US" w:eastAsia="zh-CN"/>
              </w:rPr>
              <w:t>原料调配用水</w:t>
            </w:r>
            <w:r>
              <w:rPr>
                <w:rFonts w:hint="default" w:ascii="Times New Roman" w:hAnsi="Times New Roman" w:eastAsia="宋体" w:cs="Times New Roman"/>
                <w:color w:val="auto"/>
                <w:spacing w:val="-4"/>
                <w:kern w:val="2"/>
                <w:sz w:val="24"/>
                <w:szCs w:val="24"/>
                <w:highlight w:val="none"/>
              </w:rPr>
              <w:t>，不排放</w:t>
            </w:r>
            <w:r>
              <w:rPr>
                <w:rFonts w:hint="default" w:ascii="Times New Roman" w:hAnsi="Times New Roman" w:eastAsia="宋体" w:cs="Times New Roman"/>
                <w:color w:val="auto"/>
                <w:spacing w:val="-4"/>
                <w:kern w:val="2"/>
                <w:sz w:val="24"/>
                <w:szCs w:val="24"/>
                <w:highlight w:val="none"/>
                <w:lang w:eastAsia="zh-CN"/>
              </w:rPr>
              <w:t>，</w:t>
            </w:r>
            <w:r>
              <w:rPr>
                <w:rFonts w:hint="default" w:ascii="Times New Roman" w:hAnsi="Times New Roman" w:eastAsia="宋体" w:cs="Times New Roman"/>
                <w:color w:val="auto"/>
                <w:spacing w:val="-4"/>
                <w:kern w:val="2"/>
                <w:sz w:val="24"/>
                <w:szCs w:val="24"/>
                <w:highlight w:val="none"/>
                <w:lang w:val="en-US" w:eastAsia="zh-CN"/>
              </w:rPr>
              <w:t>锅炉排污水及软化再生废水经调节混凝絮凝后再经三级沉淀池处理后回用于原料调配用水；初期雨水经过滞流、沉淀后回用于养护用水，不外排。生活污水已纳入城镇污水处理厂管网范围，项目</w:t>
            </w:r>
            <w:r>
              <w:rPr>
                <w:rFonts w:hint="default" w:ascii="Times New Roman" w:hAnsi="Times New Roman" w:eastAsia="宋体" w:cs="Times New Roman"/>
                <w:color w:val="auto"/>
                <w:spacing w:val="-4"/>
                <w:kern w:val="2"/>
                <w:sz w:val="24"/>
                <w:szCs w:val="24"/>
                <w:highlight w:val="none"/>
              </w:rPr>
              <w:t>员工生活污水经预处理达到《水污染物排放限值》（DB44/26-2001）第二时段三级标准后经市政管网排放至</w:t>
            </w:r>
            <w:r>
              <w:rPr>
                <w:rFonts w:hint="default" w:ascii="Times New Roman" w:hAnsi="Times New Roman" w:eastAsia="宋体" w:cs="Times New Roman"/>
                <w:color w:val="auto"/>
                <w:spacing w:val="-4"/>
                <w:kern w:val="2"/>
                <w:sz w:val="24"/>
                <w:szCs w:val="24"/>
                <w:highlight w:val="none"/>
                <w:lang w:val="en-US" w:eastAsia="zh-CN"/>
              </w:rPr>
              <w:t>博罗县罗阳街道小金生活污水处理厂</w:t>
            </w:r>
            <w:r>
              <w:rPr>
                <w:rFonts w:hint="default" w:ascii="Times New Roman" w:hAnsi="Times New Roman" w:eastAsia="宋体" w:cs="Times New Roman"/>
                <w:color w:val="auto"/>
                <w:spacing w:val="-4"/>
                <w:kern w:val="2"/>
                <w:sz w:val="24"/>
                <w:szCs w:val="24"/>
                <w:highlight w:val="none"/>
              </w:rPr>
              <w:t>处理</w:t>
            </w:r>
            <w:r>
              <w:rPr>
                <w:rFonts w:hint="default" w:ascii="Times New Roman" w:hAnsi="Times New Roman" w:eastAsia="宋体" w:cs="Times New Roman"/>
                <w:color w:val="auto"/>
                <w:spacing w:val="-4"/>
                <w:kern w:val="2"/>
                <w:sz w:val="24"/>
                <w:szCs w:val="24"/>
                <w:highlight w:val="none"/>
                <w:lang w:eastAsia="zh-CN"/>
              </w:rPr>
              <w:t>；</w:t>
            </w:r>
            <w:r>
              <w:rPr>
                <w:rFonts w:hint="default" w:ascii="Times New Roman" w:hAnsi="Times New Roman" w:eastAsia="宋体" w:cs="Times New Roman"/>
                <w:color w:val="auto"/>
                <w:spacing w:val="-4"/>
                <w:kern w:val="2"/>
                <w:sz w:val="24"/>
                <w:szCs w:val="24"/>
                <w:highlight w:val="none"/>
              </w:rPr>
              <w:t>因此，</w:t>
            </w:r>
            <w:r>
              <w:rPr>
                <w:rFonts w:hint="default" w:ascii="Times New Roman" w:hAnsi="Times New Roman" w:eastAsia="宋体" w:cs="Times New Roman"/>
                <w:color w:val="auto"/>
                <w:spacing w:val="-4"/>
                <w:kern w:val="2"/>
                <w:sz w:val="24"/>
                <w:szCs w:val="24"/>
                <w:highlight w:val="none"/>
                <w:lang w:val="en-US" w:eastAsia="zh-CN"/>
              </w:rPr>
              <w:t>项目</w:t>
            </w:r>
            <w:r>
              <w:rPr>
                <w:rFonts w:hint="default" w:ascii="Times New Roman" w:hAnsi="Times New Roman" w:eastAsia="宋体" w:cs="Times New Roman"/>
                <w:color w:val="auto"/>
                <w:spacing w:val="-4"/>
                <w:kern w:val="2"/>
                <w:sz w:val="24"/>
                <w:szCs w:val="24"/>
                <w:highlight w:val="none"/>
              </w:rPr>
              <w:t>符合《广东省人民政府关于严格限制东江流域水污染项目建设进一步做好东江水质保护工作的通知》（粤府函</w:t>
            </w:r>
            <w:r>
              <w:rPr>
                <w:rFonts w:hint="default" w:ascii="Times New Roman" w:hAnsi="Times New Roman" w:eastAsia="宋体" w:cs="Times New Roman"/>
                <w:color w:val="auto"/>
                <w:spacing w:val="-4"/>
                <w:kern w:val="2"/>
                <w:sz w:val="24"/>
                <w:szCs w:val="24"/>
                <w:highlight w:val="none"/>
                <w:lang w:eastAsia="zh-CN"/>
              </w:rPr>
              <w:t>〔2011〕</w:t>
            </w:r>
            <w:r>
              <w:rPr>
                <w:rFonts w:hint="default" w:ascii="Times New Roman" w:hAnsi="Times New Roman" w:eastAsia="宋体" w:cs="Times New Roman"/>
                <w:color w:val="auto"/>
                <w:spacing w:val="-4"/>
                <w:kern w:val="2"/>
                <w:sz w:val="24"/>
                <w:szCs w:val="24"/>
                <w:highlight w:val="none"/>
              </w:rPr>
              <w:t>339号）及《广东省人民政府关于严格限制东江流域水污染项目建设进一步做好东江水质保护工作的补充通知》（粤府函〔2013〕231 号）的要求。</w:t>
            </w:r>
          </w:p>
          <w:p w14:paraId="45528619">
            <w:pPr>
              <w:keepNext w:val="0"/>
              <w:keepLines w:val="0"/>
              <w:pageBreakBefore w:val="0"/>
              <w:widowControl w:val="0"/>
              <w:kinsoku/>
              <w:wordWrap/>
              <w:overflowPunct/>
              <w:topLinePunct w:val="0"/>
              <w:autoSpaceDE w:val="0"/>
              <w:autoSpaceDN w:val="0"/>
              <w:bidi w:val="0"/>
              <w:adjustRightInd w:val="0"/>
              <w:snapToGrid w:val="0"/>
              <w:spacing w:after="0" w:line="360" w:lineRule="auto"/>
              <w:ind w:firstLine="482" w:firstLineChars="200"/>
              <w:jc w:val="both"/>
              <w:textAlignment w:val="auto"/>
              <w:rPr>
                <w:rFonts w:hint="default" w:ascii="Times New Roman" w:hAnsi="Times New Roman" w:eastAsia="宋体" w:cs="Times New Roman"/>
                <w:b/>
                <w:bCs/>
                <w:color w:val="auto"/>
                <w:sz w:val="24"/>
                <w:szCs w:val="21"/>
                <w:highlight w:val="none"/>
                <w:lang w:val="en-US"/>
              </w:rPr>
            </w:pPr>
            <w:r>
              <w:rPr>
                <w:rFonts w:hint="default" w:ascii="Times New Roman" w:hAnsi="Times New Roman" w:eastAsia="宋体" w:cs="Times New Roman"/>
                <w:b/>
                <w:bCs/>
                <w:color w:val="auto"/>
                <w:kern w:val="0"/>
                <w:sz w:val="24"/>
                <w:szCs w:val="21"/>
                <w:highlight w:val="none"/>
                <w:lang w:val="en-US" w:eastAsia="zh-CN"/>
              </w:rPr>
              <w:t>7、与《广东省水污染防治条例》（广东省第十三届人民代表大会常务委员会公告（第73号）的相符性分析</w:t>
            </w:r>
          </w:p>
          <w:p w14:paraId="4C7BD33E">
            <w:pPr>
              <w:keepNext w:val="0"/>
              <w:keepLines w:val="0"/>
              <w:pageBreakBefore w:val="0"/>
              <w:widowControl w:val="0"/>
              <w:kinsoku/>
              <w:wordWrap/>
              <w:overflowPunct/>
              <w:topLinePunct w:val="0"/>
              <w:autoSpaceDE w:val="0"/>
              <w:autoSpaceDN w:val="0"/>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auto"/>
                <w:kern w:val="2"/>
                <w:sz w:val="24"/>
                <w:szCs w:val="32"/>
                <w:highlight w:val="none"/>
              </w:rPr>
            </w:pPr>
            <w:r>
              <w:rPr>
                <w:rFonts w:hint="default" w:ascii="Times New Roman" w:hAnsi="Times New Roman" w:eastAsia="宋体" w:cs="Times New Roman"/>
                <w:color w:val="auto"/>
                <w:kern w:val="2"/>
                <w:sz w:val="24"/>
                <w:szCs w:val="32"/>
                <w:highlight w:val="none"/>
              </w:rPr>
              <w:t>根据文件中的</w:t>
            </w:r>
          </w:p>
          <w:p w14:paraId="41C1582C">
            <w:pPr>
              <w:keepNext w:val="0"/>
              <w:keepLines w:val="0"/>
              <w:pageBreakBefore w:val="0"/>
              <w:widowControl w:val="0"/>
              <w:kinsoku/>
              <w:wordWrap/>
              <w:overflowPunct/>
              <w:topLinePunct w:val="0"/>
              <w:autoSpaceDE w:val="0"/>
              <w:autoSpaceDN w:val="0"/>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auto"/>
                <w:kern w:val="2"/>
                <w:sz w:val="24"/>
                <w:szCs w:val="32"/>
                <w:highlight w:val="none"/>
              </w:rPr>
            </w:pPr>
            <w:r>
              <w:rPr>
                <w:rFonts w:hint="default" w:ascii="Times New Roman" w:hAnsi="Times New Roman" w:eastAsia="宋体" w:cs="Times New Roman"/>
                <w:color w:val="auto"/>
                <w:kern w:val="2"/>
                <w:sz w:val="24"/>
                <w:szCs w:val="32"/>
                <w:highlight w:val="none"/>
              </w:rPr>
              <w:t>第二十条 本省根据国家有关规定，对直接或者间接向水体排放废水、污水的企业事业单位和其他生产经营者实行排污许可管理。实行排污许可管理的企业事业单位和其他生产经营者，应当按照规定向生态环境主管部门申领排污许可证，并按照排污许可证载明的排放水污染物种类、浓度、总量和排污口位置、排放去向等要求排放水污染物。排放水污染物不得超过国家或者地方规定的水污染物排放标准和重点水污染物排放总量控制指标。</w:t>
            </w:r>
          </w:p>
          <w:p w14:paraId="667BD283">
            <w:pPr>
              <w:keepNext w:val="0"/>
              <w:keepLines w:val="0"/>
              <w:pageBreakBefore w:val="0"/>
              <w:widowControl w:val="0"/>
              <w:kinsoku/>
              <w:wordWrap/>
              <w:overflowPunct/>
              <w:topLinePunct w:val="0"/>
              <w:autoSpaceDE w:val="0"/>
              <w:autoSpaceDN w:val="0"/>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auto"/>
                <w:kern w:val="2"/>
                <w:sz w:val="24"/>
                <w:szCs w:val="32"/>
                <w:highlight w:val="none"/>
              </w:rPr>
            </w:pPr>
            <w:r>
              <w:rPr>
                <w:rFonts w:hint="default" w:ascii="Times New Roman" w:hAnsi="Times New Roman" w:eastAsia="宋体" w:cs="Times New Roman"/>
                <w:color w:val="auto"/>
                <w:kern w:val="2"/>
                <w:sz w:val="24"/>
                <w:szCs w:val="32"/>
                <w:highlight w:val="none"/>
              </w:rPr>
              <w:t>排污单位执行更加严格的水污染物排放浓度限值或者重点水污染物排放总量控制指标的，应当在排污许可证副本中规定</w:t>
            </w:r>
            <w:r>
              <w:rPr>
                <w:rFonts w:hint="eastAsia" w:ascii="Times New Roman" w:hAnsi="Times New Roman" w:eastAsia="宋体" w:cs="Times New Roman"/>
                <w:color w:val="auto"/>
                <w:kern w:val="2"/>
                <w:sz w:val="24"/>
                <w:szCs w:val="32"/>
                <w:highlight w:val="none"/>
                <w:lang w:eastAsia="zh-CN"/>
              </w:rPr>
              <w:t>，</w:t>
            </w:r>
            <w:r>
              <w:rPr>
                <w:rFonts w:hint="default" w:ascii="Times New Roman" w:hAnsi="Times New Roman" w:eastAsia="宋体" w:cs="Times New Roman"/>
                <w:color w:val="auto"/>
                <w:kern w:val="2"/>
                <w:sz w:val="24"/>
                <w:szCs w:val="32"/>
                <w:highlight w:val="none"/>
              </w:rPr>
              <w:t>禁止企业事业单位和其他生产经营者未依法取得排污许可证或者违反排污许可证的规定排放水污染物。</w:t>
            </w:r>
          </w:p>
          <w:p w14:paraId="6D77E92B">
            <w:pPr>
              <w:keepNext w:val="0"/>
              <w:keepLines w:val="0"/>
              <w:pageBreakBefore w:val="0"/>
              <w:widowControl w:val="0"/>
              <w:kinsoku/>
              <w:wordWrap/>
              <w:overflowPunct/>
              <w:topLinePunct w:val="0"/>
              <w:autoSpaceDE w:val="0"/>
              <w:autoSpaceDN w:val="0"/>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auto"/>
                <w:kern w:val="2"/>
                <w:sz w:val="24"/>
                <w:szCs w:val="32"/>
                <w:highlight w:val="none"/>
              </w:rPr>
            </w:pPr>
            <w:r>
              <w:rPr>
                <w:rFonts w:hint="default" w:ascii="Times New Roman" w:hAnsi="Times New Roman" w:eastAsia="宋体" w:cs="Times New Roman"/>
                <w:color w:val="auto"/>
                <w:kern w:val="2"/>
                <w:sz w:val="24"/>
                <w:szCs w:val="32"/>
                <w:highlight w:val="none"/>
              </w:rPr>
              <w:t>第二十八条 排放工业废水的企业应当采取有效措施，收集和处理产生的全部生产废水，防止污染水环境。未依法领取污水排入排水管网许可证的，不得直接向生活污水管网与处理系统排放工业废水。含有毒有害水污染物的工业废水应当分类收集和处理，不得稀释排放。</w:t>
            </w:r>
          </w:p>
          <w:p w14:paraId="1E22D917">
            <w:pPr>
              <w:keepNext w:val="0"/>
              <w:keepLines w:val="0"/>
              <w:pageBreakBefore w:val="0"/>
              <w:widowControl w:val="0"/>
              <w:kinsoku/>
              <w:wordWrap/>
              <w:overflowPunct/>
              <w:topLinePunct w:val="0"/>
              <w:autoSpaceDE w:val="0"/>
              <w:autoSpaceDN w:val="0"/>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auto"/>
                <w:kern w:val="2"/>
                <w:sz w:val="24"/>
                <w:szCs w:val="32"/>
                <w:highlight w:val="none"/>
              </w:rPr>
            </w:pPr>
            <w:r>
              <w:rPr>
                <w:rFonts w:hint="default" w:ascii="Times New Roman" w:hAnsi="Times New Roman" w:eastAsia="宋体" w:cs="Times New Roman"/>
                <w:color w:val="auto"/>
                <w:kern w:val="2"/>
                <w:sz w:val="24"/>
                <w:szCs w:val="32"/>
                <w:highlight w:val="none"/>
              </w:rPr>
              <w:t>按照规定或者环境影响评价文件和审批意见的要求需要进行初期雨水收集的企业，应当对初期雨水进行收集处理，达标后方可排放。</w:t>
            </w:r>
          </w:p>
          <w:p w14:paraId="304C5C17">
            <w:pPr>
              <w:keepNext w:val="0"/>
              <w:keepLines w:val="0"/>
              <w:pageBreakBefore w:val="0"/>
              <w:widowControl w:val="0"/>
              <w:kinsoku/>
              <w:wordWrap/>
              <w:overflowPunct/>
              <w:topLinePunct w:val="0"/>
              <w:autoSpaceDE w:val="0"/>
              <w:autoSpaceDN w:val="0"/>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auto"/>
                <w:kern w:val="2"/>
                <w:sz w:val="24"/>
                <w:szCs w:val="32"/>
                <w:highlight w:val="none"/>
                <w:lang w:val="en-US" w:eastAsia="zh-CN"/>
              </w:rPr>
            </w:pPr>
            <w:r>
              <w:rPr>
                <w:rFonts w:hint="default" w:ascii="Times New Roman" w:hAnsi="Times New Roman" w:eastAsia="宋体" w:cs="Times New Roman"/>
                <w:color w:val="auto"/>
                <w:kern w:val="2"/>
                <w:sz w:val="24"/>
                <w:szCs w:val="32"/>
                <w:highlight w:val="none"/>
                <w:lang w:val="en-US" w:eastAsia="zh-CN"/>
              </w:rPr>
              <w:t>经批准设立的工业集聚区应当按照规定建成污水集中处理设施并安装水污染物排放自动监测设备。未完成污水集中处理设施建设的，暂停审批和核准其增加水污染物排放的建设项目。</w:t>
            </w:r>
          </w:p>
          <w:p w14:paraId="23C1B26E">
            <w:pPr>
              <w:keepNext w:val="0"/>
              <w:keepLines w:val="0"/>
              <w:pageBreakBefore w:val="0"/>
              <w:widowControl w:val="0"/>
              <w:kinsoku/>
              <w:wordWrap/>
              <w:overflowPunct/>
              <w:topLinePunct w:val="0"/>
              <w:autoSpaceDE w:val="0"/>
              <w:autoSpaceDN w:val="0"/>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auto"/>
                <w:kern w:val="2"/>
                <w:sz w:val="24"/>
                <w:szCs w:val="32"/>
                <w:highlight w:val="none"/>
              </w:rPr>
            </w:pPr>
            <w:r>
              <w:rPr>
                <w:rFonts w:hint="default" w:ascii="Times New Roman" w:hAnsi="Times New Roman" w:eastAsia="宋体" w:cs="Times New Roman"/>
                <w:color w:val="auto"/>
                <w:kern w:val="2"/>
                <w:sz w:val="24"/>
                <w:szCs w:val="32"/>
                <w:highlight w:val="none"/>
                <w:lang w:val="en-US" w:eastAsia="zh-CN"/>
              </w:rPr>
              <w:t xml:space="preserve">向工业集聚区污水集中处理设施或者城镇污水集中处理设施排放工业废水的，应当按照有关规定进行预处理，达到集中处理设施处理工艺要求后方可以排放。       </w:t>
            </w:r>
          </w:p>
          <w:p w14:paraId="28AA77D1">
            <w:pPr>
              <w:keepNext w:val="0"/>
              <w:keepLines w:val="0"/>
              <w:pageBreakBefore w:val="0"/>
              <w:widowControl w:val="0"/>
              <w:kinsoku/>
              <w:wordWrap/>
              <w:overflowPunct/>
              <w:topLinePunct w:val="0"/>
              <w:autoSpaceDE w:val="0"/>
              <w:autoSpaceDN w:val="0"/>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auto"/>
                <w:kern w:val="2"/>
                <w:sz w:val="24"/>
                <w:szCs w:val="32"/>
                <w:highlight w:val="none"/>
                <w:lang w:val="en-US" w:eastAsia="zh-CN"/>
              </w:rPr>
            </w:pPr>
            <w:r>
              <w:rPr>
                <w:rFonts w:hint="default" w:ascii="Times New Roman" w:hAnsi="Times New Roman" w:eastAsia="宋体" w:cs="Times New Roman"/>
                <w:color w:val="auto"/>
                <w:kern w:val="2"/>
                <w:sz w:val="24"/>
                <w:szCs w:val="32"/>
                <w:highlight w:val="none"/>
                <w:lang w:val="en-US" w:eastAsia="zh-CN"/>
              </w:rPr>
              <w:t>第三十二条 向城镇污水集中处理设施排放水污染物，应当符合国家或者地方规定的水污染物排放标准。县级以上人民政府城镇排水主管部门应当加强对排水户的排放口设置、连接管网、预处理设施和水质、水量监测设施建设和运行的指导和监督。城镇排水主管部门委托的排水监测机构应当对排水户排放污水的水质和水量进行监测，并建立排水监测档案。</w:t>
            </w:r>
          </w:p>
          <w:p w14:paraId="7CC3E02E">
            <w:pPr>
              <w:pStyle w:val="43"/>
              <w:keepNext w:val="0"/>
              <w:keepLines w:val="0"/>
              <w:pageBreakBefore w:val="0"/>
              <w:widowControl w:val="0"/>
              <w:kinsoku/>
              <w:wordWrap/>
              <w:overflowPunct/>
              <w:topLinePunct w:val="0"/>
              <w:bidi w:val="0"/>
              <w:adjustRightInd w:val="0"/>
              <w:snapToGrid w:val="0"/>
              <w:spacing w:line="360" w:lineRule="auto"/>
              <w:ind w:firstLine="480" w:firstLineChars="200"/>
              <w:rPr>
                <w:rFonts w:hint="eastAsia"/>
                <w:color w:val="auto"/>
                <w:sz w:val="24"/>
                <w:szCs w:val="24"/>
                <w:highlight w:val="none"/>
                <w:lang w:eastAsia="zh-CN"/>
              </w:rPr>
            </w:pPr>
            <w:r>
              <w:rPr>
                <w:rFonts w:hint="default"/>
                <w:color w:val="auto"/>
                <w:sz w:val="24"/>
                <w:szCs w:val="24"/>
                <w:highlight w:val="none"/>
              </w:rPr>
              <w:t>第四十三条 在饮用水水源保护区内禁止下列行为</w:t>
            </w:r>
            <w:r>
              <w:rPr>
                <w:rFonts w:hint="eastAsia"/>
                <w:color w:val="auto"/>
                <w:sz w:val="24"/>
                <w:szCs w:val="24"/>
                <w:highlight w:val="none"/>
                <w:lang w:eastAsia="zh-CN"/>
              </w:rPr>
              <w:t>：</w:t>
            </w:r>
          </w:p>
          <w:p w14:paraId="6CAD10A9">
            <w:pPr>
              <w:pStyle w:val="43"/>
              <w:keepNext w:val="0"/>
              <w:keepLines w:val="0"/>
              <w:pageBreakBefore w:val="0"/>
              <w:widowControl w:val="0"/>
              <w:kinsoku/>
              <w:wordWrap/>
              <w:overflowPunct/>
              <w:topLinePunct w:val="0"/>
              <w:bidi w:val="0"/>
              <w:adjustRightInd w:val="0"/>
              <w:snapToGrid w:val="0"/>
              <w:spacing w:line="360" w:lineRule="auto"/>
              <w:ind w:firstLine="480" w:firstLineChars="200"/>
              <w:rPr>
                <w:rFonts w:hint="eastAsia" w:eastAsia="宋体"/>
                <w:color w:val="auto"/>
                <w:sz w:val="24"/>
                <w:szCs w:val="24"/>
                <w:highlight w:val="none"/>
                <w:lang w:eastAsia="zh-CN"/>
              </w:rPr>
            </w:pPr>
            <w:r>
              <w:rPr>
                <w:rFonts w:hint="default"/>
                <w:color w:val="auto"/>
                <w:sz w:val="24"/>
                <w:szCs w:val="24"/>
                <w:highlight w:val="none"/>
              </w:rPr>
              <w:t>(一)设置排污口</w:t>
            </w:r>
            <w:r>
              <w:rPr>
                <w:rFonts w:hint="eastAsia"/>
                <w:color w:val="auto"/>
                <w:sz w:val="24"/>
                <w:szCs w:val="24"/>
                <w:highlight w:val="none"/>
                <w:lang w:eastAsia="zh-CN"/>
              </w:rPr>
              <w:t>；</w:t>
            </w:r>
          </w:p>
          <w:p w14:paraId="009600AE">
            <w:pPr>
              <w:pStyle w:val="43"/>
              <w:keepNext w:val="0"/>
              <w:keepLines w:val="0"/>
              <w:pageBreakBefore w:val="0"/>
              <w:widowControl w:val="0"/>
              <w:kinsoku/>
              <w:wordWrap/>
              <w:overflowPunct/>
              <w:topLinePunct w:val="0"/>
              <w:bidi w:val="0"/>
              <w:adjustRightInd w:val="0"/>
              <w:snapToGrid w:val="0"/>
              <w:spacing w:line="360" w:lineRule="auto"/>
              <w:ind w:firstLine="480" w:firstLineChars="200"/>
              <w:rPr>
                <w:rFonts w:hint="eastAsia" w:eastAsia="宋体"/>
                <w:color w:val="auto"/>
                <w:sz w:val="24"/>
                <w:szCs w:val="24"/>
                <w:highlight w:val="none"/>
                <w:lang w:eastAsia="zh-CN"/>
              </w:rPr>
            </w:pPr>
            <w:r>
              <w:rPr>
                <w:rFonts w:hint="default"/>
                <w:color w:val="auto"/>
                <w:sz w:val="24"/>
                <w:szCs w:val="24"/>
                <w:highlight w:val="none"/>
              </w:rPr>
              <w:t>(二)设置油类及其他有毒有害物品的储存罐、仓库、堆栈和废弃物回收场、加工场</w:t>
            </w:r>
            <w:r>
              <w:rPr>
                <w:rFonts w:hint="eastAsia"/>
                <w:color w:val="auto"/>
                <w:sz w:val="24"/>
                <w:szCs w:val="24"/>
                <w:highlight w:val="none"/>
                <w:lang w:eastAsia="zh-CN"/>
              </w:rPr>
              <w:t>；</w:t>
            </w:r>
          </w:p>
          <w:p w14:paraId="6034BB8E">
            <w:pPr>
              <w:pStyle w:val="43"/>
              <w:keepNext w:val="0"/>
              <w:keepLines w:val="0"/>
              <w:pageBreakBefore w:val="0"/>
              <w:widowControl w:val="0"/>
              <w:kinsoku/>
              <w:wordWrap/>
              <w:overflowPunct/>
              <w:topLinePunct w:val="0"/>
              <w:bidi w:val="0"/>
              <w:adjustRightInd w:val="0"/>
              <w:snapToGrid w:val="0"/>
              <w:spacing w:line="360" w:lineRule="auto"/>
              <w:ind w:firstLine="480" w:firstLineChars="200"/>
              <w:rPr>
                <w:rFonts w:hint="eastAsia" w:eastAsia="宋体"/>
                <w:color w:val="auto"/>
                <w:sz w:val="24"/>
                <w:szCs w:val="24"/>
                <w:highlight w:val="none"/>
                <w:lang w:eastAsia="zh-CN"/>
              </w:rPr>
            </w:pPr>
            <w:r>
              <w:rPr>
                <w:rFonts w:hint="default"/>
                <w:color w:val="auto"/>
                <w:sz w:val="24"/>
                <w:szCs w:val="24"/>
                <w:highlight w:val="none"/>
              </w:rPr>
              <w:t>(三)排放、倾倒、堆放、处置剧毒物品、放射性物质以及油类、酸碱类物质、工业废渣、生活垃圾、医疗废物及其他废弃物</w:t>
            </w:r>
            <w:r>
              <w:rPr>
                <w:rFonts w:hint="eastAsia"/>
                <w:color w:val="auto"/>
                <w:sz w:val="24"/>
                <w:szCs w:val="24"/>
                <w:highlight w:val="none"/>
                <w:lang w:eastAsia="zh-CN"/>
              </w:rPr>
              <w:t>；</w:t>
            </w:r>
          </w:p>
          <w:p w14:paraId="25083BB5">
            <w:pPr>
              <w:pStyle w:val="43"/>
              <w:keepNext w:val="0"/>
              <w:keepLines w:val="0"/>
              <w:pageBreakBefore w:val="0"/>
              <w:widowControl w:val="0"/>
              <w:kinsoku/>
              <w:wordWrap/>
              <w:overflowPunct/>
              <w:topLinePunct w:val="0"/>
              <w:bidi w:val="0"/>
              <w:adjustRightInd w:val="0"/>
              <w:snapToGrid w:val="0"/>
              <w:spacing w:line="360" w:lineRule="auto"/>
              <w:ind w:firstLine="480" w:firstLineChars="200"/>
              <w:rPr>
                <w:rFonts w:hint="eastAsia" w:eastAsia="宋体"/>
                <w:color w:val="auto"/>
                <w:sz w:val="24"/>
                <w:szCs w:val="24"/>
                <w:highlight w:val="none"/>
                <w:lang w:eastAsia="zh-CN"/>
              </w:rPr>
            </w:pPr>
            <w:r>
              <w:rPr>
                <w:rFonts w:hint="default"/>
                <w:color w:val="auto"/>
                <w:sz w:val="24"/>
                <w:szCs w:val="24"/>
                <w:highlight w:val="none"/>
              </w:rPr>
              <w:t>(四)从事船舶制造、修理、拆解作业</w:t>
            </w:r>
            <w:r>
              <w:rPr>
                <w:rFonts w:hint="eastAsia"/>
                <w:color w:val="auto"/>
                <w:sz w:val="24"/>
                <w:szCs w:val="24"/>
                <w:highlight w:val="none"/>
                <w:lang w:eastAsia="zh-CN"/>
              </w:rPr>
              <w:t>；</w:t>
            </w:r>
          </w:p>
          <w:p w14:paraId="15BE3CAF">
            <w:pPr>
              <w:pStyle w:val="43"/>
              <w:keepNext w:val="0"/>
              <w:keepLines w:val="0"/>
              <w:pageBreakBefore w:val="0"/>
              <w:widowControl w:val="0"/>
              <w:kinsoku/>
              <w:wordWrap/>
              <w:overflowPunct/>
              <w:topLinePunct w:val="0"/>
              <w:bidi w:val="0"/>
              <w:adjustRightInd w:val="0"/>
              <w:snapToGrid w:val="0"/>
              <w:spacing w:line="360" w:lineRule="auto"/>
              <w:ind w:firstLine="480" w:firstLineChars="200"/>
              <w:rPr>
                <w:rFonts w:hint="default"/>
                <w:color w:val="auto"/>
                <w:sz w:val="24"/>
                <w:szCs w:val="24"/>
                <w:highlight w:val="none"/>
              </w:rPr>
            </w:pPr>
            <w:r>
              <w:rPr>
                <w:rFonts w:hint="default"/>
                <w:color w:val="auto"/>
                <w:sz w:val="24"/>
                <w:szCs w:val="24"/>
                <w:highlight w:val="none"/>
              </w:rPr>
              <w:t>五)利用码头等设施或者船舶装卸油类、垃圾、粪便、煤、有毒有害</w:t>
            </w:r>
          </w:p>
          <w:p w14:paraId="4B70D39D">
            <w:pPr>
              <w:pStyle w:val="43"/>
              <w:keepNext w:val="0"/>
              <w:keepLines w:val="0"/>
              <w:pageBreakBefore w:val="0"/>
              <w:widowControl w:val="0"/>
              <w:kinsoku/>
              <w:wordWrap/>
              <w:overflowPunct/>
              <w:topLinePunct w:val="0"/>
              <w:bidi w:val="0"/>
              <w:adjustRightInd w:val="0"/>
              <w:snapToGrid w:val="0"/>
              <w:spacing w:line="360" w:lineRule="auto"/>
              <w:ind w:firstLine="0" w:firstLineChars="0"/>
              <w:rPr>
                <w:rFonts w:hint="eastAsia" w:eastAsia="宋体"/>
                <w:color w:val="auto"/>
                <w:sz w:val="24"/>
                <w:szCs w:val="24"/>
                <w:highlight w:val="none"/>
                <w:lang w:eastAsia="zh-CN"/>
              </w:rPr>
            </w:pPr>
            <w:r>
              <w:rPr>
                <w:rFonts w:hint="default"/>
                <w:color w:val="auto"/>
                <w:sz w:val="24"/>
                <w:szCs w:val="24"/>
                <w:highlight w:val="none"/>
              </w:rPr>
              <w:t>物品</w:t>
            </w:r>
            <w:r>
              <w:rPr>
                <w:rFonts w:hint="eastAsia"/>
                <w:color w:val="auto"/>
                <w:sz w:val="24"/>
                <w:szCs w:val="24"/>
                <w:highlight w:val="none"/>
                <w:lang w:eastAsia="zh-CN"/>
              </w:rPr>
              <w:t>；</w:t>
            </w:r>
          </w:p>
          <w:p w14:paraId="25F77428">
            <w:pPr>
              <w:pStyle w:val="43"/>
              <w:keepNext w:val="0"/>
              <w:keepLines w:val="0"/>
              <w:pageBreakBefore w:val="0"/>
              <w:widowControl w:val="0"/>
              <w:kinsoku/>
              <w:wordWrap/>
              <w:overflowPunct/>
              <w:topLinePunct w:val="0"/>
              <w:bidi w:val="0"/>
              <w:adjustRightInd w:val="0"/>
              <w:snapToGrid w:val="0"/>
              <w:spacing w:line="360" w:lineRule="auto"/>
              <w:ind w:firstLine="480" w:firstLineChars="200"/>
              <w:rPr>
                <w:rFonts w:hint="eastAsia" w:eastAsia="宋体"/>
                <w:color w:val="auto"/>
                <w:sz w:val="24"/>
                <w:szCs w:val="24"/>
                <w:highlight w:val="none"/>
                <w:lang w:eastAsia="zh-CN"/>
              </w:rPr>
            </w:pPr>
            <w:r>
              <w:rPr>
                <w:rFonts w:hint="default"/>
                <w:color w:val="auto"/>
                <w:sz w:val="24"/>
                <w:szCs w:val="24"/>
                <w:highlight w:val="none"/>
              </w:rPr>
              <w:t>(六)利用船舶运输剧毒物品、危险废物以及国家规定禁止运输的其他危险化学品</w:t>
            </w:r>
            <w:r>
              <w:rPr>
                <w:rFonts w:hint="eastAsia"/>
                <w:color w:val="auto"/>
                <w:sz w:val="24"/>
                <w:szCs w:val="24"/>
                <w:highlight w:val="none"/>
                <w:lang w:eastAsia="zh-CN"/>
              </w:rPr>
              <w:t>；</w:t>
            </w:r>
          </w:p>
          <w:p w14:paraId="35CE1949">
            <w:pPr>
              <w:pStyle w:val="43"/>
              <w:keepNext w:val="0"/>
              <w:keepLines w:val="0"/>
              <w:pageBreakBefore w:val="0"/>
              <w:widowControl w:val="0"/>
              <w:kinsoku/>
              <w:wordWrap/>
              <w:overflowPunct/>
              <w:topLinePunct w:val="0"/>
              <w:bidi w:val="0"/>
              <w:adjustRightInd w:val="0"/>
              <w:snapToGrid w:val="0"/>
              <w:spacing w:line="360" w:lineRule="auto"/>
              <w:ind w:firstLine="480" w:firstLineChars="200"/>
              <w:rPr>
                <w:rFonts w:hint="eastAsia" w:eastAsia="宋体"/>
                <w:color w:val="auto"/>
                <w:sz w:val="24"/>
                <w:szCs w:val="24"/>
                <w:highlight w:val="none"/>
                <w:lang w:eastAsia="zh-CN"/>
              </w:rPr>
            </w:pPr>
            <w:r>
              <w:rPr>
                <w:rFonts w:hint="default"/>
                <w:color w:val="auto"/>
                <w:sz w:val="24"/>
                <w:szCs w:val="24"/>
                <w:highlight w:val="none"/>
              </w:rPr>
              <w:t>(七)运输剧毒物品的车辆通行</w:t>
            </w:r>
            <w:r>
              <w:rPr>
                <w:rFonts w:hint="eastAsia"/>
                <w:color w:val="auto"/>
                <w:sz w:val="24"/>
                <w:szCs w:val="24"/>
                <w:highlight w:val="none"/>
                <w:lang w:eastAsia="zh-CN"/>
              </w:rPr>
              <w:t>；</w:t>
            </w:r>
          </w:p>
          <w:p w14:paraId="534CF39F">
            <w:pPr>
              <w:pStyle w:val="43"/>
              <w:keepNext w:val="0"/>
              <w:keepLines w:val="0"/>
              <w:pageBreakBefore w:val="0"/>
              <w:widowControl w:val="0"/>
              <w:kinsoku/>
              <w:wordWrap/>
              <w:overflowPunct/>
              <w:topLinePunct w:val="0"/>
              <w:bidi w:val="0"/>
              <w:adjustRightInd w:val="0"/>
              <w:snapToGrid w:val="0"/>
              <w:spacing w:line="360" w:lineRule="auto"/>
              <w:ind w:firstLine="480" w:firstLineChars="200"/>
              <w:rPr>
                <w:rFonts w:hint="default"/>
                <w:color w:val="auto"/>
                <w:sz w:val="24"/>
                <w:szCs w:val="24"/>
                <w:highlight w:val="none"/>
              </w:rPr>
            </w:pPr>
            <w:r>
              <w:rPr>
                <w:rFonts w:hint="default"/>
                <w:color w:val="auto"/>
                <w:sz w:val="24"/>
                <w:szCs w:val="24"/>
                <w:highlight w:val="none"/>
              </w:rPr>
              <w:t>(八)其他污染饮用水水源的行为，除前款规定外，饮用水水源一级保护区内还不得停泊与保护水源无关的船舶、木排、竹排，不得从事网箱养殖、旅游、游泳、垂钓、放养畜离活动或者其他可能污染饮用水水体的活动</w:t>
            </w:r>
            <w:r>
              <w:rPr>
                <w:rFonts w:hint="eastAsia"/>
                <w:color w:val="auto"/>
                <w:sz w:val="24"/>
                <w:szCs w:val="24"/>
                <w:highlight w:val="none"/>
                <w:lang w:eastAsia="zh-CN"/>
              </w:rPr>
              <w:t>，</w:t>
            </w:r>
            <w:r>
              <w:rPr>
                <w:rFonts w:hint="default"/>
                <w:color w:val="auto"/>
                <w:sz w:val="24"/>
                <w:szCs w:val="24"/>
                <w:highlight w:val="none"/>
              </w:rPr>
              <w:t>在饮用水水源二级保护区内从事网箱养殖、旅游等活动的，应当按照规定采取措施，防止污染饮用水水体。</w:t>
            </w:r>
          </w:p>
          <w:p w14:paraId="1D0460E2">
            <w:pPr>
              <w:pStyle w:val="5"/>
              <w:keepNext w:val="0"/>
              <w:keepLines w:val="0"/>
              <w:pageBreakBefore w:val="0"/>
              <w:widowControl w:val="0"/>
              <w:kinsoku/>
              <w:wordWrap/>
              <w:overflowPunct/>
              <w:topLinePunct w:val="0"/>
              <w:bidi w:val="0"/>
              <w:adjustRightInd w:val="0"/>
              <w:snapToGrid w:val="0"/>
              <w:spacing w:line="360" w:lineRule="auto"/>
              <w:ind w:left="0" w:leftChars="0" w:firstLine="480" w:firstLineChars="200"/>
              <w:rPr>
                <w:rFonts w:hint="default"/>
                <w:color w:val="auto"/>
                <w:sz w:val="24"/>
                <w:szCs w:val="24"/>
                <w:highlight w:val="none"/>
              </w:rPr>
            </w:pPr>
            <w:r>
              <w:rPr>
                <w:rFonts w:hint="default"/>
                <w:color w:val="auto"/>
                <w:sz w:val="24"/>
                <w:szCs w:val="24"/>
                <w:highlight w:val="none"/>
              </w:rPr>
              <w:t>第四十四条 禁止在饮用水水源一级保护区内新建、改建、扩建与供水设施和保护水源无关的建设项目;已建成的与供水设施和保护水源无关的建设项目由县级以上人民政府责令拆除或者关闭。禁止在饮用水水源二级保护区内新建、改建、扩建排放污染物的建设项目</w:t>
            </w:r>
            <w:r>
              <w:rPr>
                <w:rFonts w:hint="eastAsia"/>
                <w:color w:val="auto"/>
                <w:sz w:val="24"/>
                <w:szCs w:val="24"/>
                <w:highlight w:val="none"/>
                <w:lang w:eastAsia="zh-CN"/>
              </w:rPr>
              <w:t>；</w:t>
            </w:r>
            <w:r>
              <w:rPr>
                <w:rFonts w:hint="default"/>
                <w:color w:val="auto"/>
                <w:sz w:val="24"/>
                <w:szCs w:val="24"/>
                <w:highlight w:val="none"/>
              </w:rPr>
              <w:t>已建成的排放污染物的建设项目由县级以上人民政府责令拆除或者关闭</w:t>
            </w:r>
            <w:r>
              <w:rPr>
                <w:rFonts w:hint="eastAsia"/>
                <w:color w:val="auto"/>
                <w:sz w:val="24"/>
                <w:szCs w:val="24"/>
                <w:highlight w:val="none"/>
                <w:lang w:eastAsia="zh-CN"/>
              </w:rPr>
              <w:t>，</w:t>
            </w:r>
            <w:r>
              <w:rPr>
                <w:rFonts w:hint="default"/>
                <w:color w:val="auto"/>
                <w:sz w:val="24"/>
                <w:szCs w:val="24"/>
                <w:highlight w:val="none"/>
              </w:rPr>
              <w:t>不排放污染物的建设项目，除与供水设施和保护水源有关的外，应当尽量避让饮用水水源二级保护区;经组织论证确实无法避让的，应当依法严格审批。经依法批准的建设项目，应当严格落实工程设计方案，并根据项目类型和环境风险防控需要，提高施工和运营期间的环境风险防控、突发环境事件应急处置等各项措施的等级。有关主管部门应当加强对建设项目施工、运营期间环境风险预警和防控工作的监督和指导。</w:t>
            </w:r>
          </w:p>
          <w:p w14:paraId="30F92A04">
            <w:pPr>
              <w:keepNext w:val="0"/>
              <w:keepLines w:val="0"/>
              <w:pageBreakBefore w:val="0"/>
              <w:widowControl w:val="0"/>
              <w:kinsoku/>
              <w:wordWrap/>
              <w:overflowPunct/>
              <w:topLinePunct w:val="0"/>
              <w:autoSpaceDE w:val="0"/>
              <w:autoSpaceDN w:val="0"/>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auto"/>
                <w:kern w:val="2"/>
                <w:sz w:val="24"/>
                <w:szCs w:val="32"/>
                <w:highlight w:val="none"/>
              </w:rPr>
            </w:pPr>
            <w:r>
              <w:rPr>
                <w:rFonts w:hint="default" w:ascii="Times New Roman" w:hAnsi="Times New Roman" w:eastAsia="宋体" w:cs="Times New Roman"/>
                <w:color w:val="auto"/>
                <w:kern w:val="2"/>
                <w:sz w:val="24"/>
                <w:szCs w:val="32"/>
                <w:highlight w:val="none"/>
              </w:rPr>
              <w:t>第五十</w:t>
            </w:r>
            <w:r>
              <w:rPr>
                <w:rFonts w:hint="default" w:ascii="Times New Roman" w:hAnsi="Times New Roman" w:eastAsia="宋体" w:cs="Times New Roman"/>
                <w:color w:val="auto"/>
                <w:kern w:val="2"/>
                <w:sz w:val="24"/>
                <w:szCs w:val="32"/>
                <w:highlight w:val="none"/>
                <w:lang w:val="en-US" w:eastAsia="zh-CN"/>
              </w:rPr>
              <w:t xml:space="preserve">条 </w:t>
            </w:r>
            <w:r>
              <w:rPr>
                <w:rFonts w:hint="default" w:ascii="Times New Roman" w:hAnsi="Times New Roman" w:eastAsia="宋体" w:cs="Times New Roman"/>
                <w:color w:val="auto"/>
                <w:kern w:val="2"/>
                <w:sz w:val="24"/>
                <w:szCs w:val="32"/>
                <w:highlight w:val="none"/>
              </w:rPr>
              <w:t>新建、改建、扩建的项目应当符合国家产业政策规定。</w:t>
            </w:r>
          </w:p>
          <w:p w14:paraId="42DC2D64">
            <w:pPr>
              <w:keepNext w:val="0"/>
              <w:keepLines w:val="0"/>
              <w:pageBreakBefore w:val="0"/>
              <w:widowControl w:val="0"/>
              <w:kinsoku/>
              <w:wordWrap/>
              <w:overflowPunct/>
              <w:topLinePunct w:val="0"/>
              <w:autoSpaceDE w:val="0"/>
              <w:autoSpaceDN w:val="0"/>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auto"/>
                <w:kern w:val="2"/>
                <w:sz w:val="24"/>
                <w:szCs w:val="32"/>
                <w:highlight w:val="none"/>
              </w:rPr>
            </w:pPr>
            <w:r>
              <w:rPr>
                <w:rFonts w:hint="default" w:ascii="Times New Roman" w:hAnsi="Times New Roman" w:eastAsia="宋体" w:cs="Times New Roman"/>
                <w:color w:val="auto"/>
                <w:kern w:val="2"/>
                <w:sz w:val="24"/>
                <w:szCs w:val="32"/>
                <w:highlight w:val="none"/>
              </w:rPr>
              <w:t>在东江流域内，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p w14:paraId="6BC69D69">
            <w:pPr>
              <w:keepNext w:val="0"/>
              <w:keepLines w:val="0"/>
              <w:pageBreakBefore w:val="0"/>
              <w:widowControl w:val="0"/>
              <w:kinsoku/>
              <w:wordWrap/>
              <w:overflowPunct/>
              <w:topLinePunct w:val="0"/>
              <w:autoSpaceDE w:val="0"/>
              <w:autoSpaceDN w:val="0"/>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auto"/>
                <w:kern w:val="2"/>
                <w:sz w:val="24"/>
                <w:szCs w:val="32"/>
                <w:highlight w:val="none"/>
              </w:rPr>
            </w:pPr>
            <w:r>
              <w:rPr>
                <w:rFonts w:hint="default" w:ascii="Times New Roman" w:hAnsi="Times New Roman" w:eastAsia="宋体" w:cs="Times New Roman"/>
                <w:color w:val="auto"/>
                <w:kern w:val="2"/>
                <w:sz w:val="24"/>
                <w:szCs w:val="32"/>
                <w:highlight w:val="none"/>
              </w:rPr>
              <w:t>北江流域实行重金属污染物排放总量控制，严格控制新建涉重金属排放的项目，新建、改建、扩建的项目严格实行重金属等特征污染物排放减量置换。</w:t>
            </w:r>
          </w:p>
          <w:p w14:paraId="3A308038">
            <w:pPr>
              <w:widowControl w:val="0"/>
              <w:autoSpaceDE w:val="0"/>
              <w:autoSpaceDN w:val="0"/>
              <w:spacing w:after="0" w:line="360" w:lineRule="auto"/>
              <w:ind w:firstLine="482" w:firstLineChars="200"/>
              <w:jc w:val="both"/>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b/>
                <w:bCs/>
                <w:color w:val="auto"/>
                <w:kern w:val="2"/>
                <w:sz w:val="24"/>
                <w:szCs w:val="32"/>
                <w:highlight w:val="none"/>
                <w:lang w:val="en-US" w:eastAsia="zh-CN"/>
              </w:rPr>
              <w:t>相符性分析：</w:t>
            </w:r>
            <w:r>
              <w:rPr>
                <w:rFonts w:hint="default" w:ascii="Times New Roman" w:hAnsi="Times New Roman" w:eastAsia="宋体" w:cs="Times New Roman"/>
                <w:b w:val="0"/>
                <w:bCs w:val="0"/>
                <w:color w:val="auto"/>
                <w:kern w:val="2"/>
                <w:sz w:val="24"/>
                <w:szCs w:val="32"/>
                <w:highlight w:val="none"/>
                <w:lang w:val="en-US" w:eastAsia="zh-CN"/>
              </w:rPr>
              <w:t>项目</w:t>
            </w:r>
            <w:r>
              <w:rPr>
                <w:rFonts w:hint="default" w:ascii="Times New Roman" w:hAnsi="Times New Roman" w:eastAsia="宋体" w:cs="Times New Roman"/>
                <w:color w:val="auto"/>
                <w:kern w:val="2"/>
                <w:sz w:val="24"/>
                <w:szCs w:val="32"/>
                <w:highlight w:val="none"/>
                <w:lang w:val="en-US" w:eastAsia="zh-CN"/>
              </w:rPr>
              <w:t>主要从事轨道板及Ⅲa型轨枕的生产</w:t>
            </w:r>
            <w:r>
              <w:rPr>
                <w:rFonts w:hint="default" w:ascii="Times New Roman" w:hAnsi="Times New Roman" w:eastAsia="宋体" w:cs="Times New Roman"/>
                <w:color w:val="auto"/>
                <w:sz w:val="24"/>
                <w:szCs w:val="24"/>
                <w:highlight w:val="none"/>
                <w:lang w:val="en-US" w:eastAsia="zh-CN"/>
              </w:rPr>
              <w:t>，不属于以上禁止行业。项目无生产废水外排。搅拌机清洗废水、运输原材料车辆清洗废水、地面清洗废水</w:t>
            </w:r>
            <w:r>
              <w:rPr>
                <w:rFonts w:hint="default" w:ascii="Times New Roman" w:hAnsi="Times New Roman" w:cs="Times New Roman"/>
                <w:color w:val="auto"/>
                <w:sz w:val="24"/>
                <w:szCs w:val="24"/>
                <w:highlight w:val="none"/>
              </w:rPr>
              <w:t>经</w:t>
            </w:r>
            <w:r>
              <w:rPr>
                <w:rFonts w:hint="default" w:ascii="Times New Roman" w:hAnsi="Times New Roman" w:cs="Times New Roman"/>
                <w:color w:val="auto"/>
                <w:sz w:val="24"/>
                <w:szCs w:val="24"/>
                <w:highlight w:val="none"/>
                <w:lang w:val="en-US" w:eastAsia="zh-CN"/>
              </w:rPr>
              <w:t>三</w:t>
            </w:r>
            <w:r>
              <w:rPr>
                <w:rFonts w:hint="default" w:ascii="Times New Roman" w:hAnsi="Times New Roman" w:cs="Times New Roman"/>
                <w:color w:val="auto"/>
                <w:sz w:val="24"/>
                <w:szCs w:val="24"/>
                <w:highlight w:val="none"/>
              </w:rPr>
              <w:t>级沉淀池处理后</w:t>
            </w:r>
            <w:r>
              <w:rPr>
                <w:rFonts w:hint="default" w:ascii="Times New Roman" w:hAnsi="Times New Roman" w:cs="Times New Roman"/>
                <w:color w:val="auto"/>
                <w:sz w:val="24"/>
                <w:szCs w:val="24"/>
                <w:highlight w:val="none"/>
                <w:lang w:eastAsia="zh-CN"/>
              </w:rPr>
              <w:t>回用于</w:t>
            </w:r>
            <w:r>
              <w:rPr>
                <w:rFonts w:hint="default" w:ascii="Times New Roman" w:hAnsi="Times New Roman" w:eastAsia="宋体" w:cs="Times New Roman"/>
                <w:b w:val="0"/>
                <w:bCs/>
                <w:color w:val="auto"/>
                <w:sz w:val="24"/>
                <w:szCs w:val="24"/>
                <w:highlight w:val="none"/>
                <w:vertAlign w:val="baseline"/>
                <w:lang w:val="en-US" w:eastAsia="zh-CN"/>
              </w:rPr>
              <w:t>原料调配用水</w:t>
            </w:r>
            <w:r>
              <w:rPr>
                <w:rFonts w:hint="default" w:ascii="Times New Roman" w:hAnsi="Times New Roman" w:cs="Times New Roman"/>
                <w:color w:val="auto"/>
                <w:sz w:val="24"/>
                <w:szCs w:val="24"/>
                <w:highlight w:val="none"/>
              </w:rPr>
              <w:t>，不排放</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锅炉排污水及软化再生废水经调节混凝絮凝后再经三级沉淀池处理后回用于</w:t>
            </w:r>
            <w:r>
              <w:rPr>
                <w:rFonts w:hint="default" w:ascii="Times New Roman" w:hAnsi="Times New Roman" w:eastAsia="宋体" w:cs="Times New Roman"/>
                <w:b w:val="0"/>
                <w:bCs/>
                <w:color w:val="auto"/>
                <w:sz w:val="24"/>
                <w:szCs w:val="24"/>
                <w:highlight w:val="none"/>
                <w:vertAlign w:val="baseline"/>
                <w:lang w:val="en-US" w:eastAsia="zh-CN"/>
              </w:rPr>
              <w:t>原料调配用水</w:t>
            </w:r>
            <w:r>
              <w:rPr>
                <w:rFonts w:hint="default" w:ascii="Times New Roman" w:hAnsi="Times New Roman" w:cs="Times New Roman"/>
                <w:color w:val="auto"/>
                <w:sz w:val="24"/>
                <w:szCs w:val="24"/>
                <w:highlight w:val="none"/>
                <w:lang w:val="en-US" w:eastAsia="zh-CN"/>
              </w:rPr>
              <w:t>；</w:t>
            </w:r>
            <w:r>
              <w:rPr>
                <w:rFonts w:hint="default" w:ascii="Times New Roman" w:hAnsi="Times New Roman" w:eastAsia="宋体" w:cs="Times New Roman"/>
                <w:color w:val="auto"/>
                <w:kern w:val="2"/>
                <w:sz w:val="24"/>
                <w:szCs w:val="24"/>
                <w:highlight w:val="none"/>
                <w:lang w:val="en-US" w:eastAsia="zh-CN" w:bidi="ar-SA"/>
              </w:rPr>
              <w:t>初期雨水经过滞流、沉淀后</w:t>
            </w:r>
            <w:r>
              <w:rPr>
                <w:rFonts w:hint="default" w:ascii="Times New Roman" w:hAnsi="Times New Roman" w:cs="Times New Roman"/>
                <w:color w:val="auto"/>
                <w:kern w:val="2"/>
                <w:sz w:val="24"/>
                <w:szCs w:val="24"/>
                <w:highlight w:val="none"/>
                <w:lang w:val="en-US" w:eastAsia="zh-CN" w:bidi="ar-SA"/>
              </w:rPr>
              <w:t>回</w:t>
            </w:r>
            <w:r>
              <w:rPr>
                <w:rFonts w:hint="default" w:ascii="Times New Roman" w:hAnsi="Times New Roman" w:eastAsia="宋体" w:cs="Times New Roman"/>
                <w:color w:val="auto"/>
                <w:kern w:val="2"/>
                <w:sz w:val="24"/>
                <w:szCs w:val="24"/>
                <w:highlight w:val="none"/>
                <w:lang w:val="en-US" w:eastAsia="zh-CN" w:bidi="ar-SA"/>
              </w:rPr>
              <w:t>用于</w:t>
            </w:r>
            <w:r>
              <w:rPr>
                <w:rFonts w:hint="default" w:ascii="Times New Roman" w:hAnsi="Times New Roman" w:cs="Times New Roman"/>
                <w:color w:val="auto"/>
                <w:kern w:val="2"/>
                <w:sz w:val="24"/>
                <w:szCs w:val="24"/>
                <w:highlight w:val="none"/>
                <w:lang w:val="en-US" w:eastAsia="zh-CN" w:bidi="ar-SA"/>
              </w:rPr>
              <w:t>养护用水，</w:t>
            </w:r>
            <w:r>
              <w:rPr>
                <w:rFonts w:hint="default" w:ascii="Times New Roman" w:hAnsi="Times New Roman" w:eastAsia="宋体" w:cs="Times New Roman"/>
                <w:color w:val="auto"/>
                <w:kern w:val="2"/>
                <w:sz w:val="24"/>
                <w:szCs w:val="24"/>
                <w:highlight w:val="none"/>
                <w:lang w:val="en-US" w:eastAsia="zh-CN" w:bidi="ar-SA"/>
              </w:rPr>
              <w:t>不外排。</w:t>
            </w:r>
            <w:r>
              <w:rPr>
                <w:rFonts w:hint="default" w:ascii="Times New Roman" w:hAnsi="Times New Roman" w:eastAsia="宋体" w:cs="Times New Roman"/>
                <w:color w:val="auto"/>
                <w:kern w:val="2"/>
                <w:sz w:val="24"/>
                <w:szCs w:val="32"/>
                <w:highlight w:val="none"/>
                <w:lang w:val="en-US" w:eastAsia="zh-CN"/>
              </w:rPr>
              <w:t>项目</w:t>
            </w:r>
            <w:r>
              <w:rPr>
                <w:rFonts w:hint="default" w:ascii="Times New Roman" w:hAnsi="Times New Roman" w:eastAsia="宋体" w:cs="Times New Roman"/>
                <w:color w:val="auto"/>
                <w:kern w:val="2"/>
                <w:sz w:val="24"/>
                <w:szCs w:val="32"/>
                <w:highlight w:val="none"/>
              </w:rPr>
              <w:t>员工生活污水经预处理达到《水污染物排放限值》（DB44/26-2001）第二时段三级标准后经市政管网排放至</w:t>
            </w:r>
            <w:r>
              <w:rPr>
                <w:rFonts w:hint="default" w:ascii="Times New Roman" w:hAnsi="Times New Roman" w:eastAsia="宋体" w:cs="Times New Roman"/>
                <w:color w:val="auto"/>
                <w:kern w:val="2"/>
                <w:sz w:val="24"/>
                <w:szCs w:val="32"/>
                <w:highlight w:val="none"/>
                <w:lang w:val="en-US" w:eastAsia="zh-CN"/>
              </w:rPr>
              <w:t>博罗县罗阳街道小金生活污水处理厂</w:t>
            </w:r>
            <w:r>
              <w:rPr>
                <w:rFonts w:hint="default" w:ascii="Times New Roman" w:hAnsi="Times New Roman" w:eastAsia="宋体" w:cs="Times New Roman"/>
                <w:color w:val="auto"/>
                <w:kern w:val="2"/>
                <w:sz w:val="24"/>
                <w:szCs w:val="32"/>
                <w:highlight w:val="none"/>
              </w:rPr>
              <w:t>处理</w:t>
            </w:r>
            <w:r>
              <w:rPr>
                <w:rFonts w:hint="default" w:ascii="Times New Roman" w:hAnsi="Times New Roman" w:eastAsia="宋体" w:cs="Times New Roman"/>
                <w:color w:val="auto"/>
                <w:kern w:val="2"/>
                <w:sz w:val="24"/>
                <w:szCs w:val="32"/>
                <w:highlight w:val="none"/>
                <w:lang w:eastAsia="zh-CN"/>
              </w:rPr>
              <w:t>，</w:t>
            </w:r>
            <w:r>
              <w:rPr>
                <w:rFonts w:hint="default" w:ascii="Times New Roman" w:hAnsi="Times New Roman" w:eastAsia="宋体" w:cs="Times New Roman"/>
                <w:color w:val="auto"/>
                <w:kern w:val="2"/>
                <w:sz w:val="24"/>
                <w:szCs w:val="32"/>
                <w:highlight w:val="none"/>
                <w:lang w:val="en-US" w:eastAsia="zh-CN"/>
              </w:rPr>
              <w:t>不直接排入附近水体</w:t>
            </w:r>
            <w:r>
              <w:rPr>
                <w:rFonts w:hint="default" w:ascii="Times New Roman" w:hAnsi="Times New Roman" w:eastAsia="宋体" w:cs="Times New Roman"/>
                <w:color w:val="auto"/>
                <w:kern w:val="0"/>
                <w:sz w:val="24"/>
                <w:szCs w:val="21"/>
                <w:highlight w:val="none"/>
                <w:lang w:eastAsia="zh-CN"/>
              </w:rPr>
              <w:t>；</w:t>
            </w:r>
            <w:r>
              <w:rPr>
                <w:rFonts w:hint="default" w:ascii="Times New Roman" w:hAnsi="Times New Roman" w:eastAsia="宋体" w:cs="Times New Roman"/>
                <w:color w:val="auto"/>
                <w:sz w:val="24"/>
                <w:szCs w:val="21"/>
                <w:highlight w:val="none"/>
              </w:rPr>
              <w:t>因此，项目符合</w:t>
            </w:r>
            <w:r>
              <w:rPr>
                <w:rFonts w:hint="default" w:ascii="Times New Roman" w:hAnsi="Times New Roman" w:eastAsia="宋体" w:cs="Times New Roman"/>
                <w:color w:val="auto"/>
                <w:sz w:val="24"/>
                <w:szCs w:val="21"/>
                <w:highlight w:val="none"/>
                <w:lang w:val="en-US" w:eastAsia="zh-CN"/>
              </w:rPr>
              <w:t>文件</w:t>
            </w:r>
            <w:r>
              <w:rPr>
                <w:rFonts w:hint="default" w:ascii="Times New Roman" w:hAnsi="Times New Roman" w:eastAsia="宋体" w:cs="Times New Roman"/>
                <w:color w:val="auto"/>
                <w:sz w:val="24"/>
                <w:szCs w:val="21"/>
                <w:highlight w:val="none"/>
              </w:rPr>
              <w:t>的要求。</w:t>
            </w:r>
          </w:p>
          <w:p w14:paraId="72C0CC6D">
            <w:pPr>
              <w:keepNext w:val="0"/>
              <w:keepLines w:val="0"/>
              <w:pageBreakBefore w:val="0"/>
              <w:widowControl/>
              <w:kinsoku/>
              <w:wordWrap/>
              <w:overflowPunct/>
              <w:topLinePunct w:val="0"/>
              <w:autoSpaceDE/>
              <w:autoSpaceDN/>
              <w:bidi w:val="0"/>
              <w:adjustRightInd w:val="0"/>
              <w:snapToGrid w:val="0"/>
              <w:spacing w:after="0" w:line="360" w:lineRule="auto"/>
              <w:ind w:firstLine="482" w:firstLineChars="200"/>
              <w:jc w:val="both"/>
              <w:textAlignment w:val="auto"/>
              <w:rPr>
                <w:rFonts w:hint="default" w:ascii="Times New Roman" w:hAnsi="Times New Roman" w:eastAsia="宋体" w:cs="Times New Roman"/>
                <w:b/>
                <w:color w:val="auto"/>
                <w:kern w:val="44"/>
                <w:sz w:val="24"/>
                <w:szCs w:val="44"/>
                <w:highlight w:val="none"/>
                <w:lang w:val="en-US" w:eastAsia="zh-CN" w:bidi="ar-SA"/>
              </w:rPr>
            </w:pPr>
            <w:r>
              <w:rPr>
                <w:rFonts w:hint="default" w:ascii="Times New Roman" w:hAnsi="Times New Roman" w:eastAsia="宋体" w:cs="Times New Roman"/>
                <w:b/>
                <w:color w:val="auto"/>
                <w:kern w:val="44"/>
                <w:sz w:val="24"/>
                <w:szCs w:val="44"/>
                <w:highlight w:val="none"/>
                <w:lang w:val="en-US" w:eastAsia="zh-CN" w:bidi="ar-SA"/>
              </w:rPr>
              <w:t>8、</w:t>
            </w:r>
            <w:r>
              <w:rPr>
                <w:rFonts w:hint="default" w:ascii="Times New Roman" w:hAnsi="Times New Roman" w:eastAsia="宋体" w:cs="Times New Roman"/>
                <w:b/>
                <w:bCs/>
                <w:color w:val="auto"/>
                <w:kern w:val="0"/>
                <w:sz w:val="24"/>
                <w:szCs w:val="21"/>
                <w:highlight w:val="none"/>
                <w:lang w:val="en-US" w:eastAsia="zh-CN"/>
              </w:rPr>
              <w:t>与《广东省大气污染防治条例（2022修正）》（粤人常〔2022〕124号）</w:t>
            </w:r>
            <w:r>
              <w:rPr>
                <w:rFonts w:hint="default" w:ascii="Times New Roman" w:hAnsi="Times New Roman" w:eastAsia="宋体" w:cs="Times New Roman"/>
                <w:b/>
                <w:color w:val="auto"/>
                <w:kern w:val="44"/>
                <w:sz w:val="24"/>
                <w:szCs w:val="44"/>
                <w:highlight w:val="none"/>
                <w:lang w:val="en-US" w:eastAsia="zh-CN" w:bidi="ar-SA"/>
              </w:rPr>
              <w:t>的相符性分析</w:t>
            </w:r>
          </w:p>
          <w:p w14:paraId="3E55B9C1">
            <w:pPr>
              <w:keepNext w:val="0"/>
              <w:keepLines w:val="0"/>
              <w:pageBreakBefore w:val="0"/>
              <w:widowControl/>
              <w:suppressLineNumbers w:val="0"/>
              <w:kinsoku/>
              <w:wordWrap/>
              <w:overflowPunct/>
              <w:topLinePunct w:val="0"/>
              <w:autoSpaceDE/>
              <w:autoSpaceDN/>
              <w:bidi w:val="0"/>
              <w:adjustRightInd w:val="0"/>
              <w:snapToGrid w:val="0"/>
              <w:spacing w:after="0" w:line="360" w:lineRule="auto"/>
              <w:ind w:firstLine="480" w:firstLineChars="200"/>
              <w:jc w:val="left"/>
              <w:textAlignment w:val="auto"/>
              <w:rPr>
                <w:rFonts w:hint="default" w:ascii="Times New Roman" w:hAnsi="Times New Roman" w:eastAsia="宋体" w:cs="Times New Roman"/>
                <w:color w:val="auto"/>
                <w:kern w:val="2"/>
                <w:sz w:val="24"/>
                <w:szCs w:val="21"/>
                <w:highlight w:val="none"/>
                <w:lang w:val="en-US" w:eastAsia="zh-CN" w:bidi="ar-SA"/>
              </w:rPr>
            </w:pPr>
            <w:r>
              <w:rPr>
                <w:rFonts w:hint="default" w:ascii="Times New Roman" w:hAnsi="Times New Roman" w:eastAsia="宋体" w:cs="Times New Roman"/>
                <w:color w:val="auto"/>
                <w:kern w:val="2"/>
                <w:sz w:val="24"/>
                <w:szCs w:val="21"/>
                <w:highlight w:val="none"/>
                <w:lang w:val="en-US" w:eastAsia="zh-CN" w:bidi="ar-SA"/>
              </w:rPr>
              <w:t xml:space="preserve">根据《广东省大气污染防治条例》（摘选）： </w:t>
            </w:r>
          </w:p>
          <w:p w14:paraId="502CC86F">
            <w:pPr>
              <w:keepNext w:val="0"/>
              <w:keepLines w:val="0"/>
              <w:pageBreakBefore w:val="0"/>
              <w:widowControl/>
              <w:suppressLineNumbers w:val="0"/>
              <w:kinsoku/>
              <w:wordWrap/>
              <w:overflowPunct/>
              <w:topLinePunct w:val="0"/>
              <w:autoSpaceDE/>
              <w:autoSpaceDN/>
              <w:bidi w:val="0"/>
              <w:adjustRightInd w:val="0"/>
              <w:snapToGrid w:val="0"/>
              <w:spacing w:after="0" w:line="360" w:lineRule="auto"/>
              <w:ind w:firstLine="480" w:firstLineChars="200"/>
              <w:jc w:val="left"/>
              <w:textAlignment w:val="auto"/>
              <w:rPr>
                <w:rFonts w:hint="default" w:ascii="Times New Roman" w:hAnsi="Times New Roman" w:eastAsia="宋体" w:cs="Times New Roman"/>
                <w:color w:val="auto"/>
                <w:kern w:val="2"/>
                <w:sz w:val="24"/>
                <w:szCs w:val="21"/>
                <w:highlight w:val="none"/>
                <w:lang w:val="en-US" w:eastAsia="zh-CN" w:bidi="ar-SA"/>
              </w:rPr>
            </w:pPr>
            <w:r>
              <w:rPr>
                <w:rFonts w:hint="default" w:ascii="Times New Roman" w:hAnsi="Times New Roman" w:eastAsia="宋体" w:cs="Times New Roman"/>
                <w:color w:val="auto"/>
                <w:kern w:val="2"/>
                <w:sz w:val="24"/>
                <w:szCs w:val="21"/>
                <w:highlight w:val="none"/>
                <w:lang w:val="en-US" w:eastAsia="zh-CN" w:bidi="ar-SA"/>
              </w:rPr>
              <w:t xml:space="preserve">第十三条 新建、改建、扩建新增排放重点大气污染物的建设项目，建设单位应当在报批环境影响评价文件前按照规定向生态环境主管部门申请取得重点大气污染物排放总量控制指标。 </w:t>
            </w:r>
          </w:p>
          <w:p w14:paraId="59B5B3D5">
            <w:pPr>
              <w:keepNext w:val="0"/>
              <w:keepLines w:val="0"/>
              <w:pageBreakBefore w:val="0"/>
              <w:widowControl/>
              <w:suppressLineNumbers w:val="0"/>
              <w:kinsoku/>
              <w:wordWrap/>
              <w:overflowPunct/>
              <w:topLinePunct w:val="0"/>
              <w:autoSpaceDE/>
              <w:autoSpaceDN/>
              <w:bidi w:val="0"/>
              <w:adjustRightInd w:val="0"/>
              <w:snapToGrid w:val="0"/>
              <w:spacing w:after="0" w:line="360" w:lineRule="auto"/>
              <w:ind w:firstLine="480" w:firstLineChars="200"/>
              <w:jc w:val="left"/>
              <w:textAlignment w:val="auto"/>
              <w:rPr>
                <w:rFonts w:hint="default" w:ascii="Times New Roman" w:hAnsi="Times New Roman" w:eastAsia="宋体" w:cs="Times New Roman"/>
                <w:color w:val="auto"/>
                <w:kern w:val="2"/>
                <w:sz w:val="24"/>
                <w:szCs w:val="21"/>
                <w:highlight w:val="none"/>
                <w:lang w:val="en-US" w:eastAsia="zh-CN" w:bidi="ar-SA"/>
              </w:rPr>
            </w:pPr>
            <w:r>
              <w:rPr>
                <w:rFonts w:hint="default" w:ascii="Times New Roman" w:hAnsi="Times New Roman" w:eastAsia="宋体" w:cs="Times New Roman"/>
                <w:color w:val="auto"/>
                <w:kern w:val="2"/>
                <w:sz w:val="24"/>
                <w:szCs w:val="21"/>
                <w:highlight w:val="none"/>
                <w:lang w:val="en-US" w:eastAsia="zh-CN" w:bidi="ar-SA"/>
              </w:rPr>
              <w:t xml:space="preserve">生态环境主管部门按照等量或者减量替代的原则核定重点大气污染物排放总量控制指标。新增重点大气污染物排放总量控制指标可以通过实施工程治理减排、结构调整减排项目或者排污权交易等方式取得。 </w:t>
            </w:r>
          </w:p>
          <w:p w14:paraId="769A793E">
            <w:pPr>
              <w:keepNext w:val="0"/>
              <w:keepLines w:val="0"/>
              <w:pageBreakBefore w:val="0"/>
              <w:widowControl/>
              <w:suppressLineNumbers w:val="0"/>
              <w:kinsoku/>
              <w:wordWrap/>
              <w:overflowPunct/>
              <w:topLinePunct w:val="0"/>
              <w:autoSpaceDE/>
              <w:autoSpaceDN/>
              <w:bidi w:val="0"/>
              <w:adjustRightInd w:val="0"/>
              <w:snapToGrid w:val="0"/>
              <w:spacing w:after="0" w:line="360" w:lineRule="auto"/>
              <w:ind w:firstLine="480" w:firstLineChars="200"/>
              <w:jc w:val="left"/>
              <w:textAlignment w:val="auto"/>
              <w:rPr>
                <w:rFonts w:hint="default" w:ascii="Times New Roman" w:hAnsi="Times New Roman" w:eastAsia="宋体" w:cs="Times New Roman"/>
                <w:color w:val="auto"/>
                <w:kern w:val="2"/>
                <w:sz w:val="24"/>
                <w:szCs w:val="21"/>
                <w:highlight w:val="none"/>
                <w:lang w:val="en-US" w:eastAsia="zh-CN" w:bidi="ar-SA"/>
              </w:rPr>
            </w:pPr>
            <w:r>
              <w:rPr>
                <w:rFonts w:hint="default" w:ascii="Times New Roman" w:hAnsi="Times New Roman" w:eastAsia="宋体" w:cs="Times New Roman"/>
                <w:color w:val="auto"/>
                <w:kern w:val="2"/>
                <w:sz w:val="24"/>
                <w:szCs w:val="21"/>
                <w:highlight w:val="none"/>
                <w:lang w:val="en-US" w:eastAsia="zh-CN" w:bidi="ar-SA"/>
              </w:rPr>
              <w:t xml:space="preserve">第十七条 珠江三角洲区域禁止新建、扩建燃煤燃油火电机组或者企业燃煤燃油自备电站。 </w:t>
            </w:r>
          </w:p>
          <w:p w14:paraId="2FC1FC11">
            <w:pPr>
              <w:keepNext w:val="0"/>
              <w:keepLines w:val="0"/>
              <w:pageBreakBefore w:val="0"/>
              <w:widowControl/>
              <w:suppressLineNumbers w:val="0"/>
              <w:kinsoku/>
              <w:wordWrap/>
              <w:overflowPunct/>
              <w:topLinePunct w:val="0"/>
              <w:autoSpaceDE/>
              <w:autoSpaceDN/>
              <w:bidi w:val="0"/>
              <w:adjustRightInd w:val="0"/>
              <w:snapToGrid w:val="0"/>
              <w:spacing w:after="0" w:line="360" w:lineRule="auto"/>
              <w:ind w:firstLine="480" w:firstLineChars="200"/>
              <w:jc w:val="left"/>
              <w:textAlignment w:val="auto"/>
              <w:rPr>
                <w:rFonts w:hint="default" w:ascii="Times New Roman" w:hAnsi="Times New Roman" w:eastAsia="宋体" w:cs="Times New Roman"/>
                <w:color w:val="auto"/>
                <w:kern w:val="2"/>
                <w:sz w:val="24"/>
                <w:szCs w:val="21"/>
                <w:highlight w:val="none"/>
                <w:lang w:val="en-US" w:eastAsia="zh-CN" w:bidi="ar-SA"/>
              </w:rPr>
            </w:pPr>
            <w:r>
              <w:rPr>
                <w:rFonts w:hint="default" w:ascii="Times New Roman" w:hAnsi="Times New Roman" w:eastAsia="宋体" w:cs="Times New Roman"/>
                <w:color w:val="auto"/>
                <w:kern w:val="2"/>
                <w:sz w:val="24"/>
                <w:szCs w:val="21"/>
                <w:highlight w:val="none"/>
                <w:lang w:val="en-US" w:eastAsia="zh-CN" w:bidi="ar-SA"/>
              </w:rPr>
              <w:t>珠江三角洲区域禁止新建、扩建国家规划外的钢铁、原油加工、乙烯生产、造纸、水泥、平板玻璃、除特种陶瓷以外的陶瓷、有色金属冶炼等大气重污染项目。......</w:t>
            </w:r>
          </w:p>
          <w:p w14:paraId="1A6190A2">
            <w:pPr>
              <w:pStyle w:val="43"/>
              <w:keepNext w:val="0"/>
              <w:keepLines w:val="0"/>
              <w:pageBreakBefore w:val="0"/>
              <w:widowControl w:val="0"/>
              <w:kinsoku/>
              <w:wordWrap/>
              <w:overflowPunct/>
              <w:topLinePunct w:val="0"/>
              <w:bidi w:val="0"/>
              <w:adjustRightInd w:val="0"/>
              <w:snapToGrid w:val="0"/>
              <w:spacing w:line="360" w:lineRule="auto"/>
              <w:ind w:firstLine="480" w:firstLineChars="200"/>
              <w:rPr>
                <w:rFonts w:hint="default" w:ascii="Times New Roman" w:hAnsi="Times New Roman" w:eastAsia="宋体" w:cs="Times New Roman"/>
                <w:color w:val="auto"/>
                <w:kern w:val="2"/>
                <w:sz w:val="24"/>
                <w:szCs w:val="21"/>
                <w:highlight w:val="none"/>
                <w:lang w:val="en-US" w:eastAsia="zh-CN" w:bidi="ar-SA"/>
              </w:rPr>
            </w:pPr>
            <w:r>
              <w:rPr>
                <w:rFonts w:hint="default" w:ascii="Times New Roman" w:hAnsi="Times New Roman" w:eastAsia="宋体" w:cs="Times New Roman"/>
                <w:color w:val="auto"/>
                <w:kern w:val="2"/>
                <w:sz w:val="24"/>
                <w:szCs w:val="21"/>
                <w:highlight w:val="none"/>
                <w:lang w:val="en-US" w:eastAsia="zh-CN" w:bidi="ar-SA"/>
              </w:rPr>
              <w:t>第十九条  火电、钢铁、石油、化工、平板玻璃、水泥、陶瓷等大气污染重点行业企业及锅炉项目，应当采用污染防治先进可行技术，使重点大气污染物排放浓度达到国家和省的超低排放要求。</w:t>
            </w:r>
          </w:p>
          <w:p w14:paraId="13B8A06E">
            <w:pPr>
              <w:pStyle w:val="43"/>
              <w:keepNext w:val="0"/>
              <w:keepLines w:val="0"/>
              <w:pageBreakBefore w:val="0"/>
              <w:widowControl w:val="0"/>
              <w:kinsoku/>
              <w:wordWrap/>
              <w:overflowPunct/>
              <w:topLinePunct w:val="0"/>
              <w:bidi w:val="0"/>
              <w:adjustRightInd w:val="0"/>
              <w:snapToGrid w:val="0"/>
              <w:spacing w:line="360" w:lineRule="auto"/>
              <w:ind w:firstLine="480" w:firstLineChars="200"/>
              <w:rPr>
                <w:rFonts w:hint="default" w:ascii="Times New Roman" w:hAnsi="Times New Roman" w:eastAsia="宋体" w:cs="Times New Roman"/>
                <w:color w:val="auto"/>
                <w:kern w:val="2"/>
                <w:sz w:val="24"/>
                <w:szCs w:val="21"/>
                <w:highlight w:val="none"/>
                <w:lang w:val="en-US" w:eastAsia="zh-CN" w:bidi="ar-SA"/>
              </w:rPr>
            </w:pPr>
            <w:r>
              <w:rPr>
                <w:rFonts w:hint="eastAsia" w:ascii="Times New Roman" w:hAnsi="Times New Roman" w:eastAsia="宋体" w:cs="Times New Roman"/>
                <w:color w:val="auto"/>
                <w:kern w:val="2"/>
                <w:sz w:val="24"/>
                <w:szCs w:val="21"/>
                <w:highlight w:val="none"/>
                <w:lang w:val="en-US" w:eastAsia="zh-CN" w:bidi="ar-SA"/>
              </w:rPr>
              <w:t>第二十二条  禁止安装、使用非专用生物质锅炉。禁止安装、使用可以燃用煤及其制品的双燃料或者多燃料生物质锅炉。</w:t>
            </w:r>
          </w:p>
          <w:p w14:paraId="4B69F749">
            <w:pPr>
              <w:pStyle w:val="43"/>
              <w:keepNext w:val="0"/>
              <w:keepLines w:val="0"/>
              <w:pageBreakBefore w:val="0"/>
              <w:widowControl w:val="0"/>
              <w:kinsoku/>
              <w:wordWrap/>
              <w:overflowPunct/>
              <w:topLinePunct w:val="0"/>
              <w:bidi w:val="0"/>
              <w:adjustRightInd w:val="0"/>
              <w:snapToGrid w:val="0"/>
              <w:spacing w:line="360" w:lineRule="auto"/>
              <w:ind w:firstLine="480" w:firstLineChars="200"/>
              <w:rPr>
                <w:rFonts w:hint="eastAsia" w:ascii="Times New Roman" w:hAnsi="Times New Roman" w:eastAsia="宋体" w:cs="Times New Roman"/>
                <w:color w:val="auto"/>
                <w:kern w:val="2"/>
                <w:sz w:val="24"/>
                <w:szCs w:val="21"/>
                <w:highlight w:val="none"/>
                <w:lang w:val="en-US" w:eastAsia="zh-CN" w:bidi="ar-SA"/>
              </w:rPr>
            </w:pPr>
            <w:r>
              <w:rPr>
                <w:rFonts w:hint="eastAsia" w:ascii="Times New Roman" w:hAnsi="Times New Roman" w:eastAsia="宋体" w:cs="Times New Roman"/>
                <w:color w:val="auto"/>
                <w:kern w:val="2"/>
                <w:sz w:val="24"/>
                <w:szCs w:val="21"/>
                <w:highlight w:val="none"/>
                <w:lang w:val="en-US" w:eastAsia="zh-CN" w:bidi="ar-SA"/>
              </w:rPr>
              <w:t>生物质锅炉应当以经过加工的木本植物或者草本植物为燃料，禁止掺杂添加燃烧后产生有毒有害烟尘和恶臭气体的其他物质，并配备高效除尘设施，按照国家和省的有关规定安装自动监控或者监测设备。</w:t>
            </w:r>
          </w:p>
          <w:p w14:paraId="780CAB1C">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auto"/>
                <w:kern w:val="2"/>
                <w:sz w:val="24"/>
                <w:szCs w:val="21"/>
                <w:highlight w:val="none"/>
                <w:lang w:val="en-US" w:eastAsia="zh-CN" w:bidi="ar-SA"/>
              </w:rPr>
            </w:pPr>
            <w:r>
              <w:rPr>
                <w:rFonts w:hint="default" w:ascii="Times New Roman" w:hAnsi="Times New Roman" w:eastAsia="宋体" w:cs="Times New Roman"/>
                <w:color w:val="auto"/>
                <w:kern w:val="2"/>
                <w:sz w:val="24"/>
                <w:szCs w:val="21"/>
                <w:highlight w:val="none"/>
                <w:lang w:val="en-US" w:eastAsia="zh-CN" w:bidi="ar-SA"/>
              </w:rPr>
              <w:t>第五十二条 建设单位应当履行下列职责：（一）将扬尘污染防治费用列入工程造价，实行单列支付。在招标文件中要求投标人制定施工现场扬尘污染防治措施。在施工承包合同中明确施工单位的扬尘污染防治责任；（二）将扬尘污染防治内容纳入工程监理合同；（三）监督施工单位按照合同落实扬尘污染防治措施，监督监理单位按照合同落实扬尘污染防治监理责任。第五十七条 运输煤炭、垃圾、渣土、土方、砂石和灰浆等散装、流体物料的车辆应当密闭运输，7配备卫星定位装置，并按照规定的时间、路线行驶。对未实现密闭运输或者未配备卫星定位装置的车辆，县级以上人民政府相关主管部门不予运输及处置核准。</w:t>
            </w:r>
          </w:p>
          <w:p w14:paraId="007CA0AD">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auto"/>
                <w:kern w:val="2"/>
                <w:sz w:val="24"/>
                <w:szCs w:val="21"/>
                <w:highlight w:val="none"/>
                <w:lang w:val="en-US" w:eastAsia="zh-CN" w:bidi="ar-SA"/>
              </w:rPr>
            </w:pPr>
            <w:r>
              <w:rPr>
                <w:rFonts w:hint="default" w:ascii="Times New Roman" w:hAnsi="Times New Roman" w:eastAsia="宋体" w:cs="Times New Roman"/>
                <w:color w:val="auto"/>
                <w:kern w:val="2"/>
                <w:sz w:val="24"/>
                <w:szCs w:val="21"/>
                <w:highlight w:val="none"/>
                <w:lang w:val="en-US" w:eastAsia="zh-CN" w:bidi="ar-SA"/>
              </w:rPr>
              <w:t>第五十八条 禁止生产、销售、使用含石棉物质的建筑材料。对已使用石棉及含石棉物质的建筑物进行保养、翻新、拆卸的，应当按照国家和省的有关规定，在建筑物拆除或者整修前拆除石棉及含石棉物质。</w:t>
            </w:r>
          </w:p>
          <w:p w14:paraId="3DA3FC8E">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auto"/>
                <w:kern w:val="2"/>
                <w:sz w:val="24"/>
                <w:szCs w:val="21"/>
                <w:highlight w:val="none"/>
                <w:lang w:val="en-US" w:eastAsia="zh-CN" w:bidi="ar-SA"/>
              </w:rPr>
            </w:pPr>
            <w:r>
              <w:rPr>
                <w:rFonts w:hint="default" w:ascii="Times New Roman" w:hAnsi="Times New Roman" w:eastAsia="宋体" w:cs="Times New Roman"/>
                <w:color w:val="auto"/>
                <w:kern w:val="2"/>
                <w:sz w:val="24"/>
                <w:szCs w:val="21"/>
                <w:highlight w:val="none"/>
                <w:lang w:val="en-US" w:eastAsia="zh-CN" w:bidi="ar-SA"/>
              </w:rPr>
              <w:t>第五十九条 干散货码头应当采取干雾抑尘、喷淋除尘、防风抑尘网或者密闭运输系统等措施降低扬尘污染。</w:t>
            </w:r>
          </w:p>
          <w:p w14:paraId="6DEC64B1">
            <w:pPr>
              <w:keepNext w:val="0"/>
              <w:keepLines w:val="0"/>
              <w:pageBreakBefore w:val="0"/>
              <w:widowControl w:val="0"/>
              <w:kinsoku/>
              <w:wordWrap/>
              <w:overflowPunct/>
              <w:topLinePunct w:val="0"/>
              <w:autoSpaceDE/>
              <w:autoSpaceDN/>
              <w:bidi w:val="0"/>
              <w:adjustRightInd w:val="0"/>
              <w:snapToGrid w:val="0"/>
              <w:spacing w:after="0" w:line="360" w:lineRule="auto"/>
              <w:ind w:firstLine="482" w:firstLineChars="200"/>
              <w:jc w:val="both"/>
              <w:textAlignment w:val="auto"/>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b/>
                <w:color w:val="auto"/>
                <w:kern w:val="44"/>
                <w:sz w:val="24"/>
                <w:szCs w:val="44"/>
                <w:highlight w:val="none"/>
                <w:lang w:val="en-US" w:eastAsia="zh-CN" w:bidi="ar"/>
              </w:rPr>
              <w:t>相符性分析</w:t>
            </w:r>
            <w:r>
              <w:rPr>
                <w:rFonts w:hint="default" w:ascii="Times New Roman" w:hAnsi="Times New Roman" w:eastAsia="宋体" w:cs="Times New Roman"/>
                <w:color w:val="auto"/>
                <w:kern w:val="44"/>
                <w:sz w:val="24"/>
                <w:szCs w:val="44"/>
                <w:highlight w:val="none"/>
                <w:lang w:val="en-US" w:eastAsia="zh-CN" w:bidi="ar-SA"/>
              </w:rPr>
              <w:t>：本项目属于</w:t>
            </w:r>
            <w:r>
              <w:rPr>
                <w:rFonts w:hint="default" w:ascii="Times New Roman" w:hAnsi="Times New Roman" w:eastAsia="宋体" w:cs="Times New Roman"/>
                <w:color w:val="auto"/>
                <w:kern w:val="2"/>
                <w:sz w:val="24"/>
                <w:szCs w:val="21"/>
                <w:highlight w:val="none"/>
                <w:lang w:val="en-US" w:eastAsia="zh-CN"/>
              </w:rPr>
              <w:t>C3021水泥制品制造及C3022砼结构构件制造，主要生产</w:t>
            </w:r>
            <w:r>
              <w:rPr>
                <w:rFonts w:hint="default" w:ascii="Times New Roman" w:hAnsi="Times New Roman" w:cs="Times New Roman"/>
                <w:color w:val="auto"/>
                <w:sz w:val="24"/>
                <w:highlight w:val="none"/>
                <w:lang w:val="en-US" w:eastAsia="zh-CN"/>
              </w:rPr>
              <w:t>轨道板及Ⅲa型轨枕</w:t>
            </w:r>
            <w:r>
              <w:rPr>
                <w:rFonts w:hint="default" w:ascii="Times New Roman" w:hAnsi="Times New Roman" w:eastAsia="宋体" w:cs="Times New Roman"/>
                <w:color w:val="auto"/>
                <w:kern w:val="2"/>
                <w:sz w:val="24"/>
                <w:szCs w:val="21"/>
                <w:highlight w:val="none"/>
                <w:lang w:val="en-US" w:eastAsia="zh-CN"/>
              </w:rPr>
              <w:t>。项目筒仓及搅拌设备拟采取布袋除尘器处理粉尘废气，厂区全部硬底化，并采取雾炮机洒水抑尘，使用密闭输送系统，</w:t>
            </w:r>
            <w:r>
              <w:rPr>
                <w:rFonts w:hint="default" w:ascii="Times New Roman" w:hAnsi="Times New Roman" w:eastAsia="宋体" w:cs="Times New Roman"/>
                <w:color w:val="auto"/>
                <w:kern w:val="44"/>
                <w:sz w:val="24"/>
                <w:szCs w:val="44"/>
                <w:highlight w:val="none"/>
                <w:lang w:val="en-US" w:eastAsia="zh-CN" w:bidi="ar-SA"/>
              </w:rPr>
              <w:t>生产过程主要使用电能和管道天然气，不使用燃油、燃煤等高污染燃料，项目不生产、销售和使用含有石棉的建筑材料。筒仓呼吸、搅拌、料仓扬尘等废气经处理后无组织排放可满足</w:t>
            </w:r>
            <w:r>
              <w:rPr>
                <w:rFonts w:hint="default" w:ascii="Times New Roman" w:hAnsi="Times New Roman" w:eastAsia="宋体" w:cs="Times New Roman"/>
                <w:color w:val="auto"/>
                <w:kern w:val="2"/>
                <w:sz w:val="24"/>
                <w:szCs w:val="24"/>
                <w:highlight w:val="none"/>
              </w:rPr>
              <w:t>《水泥工业大气污染物排放标准》（GB4915-2013）中表3大气污染物无组织排放限值</w:t>
            </w:r>
            <w:r>
              <w:rPr>
                <w:rFonts w:hint="default" w:ascii="Times New Roman" w:hAnsi="Times New Roman" w:eastAsia="宋体" w:cs="Times New Roman"/>
                <w:color w:val="auto"/>
                <w:kern w:val="2"/>
                <w:sz w:val="24"/>
                <w:szCs w:val="24"/>
                <w:highlight w:val="none"/>
                <w:lang w:eastAsia="zh-CN"/>
              </w:rPr>
              <w:t>；</w:t>
            </w:r>
            <w:r>
              <w:rPr>
                <w:rFonts w:hint="default" w:ascii="Times New Roman" w:hAnsi="Times New Roman" w:eastAsia="宋体" w:cs="Times New Roman"/>
                <w:color w:val="auto"/>
                <w:kern w:val="2"/>
                <w:sz w:val="24"/>
                <w:szCs w:val="24"/>
                <w:highlight w:val="none"/>
                <w:lang w:val="en-US" w:eastAsia="zh-CN"/>
              </w:rPr>
              <w:t>锅炉的天然气燃烧废气</w:t>
            </w:r>
            <w:r>
              <w:rPr>
                <w:rFonts w:hint="default" w:ascii="Times New Roman" w:hAnsi="Times New Roman" w:cs="Times New Roman"/>
                <w:color w:val="auto"/>
                <w:sz w:val="24"/>
                <w:highlight w:val="none"/>
                <w:lang w:val="en-US" w:eastAsia="zh-CN"/>
              </w:rPr>
              <w:t>有组织排放可满足《锅炉大气污染物排放标准》（DB44/765-2019）表3特别排放限值；氮氧化物实行等量替代，总量由惠州市生态环境局博罗分局进行调配。因此，项目建设与《广东省大气污染防治条例》的相关要求相符。</w:t>
            </w:r>
          </w:p>
          <w:p w14:paraId="047D1630">
            <w:pPr>
              <w:keepNext w:val="0"/>
              <w:keepLines w:val="0"/>
              <w:pageBreakBefore w:val="0"/>
              <w:widowControl/>
              <w:kinsoku/>
              <w:wordWrap/>
              <w:overflowPunct/>
              <w:topLinePunct w:val="0"/>
              <w:autoSpaceDE/>
              <w:autoSpaceDN/>
              <w:bidi w:val="0"/>
              <w:adjustRightInd w:val="0"/>
              <w:snapToGrid w:val="0"/>
              <w:spacing w:after="0" w:line="360" w:lineRule="auto"/>
              <w:ind w:firstLine="482" w:firstLineChars="200"/>
              <w:jc w:val="both"/>
              <w:textAlignment w:val="auto"/>
              <w:rPr>
                <w:rFonts w:hint="default" w:ascii="Times New Roman" w:hAnsi="Times New Roman" w:eastAsia="宋体" w:cs="Times New Roman"/>
                <w:b/>
                <w:color w:val="auto"/>
                <w:kern w:val="44"/>
                <w:sz w:val="24"/>
                <w:szCs w:val="44"/>
                <w:highlight w:val="none"/>
                <w:lang w:val="en-US" w:eastAsia="zh-CN" w:bidi="ar-SA"/>
              </w:rPr>
            </w:pPr>
            <w:r>
              <w:rPr>
                <w:rFonts w:hint="default" w:ascii="Times New Roman" w:hAnsi="Times New Roman" w:eastAsia="宋体" w:cs="Times New Roman"/>
                <w:b/>
                <w:color w:val="auto"/>
                <w:kern w:val="44"/>
                <w:sz w:val="24"/>
                <w:szCs w:val="44"/>
                <w:highlight w:val="none"/>
                <w:lang w:val="en-US" w:eastAsia="zh-CN" w:bidi="ar-SA"/>
              </w:rPr>
              <w:t>9、与《惠州市扬尘污染防治条例》的相符性分析</w:t>
            </w:r>
          </w:p>
          <w:p w14:paraId="1DE0C325">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第八条 运输砂石、渣土、垃圾、土方、煤炭、灰浆等散装、流体物料的车辆应当密闭运输，配备接入本地网络监测系统的卫星定位装置，并按照规定的路线、区域和通行时间行驶。</w:t>
            </w:r>
          </w:p>
          <w:p w14:paraId="161B8E31">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第十二条 从事水泥、砂石、预拌混凝土及湿拌砂浆生产经营和矿产开采等易产生扬尘污染的企业应当符合下列扬尘污染防治要求：</w:t>
            </w:r>
          </w:p>
          <w:p w14:paraId="374965F2">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（一）厂区主要道路以及出入口地面应当进行铺装或者硬化处理，并辅以洒水等措施；</w:t>
            </w:r>
          </w:p>
          <w:p w14:paraId="0B3221D5">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（二）厂区车辆出入口配备车辆冲洗设备和沉淀过滤设施，车辆出场时将车轮、车身清洗干净；</w:t>
            </w:r>
          </w:p>
          <w:p w14:paraId="57472107">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（三）物料以密闭方式运出厂区，防止因遗撒造成扬尘污染。</w:t>
            </w:r>
          </w:p>
          <w:p w14:paraId="72CF9170">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相符性分析：项目厂区拟实施硬化处理，并在厂区范围内设置雾化喷淋系统进行洒水抑尘，卸料口设置洗车机对运输车辆进行清洗，项目运输原料运输方式为公路运输，运输车辆采取遮盖、密闭措施，配备接入本地网络监测系统的卫星定位装置，并按照规划好的运行路线与时间行驶，尽量避免在繁华区、交通集中区等敏感区行驶。项目建设与惠州市扬尘污染防治条例》文件要求相符。</w:t>
            </w:r>
          </w:p>
          <w:p w14:paraId="7671F840">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482" w:firstLineChars="200"/>
              <w:jc w:val="both"/>
              <w:textAlignment w:val="auto"/>
              <w:rPr>
                <w:rFonts w:hint="default" w:ascii="Times New Roman" w:hAnsi="Times New Roman" w:eastAsia="宋体" w:cs="Times New Roman"/>
                <w:b/>
                <w:color w:val="auto"/>
                <w:kern w:val="44"/>
                <w:sz w:val="24"/>
                <w:szCs w:val="44"/>
                <w:highlight w:val="none"/>
                <w:lang w:val="en-US" w:eastAsia="zh-CN" w:bidi="ar-SA"/>
              </w:rPr>
            </w:pPr>
            <w:r>
              <w:rPr>
                <w:rFonts w:hint="default" w:ascii="Times New Roman" w:hAnsi="Times New Roman" w:eastAsia="宋体" w:cs="Times New Roman"/>
                <w:b/>
                <w:color w:val="auto"/>
                <w:kern w:val="44"/>
                <w:sz w:val="24"/>
                <w:szCs w:val="44"/>
                <w:highlight w:val="none"/>
                <w:lang w:val="en-US" w:eastAsia="zh-CN" w:bidi="ar-SA"/>
              </w:rPr>
              <w:t>10、建设项目建设与《惠州市人民政府关于印发惠州市生态环境保护“十四五”规划的通知》（惠府〔2022〕11 号）的相符性分析</w:t>
            </w:r>
          </w:p>
          <w:p w14:paraId="0D0D099A">
            <w:pPr>
              <w:keepNext w:val="0"/>
              <w:keepLines w:val="0"/>
              <w:pageBreakBefore w:val="0"/>
              <w:widowControl/>
              <w:suppressLineNumbers w:val="0"/>
              <w:kinsoku/>
              <w:wordWrap/>
              <w:overflowPunct/>
              <w:topLinePunct w:val="0"/>
              <w:autoSpaceDE/>
              <w:autoSpaceDN/>
              <w:bidi w:val="0"/>
              <w:adjustRightInd w:val="0"/>
              <w:snapToGrid w:val="0"/>
              <w:spacing w:line="360" w:lineRule="auto"/>
              <w:jc w:val="left"/>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   </w:t>
            </w:r>
            <w:r>
              <w:rPr>
                <w:rFonts w:hint="default" w:ascii="Times New Roman" w:hAnsi="Times New Roman" w:eastAsia="宋体" w:cs="Times New Roman"/>
                <w:color w:val="auto"/>
                <w:kern w:val="0"/>
                <w:sz w:val="24"/>
                <w:szCs w:val="24"/>
                <w:highlight w:val="none"/>
                <w:lang w:val="en-US" w:eastAsia="zh-CN" w:bidi="ar"/>
              </w:rPr>
              <w:t xml:space="preserve">根据《惠州市人民政府关于印发惠州市生态环境保护“十四五”规划的通知》（惠府〔2022〕11 号）： </w:t>
            </w:r>
          </w:p>
          <w:p w14:paraId="32C288FE">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color w:val="auto"/>
                <w:highlight w:val="none"/>
              </w:rPr>
            </w:pPr>
            <w:r>
              <w:rPr>
                <w:rFonts w:hint="default" w:ascii="Times New Roman" w:hAnsi="Times New Roman" w:eastAsia="宋体" w:cs="Times New Roman"/>
                <w:color w:val="auto"/>
                <w:kern w:val="0"/>
                <w:sz w:val="24"/>
                <w:szCs w:val="24"/>
                <w:highlight w:val="none"/>
                <w:lang w:val="en-US" w:eastAsia="zh-CN" w:bidi="ar"/>
              </w:rPr>
              <w:t xml:space="preserve">①加强“两高”项目源头防控加强高耗能高排放建设项目生态环境源头防控。禁止新建、扩建水泥、平板玻璃、化学制浆、生皮制革以及国家规划外的钢铁、原油加工等项目。严格“两高”项目环评审批，审查涉“两高”行业的有关综合性规划和工业、能源等专项规划环评；以“两高”行业为主导产业的园区规划环评应增加碳排放情况与减排潜力分析。新建、改建、扩建“两高”项目须符合生态环境保护法律法规和相关法定规划，满足重点污染物排放总量控制、碳排放达峰目标、生态环境准入清单、相关规划环评和相应行业建设项目环境准入条件、环评文件审批原则要求。新建、扩建“两高”项目应采用先进适用的工艺技术和装备，单位产品物耗、能耗、水耗等达到清洁生产先进水平。 </w:t>
            </w:r>
          </w:p>
          <w:p w14:paraId="25A2BB45">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color w:val="auto"/>
                <w:highlight w:val="none"/>
              </w:rPr>
            </w:pPr>
            <w:r>
              <w:rPr>
                <w:rFonts w:hint="default" w:ascii="Times New Roman" w:hAnsi="Times New Roman" w:eastAsia="宋体" w:cs="Times New Roman"/>
                <w:color w:val="auto"/>
                <w:kern w:val="0"/>
                <w:sz w:val="24"/>
                <w:szCs w:val="24"/>
                <w:highlight w:val="none"/>
                <w:lang w:val="en-US" w:eastAsia="zh-CN" w:bidi="ar"/>
              </w:rPr>
              <w:t xml:space="preserve">加强涉气项目环境准入管理。环境空气质量一类功能区实施严格保护，禁止新建、扩建大气污染物排放工业项目（国家和省规定不纳入环评管理的项目除外）。禁止新建、扩建燃煤燃油的火电机组（含企业自备电站），推进现有服役期满及落后老旧的燃煤火电机组有序退出；原则上不再新建燃煤锅炉，逐步淘汰生物质锅炉、集中供热管网覆盖区域内的分散供热锅炉，逐步推动高污染燃料禁燃区全覆盖。禁止新建、扩建水泥、平板玻璃、化学制浆、生皮制革以及国家规划外的钢铁、原油加工等项目。严格限制新建生产和使用高挥发性有机物原辅材料的项目。 </w:t>
            </w:r>
          </w:p>
          <w:p w14:paraId="2B6D7A76">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color w:val="auto"/>
                <w:kern w:val="0"/>
                <w:sz w:val="24"/>
                <w:szCs w:val="24"/>
                <w:highlight w:val="none"/>
                <w:lang w:val="en-US" w:eastAsia="zh-CN" w:bidi="ar"/>
              </w:rPr>
            </w:pPr>
            <w:r>
              <w:rPr>
                <w:rFonts w:hint="default" w:ascii="Times New Roman" w:hAnsi="Times New Roman" w:cs="Times New Roman"/>
                <w:color w:val="auto"/>
                <w:kern w:val="0"/>
                <w:sz w:val="24"/>
                <w:szCs w:val="24"/>
                <w:highlight w:val="none"/>
                <w:lang w:val="en-US" w:eastAsia="zh-CN" w:bidi="ar"/>
              </w:rPr>
              <w:t>......</w:t>
            </w:r>
          </w:p>
          <w:p w14:paraId="4E68B9E3">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color w:val="auto"/>
                <w:highlight w:val="none"/>
              </w:rPr>
            </w:pPr>
            <w:r>
              <w:rPr>
                <w:rFonts w:hint="default" w:ascii="Times New Roman" w:hAnsi="Times New Roman" w:eastAsia="宋体" w:cs="Times New Roman"/>
                <w:color w:val="auto"/>
                <w:kern w:val="0"/>
                <w:sz w:val="24"/>
                <w:szCs w:val="24"/>
                <w:highlight w:val="none"/>
                <w:lang w:val="en-US" w:eastAsia="zh-CN" w:bidi="ar"/>
              </w:rPr>
              <w:t xml:space="preserve">③深化水污染源头治理持续开展入河排污口“查、测、溯、治”，按照封堵一批、整治一批、规范一批要求，建立入河排污口动态更新及定期排查机制，分类推进入河排污口规范化整治。严格实行东江、西枝江沿岸，淡水河、潼湖、沙河等重点流域水污染型项目限批准入，对存在重大环境问题、未完成污染整治任务的区域实行区域限批，对定点园区外的电镀、印染、化工等重污染项目实行行业限批。以国省考断面汇水范围为重点，加强流域内电镀、制革、印染、有色金属、化工等行业企业搬迁和清洁化改造，推进高耗水行业实施废水深度处理回用，推进工业集聚区“污水零直排区”创建。全面推进工业集聚区建设污水集中处理设施并安装在线监控系统。强化农村生活污水治理、畜禽及水产养殖污染防治、种植污染管控，严防禁养区内非法养殖反弹。以惠州港为重点，加强船舶污染物、废弃物接收、转运及处理处置设施建设，不满足船舶水污染物排放要求的400总吨以下内河船舶应当完成水污染物收集储存设备改造，采取船上储存、交岸接收的方式处置，确保船舶水污染物达标排放。……。 </w:t>
            </w:r>
          </w:p>
          <w:p w14:paraId="6CDE8295">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2" w:firstLineChars="200"/>
              <w:jc w:val="left"/>
              <w:textAlignment w:val="auto"/>
              <w:rPr>
                <w:rFonts w:hint="default" w:ascii="Times New Roman" w:hAnsi="Times New Roman" w:cs="Times New Roman"/>
                <w:color w:val="auto"/>
                <w:highlight w:val="none"/>
              </w:rPr>
            </w:pPr>
            <w:r>
              <w:rPr>
                <w:rFonts w:hint="default" w:ascii="Times New Roman" w:hAnsi="Times New Roman" w:eastAsia="宋体" w:cs="Times New Roman"/>
                <w:b/>
                <w:bCs/>
                <w:color w:val="auto"/>
                <w:kern w:val="0"/>
                <w:sz w:val="24"/>
                <w:szCs w:val="24"/>
                <w:highlight w:val="none"/>
                <w:lang w:val="en-US" w:eastAsia="zh-CN" w:bidi="ar"/>
              </w:rPr>
              <w:t>相符性分析：</w:t>
            </w:r>
            <w:r>
              <w:rPr>
                <w:rFonts w:hint="default" w:ascii="Times New Roman" w:hAnsi="Times New Roman" w:eastAsia="宋体" w:cs="Times New Roman"/>
                <w:color w:val="auto"/>
                <w:kern w:val="0"/>
                <w:sz w:val="24"/>
                <w:szCs w:val="24"/>
                <w:highlight w:val="none"/>
                <w:lang w:val="en-US" w:eastAsia="zh-CN" w:bidi="ar"/>
              </w:rPr>
              <w:t>本项目属于《国民经济行业分类》（GB/T4754-2017）及其国家标准第1号修改单中</w:t>
            </w:r>
            <w:r>
              <w:rPr>
                <w:rFonts w:hint="default" w:ascii="Times New Roman" w:hAnsi="Times New Roman" w:eastAsia="宋体" w:cs="Times New Roman"/>
                <w:color w:val="auto"/>
                <w:kern w:val="2"/>
                <w:sz w:val="24"/>
                <w:szCs w:val="21"/>
                <w:highlight w:val="none"/>
                <w:lang w:val="en-US" w:eastAsia="zh-CN"/>
              </w:rPr>
              <w:t>C3021水泥制品制造及C3022砼结构构件制造</w:t>
            </w:r>
            <w:r>
              <w:rPr>
                <w:rFonts w:hint="default" w:ascii="Times New Roman" w:hAnsi="Times New Roman" w:eastAsia="宋体" w:cs="Times New Roman"/>
                <w:color w:val="auto"/>
                <w:kern w:val="0"/>
                <w:sz w:val="24"/>
                <w:szCs w:val="24"/>
                <w:highlight w:val="none"/>
                <w:lang w:val="en-US" w:eastAsia="zh-CN" w:bidi="ar"/>
              </w:rPr>
              <w:t>，属于允许类项目。项目使用能源为电能</w:t>
            </w:r>
            <w:r>
              <w:rPr>
                <w:rFonts w:hint="default" w:ascii="Times New Roman" w:hAnsi="Times New Roman" w:cs="Times New Roman"/>
                <w:color w:val="auto"/>
                <w:kern w:val="0"/>
                <w:sz w:val="24"/>
                <w:szCs w:val="24"/>
                <w:highlight w:val="none"/>
                <w:lang w:val="en-US" w:eastAsia="zh-CN" w:bidi="ar"/>
              </w:rPr>
              <w:t>及管道天然气</w:t>
            </w:r>
            <w:r>
              <w:rPr>
                <w:rFonts w:hint="default" w:ascii="Times New Roman" w:hAnsi="Times New Roman" w:eastAsia="宋体" w:cs="Times New Roman"/>
                <w:color w:val="auto"/>
                <w:kern w:val="0"/>
                <w:sz w:val="24"/>
                <w:szCs w:val="24"/>
                <w:highlight w:val="none"/>
                <w:lang w:val="en-US" w:eastAsia="zh-CN" w:bidi="ar"/>
              </w:rPr>
              <w:t>。根据《广东省“两高”项目管理目录》（2022版），项目产品及生产工序品属于“两高”项目，根据《综合能耗计算通则》（GB/T2589-2020），项目年综合能源消费量为</w:t>
            </w:r>
            <w:r>
              <w:rPr>
                <w:rFonts w:hint="eastAsia" w:ascii="Times New Roman" w:hAnsi="Times New Roman" w:eastAsia="宋体" w:cs="Times New Roman"/>
                <w:color w:val="auto"/>
                <w:kern w:val="44"/>
                <w:sz w:val="24"/>
                <w:szCs w:val="44"/>
                <w:highlight w:val="none"/>
                <w:lang w:val="en-US" w:eastAsia="zh-CN" w:bidi="ar-SA"/>
              </w:rPr>
              <w:t>555.79</w:t>
            </w:r>
            <w:r>
              <w:rPr>
                <w:rFonts w:hint="default" w:ascii="Times New Roman" w:hAnsi="Times New Roman" w:eastAsia="宋体" w:cs="Times New Roman"/>
                <w:color w:val="auto"/>
                <w:kern w:val="44"/>
                <w:sz w:val="24"/>
                <w:szCs w:val="44"/>
                <w:highlight w:val="none"/>
                <w:lang w:val="en-US" w:eastAsia="zh-CN" w:bidi="ar-SA"/>
              </w:rPr>
              <w:t>吨标煤/年，单位产品能耗为</w:t>
            </w:r>
            <w:r>
              <w:rPr>
                <w:rFonts w:hint="eastAsia" w:ascii="Times New Roman" w:hAnsi="Times New Roman" w:eastAsia="宋体" w:cs="Times New Roman"/>
                <w:color w:val="auto"/>
                <w:kern w:val="44"/>
                <w:sz w:val="24"/>
                <w:szCs w:val="44"/>
                <w:highlight w:val="none"/>
                <w:lang w:val="en-US" w:eastAsia="zh-CN" w:bidi="ar-SA"/>
              </w:rPr>
              <w:t>0.993</w:t>
            </w:r>
            <w:r>
              <w:rPr>
                <w:rFonts w:hint="default" w:ascii="Times New Roman" w:hAnsi="Times New Roman" w:eastAsia="宋体" w:cs="Times New Roman"/>
                <w:color w:val="auto"/>
                <w:kern w:val="44"/>
                <w:sz w:val="24"/>
                <w:szCs w:val="44"/>
                <w:highlight w:val="none"/>
                <w:lang w:val="en-US" w:eastAsia="zh-CN" w:bidi="ar-SA"/>
              </w:rPr>
              <w:t>kgce/t，调查同类型企业单位产品能耗在0.82~2.21kgce/m</w:t>
            </w:r>
            <w:r>
              <w:rPr>
                <w:rFonts w:hint="default" w:ascii="Times New Roman" w:hAnsi="Times New Roman" w:eastAsia="宋体" w:cs="Times New Roman"/>
                <w:color w:val="auto"/>
                <w:kern w:val="44"/>
                <w:sz w:val="24"/>
                <w:szCs w:val="44"/>
                <w:highlight w:val="none"/>
                <w:vertAlign w:val="superscript"/>
                <w:lang w:val="en-US" w:eastAsia="zh-CN" w:bidi="ar-SA"/>
              </w:rPr>
              <w:t>3</w:t>
            </w:r>
            <w:r>
              <w:rPr>
                <w:rFonts w:hint="default" w:ascii="Times New Roman" w:hAnsi="Times New Roman" w:eastAsia="宋体" w:cs="Times New Roman"/>
                <w:color w:val="auto"/>
                <w:kern w:val="44"/>
                <w:sz w:val="24"/>
                <w:szCs w:val="44"/>
                <w:highlight w:val="none"/>
                <w:lang w:val="en-US" w:eastAsia="zh-CN" w:bidi="ar-SA"/>
              </w:rPr>
              <w:t>之间，</w:t>
            </w:r>
            <w:r>
              <w:rPr>
                <w:rFonts w:hint="default" w:ascii="Times New Roman" w:hAnsi="Times New Roman" w:eastAsia="宋体" w:cs="Times New Roman"/>
                <w:color w:val="auto"/>
                <w:kern w:val="0"/>
                <w:sz w:val="24"/>
                <w:szCs w:val="24"/>
                <w:highlight w:val="none"/>
                <w:lang w:val="en-US" w:eastAsia="zh-CN" w:bidi="ar"/>
              </w:rPr>
              <w:t xml:space="preserve">本项目单位产品能耗达到同行业较为先进水平。项目建设与《惠州市人民政府关于印发惠州市生态环境保护“十四五”规划的通知》（惠府〔2022〕11 号）相符。 </w:t>
            </w:r>
          </w:p>
          <w:p w14:paraId="2594D98C">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color w:val="auto"/>
                <w:highlight w:val="none"/>
              </w:rPr>
            </w:pPr>
            <w:r>
              <w:rPr>
                <w:rFonts w:hint="default" w:ascii="Times New Roman" w:hAnsi="Times New Roman" w:eastAsia="宋体" w:cs="Times New Roman"/>
                <w:color w:val="auto"/>
                <w:kern w:val="0"/>
                <w:sz w:val="24"/>
                <w:szCs w:val="24"/>
                <w:highlight w:val="none"/>
                <w:lang w:val="en-US" w:eastAsia="zh-CN" w:bidi="ar"/>
              </w:rPr>
              <w:t>本项目生产过程采取一系列防尘、降噪、砂石回收、生产废水零排放等措施，采用行业先进技术工艺，在保证产品质量和生产效率的基础上，优先选择生产效率高、单位产量大的设备，采用计算机控制的自动化生产、自动化传输，本项目</w:t>
            </w:r>
            <w:r>
              <w:rPr>
                <w:rFonts w:hint="default" w:ascii="Times New Roman" w:hAnsi="Times New Roman" w:cs="Times New Roman"/>
                <w:color w:val="auto"/>
                <w:kern w:val="0"/>
                <w:sz w:val="24"/>
                <w:szCs w:val="24"/>
                <w:highlight w:val="none"/>
                <w:lang w:val="en-US" w:eastAsia="zh-CN" w:bidi="ar"/>
              </w:rPr>
              <w:t>锅炉使用的为清洁能源天然气，不使用煤及生物质等燃料</w:t>
            </w:r>
            <w:r>
              <w:rPr>
                <w:rFonts w:hint="default" w:ascii="Times New Roman" w:hAnsi="Times New Roman" w:eastAsia="宋体" w:cs="Times New Roman"/>
                <w:color w:val="auto"/>
                <w:kern w:val="0"/>
                <w:sz w:val="24"/>
                <w:szCs w:val="24"/>
                <w:highlight w:val="none"/>
                <w:lang w:val="en-US" w:eastAsia="zh-CN" w:bidi="ar"/>
              </w:rPr>
              <w:t>，</w:t>
            </w:r>
            <w:r>
              <w:rPr>
                <w:rFonts w:hint="default" w:ascii="Times New Roman" w:hAnsi="Times New Roman" w:cs="Times New Roman"/>
                <w:color w:val="auto"/>
                <w:kern w:val="0"/>
                <w:sz w:val="24"/>
                <w:szCs w:val="24"/>
                <w:highlight w:val="none"/>
                <w:lang w:val="en-US" w:eastAsia="zh-CN" w:bidi="ar"/>
              </w:rPr>
              <w:t>项目</w:t>
            </w:r>
            <w:r>
              <w:rPr>
                <w:rFonts w:hint="default" w:ascii="Times New Roman" w:hAnsi="Times New Roman" w:eastAsia="宋体" w:cs="Times New Roman"/>
                <w:color w:val="auto"/>
                <w:kern w:val="0"/>
                <w:sz w:val="24"/>
                <w:szCs w:val="24"/>
                <w:highlight w:val="none"/>
                <w:lang w:val="en-US" w:eastAsia="zh-CN" w:bidi="ar"/>
              </w:rPr>
              <w:t>无生产废水的排放，生活污水</w:t>
            </w:r>
            <w:r>
              <w:rPr>
                <w:rFonts w:hint="default" w:ascii="Times New Roman" w:hAnsi="Times New Roman" w:cs="Times New Roman"/>
                <w:color w:val="auto"/>
                <w:kern w:val="0"/>
                <w:sz w:val="24"/>
                <w:szCs w:val="24"/>
                <w:highlight w:val="none"/>
                <w:lang w:val="en-US" w:eastAsia="zh-CN" w:bidi="ar"/>
              </w:rPr>
              <w:t>不直接排入水体，生活污水</w:t>
            </w:r>
            <w:r>
              <w:rPr>
                <w:rFonts w:hint="default" w:ascii="Times New Roman" w:hAnsi="Times New Roman" w:eastAsia="宋体" w:cs="Times New Roman"/>
                <w:color w:val="auto"/>
                <w:kern w:val="0"/>
                <w:sz w:val="24"/>
                <w:szCs w:val="24"/>
                <w:highlight w:val="none"/>
                <w:lang w:val="en-US" w:eastAsia="zh-CN" w:bidi="ar"/>
              </w:rPr>
              <w:t>经</w:t>
            </w:r>
            <w:r>
              <w:rPr>
                <w:rFonts w:hint="default" w:ascii="Times New Roman" w:hAnsi="Times New Roman" w:cs="Times New Roman"/>
                <w:color w:val="auto"/>
                <w:kern w:val="0"/>
                <w:sz w:val="24"/>
                <w:szCs w:val="24"/>
                <w:highlight w:val="none"/>
                <w:lang w:val="en-US" w:eastAsia="zh-CN" w:bidi="ar"/>
              </w:rPr>
              <w:t>预处理后纳入市政管网排入博罗县罗阳街道小金生活污水处理厂深度处理，故</w:t>
            </w:r>
            <w:r>
              <w:rPr>
                <w:rFonts w:hint="default" w:ascii="Times New Roman" w:hAnsi="Times New Roman" w:eastAsia="宋体" w:cs="Times New Roman"/>
                <w:color w:val="auto"/>
                <w:kern w:val="0"/>
                <w:sz w:val="24"/>
                <w:szCs w:val="24"/>
                <w:highlight w:val="none"/>
                <w:lang w:val="en-US" w:eastAsia="zh-CN" w:bidi="ar"/>
              </w:rPr>
              <w:t xml:space="preserve">不对周边水体造成污染。 </w:t>
            </w:r>
          </w:p>
          <w:p w14:paraId="1D821F21">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综上所述，本项目与《惠州市人民政府关于印发惠州市生态环境保护“十四五”规划的通知》（惠府〔2022〕11号）相符。</w:t>
            </w:r>
          </w:p>
          <w:p w14:paraId="29D65B38">
            <w:pPr>
              <w:keepNext w:val="0"/>
              <w:keepLines w:val="0"/>
              <w:pageBreakBefore w:val="0"/>
              <w:widowControl/>
              <w:kinsoku/>
              <w:wordWrap/>
              <w:overflowPunct/>
              <w:topLinePunct w:val="0"/>
              <w:autoSpaceDE/>
              <w:autoSpaceDN/>
              <w:bidi w:val="0"/>
              <w:adjustRightInd w:val="0"/>
              <w:snapToGrid w:val="0"/>
              <w:spacing w:after="0" w:line="360" w:lineRule="auto"/>
              <w:ind w:firstLine="482" w:firstLineChars="200"/>
              <w:jc w:val="both"/>
              <w:textAlignment w:val="auto"/>
              <w:rPr>
                <w:rFonts w:hint="default" w:ascii="Times New Roman" w:hAnsi="Times New Roman" w:eastAsia="宋体" w:cs="Times New Roman"/>
                <w:b/>
                <w:color w:val="auto"/>
                <w:kern w:val="44"/>
                <w:sz w:val="24"/>
                <w:szCs w:val="44"/>
                <w:highlight w:val="none"/>
                <w:lang w:val="en-US" w:eastAsia="zh-CN" w:bidi="ar-SA"/>
              </w:rPr>
            </w:pPr>
            <w:r>
              <w:rPr>
                <w:rFonts w:hint="default" w:ascii="Times New Roman" w:hAnsi="Times New Roman" w:eastAsia="宋体" w:cs="Times New Roman"/>
                <w:b/>
                <w:color w:val="auto"/>
                <w:kern w:val="44"/>
                <w:sz w:val="24"/>
                <w:szCs w:val="44"/>
                <w:highlight w:val="none"/>
                <w:lang w:val="en-US" w:eastAsia="zh-CN" w:bidi="ar-SA"/>
              </w:rPr>
              <w:t>11、与《广东省臭氧污染防治（氮氧化物和挥发性有机物协同减排）实施方案（2023-2025年）》（粤环函〔2023〕45 号）的相符性分析</w:t>
            </w:r>
          </w:p>
          <w:p w14:paraId="29D51FCF">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一、总体要求</w:t>
            </w:r>
          </w:p>
          <w:p w14:paraId="2776D19A">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二）工作思路。坚持精准、科学、依法治污，按照近期与中长期目标兼顾、全面防控与重点防控相结合的工作思路，聚焦臭氧前体物NOx和VOCs，参照国内和国际一流水平，加大锅炉、炉窑、发电机组NOx减排力度，加快推进低VOCs原辅材料替代和重点行业及油品储运销VOCs深度治理，加强柴油货车和非道路移动机械等NOx和VOCs排放监管。坚持突出重点、分区域、分行业、分步骤施策，以8-10月为重点时段，以广州、深圳、珠海、佛山、惠州、东莞、中山、江门、肇庆及清远市为省大气污染防治的重点城市，其他城市在省统一指导下开展区域联防联控。强化臭氧污染防治科技支撑和技术帮扶，完善臭氧和VOCs监测体系，加强执法监管，切实有效开展臭氧污染防治。</w:t>
            </w:r>
          </w:p>
          <w:p w14:paraId="0BB15034">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二、主要措施</w:t>
            </w:r>
          </w:p>
          <w:p w14:paraId="2FE344BE">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（一）强化固定源NOx减排。</w:t>
            </w:r>
          </w:p>
          <w:p w14:paraId="370ADDCF">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……5．工业锅炉</w:t>
            </w:r>
          </w:p>
          <w:p w14:paraId="2E8F46F9">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工作目标：珠三角地区原则上不再新建燃煤锅炉，粤东西北地区县级及以上城市建成区和天然气管网覆盖范围内禁止新建35蒸吨/小时（t/h）及以下燃煤锅炉。粤东西北城市建成区基本淘汰35t/h及以下燃煤锅炉。全省35t/h以上燃煤锅炉和燃气锅炉执行特别排放限值。燃煤自备电厂稳定达到超低排放要求。</w:t>
            </w:r>
          </w:p>
          <w:p w14:paraId="02BD0694">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工作要求：珠三角保留的燃煤锅炉和粤东西北35t/h以上燃煤锅炉应稳定达到《锅炉大气污染物排放标准》（DB 44/765-2019）特别排放限值要求。保留的企业自备电厂满足超低排放要求，氮氧化物稳定达到50mg/m</w:t>
            </w:r>
            <w:r>
              <w:rPr>
                <w:rFonts w:hint="default" w:ascii="Times New Roman" w:hAnsi="Times New Roman" w:eastAsia="宋体" w:cs="Times New Roman"/>
                <w:color w:val="auto"/>
                <w:kern w:val="0"/>
                <w:sz w:val="24"/>
                <w:szCs w:val="24"/>
                <w:highlight w:val="none"/>
                <w:vertAlign w:val="superscript"/>
                <w:lang w:val="en-US" w:eastAsia="zh-CN" w:bidi="ar"/>
              </w:rPr>
              <w:t>3</w:t>
            </w:r>
            <w:r>
              <w:rPr>
                <w:rFonts w:hint="default" w:ascii="Times New Roman" w:hAnsi="Times New Roman" w:eastAsia="宋体" w:cs="Times New Roman"/>
                <w:color w:val="auto"/>
                <w:kern w:val="0"/>
                <w:sz w:val="24"/>
                <w:szCs w:val="24"/>
                <w:highlight w:val="none"/>
                <w:lang w:val="en-US" w:eastAsia="zh-CN" w:bidi="ar"/>
              </w:rPr>
              <w:t>以下。在排污许可证核发过程中，要求10t/h以上蒸汽锅炉和7兆瓦（MW）及以上热水锅炉安装自动监测设施并与环境管理部门联网。推进重点城市县级以上城市建成区内的生物质锅炉（含气化炉和集中供热性质的生物质锅炉）淘汰整治，NOx排放浓度难以稳定达到50mg/m</w:t>
            </w:r>
            <w:r>
              <w:rPr>
                <w:rFonts w:hint="default" w:ascii="Times New Roman" w:hAnsi="Times New Roman" w:eastAsia="宋体" w:cs="Times New Roman"/>
                <w:color w:val="auto"/>
                <w:kern w:val="0"/>
                <w:sz w:val="24"/>
                <w:szCs w:val="24"/>
                <w:highlight w:val="none"/>
                <w:vertAlign w:val="superscript"/>
                <w:lang w:val="en-US" w:eastAsia="zh-CN" w:bidi="ar"/>
              </w:rPr>
              <w:t>3</w:t>
            </w:r>
            <w:r>
              <w:rPr>
                <w:rFonts w:hint="default" w:ascii="Times New Roman" w:hAnsi="Times New Roman" w:eastAsia="宋体" w:cs="Times New Roman"/>
                <w:color w:val="auto"/>
                <w:kern w:val="0"/>
                <w:sz w:val="24"/>
                <w:szCs w:val="24"/>
                <w:highlight w:val="none"/>
                <w:lang w:val="en-US" w:eastAsia="zh-CN" w:bidi="ar"/>
              </w:rPr>
              <w:t>以下的生物质锅炉（含气化炉和集中供热性质的生物质锅炉）应配备脱硝设施，鼓励有条件的地市淘汰生物质锅炉。燃气锅炉按标准有序执行特别排放限值，NOx排放浓度稳定达到50mg/m</w:t>
            </w:r>
            <w:r>
              <w:rPr>
                <w:rFonts w:hint="default" w:ascii="Times New Roman" w:hAnsi="Times New Roman" w:eastAsia="宋体" w:cs="Times New Roman"/>
                <w:color w:val="auto"/>
                <w:kern w:val="0"/>
                <w:sz w:val="24"/>
                <w:szCs w:val="24"/>
                <w:highlight w:val="none"/>
                <w:vertAlign w:val="superscript"/>
                <w:lang w:val="en-US" w:eastAsia="zh-CN" w:bidi="ar"/>
              </w:rPr>
              <w:t>3</w:t>
            </w:r>
            <w:r>
              <w:rPr>
                <w:rFonts w:hint="default" w:ascii="Times New Roman" w:hAnsi="Times New Roman" w:eastAsia="宋体" w:cs="Times New Roman"/>
                <w:color w:val="auto"/>
                <w:kern w:val="0"/>
                <w:sz w:val="24"/>
                <w:szCs w:val="24"/>
                <w:highlight w:val="none"/>
                <w:lang w:val="en-US" w:eastAsia="zh-CN" w:bidi="ar"/>
              </w:rPr>
              <w:t>以下，推动燃气锅炉取消烟气再循环系统开关阀，且有必要保留的，可通过设置电动阀、气动阀或铅封方式加强监管。（省生态环境厅牵头，省工业和信息化厅、市市场监管局、能源局等参加）。</w:t>
            </w:r>
          </w:p>
          <w:p w14:paraId="0B5CE566">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相符性分析：本项目位于省大气污染防治的重点城市，设置2台1t/h的燃天然气蒸汽锅炉，锅炉燃烧炉头采用低氮燃烧装置，燃烧废气有组织排放执行《锅炉大气污染物排放标准》（DB44/765-2019）表3特别排放限值。综上，本项目与粤环函〔2023〕45号相符。</w:t>
            </w:r>
          </w:p>
          <w:p w14:paraId="7226B421">
            <w:pPr>
              <w:keepNext w:val="0"/>
              <w:keepLines w:val="0"/>
              <w:pageBreakBefore w:val="0"/>
              <w:widowControl/>
              <w:kinsoku/>
              <w:wordWrap/>
              <w:overflowPunct/>
              <w:topLinePunct w:val="0"/>
              <w:autoSpaceDE/>
              <w:autoSpaceDN/>
              <w:bidi w:val="0"/>
              <w:adjustRightInd w:val="0"/>
              <w:snapToGrid w:val="0"/>
              <w:spacing w:after="0" w:line="360" w:lineRule="auto"/>
              <w:ind w:firstLine="482" w:firstLineChars="200"/>
              <w:jc w:val="both"/>
              <w:textAlignment w:val="auto"/>
              <w:rPr>
                <w:rFonts w:hint="default" w:ascii="Times New Roman" w:hAnsi="Times New Roman" w:eastAsia="宋体" w:cs="Times New Roman"/>
                <w:b/>
                <w:color w:val="auto"/>
                <w:kern w:val="44"/>
                <w:sz w:val="24"/>
                <w:szCs w:val="44"/>
                <w:highlight w:val="none"/>
                <w:lang w:val="en-US" w:eastAsia="zh-CN" w:bidi="ar-SA"/>
              </w:rPr>
            </w:pPr>
            <w:r>
              <w:rPr>
                <w:rFonts w:hint="default" w:ascii="Times New Roman" w:hAnsi="Times New Roman" w:eastAsia="宋体" w:cs="Times New Roman"/>
                <w:b/>
                <w:color w:val="auto"/>
                <w:kern w:val="44"/>
                <w:sz w:val="24"/>
                <w:szCs w:val="44"/>
                <w:highlight w:val="none"/>
                <w:lang w:val="en-US" w:eastAsia="zh-CN" w:bidi="ar-SA"/>
              </w:rPr>
              <w:t>12、项目与《关于贯彻落实生态环境部〈关于加强高耗能、高排放建设项目生态环境源头防控的指导意见〉的通知》（粤环函〔2021〕392 号）、《广东省坚决遏制“两高”项目盲目发展的实施方案》（粤发改能源）〔2021〕368 号）的相符性分析</w:t>
            </w:r>
          </w:p>
          <w:p w14:paraId="1E1C97AB">
            <w:pPr>
              <w:keepNext w:val="0"/>
              <w:keepLines w:val="0"/>
              <w:pageBreakBefore w:val="0"/>
              <w:widowControl w:val="0"/>
              <w:kinsoku/>
              <w:wordWrap/>
              <w:overflowPunct/>
              <w:topLinePunct w:val="0"/>
              <w:autoSpaceDE w:val="0"/>
              <w:autoSpaceDN w:val="0"/>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1）《</w:t>
            </w:r>
            <w:r>
              <w:rPr>
                <w:rFonts w:hint="default" w:ascii="Times New Roman" w:hAnsi="Times New Roman" w:eastAsia="宋体" w:cs="Times New Roman"/>
                <w:color w:val="auto"/>
                <w:sz w:val="24"/>
                <w:szCs w:val="24"/>
                <w:highlight w:val="none"/>
                <w:lang w:val="en-US" w:eastAsia="zh-CN"/>
              </w:rPr>
              <w:t>关于贯彻落实生态环境部〈关于加强高耗能、高排放建设项目生态环境源头防控的指导意见〉的通知》（粤环函〔2021〕392 号）摘录：</w:t>
            </w:r>
          </w:p>
          <w:p w14:paraId="0D231570">
            <w:pPr>
              <w:pStyle w:val="109"/>
              <w:keepLines w:val="0"/>
              <w:pageBreakBefore w:val="0"/>
              <w:widowControl w:val="0"/>
              <w:tabs>
                <w:tab w:val="left" w:pos="3150"/>
              </w:tabs>
              <w:kinsoku/>
              <w:wordWrap/>
              <w:topLinePunct w:val="0"/>
              <w:autoSpaceDE/>
              <w:autoSpaceDN/>
              <w:bidi w:val="0"/>
              <w:adjustRightInd w:val="0"/>
              <w:snapToGrid w:val="0"/>
              <w:spacing w:line="360" w:lineRule="auto"/>
              <w:ind w:firstLine="48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rPr>
              <w:t>根据</w:t>
            </w:r>
            <w:r>
              <w:rPr>
                <w:rFonts w:hint="default" w:ascii="Times New Roman" w:hAnsi="Times New Roman" w:eastAsia="宋体" w:cs="Times New Roman"/>
                <w:color w:val="auto"/>
                <w:sz w:val="24"/>
                <w:szCs w:val="24"/>
                <w:highlight w:val="none"/>
              </w:rPr>
              <w:t>（粤环函〔2021〕392 号）</w:t>
            </w:r>
            <w:r>
              <w:rPr>
                <w:rFonts w:hint="default" w:ascii="Times New Roman" w:hAnsi="Times New Roman" w:cs="Times New Roman"/>
                <w:color w:val="auto"/>
                <w:sz w:val="24"/>
                <w:szCs w:val="24"/>
                <w:highlight w:val="none"/>
                <w:lang w:eastAsia="zh-CN"/>
              </w:rPr>
              <w:t>文件</w:t>
            </w:r>
            <w:r>
              <w:rPr>
                <w:rFonts w:hint="default" w:ascii="Times New Roman" w:hAnsi="Times New Roman" w:cs="Times New Roman"/>
                <w:color w:val="auto"/>
                <w:sz w:val="24"/>
                <w:szCs w:val="24"/>
                <w:highlight w:val="none"/>
              </w:rPr>
              <w:t>相关要求</w:t>
            </w:r>
            <w:r>
              <w:rPr>
                <w:rFonts w:hint="default" w:ascii="Times New Roman" w:hAnsi="Times New Roman" w:cs="Times New Roman"/>
                <w:color w:val="auto"/>
                <w:sz w:val="24"/>
                <w:szCs w:val="24"/>
                <w:highlight w:val="none"/>
                <w:lang w:eastAsia="zh-CN"/>
              </w:rPr>
              <w:t>主要内容来源于</w:t>
            </w:r>
            <w:r>
              <w:rPr>
                <w:rFonts w:hint="default" w:ascii="Times New Roman" w:hAnsi="Times New Roman" w:eastAsia="宋体" w:cs="Times New Roman"/>
                <w:color w:val="auto"/>
                <w:sz w:val="24"/>
                <w:szCs w:val="24"/>
                <w:highlight w:val="none"/>
                <w:lang w:eastAsia="zh-CN"/>
              </w:rPr>
              <w:t>《关</w:t>
            </w:r>
            <w:r>
              <w:rPr>
                <w:rFonts w:hint="default" w:ascii="Times New Roman" w:hAnsi="Times New Roman" w:eastAsia="宋体" w:cs="Times New Roman"/>
                <w:color w:val="auto"/>
                <w:sz w:val="24"/>
                <w:szCs w:val="24"/>
                <w:highlight w:val="none"/>
              </w:rPr>
              <w:t>于加强高耗能、高排放建设项目生态环境源头防控的指导意见</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中</w:t>
            </w:r>
            <w:r>
              <w:rPr>
                <w:rFonts w:hint="default" w:ascii="Times New Roman" w:hAnsi="Times New Roman" w:cs="Times New Roman"/>
                <w:color w:val="auto"/>
                <w:sz w:val="24"/>
                <w:szCs w:val="24"/>
                <w:highlight w:val="none"/>
              </w:rPr>
              <w:t>各级生态环境主管部门要严格依法依规审批新建、改建、扩建“两高”项目环评，对不符合生态环境保护法律法规和相关法定规划，不满足重点污染物排放总量控制、碳排放达峰目标、生态环境准入清单、相关规划环评和相应建设项目环境准入条件、环评文件审批原则要求的项目，依法不予批准。严格“两高”项目环评审批，严格落实“两高”项目区域削减措施的监督管理，新增主要污染物排放的“两高”项目应依据区域环境质量改善目标，实行重点污染物倍量或等量削减。</w:t>
            </w:r>
            <w:r>
              <w:rPr>
                <w:rFonts w:hint="default" w:ascii="Times New Roman" w:hAnsi="Times New Roman" w:cs="Times New Roman"/>
                <w:color w:val="auto"/>
                <w:sz w:val="24"/>
                <w:szCs w:val="24"/>
                <w:highlight w:val="none"/>
                <w:lang w:val="en-US" w:eastAsia="zh-CN"/>
              </w:rPr>
              <w:t>......</w:t>
            </w:r>
          </w:p>
          <w:p w14:paraId="34D11095">
            <w:pPr>
              <w:keepNext/>
              <w:keepLines w:val="0"/>
              <w:pageBreakBefore w:val="0"/>
              <w:widowControl w:val="0"/>
              <w:numPr>
                <w:ilvl w:val="0"/>
                <w:numId w:val="0"/>
              </w:numPr>
              <w:kinsoku/>
              <w:wordWrap/>
              <w:overflowPunct w:val="0"/>
              <w:topLinePunct w:val="0"/>
              <w:autoSpaceDE/>
              <w:autoSpaceDN/>
              <w:bidi w:val="0"/>
              <w:adjustRightInd w:val="0"/>
              <w:snapToGrid w:val="0"/>
              <w:spacing w:line="360" w:lineRule="auto"/>
              <w:ind w:firstLine="480" w:firstLineChars="200"/>
              <w:jc w:val="both"/>
              <w:textAlignment w:val="auto"/>
              <w:outlineLvl w:val="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2）《广东省坚决遏制“两高”项目盲目发展的实施方案》（粤发改能源）〔2021〕368 号）摘录：</w:t>
            </w:r>
          </w:p>
          <w:p w14:paraId="4C0BC66B">
            <w:pPr>
              <w:pStyle w:val="43"/>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left="0" w:leftChars="0" w:firstLine="480" w:firstLineChars="200"/>
              <w:textAlignment w:val="baseline"/>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两高”项目范围暂定为年综合能源消费量1万吨标准煤以上的煤电、石化、化工、钢铁、有色金属、建材、煤化工、焦化等8个行业的项目，对上述行业的项目纳入“两高”项目管理台账，后续国家对“两高”项目范围如有明确规定，从其规定。对于能耗较高的数据中心等新兴产业，按照国家要求加强引导与管控。各级节能主管部门、生态环境部门要建立在建、拟建和存量“两高”项目管理台账，逐月报送省能源局和省生态环境厅汇总。</w:t>
            </w:r>
          </w:p>
          <w:p w14:paraId="6AFADD5B">
            <w:pPr>
              <w:pStyle w:val="43"/>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left="0" w:leftChars="0" w:firstLine="480" w:firstLineChars="200"/>
              <w:textAlignment w:val="baseline"/>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1、严控重点区域“两高”项目。严禁在经规划环评审查的产业园区以外区域，新建及扩建石化、化工、有色金属冶炼、平板玻璃项目。珠三角核心区域禁止新建、扩建水泥、平板玻璃、化学制浆、生皮制革以及国家规划外的钢铁、原油加工等项目；禁止新建、扩建燃煤火电机组和企业自备电站，推进现有服役期满燃煤火电机组有序退出。对未完成上年度能耗强度下降目标，或能耗强度下降目标形势严峻、用能空间不足的地区，实行“两高”项目缓批限批或能耗减量替代。对超过重点污染物排放总量控制指标或未完成环境质量改善目标的区域，执行更严格的排放总量控制要求。</w:t>
            </w:r>
          </w:p>
          <w:p w14:paraId="343A27A9">
            <w:pPr>
              <w:keepNext w:val="0"/>
              <w:keepLines w:val="0"/>
              <w:pageBreakBefore w:val="0"/>
              <w:widowControl w:val="0"/>
              <w:numPr>
                <w:ilvl w:val="0"/>
                <w:numId w:val="0"/>
              </w:numPr>
              <w:kinsoku/>
              <w:wordWrap/>
              <w:overflowPunct/>
              <w:topLinePunct w:val="0"/>
              <w:bidi w:val="0"/>
              <w:adjustRightInd w:val="0"/>
              <w:snapToGrid w:val="0"/>
              <w:spacing w:line="360" w:lineRule="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 xml:space="preserve">   </w:t>
            </w:r>
            <w:r>
              <w:rPr>
                <w:rFonts w:hint="default" w:ascii="Times New Roman" w:hAnsi="Times New Roman" w:eastAsia="宋体" w:cs="Times New Roman"/>
                <w:color w:val="auto"/>
                <w:kern w:val="2"/>
                <w:sz w:val="24"/>
                <w:szCs w:val="24"/>
                <w:highlight w:val="none"/>
                <w:lang w:val="en-US" w:eastAsia="zh-CN" w:bidi="ar-SA"/>
              </w:rPr>
              <w:t xml:space="preserve"> ......</w:t>
            </w:r>
          </w:p>
          <w:p w14:paraId="799EE9A6">
            <w:pPr>
              <w:pStyle w:val="43"/>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leftChars="0" w:firstLine="480" w:firstLineChars="200"/>
              <w:textAlignment w:val="baseline"/>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3、严把项目节能审查和环评审批关。对于尚未获批节能审查、环境影响评价的拟建“两高”项目，要深入论证项目建设的必要性、可行性与能效、环保水平，认真分析评估对能耗双控、碳排放控制、产业高质量发展的影响，对不符合产业政策、产能置换、煤炭消费减量替代，不符合生态环境保护法律法规和相关规划以及不满足碳排放目标、环境准入条件、环评审批原则等要求，或无能耗指标和主要污染物排放总量指标来源的新建、改建、扩建项目，不得批准建设。对于钢铁、水泥熟料、平板玻璃等行业项目，原则上实行省内产能及能耗等量或减量替代。新建、改建、扩建“两高”项目的工艺技术和装备，单位产品能耗必须达到行业先进水平。严格按照国家节能审查办法的要求实行固定资产投资项目实质性节能审查，对于年综合能源消费量5000吨标准煤以上项目，由省级节能审查部门统一组织实施。</w:t>
            </w:r>
          </w:p>
          <w:p w14:paraId="4722B797">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color w:val="auto"/>
                <w:kern w:val="44"/>
                <w:sz w:val="24"/>
                <w:szCs w:val="44"/>
                <w:highlight w:val="none"/>
                <w:lang w:val="en-US" w:eastAsia="zh-CN" w:bidi="ar-SA"/>
              </w:rPr>
            </w:pPr>
            <w:r>
              <w:rPr>
                <w:rFonts w:hint="default" w:ascii="Times New Roman" w:hAnsi="Times New Roman" w:eastAsia="宋体" w:cs="Times New Roman"/>
                <w:b/>
                <w:color w:val="auto"/>
                <w:kern w:val="44"/>
                <w:sz w:val="24"/>
                <w:szCs w:val="44"/>
                <w:highlight w:val="none"/>
                <w:lang w:val="en-US" w:eastAsia="zh-CN" w:bidi="ar"/>
              </w:rPr>
              <w:t>相符性分析</w:t>
            </w:r>
            <w:r>
              <w:rPr>
                <w:rFonts w:hint="default" w:ascii="Times New Roman" w:hAnsi="Times New Roman" w:eastAsia="宋体" w:cs="Times New Roman"/>
                <w:color w:val="auto"/>
                <w:kern w:val="44"/>
                <w:sz w:val="24"/>
                <w:szCs w:val="44"/>
                <w:highlight w:val="none"/>
                <w:lang w:val="en-US" w:eastAsia="zh-CN" w:bidi="ar-SA"/>
              </w:rPr>
              <w:t>：根据《广东省“两高”项目管理目录》（2022版），项目产品及生产工艺属于“两高”项目，需纳入“两高”企业管理，根据《综合能耗计算通则》（GB/T2589-2020），本项目年综合能源消费量为</w:t>
            </w:r>
            <w:r>
              <w:rPr>
                <w:rFonts w:hint="eastAsia" w:ascii="Times New Roman" w:hAnsi="Times New Roman" w:eastAsia="宋体" w:cs="Times New Roman"/>
                <w:color w:val="auto"/>
                <w:kern w:val="44"/>
                <w:sz w:val="24"/>
                <w:szCs w:val="44"/>
                <w:highlight w:val="none"/>
                <w:lang w:val="en-US" w:eastAsia="zh-CN" w:bidi="ar-SA"/>
              </w:rPr>
              <w:t>555.79</w:t>
            </w:r>
            <w:r>
              <w:rPr>
                <w:rFonts w:hint="default" w:ascii="Times New Roman" w:hAnsi="Times New Roman" w:eastAsia="宋体" w:cs="Times New Roman"/>
                <w:color w:val="auto"/>
                <w:kern w:val="44"/>
                <w:sz w:val="24"/>
                <w:szCs w:val="44"/>
                <w:highlight w:val="none"/>
                <w:lang w:val="en-US" w:eastAsia="zh-CN" w:bidi="ar-SA"/>
              </w:rPr>
              <w:t>吨标煤/年，单位产品能耗为</w:t>
            </w:r>
            <w:r>
              <w:rPr>
                <w:rFonts w:hint="eastAsia" w:ascii="Times New Roman" w:hAnsi="Times New Roman" w:eastAsia="宋体" w:cs="Times New Roman"/>
                <w:color w:val="auto"/>
                <w:kern w:val="44"/>
                <w:sz w:val="24"/>
                <w:szCs w:val="44"/>
                <w:highlight w:val="none"/>
                <w:lang w:val="en-US" w:eastAsia="zh-CN" w:bidi="ar-SA"/>
              </w:rPr>
              <w:t>0.993</w:t>
            </w:r>
            <w:r>
              <w:rPr>
                <w:rFonts w:hint="default" w:ascii="Times New Roman" w:hAnsi="Times New Roman" w:eastAsia="宋体" w:cs="Times New Roman"/>
                <w:color w:val="auto"/>
                <w:kern w:val="44"/>
                <w:sz w:val="24"/>
                <w:szCs w:val="44"/>
                <w:highlight w:val="none"/>
                <w:lang w:val="en-US" w:eastAsia="zh-CN" w:bidi="ar-SA"/>
              </w:rPr>
              <w:t>kgce/t，调查同类型企业单位产品能耗在0.82~2.21kgce/m</w:t>
            </w:r>
            <w:r>
              <w:rPr>
                <w:rFonts w:hint="default" w:ascii="Times New Roman" w:hAnsi="Times New Roman" w:eastAsia="宋体" w:cs="Times New Roman"/>
                <w:color w:val="auto"/>
                <w:kern w:val="44"/>
                <w:sz w:val="24"/>
                <w:szCs w:val="44"/>
                <w:highlight w:val="none"/>
                <w:vertAlign w:val="superscript"/>
                <w:lang w:val="en-US" w:eastAsia="zh-CN" w:bidi="ar-SA"/>
              </w:rPr>
              <w:t>3</w:t>
            </w:r>
            <w:r>
              <w:rPr>
                <w:rFonts w:hint="default" w:ascii="Times New Roman" w:hAnsi="Times New Roman" w:eastAsia="宋体" w:cs="Times New Roman"/>
                <w:color w:val="auto"/>
                <w:kern w:val="44"/>
                <w:sz w:val="24"/>
                <w:szCs w:val="44"/>
                <w:highlight w:val="none"/>
                <w:lang w:val="en-US" w:eastAsia="zh-CN" w:bidi="ar-SA"/>
              </w:rPr>
              <w:t>之间，本项单位产品能耗达到同行业较为先进水平。根据《固定资产投资项目节能审查办法》（中华人民共和国国家发展和改革委员会令第 2 号）中“年综合能源消费量不满1000吨标准煤且年电力消费量不满500万千瓦时的固定资产投资项目，涉及国家秘密的固定资产投资项目以及用能工艺简单、节能潜力小的行业的固定资产投资项目，可不单独编制节能报告。”本项目无需进行节能审查。</w:t>
            </w:r>
          </w:p>
          <w:p w14:paraId="67844B8F">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kern w:val="44"/>
                <w:sz w:val="24"/>
                <w:szCs w:val="44"/>
                <w:highlight w:val="none"/>
                <w:lang w:val="en-US" w:eastAsia="zh-CN" w:bidi="ar-SA"/>
              </w:rPr>
            </w:pPr>
            <w:r>
              <w:rPr>
                <w:rFonts w:hint="default" w:ascii="Times New Roman" w:hAnsi="Times New Roman" w:eastAsia="宋体" w:cs="Times New Roman"/>
                <w:color w:val="auto"/>
                <w:kern w:val="44"/>
                <w:sz w:val="24"/>
                <w:szCs w:val="44"/>
                <w:highlight w:val="none"/>
                <w:lang w:val="en-US" w:eastAsia="zh-CN" w:bidi="ar-SA"/>
              </w:rPr>
              <w:t>项目采用行业先进技术工艺，在保证产品质量和生产效率的基础上，优先选择生产效率高、单位产量大的设备，落实料仓和搅拌楼区域实行全封闭处理，生产工序粉尘经仓顶袋式除尘器处理后无组织排放，厂区设置喷雾抑尘系统，严格控制粉尘排放，对设备进行合理布局，将高噪声设备放置在远离厂界的位置，通过墙体的阻隔作用减少噪声对周边环境的影响，并且实现生产废水零排放。</w:t>
            </w:r>
          </w:p>
          <w:p w14:paraId="53D173FD">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kern w:val="44"/>
                <w:sz w:val="24"/>
                <w:szCs w:val="44"/>
                <w:highlight w:val="none"/>
                <w:lang w:val="en-US" w:eastAsia="zh-CN" w:bidi="ar-SA"/>
              </w:rPr>
            </w:pPr>
            <w:r>
              <w:rPr>
                <w:rFonts w:hint="default" w:ascii="Times New Roman" w:hAnsi="Times New Roman" w:eastAsia="宋体" w:cs="Times New Roman"/>
                <w:color w:val="auto"/>
                <w:kern w:val="44"/>
                <w:sz w:val="24"/>
                <w:szCs w:val="44"/>
                <w:highlight w:val="none"/>
                <w:lang w:val="en-US" w:eastAsia="zh-CN" w:bidi="ar-SA"/>
              </w:rPr>
              <w:t>本项目的碳排放源主要为购入电力排放，通过装设低压电力容器，减少无功功率消耗，选用低损高效节能型变压器，同时采用智能化运营管理，在生产管理方面运用理义系统（即企业资源计划系统），该系统以信息技术为基础，将项目的生产、人事、技术、材料、车辆以及经营等管理内容纳入其中，并通过与加油机、压力试验机、GPS车辆调度系统、混凝土罐车回厂系统、筒仓管控系统以及整合搅拌控制系统的有效融合，从而对新型建材的生产全过程实现了自动化管理，达到了节能、降耗的目的，为绿色生产技术的实施奠定了良好的基础。</w:t>
            </w:r>
          </w:p>
          <w:p w14:paraId="24FAAE06">
            <w:pPr>
              <w:widowControl w:val="0"/>
              <w:adjustRightInd/>
              <w:snapToGrid/>
              <w:spacing w:after="0" w:line="360" w:lineRule="auto"/>
              <w:ind w:firstLine="480" w:firstLineChars="200"/>
              <w:jc w:val="both"/>
              <w:rPr>
                <w:rFonts w:hint="default" w:ascii="Times New Roman" w:hAnsi="Times New Roman" w:eastAsia="宋体" w:cs="Times New Roman"/>
                <w:color w:val="auto"/>
                <w:kern w:val="44"/>
                <w:sz w:val="24"/>
                <w:szCs w:val="44"/>
                <w:highlight w:val="none"/>
                <w:lang w:val="en-US" w:eastAsia="zh-CN" w:bidi="ar-SA"/>
              </w:rPr>
            </w:pPr>
            <w:r>
              <w:rPr>
                <w:rFonts w:hint="default" w:ascii="Times New Roman" w:hAnsi="Times New Roman" w:eastAsia="宋体" w:cs="Times New Roman"/>
                <w:color w:val="auto"/>
                <w:kern w:val="44"/>
                <w:sz w:val="24"/>
                <w:szCs w:val="44"/>
                <w:highlight w:val="none"/>
                <w:lang w:val="en-US" w:eastAsia="zh-CN" w:bidi="ar-SA"/>
              </w:rPr>
              <w:t>综上，本项目建设符合《关于贯彻落实生态环境部＜关于加强高耗能、高排放建设项目生态环境源头防控的指导意见＞的通知》（粤环函〔2021〕392 号）、《广东省发展改革委关于印发＜广东省坚决遏制“两高”项目盲目发展的实施方案＞的通知》（粤发改能源〔2021〕368号）的要求。</w:t>
            </w:r>
          </w:p>
          <w:p w14:paraId="39B80122">
            <w:pPr>
              <w:widowControl/>
              <w:spacing w:line="360" w:lineRule="auto"/>
              <w:ind w:firstLine="420" w:firstLineChars="200"/>
              <w:jc w:val="left"/>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color w:val="auto"/>
                <w:highlight w:val="none"/>
                <w:lang w:val="en-US" w:eastAsia="zh-CN"/>
              </w:rPr>
              <w:t xml:space="preserve"> </w:t>
            </w:r>
            <w:r>
              <w:rPr>
                <w:rFonts w:hint="default" w:ascii="Times New Roman" w:hAnsi="Times New Roman" w:eastAsia="宋体" w:cs="Times New Roman"/>
                <w:b/>
                <w:color w:val="auto"/>
                <w:kern w:val="44"/>
                <w:sz w:val="24"/>
                <w:szCs w:val="44"/>
                <w:highlight w:val="none"/>
                <w:lang w:val="en-US" w:eastAsia="zh-CN" w:bidi="ar-SA"/>
              </w:rPr>
              <w:t>13、项目与《惠州市人民政府关于划定惠州市高污染燃料禁燃区的通告》（惠府〔2023〕2号）相符性分析</w:t>
            </w:r>
          </w:p>
          <w:p w14:paraId="3D568A29">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color w:val="auto"/>
                <w:sz w:val="24"/>
                <w:szCs w:val="24"/>
                <w:highlight w:val="none"/>
              </w:rPr>
            </w:pPr>
            <w:r>
              <w:rPr>
                <w:rFonts w:hint="default" w:ascii="Times New Roman" w:hAnsi="Times New Roman" w:eastAsia="宋体" w:cs="Times New Roman"/>
                <w:color w:val="auto"/>
                <w:kern w:val="0"/>
                <w:sz w:val="24"/>
                <w:szCs w:val="24"/>
                <w:highlight w:val="none"/>
                <w:lang w:val="en-US" w:eastAsia="zh-CN" w:bidi="ar"/>
              </w:rPr>
              <w:t xml:space="preserve">一、禁燃区范围划定 </w:t>
            </w:r>
          </w:p>
          <w:p w14:paraId="1D762C8A">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color w:val="auto"/>
                <w:sz w:val="24"/>
                <w:szCs w:val="24"/>
                <w:highlight w:val="none"/>
              </w:rPr>
            </w:pPr>
            <w:r>
              <w:rPr>
                <w:rFonts w:hint="default" w:ascii="Times New Roman" w:hAnsi="Times New Roman" w:eastAsia="宋体" w:cs="Times New Roman"/>
                <w:color w:val="auto"/>
                <w:kern w:val="0"/>
                <w:sz w:val="24"/>
                <w:szCs w:val="24"/>
                <w:highlight w:val="none"/>
                <w:lang w:val="en-US" w:eastAsia="zh-CN" w:bidi="ar"/>
              </w:rPr>
              <w:t xml:space="preserve">惠州市全市行政区域均划定为高污染燃料禁燃区。 </w:t>
            </w:r>
          </w:p>
          <w:p w14:paraId="3F118697">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（一）全域范围内的单台出力35蒸吨/小时及以上锅炉、火力发电企业机组锅炉禁止燃用的燃料按照《高污染燃料目录》第Ⅱ类燃料组合类别执行。</w:t>
            </w:r>
          </w:p>
          <w:p w14:paraId="582A365F">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color w:val="auto"/>
                <w:sz w:val="24"/>
                <w:szCs w:val="24"/>
                <w:highlight w:val="none"/>
              </w:rPr>
            </w:pPr>
            <w:r>
              <w:rPr>
                <w:rFonts w:hint="default" w:ascii="Times New Roman" w:hAnsi="Times New Roman" w:eastAsia="宋体" w:cs="Times New Roman"/>
                <w:color w:val="auto"/>
                <w:kern w:val="0"/>
                <w:sz w:val="24"/>
                <w:szCs w:val="24"/>
                <w:highlight w:val="none"/>
                <w:lang w:val="en-US" w:eastAsia="zh-CN" w:bidi="ar"/>
              </w:rPr>
              <w:t xml:space="preserve">（二）其他燃烧设施禁止燃用的燃料： </w:t>
            </w:r>
          </w:p>
          <w:p w14:paraId="3061E712">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color w:val="auto"/>
                <w:sz w:val="24"/>
                <w:szCs w:val="24"/>
                <w:highlight w:val="none"/>
              </w:rPr>
            </w:pPr>
            <w:r>
              <w:rPr>
                <w:rFonts w:hint="default" w:ascii="Times New Roman" w:hAnsi="Times New Roman" w:eastAsia="宋体" w:cs="Times New Roman"/>
                <w:color w:val="auto"/>
                <w:kern w:val="0"/>
                <w:sz w:val="24"/>
                <w:szCs w:val="24"/>
                <w:highlight w:val="none"/>
                <w:lang w:val="en-US" w:eastAsia="zh-CN" w:bidi="ar"/>
              </w:rPr>
              <w:t>1、惠城区、惠阳区、大亚湾开发区、仲恺高新区：按照《高污染燃料目录》第Ⅲ类燃料组合类别执行。</w:t>
            </w:r>
          </w:p>
          <w:p w14:paraId="1050E71F">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color w:val="auto"/>
                <w:sz w:val="24"/>
                <w:szCs w:val="24"/>
                <w:highlight w:val="none"/>
              </w:rPr>
            </w:pPr>
            <w:r>
              <w:rPr>
                <w:rFonts w:hint="default" w:ascii="Times New Roman" w:hAnsi="Times New Roman" w:eastAsia="宋体" w:cs="Times New Roman"/>
                <w:color w:val="auto"/>
                <w:kern w:val="0"/>
                <w:sz w:val="24"/>
                <w:szCs w:val="24"/>
                <w:highlight w:val="none"/>
                <w:lang w:val="en-US" w:eastAsia="zh-CN" w:bidi="ar"/>
              </w:rPr>
              <w:t xml:space="preserve">2.惠东县、博罗县、龙门县： </w:t>
            </w:r>
          </w:p>
          <w:p w14:paraId="1B42A7D3">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color w:val="auto"/>
                <w:sz w:val="24"/>
                <w:szCs w:val="24"/>
                <w:highlight w:val="none"/>
              </w:rPr>
            </w:pPr>
            <w:r>
              <w:rPr>
                <w:rFonts w:hint="default" w:ascii="Times New Roman" w:hAnsi="Times New Roman" w:eastAsia="宋体" w:cs="Times New Roman"/>
                <w:color w:val="auto"/>
                <w:kern w:val="0"/>
                <w:sz w:val="24"/>
                <w:szCs w:val="24"/>
                <w:highlight w:val="none"/>
                <w:lang w:val="en-US" w:eastAsia="zh-CN" w:bidi="ar"/>
              </w:rPr>
              <w:t>——惠东县平山街道全域，博罗县罗阳街道全域，龙门县龙城街道全域，按照《高污染燃料目录》第Ⅲ类燃料组合类别执行。</w:t>
            </w:r>
          </w:p>
          <w:p w14:paraId="35FEB899">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color w:val="auto"/>
                <w:sz w:val="24"/>
                <w:szCs w:val="24"/>
                <w:highlight w:val="none"/>
              </w:rPr>
            </w:pPr>
            <w:r>
              <w:rPr>
                <w:rFonts w:hint="default" w:ascii="Times New Roman" w:hAnsi="Times New Roman" w:eastAsia="宋体" w:cs="Times New Roman"/>
                <w:color w:val="auto"/>
                <w:kern w:val="0"/>
                <w:sz w:val="24"/>
                <w:szCs w:val="24"/>
                <w:highlight w:val="none"/>
                <w:lang w:val="en-US" w:eastAsia="zh-CN" w:bidi="ar"/>
              </w:rPr>
              <w:t>——惠东县大岭街道、白花镇，博罗县园洲镇、石湾镇、龙溪街道、泰美镇，2025年12月31日前按照《高污染燃料目录》第Ⅱ类燃料组合类别执行；2026年1月1日起，按照《高污染燃料目录》第III类燃料组合类别执行。</w:t>
            </w:r>
          </w:p>
          <w:p w14:paraId="32A54B67">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color w:val="auto"/>
                <w:sz w:val="24"/>
                <w:szCs w:val="24"/>
                <w:highlight w:val="none"/>
              </w:rPr>
            </w:pPr>
            <w:r>
              <w:rPr>
                <w:rFonts w:hint="default" w:ascii="Times New Roman" w:hAnsi="Times New Roman" w:eastAsia="宋体" w:cs="Times New Roman"/>
                <w:color w:val="auto"/>
                <w:kern w:val="0"/>
                <w:sz w:val="24"/>
                <w:szCs w:val="24"/>
                <w:highlight w:val="none"/>
                <w:lang w:val="en-US" w:eastAsia="zh-CN" w:bidi="ar"/>
              </w:rPr>
              <w:t>——惠东县、博罗县、龙门县除上述区域外的其他地区，2025年12月31日前按照《高污染燃料目录》第I类燃料组合类别执行；2026年1月1日起，按照《高污染燃料目录》第III类燃料组合类别执行。</w:t>
            </w:r>
          </w:p>
          <w:p w14:paraId="5A2DE9BB">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color w:val="auto"/>
                <w:sz w:val="24"/>
                <w:szCs w:val="24"/>
                <w:highlight w:val="none"/>
              </w:rPr>
            </w:pPr>
            <w:r>
              <w:rPr>
                <w:rFonts w:hint="default" w:ascii="Times New Roman" w:hAnsi="Times New Roman" w:eastAsia="宋体" w:cs="Times New Roman"/>
                <w:color w:val="auto"/>
                <w:kern w:val="0"/>
                <w:sz w:val="24"/>
                <w:szCs w:val="24"/>
                <w:highlight w:val="none"/>
                <w:lang w:val="en-US" w:eastAsia="zh-CN" w:bidi="ar"/>
              </w:rPr>
              <w:t xml:space="preserve">本通告所指的高污染燃料 </w:t>
            </w:r>
          </w:p>
          <w:p w14:paraId="1C479216">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color w:val="auto"/>
                <w:sz w:val="24"/>
                <w:szCs w:val="24"/>
                <w:highlight w:val="none"/>
              </w:rPr>
            </w:pPr>
            <w:r>
              <w:rPr>
                <w:rFonts w:hint="default" w:ascii="Times New Roman" w:hAnsi="Times New Roman" w:eastAsia="宋体" w:cs="Times New Roman"/>
                <w:color w:val="auto"/>
                <w:kern w:val="0"/>
                <w:sz w:val="24"/>
                <w:szCs w:val="24"/>
                <w:highlight w:val="none"/>
                <w:lang w:val="en-US" w:eastAsia="zh-CN" w:bidi="ar"/>
              </w:rPr>
              <w:t xml:space="preserve">一、I类 </w:t>
            </w:r>
          </w:p>
          <w:p w14:paraId="1F756927">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color w:val="auto"/>
                <w:sz w:val="24"/>
                <w:szCs w:val="24"/>
                <w:highlight w:val="none"/>
              </w:rPr>
            </w:pPr>
            <w:r>
              <w:rPr>
                <w:rFonts w:hint="default" w:ascii="Times New Roman" w:hAnsi="Times New Roman" w:eastAsia="宋体" w:cs="Times New Roman"/>
                <w:color w:val="auto"/>
                <w:kern w:val="0"/>
                <w:sz w:val="24"/>
                <w:szCs w:val="24"/>
                <w:highlight w:val="none"/>
                <w:lang w:val="en-US" w:eastAsia="zh-CN" w:bidi="ar"/>
              </w:rPr>
              <w:t>（一）单台出力小于20蒸吨/小时的锅炉和民用燃煤设备燃用的含硫量大于0.5%、灰分大于10%的煤炭及其制品，其中：型煤、焦炭、兰炭的组分含量大于国环规大气﹝2017﹞2号文中规定的限值。</w:t>
            </w:r>
          </w:p>
          <w:p w14:paraId="538EB582">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color w:val="auto"/>
                <w:sz w:val="24"/>
                <w:szCs w:val="24"/>
                <w:highlight w:val="none"/>
              </w:rPr>
            </w:pPr>
            <w:r>
              <w:rPr>
                <w:rFonts w:hint="default" w:ascii="Times New Roman" w:hAnsi="Times New Roman" w:eastAsia="宋体" w:cs="Times New Roman"/>
                <w:color w:val="auto"/>
                <w:kern w:val="0"/>
                <w:sz w:val="24"/>
                <w:szCs w:val="24"/>
                <w:highlight w:val="none"/>
                <w:lang w:val="en-US" w:eastAsia="zh-CN" w:bidi="ar"/>
              </w:rPr>
              <w:t>（二）石油焦、油页岩、原油、重油、渣油、煤焦油。</w:t>
            </w:r>
          </w:p>
          <w:p w14:paraId="33A25D76">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color w:val="auto"/>
                <w:sz w:val="24"/>
                <w:szCs w:val="24"/>
                <w:highlight w:val="none"/>
              </w:rPr>
            </w:pPr>
            <w:r>
              <w:rPr>
                <w:rFonts w:hint="default" w:ascii="Times New Roman" w:hAnsi="Times New Roman" w:eastAsia="宋体" w:cs="Times New Roman"/>
                <w:color w:val="auto"/>
                <w:kern w:val="0"/>
                <w:sz w:val="24"/>
                <w:szCs w:val="24"/>
                <w:highlight w:val="none"/>
                <w:lang w:val="en-US" w:eastAsia="zh-CN" w:bidi="ar"/>
              </w:rPr>
              <w:t xml:space="preserve">二、Ⅱ类 </w:t>
            </w:r>
          </w:p>
          <w:p w14:paraId="4ACFB777">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color w:val="auto"/>
                <w:sz w:val="24"/>
                <w:szCs w:val="24"/>
                <w:highlight w:val="none"/>
              </w:rPr>
            </w:pPr>
            <w:r>
              <w:rPr>
                <w:rFonts w:hint="default" w:ascii="Times New Roman" w:hAnsi="Times New Roman" w:eastAsia="宋体" w:cs="Times New Roman"/>
                <w:color w:val="auto"/>
                <w:kern w:val="0"/>
                <w:sz w:val="24"/>
                <w:szCs w:val="24"/>
                <w:highlight w:val="none"/>
                <w:lang w:val="en-US" w:eastAsia="zh-CN" w:bidi="ar"/>
              </w:rPr>
              <w:t xml:space="preserve">（一）除单台出力大于等于20蒸吨/小时锅炉以外燃用的煤炭及其制品。 </w:t>
            </w:r>
          </w:p>
          <w:p w14:paraId="04DCA4D3">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color w:val="auto"/>
                <w:sz w:val="24"/>
                <w:szCs w:val="24"/>
                <w:highlight w:val="none"/>
              </w:rPr>
            </w:pPr>
            <w:r>
              <w:rPr>
                <w:rFonts w:hint="default" w:ascii="Times New Roman" w:hAnsi="Times New Roman" w:eastAsia="宋体" w:cs="Times New Roman"/>
                <w:color w:val="auto"/>
                <w:kern w:val="0"/>
                <w:sz w:val="24"/>
                <w:szCs w:val="24"/>
                <w:highlight w:val="none"/>
                <w:lang w:val="en-US" w:eastAsia="zh-CN" w:bidi="ar"/>
              </w:rPr>
              <w:t xml:space="preserve">（二）石油焦、油页岩、原油、重油、渣油、煤焦油。 </w:t>
            </w:r>
          </w:p>
          <w:p w14:paraId="01DEB47A">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color w:val="auto"/>
                <w:sz w:val="24"/>
                <w:szCs w:val="24"/>
                <w:highlight w:val="none"/>
              </w:rPr>
            </w:pPr>
            <w:r>
              <w:rPr>
                <w:rFonts w:hint="default" w:ascii="Times New Roman" w:hAnsi="Times New Roman" w:eastAsia="宋体" w:cs="Times New Roman"/>
                <w:color w:val="auto"/>
                <w:kern w:val="0"/>
                <w:sz w:val="24"/>
                <w:szCs w:val="24"/>
                <w:highlight w:val="none"/>
                <w:lang w:val="en-US" w:eastAsia="zh-CN" w:bidi="ar"/>
              </w:rPr>
              <w:t xml:space="preserve">三、Ⅲ类 </w:t>
            </w:r>
          </w:p>
          <w:p w14:paraId="25B374DF">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color w:val="auto"/>
                <w:sz w:val="24"/>
                <w:szCs w:val="24"/>
                <w:highlight w:val="none"/>
              </w:rPr>
            </w:pPr>
            <w:r>
              <w:rPr>
                <w:rFonts w:hint="default" w:ascii="Times New Roman" w:hAnsi="Times New Roman" w:eastAsia="宋体" w:cs="Times New Roman"/>
                <w:color w:val="auto"/>
                <w:kern w:val="0"/>
                <w:sz w:val="24"/>
                <w:szCs w:val="24"/>
                <w:highlight w:val="none"/>
                <w:lang w:val="en-US" w:eastAsia="zh-CN" w:bidi="ar"/>
              </w:rPr>
              <w:t xml:space="preserve">（一）煤炭及其制品。 </w:t>
            </w:r>
          </w:p>
          <w:p w14:paraId="2C223CA0">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color w:val="auto"/>
                <w:sz w:val="24"/>
                <w:szCs w:val="24"/>
                <w:highlight w:val="none"/>
              </w:rPr>
            </w:pPr>
            <w:r>
              <w:rPr>
                <w:rFonts w:hint="default" w:ascii="Times New Roman" w:hAnsi="Times New Roman" w:eastAsia="宋体" w:cs="Times New Roman"/>
                <w:color w:val="auto"/>
                <w:kern w:val="0"/>
                <w:sz w:val="24"/>
                <w:szCs w:val="24"/>
                <w:highlight w:val="none"/>
                <w:lang w:val="en-US" w:eastAsia="zh-CN" w:bidi="ar"/>
              </w:rPr>
              <w:t xml:space="preserve">（二）石油焦、油页岩、原油、重油、渣油、煤焦油。 </w:t>
            </w:r>
          </w:p>
          <w:p w14:paraId="61FBEE4B">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eastAsiaTheme="minorEastAsia"/>
                <w:color w:val="auto"/>
                <w:highlight w:val="none"/>
                <w:lang w:val="en-US" w:eastAsia="zh-CN"/>
              </w:rPr>
            </w:pPr>
            <w:r>
              <w:rPr>
                <w:rFonts w:hint="default" w:ascii="Times New Roman" w:hAnsi="Times New Roman" w:eastAsia="宋体" w:cs="Times New Roman"/>
                <w:color w:val="auto"/>
                <w:kern w:val="0"/>
                <w:sz w:val="24"/>
                <w:szCs w:val="24"/>
                <w:highlight w:val="none"/>
                <w:lang w:val="en-US" w:eastAsia="zh-CN" w:bidi="ar"/>
              </w:rPr>
              <w:t>（三）非专用锅炉或未配置高效除尘设施的专用锅炉燃用的生物质成型燃料。</w:t>
            </w:r>
          </w:p>
          <w:p w14:paraId="06AEE2C5">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2" w:firstLineChars="200"/>
              <w:jc w:val="left"/>
              <w:textAlignment w:val="auto"/>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b/>
                <w:bCs/>
                <w:color w:val="auto"/>
                <w:kern w:val="0"/>
                <w:sz w:val="24"/>
                <w:szCs w:val="24"/>
                <w:highlight w:val="none"/>
                <w:lang w:val="en-US" w:eastAsia="zh-CN" w:bidi="ar"/>
              </w:rPr>
              <w:t>相符性分析：</w:t>
            </w:r>
            <w:r>
              <w:rPr>
                <w:rFonts w:hint="default" w:ascii="Times New Roman" w:hAnsi="Times New Roman" w:eastAsia="宋体" w:cs="Times New Roman"/>
                <w:color w:val="auto"/>
                <w:kern w:val="0"/>
                <w:sz w:val="24"/>
                <w:szCs w:val="24"/>
                <w:highlight w:val="none"/>
                <w:lang w:val="en-US" w:eastAsia="zh-CN" w:bidi="ar"/>
              </w:rPr>
              <w:t>本项目位于广东省惠州市博罗县罗阳街道小金村（大径小组地段桦泰工业园），属于高污染燃料禁燃区。本项目拟设置2台1t/h的燃天然气蒸汽锅炉，燃料为管道天然气，不属于《高污染燃料目录》第I类、第III燃料，因此项目符合类符合《惠州市人民政府关于划定惠州市高污染燃料禁燃区的通告》（惠府〔2023〕2号）文件要求。</w:t>
            </w:r>
          </w:p>
          <w:p w14:paraId="07B69E9E">
            <w:pPr>
              <w:keepNext w:val="0"/>
              <w:keepLines w:val="0"/>
              <w:pageBreakBefore w:val="0"/>
              <w:widowControl/>
              <w:suppressLineNumbers w:val="0"/>
              <w:kinsoku/>
              <w:wordWrap/>
              <w:overflowPunct/>
              <w:topLinePunct w:val="0"/>
              <w:autoSpaceDE/>
              <w:autoSpaceDN/>
              <w:bidi w:val="0"/>
              <w:adjustRightInd/>
              <w:snapToGrid/>
              <w:spacing w:line="360" w:lineRule="auto"/>
              <w:ind w:firstLine="482" w:firstLineChars="200"/>
              <w:jc w:val="left"/>
              <w:textAlignment w:val="auto"/>
              <w:rPr>
                <w:rFonts w:hint="eastAsia" w:ascii="Times New Roman" w:eastAsia="宋体"/>
                <w:b/>
                <w:bCs w:val="0"/>
                <w:color w:val="auto"/>
                <w:sz w:val="24"/>
                <w:szCs w:val="24"/>
                <w:highlight w:val="none"/>
                <w:lang w:val="en-US" w:eastAsia="zh-CN"/>
              </w:rPr>
            </w:pPr>
            <w:r>
              <w:rPr>
                <w:rFonts w:hint="eastAsia" w:ascii="Times New Roman" w:eastAsia="宋体"/>
                <w:b/>
                <w:bCs w:val="0"/>
                <w:color w:val="auto"/>
                <w:sz w:val="24"/>
                <w:szCs w:val="24"/>
                <w:highlight w:val="none"/>
                <w:lang w:val="en-US" w:eastAsia="zh-CN"/>
              </w:rPr>
              <w:t>14、与</w:t>
            </w:r>
            <w:r>
              <w:rPr>
                <w:rFonts w:hint="eastAsia" w:ascii="Times New Roman" w:hAnsi="Times New Roman" w:eastAsia="宋体" w:cs="Times New Roman"/>
                <w:b/>
                <w:bCs w:val="0"/>
                <w:color w:val="auto"/>
                <w:sz w:val="24"/>
                <w:highlight w:val="none"/>
                <w:lang w:val="en-US" w:eastAsia="zh-CN"/>
              </w:rPr>
              <w:t>《中华人民共和国公路管理条例实施细则》</w:t>
            </w:r>
            <w:r>
              <w:rPr>
                <w:rFonts w:hint="eastAsia" w:ascii="Times New Roman" w:eastAsia="宋体"/>
                <w:b/>
                <w:bCs w:val="0"/>
                <w:color w:val="auto"/>
                <w:sz w:val="24"/>
                <w:szCs w:val="24"/>
                <w:highlight w:val="none"/>
                <w:lang w:val="en-US" w:eastAsia="zh-CN"/>
              </w:rPr>
              <w:t>相符性分析</w:t>
            </w:r>
          </w:p>
          <w:p w14:paraId="43131EA9">
            <w:pPr>
              <w:adjustRightInd w:val="0"/>
              <w:snapToGrid w:val="0"/>
              <w:spacing w:line="360" w:lineRule="auto"/>
              <w:ind w:firstLine="470" w:firstLineChars="196"/>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第四十二条　在公路两侧修建永久性构造物或者设施，其建筑设施边缘与公路边沟（坡脚护坡道、坡顶截水沟）外缘的最小间距必须符合《条例》的以下规定：</w:t>
            </w:r>
          </w:p>
          <w:p w14:paraId="66E73F91">
            <w:pPr>
              <w:adjustRightInd w:val="0"/>
              <w:snapToGrid w:val="0"/>
              <w:spacing w:line="360" w:lineRule="auto"/>
              <w:ind w:firstLine="470" w:firstLineChars="196"/>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国道不少于二十米、省道不少于十五米、县道不少于十米、乡道不少于五米。公路弯道内侧及平交道口附近还须满足公路长远发展规划标准的行车视距或者改作立体交叉的要求。</w:t>
            </w:r>
          </w:p>
          <w:p w14:paraId="2E376B6C">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2" w:firstLineChars="200"/>
              <w:jc w:val="left"/>
              <w:textAlignment w:val="auto"/>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b/>
                <w:bCs/>
                <w:color w:val="auto"/>
                <w:kern w:val="0"/>
                <w:sz w:val="24"/>
                <w:szCs w:val="24"/>
                <w:highlight w:val="none"/>
                <w:lang w:val="en-US" w:eastAsia="zh-CN" w:bidi="ar"/>
              </w:rPr>
              <w:t>相符性分析：</w:t>
            </w:r>
            <w:r>
              <w:rPr>
                <w:rFonts w:hint="default" w:ascii="Times New Roman" w:hAnsi="Times New Roman" w:eastAsia="宋体" w:cs="Times New Roman"/>
                <w:color w:val="auto"/>
                <w:kern w:val="0"/>
                <w:sz w:val="24"/>
                <w:szCs w:val="24"/>
                <w:highlight w:val="none"/>
                <w:lang w:val="en-US" w:eastAsia="zh-CN" w:bidi="ar"/>
              </w:rPr>
              <w:t>本项目位于广东省惠州市博罗县罗阳街道小金村（大径小组地段桦泰工业园），</w:t>
            </w:r>
            <w:r>
              <w:rPr>
                <w:rFonts w:hint="eastAsia" w:ascii="Times New Roman" w:hAnsi="Times New Roman" w:eastAsia="宋体" w:cs="Times New Roman"/>
                <w:color w:val="auto"/>
                <w:kern w:val="0"/>
                <w:sz w:val="24"/>
                <w:szCs w:val="24"/>
                <w:highlight w:val="none"/>
                <w:lang w:val="en-US" w:eastAsia="zh-CN" w:bidi="ar"/>
              </w:rPr>
              <w:t>本项目不新增建永久性筑物修建，且本项目边界20m范围内无国道、省道、县道，且距离长深高速距离大于20m</w:t>
            </w:r>
            <w:r>
              <w:rPr>
                <w:rFonts w:hint="default" w:ascii="Times New Roman" w:hAnsi="Times New Roman" w:eastAsia="宋体" w:cs="Times New Roman"/>
                <w:color w:val="auto"/>
                <w:kern w:val="0"/>
                <w:sz w:val="24"/>
                <w:szCs w:val="24"/>
                <w:highlight w:val="none"/>
                <w:lang w:val="en-US" w:eastAsia="zh-CN" w:bidi="ar"/>
              </w:rPr>
              <w:t>。</w:t>
            </w:r>
            <w:r>
              <w:rPr>
                <w:rFonts w:hint="eastAsia" w:ascii="Times New Roman" w:hAnsi="Times New Roman" w:eastAsia="宋体" w:cs="Times New Roman"/>
                <w:color w:val="auto"/>
                <w:kern w:val="0"/>
                <w:sz w:val="24"/>
                <w:szCs w:val="24"/>
                <w:highlight w:val="none"/>
                <w:lang w:val="en-US" w:eastAsia="zh-CN" w:bidi="ar"/>
              </w:rPr>
              <w:t>符合文件要求。</w:t>
            </w:r>
          </w:p>
          <w:p w14:paraId="455A43B9">
            <w:pPr>
              <w:widowControl w:val="0"/>
              <w:spacing w:after="0" w:line="360" w:lineRule="auto"/>
              <w:ind w:firstLine="480" w:firstLineChars="200"/>
              <w:jc w:val="both"/>
              <w:rPr>
                <w:rFonts w:hint="eastAsia" w:ascii="Times New Roman" w:hAnsi="Times New Roman" w:eastAsia="宋体" w:cs="Times New Roman"/>
                <w:color w:val="auto"/>
                <w:kern w:val="2"/>
                <w:sz w:val="24"/>
                <w:szCs w:val="24"/>
                <w:highlight w:val="none"/>
                <w:lang w:eastAsia="zh-CN"/>
              </w:rPr>
            </w:pPr>
          </w:p>
          <w:p w14:paraId="7C3A8264">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602" w:firstLineChars="200"/>
              <w:jc w:val="left"/>
              <w:textAlignment w:val="auto"/>
              <w:rPr>
                <w:rFonts w:hint="default" w:ascii="Times New Roman" w:hAnsi="Times New Roman" w:eastAsia="黑体" w:cs="Times New Roman"/>
                <w:b/>
                <w:bCs/>
                <w:color w:val="auto"/>
                <w:kern w:val="44"/>
                <w:sz w:val="30"/>
                <w:szCs w:val="30"/>
                <w:highlight w:val="none"/>
              </w:rPr>
            </w:pPr>
          </w:p>
        </w:tc>
      </w:tr>
    </w:tbl>
    <w:p w14:paraId="78683CAB">
      <w:pPr>
        <w:rPr>
          <w:rFonts w:hint="default" w:ascii="Times New Roman" w:hAnsi="Times New Roman" w:cs="Times New Roman"/>
          <w:color w:val="auto"/>
        </w:rPr>
        <w:sectPr>
          <w:footerReference r:id="rId5" w:type="default"/>
          <w:pgSz w:w="11906" w:h="16838"/>
          <w:pgMar w:top="1440" w:right="1247" w:bottom="1440" w:left="1247" w:header="851" w:footer="1077" w:gutter="0"/>
          <w:pgNumType w:fmt="decimal" w:start="1"/>
          <w:cols w:space="720" w:num="1"/>
          <w:docGrid w:linePitch="312" w:charSpace="0"/>
        </w:sectPr>
      </w:pPr>
    </w:p>
    <w:p w14:paraId="74531445">
      <w:pPr>
        <w:pStyle w:val="29"/>
        <w:numPr>
          <w:ilvl w:val="0"/>
          <w:numId w:val="0"/>
        </w:numPr>
        <w:adjustRightInd w:val="0"/>
        <w:snapToGrid w:val="0"/>
        <w:spacing w:before="0" w:beforeAutospacing="0" w:after="0" w:afterAutospacing="0"/>
        <w:ind w:leftChars="0"/>
        <w:jc w:val="center"/>
        <w:outlineLvl w:val="0"/>
        <w:rPr>
          <w:rFonts w:hint="default" w:ascii="Times New Roman" w:hAnsi="Times New Roman" w:eastAsia="宋体" w:cs="Times New Roman"/>
          <w:b/>
          <w:bCs/>
          <w:snapToGrid w:val="0"/>
          <w:color w:val="auto"/>
          <w:sz w:val="30"/>
          <w:szCs w:val="30"/>
          <w:highlight w:val="none"/>
          <w:lang w:val="en-US" w:eastAsia="zh-CN"/>
        </w:rPr>
      </w:pPr>
      <w:r>
        <w:rPr>
          <w:rFonts w:hint="default" w:ascii="Times New Roman" w:hAnsi="Times New Roman" w:eastAsia="宋体" w:cs="Times New Roman"/>
          <w:b/>
          <w:bCs/>
          <w:snapToGrid w:val="0"/>
          <w:color w:val="auto"/>
          <w:sz w:val="30"/>
          <w:szCs w:val="30"/>
          <w:highlight w:val="none"/>
          <w:lang w:val="en-US" w:eastAsia="zh-CN"/>
        </w:rPr>
        <w:t>二、建设项目工程分析</w:t>
      </w:r>
    </w:p>
    <w:tbl>
      <w:tblPr>
        <w:tblStyle w:val="34"/>
        <w:tblW w:w="967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97"/>
        <w:gridCol w:w="9180"/>
      </w:tblGrid>
      <w:tr w14:paraId="6FCB2E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90" w:hRule="atLeast"/>
          <w:jc w:val="center"/>
        </w:trPr>
        <w:tc>
          <w:tcPr>
            <w:tcW w:w="497" w:type="dxa"/>
            <w:noWrap w:val="0"/>
            <w:vAlign w:val="center"/>
          </w:tcPr>
          <w:p w14:paraId="3937C4D5">
            <w:pPr>
              <w:pStyle w:val="29"/>
              <w:adjustRightInd w:val="0"/>
              <w:snapToGrid w:val="0"/>
              <w:spacing w:before="0" w:beforeAutospacing="0" w:after="0" w:afterAutospacing="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建设内容</w:t>
            </w:r>
          </w:p>
        </w:tc>
        <w:tc>
          <w:tcPr>
            <w:tcW w:w="9180" w:type="dxa"/>
            <w:noWrap w:val="0"/>
            <w:vAlign w:val="top"/>
          </w:tcPr>
          <w:p w14:paraId="051A08B8">
            <w:pPr>
              <w:numPr>
                <w:ilvl w:val="0"/>
                <w:numId w:val="0"/>
              </w:numPr>
              <w:adjustRightInd w:val="0"/>
              <w:snapToGrid w:val="0"/>
              <w:spacing w:line="360" w:lineRule="auto"/>
              <w:ind w:firstLine="482" w:firstLineChars="200"/>
              <w:rPr>
                <w:rFonts w:hint="default" w:ascii="Times New Roman" w:hAnsi="Times New Roman" w:eastAsia="宋体" w:cs="Times New Roman"/>
                <w:b/>
                <w:color w:val="auto"/>
                <w:sz w:val="24"/>
                <w:szCs w:val="21"/>
                <w:highlight w:val="none"/>
                <w:lang w:val="en-US" w:eastAsia="zh-CN"/>
              </w:rPr>
            </w:pPr>
            <w:r>
              <w:rPr>
                <w:rFonts w:hint="default" w:ascii="Times New Roman" w:hAnsi="Times New Roman" w:cs="Times New Roman"/>
                <w:b/>
                <w:color w:val="auto"/>
                <w:sz w:val="24"/>
                <w:szCs w:val="21"/>
                <w:highlight w:val="none"/>
                <w:lang w:val="en-US" w:eastAsia="zh-CN"/>
              </w:rPr>
              <w:t>1、</w:t>
            </w:r>
            <w:r>
              <w:rPr>
                <w:rFonts w:hint="default" w:ascii="Times New Roman" w:hAnsi="Times New Roman" w:cs="Times New Roman"/>
                <w:b/>
                <w:color w:val="auto"/>
                <w:sz w:val="24"/>
                <w:szCs w:val="21"/>
                <w:highlight w:val="none"/>
              </w:rPr>
              <w:t>项目</w:t>
            </w:r>
            <w:r>
              <w:rPr>
                <w:rFonts w:hint="default" w:ascii="Times New Roman" w:hAnsi="Times New Roman" w:cs="Times New Roman"/>
                <w:b/>
                <w:color w:val="auto"/>
                <w:sz w:val="24"/>
                <w:szCs w:val="21"/>
                <w:highlight w:val="none"/>
                <w:lang w:val="en-US" w:eastAsia="zh-CN"/>
              </w:rPr>
              <w:t>概况</w:t>
            </w:r>
          </w:p>
          <w:p w14:paraId="7A6305AB">
            <w:pPr>
              <w:adjustRightInd w:val="0"/>
              <w:snapToGrid w:val="0"/>
              <w:spacing w:line="360" w:lineRule="auto"/>
              <w:ind w:firstLine="480" w:firstLineChars="200"/>
              <w:rPr>
                <w:rFonts w:hint="default" w:ascii="Times New Roman" w:hAnsi="Times New Roman" w:cs="Times New Roman"/>
                <w:bCs/>
                <w:color w:val="auto"/>
                <w:sz w:val="24"/>
                <w:szCs w:val="24"/>
                <w:highlight w:val="none"/>
                <w:lang w:val="en-US" w:eastAsia="zh-CN"/>
              </w:rPr>
            </w:pPr>
            <w:r>
              <w:rPr>
                <w:rFonts w:hint="default" w:ascii="Times New Roman" w:hAnsi="Times New Roman" w:eastAsia="宋体" w:cs="Times New Roman"/>
                <w:color w:val="auto"/>
                <w:kern w:val="2"/>
                <w:sz w:val="24"/>
                <w:szCs w:val="21"/>
                <w:highlight w:val="none"/>
                <w:lang w:val="en-US" w:eastAsia="zh-CN"/>
              </w:rPr>
              <w:t>武汉思力博轨道装备有限公司惠州分公司建设项目</w:t>
            </w:r>
            <w:r>
              <w:rPr>
                <w:rFonts w:hint="default" w:ascii="Times New Roman" w:hAnsi="Times New Roman" w:eastAsia="宋体" w:cs="Times New Roman"/>
                <w:color w:val="auto"/>
                <w:sz w:val="24"/>
                <w:szCs w:val="21"/>
                <w:highlight w:val="none"/>
                <w:lang w:val="en-US" w:eastAsia="zh-CN"/>
              </w:rPr>
              <w:t>拟选</w:t>
            </w:r>
            <w:r>
              <w:rPr>
                <w:rFonts w:hint="default" w:ascii="Times New Roman" w:hAnsi="Times New Roman" w:cs="Times New Roman"/>
                <w:color w:val="auto"/>
                <w:sz w:val="24"/>
                <w:szCs w:val="21"/>
                <w:highlight w:val="none"/>
                <w:lang w:val="en-US" w:eastAsia="zh-CN"/>
              </w:rPr>
              <w:t>址于</w:t>
            </w:r>
            <w:r>
              <w:rPr>
                <w:rFonts w:hint="default" w:ascii="Times New Roman" w:hAnsi="Times New Roman" w:eastAsia="宋体" w:cs="Times New Roman"/>
                <w:color w:val="auto"/>
                <w:kern w:val="2"/>
                <w:sz w:val="24"/>
                <w:szCs w:val="21"/>
                <w:highlight w:val="none"/>
                <w:u w:val="none"/>
              </w:rPr>
              <w:t>惠州市</w:t>
            </w:r>
            <w:r>
              <w:rPr>
                <w:rFonts w:hint="default" w:ascii="Times New Roman" w:hAnsi="Times New Roman" w:eastAsia="宋体" w:cs="Times New Roman"/>
                <w:color w:val="auto"/>
                <w:kern w:val="2"/>
                <w:sz w:val="24"/>
                <w:szCs w:val="21"/>
                <w:highlight w:val="none"/>
                <w:u w:val="none"/>
                <w:lang w:eastAsia="zh-CN"/>
              </w:rPr>
              <w:t>博罗县罗阳街道小金村（大径小组地段桦泰工业园）</w:t>
            </w:r>
            <w:r>
              <w:rPr>
                <w:rFonts w:hint="default" w:ascii="Times New Roman" w:hAnsi="Times New Roman" w:eastAsia="宋体" w:cs="Times New Roman"/>
                <w:color w:val="auto"/>
                <w:sz w:val="24"/>
                <w:szCs w:val="21"/>
                <w:highlight w:val="none"/>
                <w:u w:val="none"/>
                <w:lang w:eastAsia="zh-CN"/>
              </w:rPr>
              <w:t>，</w:t>
            </w:r>
            <w:r>
              <w:rPr>
                <w:rFonts w:hint="default" w:ascii="Times New Roman" w:hAnsi="Times New Roman" w:eastAsia="宋体" w:cs="Times New Roman"/>
                <w:color w:val="auto"/>
                <w:sz w:val="24"/>
                <w:szCs w:val="21"/>
                <w:highlight w:val="none"/>
                <w:u w:val="none"/>
                <w:lang w:val="en-US" w:eastAsia="zh-CN"/>
              </w:rPr>
              <w:t>租赁惠州市桦泰管桩建材有限公司的厂房进行生产。</w:t>
            </w:r>
            <w:r>
              <w:rPr>
                <w:rFonts w:hint="default" w:ascii="Times New Roman" w:hAnsi="Times New Roman" w:cs="Times New Roman"/>
                <w:color w:val="auto"/>
                <w:sz w:val="24"/>
                <w:szCs w:val="21"/>
                <w:highlight w:val="none"/>
                <w:u w:val="none"/>
                <w:lang w:val="en-US" w:eastAsia="zh-CN"/>
              </w:rPr>
              <w:t>厂址中心经纬度为：东经114°25′37.065″，北纬23°13′53.953″。</w:t>
            </w:r>
            <w:r>
              <w:rPr>
                <w:rFonts w:hint="default" w:ascii="Times New Roman" w:hAnsi="Times New Roman" w:cs="Times New Roman"/>
                <w:color w:val="auto"/>
                <w:kern w:val="0"/>
                <w:sz w:val="24"/>
                <w:szCs w:val="21"/>
                <w:highlight w:val="none"/>
                <w:lang w:eastAsia="zh-CN"/>
              </w:rPr>
              <w:t>项目</w:t>
            </w:r>
            <w:r>
              <w:rPr>
                <w:rFonts w:hint="default" w:ascii="Times New Roman" w:hAnsi="Times New Roman" w:cs="Times New Roman"/>
                <w:bCs/>
                <w:color w:val="auto"/>
                <w:sz w:val="24"/>
                <w:szCs w:val="21"/>
                <w:highlight w:val="none"/>
                <w:lang w:val="en-US" w:eastAsia="zh-CN"/>
              </w:rPr>
              <w:t>总</w:t>
            </w:r>
            <w:r>
              <w:rPr>
                <w:rFonts w:hint="default" w:ascii="Times New Roman" w:hAnsi="Times New Roman" w:cs="Times New Roman"/>
                <w:bCs/>
                <w:color w:val="auto"/>
                <w:sz w:val="24"/>
                <w:szCs w:val="21"/>
                <w:highlight w:val="none"/>
              </w:rPr>
              <w:t>占地面</w:t>
            </w:r>
            <w:r>
              <w:rPr>
                <w:rFonts w:hint="default" w:ascii="Times New Roman" w:hAnsi="Times New Roman" w:cs="Times New Roman"/>
                <w:bCs/>
                <w:color w:val="auto"/>
                <w:sz w:val="24"/>
                <w:szCs w:val="24"/>
                <w:highlight w:val="none"/>
              </w:rPr>
              <w:t>积为</w:t>
            </w:r>
            <w:r>
              <w:rPr>
                <w:rFonts w:hint="default" w:ascii="Times New Roman" w:hAnsi="Times New Roman" w:cs="Times New Roman"/>
                <w:bCs/>
                <w:color w:val="auto"/>
                <w:sz w:val="24"/>
                <w:szCs w:val="24"/>
                <w:highlight w:val="none"/>
                <w:lang w:val="en-US" w:eastAsia="zh-CN"/>
              </w:rPr>
              <w:t>49000</w:t>
            </w:r>
            <w:r>
              <w:rPr>
                <w:rFonts w:hint="default" w:ascii="Times New Roman" w:hAnsi="Times New Roman" w:cs="Times New Roman"/>
                <w:bCs/>
                <w:color w:val="auto"/>
                <w:sz w:val="24"/>
                <w:szCs w:val="24"/>
                <w:highlight w:val="none"/>
              </w:rPr>
              <w:t>m</w:t>
            </w:r>
            <w:r>
              <w:rPr>
                <w:rFonts w:hint="default" w:ascii="Times New Roman" w:hAnsi="Times New Roman" w:cs="Times New Roman"/>
                <w:bCs/>
                <w:color w:val="auto"/>
                <w:sz w:val="24"/>
                <w:szCs w:val="24"/>
                <w:highlight w:val="none"/>
                <w:vertAlign w:val="superscript"/>
              </w:rPr>
              <w:t>2</w:t>
            </w:r>
            <w:r>
              <w:rPr>
                <w:rFonts w:hint="default" w:ascii="Times New Roman" w:hAnsi="Times New Roman" w:cs="Times New Roman"/>
                <w:bCs/>
                <w:color w:val="auto"/>
                <w:sz w:val="24"/>
                <w:szCs w:val="24"/>
                <w:highlight w:val="none"/>
              </w:rPr>
              <w:t>，</w:t>
            </w:r>
            <w:r>
              <w:rPr>
                <w:rFonts w:hint="default" w:ascii="Times New Roman" w:hAnsi="Times New Roman" w:cs="Times New Roman"/>
                <w:bCs/>
                <w:color w:val="auto"/>
                <w:sz w:val="24"/>
                <w:szCs w:val="24"/>
                <w:highlight w:val="none"/>
                <w:lang w:eastAsia="zh-CN"/>
              </w:rPr>
              <w:t>总</w:t>
            </w:r>
            <w:r>
              <w:rPr>
                <w:rFonts w:hint="default" w:ascii="Times New Roman" w:hAnsi="Times New Roman" w:cs="Times New Roman"/>
                <w:bCs/>
                <w:color w:val="auto"/>
                <w:sz w:val="24"/>
                <w:szCs w:val="24"/>
                <w:highlight w:val="none"/>
              </w:rPr>
              <w:t>建筑面积</w:t>
            </w:r>
            <w:r>
              <w:rPr>
                <w:rFonts w:hint="eastAsia" w:ascii="Times New Roman" w:hAnsi="Times New Roman" w:cs="Times New Roman"/>
                <w:bCs/>
                <w:color w:val="auto"/>
                <w:sz w:val="24"/>
                <w:szCs w:val="24"/>
                <w:highlight w:val="none"/>
                <w:lang w:val="en-US" w:eastAsia="zh-CN"/>
              </w:rPr>
              <w:t>22</w:t>
            </w:r>
            <w:r>
              <w:rPr>
                <w:rFonts w:hint="default" w:ascii="Times New Roman" w:hAnsi="Times New Roman" w:cs="Times New Roman"/>
                <w:bCs/>
                <w:color w:val="auto"/>
                <w:sz w:val="24"/>
                <w:szCs w:val="24"/>
                <w:highlight w:val="none"/>
                <w:lang w:val="en-US" w:eastAsia="zh-CN"/>
              </w:rPr>
              <w:t>710</w:t>
            </w:r>
            <w:r>
              <w:rPr>
                <w:rFonts w:hint="default" w:ascii="Times New Roman" w:hAnsi="Times New Roman" w:cs="Times New Roman"/>
                <w:bCs/>
                <w:color w:val="auto"/>
                <w:sz w:val="24"/>
                <w:szCs w:val="24"/>
                <w:highlight w:val="none"/>
              </w:rPr>
              <w:t>m</w:t>
            </w:r>
            <w:r>
              <w:rPr>
                <w:rFonts w:hint="default" w:ascii="Times New Roman" w:hAnsi="Times New Roman" w:cs="Times New Roman"/>
                <w:bCs/>
                <w:color w:val="auto"/>
                <w:sz w:val="24"/>
                <w:szCs w:val="24"/>
                <w:highlight w:val="none"/>
                <w:vertAlign w:val="superscript"/>
              </w:rPr>
              <w:t>2</w:t>
            </w:r>
            <w:r>
              <w:rPr>
                <w:rFonts w:hint="default" w:ascii="Times New Roman" w:hAnsi="Times New Roman" w:cs="Times New Roman"/>
                <w:bCs/>
                <w:color w:val="auto"/>
                <w:sz w:val="24"/>
                <w:szCs w:val="24"/>
                <w:highlight w:val="none"/>
                <w:lang w:eastAsia="zh-CN"/>
              </w:rPr>
              <w:t>。项目主要从事轨道板及Ⅲa型轨枕</w:t>
            </w:r>
            <w:r>
              <w:rPr>
                <w:rFonts w:hint="default" w:ascii="Times New Roman" w:hAnsi="Times New Roman" w:cs="Times New Roman"/>
                <w:bCs/>
                <w:color w:val="auto"/>
                <w:sz w:val="24"/>
                <w:szCs w:val="24"/>
                <w:highlight w:val="none"/>
                <w:lang w:val="en-US" w:eastAsia="zh-CN"/>
              </w:rPr>
              <w:t>的生产</w:t>
            </w:r>
            <w:r>
              <w:rPr>
                <w:rFonts w:hint="default" w:ascii="Times New Roman" w:hAnsi="Times New Roman" w:cs="Times New Roman"/>
                <w:bCs/>
                <w:color w:val="auto"/>
                <w:sz w:val="24"/>
                <w:szCs w:val="24"/>
                <w:highlight w:val="none"/>
                <w:lang w:eastAsia="zh-CN"/>
              </w:rPr>
              <w:t>，</w:t>
            </w:r>
            <w:r>
              <w:rPr>
                <w:rFonts w:hint="default" w:ascii="Times New Roman" w:hAnsi="Times New Roman" w:cs="Times New Roman"/>
                <w:bCs/>
                <w:color w:val="auto"/>
                <w:sz w:val="24"/>
                <w:szCs w:val="24"/>
                <w:highlight w:val="none"/>
                <w:lang w:val="en-US" w:eastAsia="zh-CN"/>
              </w:rPr>
              <w:t>预计生产轨道板44600块/年（289900t/a），Ⅲa型轨枕674800根/年（269920t/a），项目总投资2000万元，其中环保投资200万元，拟招聘员工60人，</w:t>
            </w:r>
            <w:r>
              <w:rPr>
                <w:rFonts w:hint="default" w:ascii="Times New Roman" w:hAnsi="Times New Roman" w:cs="Times New Roman"/>
                <w:b w:val="0"/>
                <w:bCs w:val="0"/>
                <w:color w:val="auto"/>
                <w:sz w:val="24"/>
                <w:szCs w:val="24"/>
                <w:highlight w:val="none"/>
                <w:lang w:val="en-US" w:eastAsia="zh-CN"/>
              </w:rPr>
              <w:t>均不在项目内食宿，</w:t>
            </w:r>
            <w:r>
              <w:rPr>
                <w:rFonts w:hint="default" w:ascii="Times New Roman" w:hAnsi="Times New Roman" w:cs="Times New Roman"/>
                <w:bCs/>
                <w:color w:val="auto"/>
                <w:sz w:val="24"/>
                <w:szCs w:val="24"/>
                <w:highlight w:val="none"/>
                <w:lang w:val="en-US" w:eastAsia="zh-CN"/>
              </w:rPr>
              <w:t>年工作300天，一班12小时制。</w:t>
            </w:r>
          </w:p>
          <w:p w14:paraId="73D46133">
            <w:pPr>
              <w:numPr>
                <w:ilvl w:val="0"/>
                <w:numId w:val="0"/>
              </w:numPr>
              <w:adjustRightInd w:val="0"/>
              <w:snapToGrid w:val="0"/>
              <w:spacing w:line="360" w:lineRule="auto"/>
              <w:ind w:firstLine="482" w:firstLineChars="200"/>
              <w:rPr>
                <w:rFonts w:hint="default" w:ascii="Times New Roman" w:hAnsi="Times New Roman" w:eastAsia="宋体" w:cs="Times New Roman"/>
                <w:b/>
                <w:color w:val="auto"/>
                <w:sz w:val="24"/>
                <w:szCs w:val="21"/>
                <w:highlight w:val="none"/>
                <w:lang w:val="en-US" w:eastAsia="zh-CN"/>
              </w:rPr>
            </w:pPr>
            <w:r>
              <w:rPr>
                <w:rFonts w:hint="default" w:ascii="Times New Roman" w:hAnsi="Times New Roman" w:cs="Times New Roman"/>
                <w:b/>
                <w:color w:val="auto"/>
                <w:sz w:val="24"/>
                <w:szCs w:val="21"/>
                <w:highlight w:val="none"/>
                <w:lang w:val="en-US" w:eastAsia="zh-CN"/>
              </w:rPr>
              <w:t>2、</w:t>
            </w:r>
            <w:r>
              <w:rPr>
                <w:rFonts w:hint="default" w:ascii="Times New Roman" w:hAnsi="Times New Roman" w:cs="Times New Roman"/>
                <w:b/>
                <w:color w:val="auto"/>
                <w:sz w:val="24"/>
                <w:szCs w:val="21"/>
                <w:highlight w:val="none"/>
              </w:rPr>
              <w:t>项目</w:t>
            </w:r>
            <w:r>
              <w:rPr>
                <w:rFonts w:hint="default" w:ascii="Times New Roman" w:hAnsi="Times New Roman" w:cs="Times New Roman"/>
                <w:b/>
                <w:color w:val="auto"/>
                <w:sz w:val="24"/>
                <w:szCs w:val="21"/>
                <w:highlight w:val="none"/>
                <w:lang w:val="en-US" w:eastAsia="zh-CN"/>
              </w:rPr>
              <w:t>主要工程情况</w:t>
            </w:r>
          </w:p>
          <w:p w14:paraId="6EE31D2E">
            <w:pPr>
              <w:pStyle w:val="43"/>
              <w:keepNext w:val="0"/>
              <w:keepLines w:val="0"/>
              <w:pageBreakBefore w:val="0"/>
              <w:widowControl w:val="0"/>
              <w:numPr>
                <w:ilvl w:val="0"/>
                <w:numId w:val="0"/>
              </w:numPr>
              <w:kinsoku/>
              <w:wordWrap/>
              <w:overflowPunct/>
              <w:topLinePunct w:val="0"/>
              <w:bidi w:val="0"/>
              <w:adjustRightInd w:val="0"/>
              <w:snapToGrid w:val="0"/>
              <w:spacing w:line="360" w:lineRule="auto"/>
              <w:ind w:left="0" w:leftChars="0"/>
              <w:rPr>
                <w:rFonts w:hint="default" w:ascii="Times New Roman" w:hAnsi="Times New Roman" w:eastAsia="宋体" w:cs="Times New Roman"/>
                <w:b/>
                <w:bCs/>
                <w:color w:val="auto"/>
                <w:kern w:val="2"/>
                <w:sz w:val="24"/>
                <w:szCs w:val="24"/>
                <w:highlight w:val="none"/>
                <w:lang w:val="en-US" w:eastAsia="zh-CN" w:bidi="ar-SA"/>
              </w:rPr>
            </w:pPr>
            <w:r>
              <w:rPr>
                <w:rFonts w:hint="default" w:ascii="Times New Roman" w:hAnsi="Times New Roman" w:cs="Times New Roman"/>
                <w:color w:val="auto"/>
                <w:highlight w:val="none"/>
                <w:lang w:val="en-US" w:eastAsia="zh-CN"/>
              </w:rPr>
              <w:t xml:space="preserve">   </w:t>
            </w:r>
            <w:r>
              <w:rPr>
                <w:rFonts w:hint="default" w:ascii="Times New Roman" w:hAnsi="Times New Roman" w:eastAsia="宋体" w:cs="Times New Roman"/>
                <w:b/>
                <w:bCs/>
                <w:color w:val="auto"/>
                <w:kern w:val="2"/>
                <w:sz w:val="24"/>
                <w:szCs w:val="24"/>
                <w:highlight w:val="none"/>
                <w:lang w:val="en-US" w:eastAsia="zh-CN" w:bidi="ar-SA"/>
              </w:rPr>
              <w:t xml:space="preserve"> 2.1</w:t>
            </w:r>
            <w:r>
              <w:rPr>
                <w:rFonts w:hint="default" w:ascii="Times New Roman" w:hAnsi="Times New Roman" w:cs="Times New Roman"/>
                <w:b/>
                <w:bCs/>
                <w:color w:val="auto"/>
                <w:kern w:val="2"/>
                <w:sz w:val="24"/>
                <w:szCs w:val="24"/>
                <w:highlight w:val="none"/>
                <w:lang w:val="en-US" w:eastAsia="zh-CN" w:bidi="ar-SA"/>
              </w:rPr>
              <w:t xml:space="preserve"> </w:t>
            </w:r>
            <w:r>
              <w:rPr>
                <w:rFonts w:hint="default" w:ascii="Times New Roman" w:hAnsi="Times New Roman" w:eastAsia="宋体" w:cs="Times New Roman"/>
                <w:b/>
                <w:bCs/>
                <w:color w:val="auto"/>
                <w:kern w:val="2"/>
                <w:sz w:val="24"/>
                <w:szCs w:val="24"/>
                <w:highlight w:val="none"/>
                <w:lang w:val="en-US" w:eastAsia="zh-CN" w:bidi="ar-SA"/>
              </w:rPr>
              <w:t>项目</w:t>
            </w:r>
            <w:r>
              <w:rPr>
                <w:rFonts w:hint="default" w:ascii="Times New Roman" w:hAnsi="Times New Roman" w:cs="Times New Roman"/>
                <w:b/>
                <w:bCs/>
                <w:color w:val="auto"/>
                <w:kern w:val="2"/>
                <w:sz w:val="24"/>
                <w:szCs w:val="24"/>
                <w:highlight w:val="none"/>
                <w:lang w:val="en-US" w:eastAsia="zh-CN" w:bidi="ar-SA"/>
              </w:rPr>
              <w:t>厂区各区域占用面积组成及</w:t>
            </w:r>
            <w:r>
              <w:rPr>
                <w:rFonts w:hint="default" w:ascii="Times New Roman" w:hAnsi="Times New Roman" w:eastAsia="宋体" w:cs="Times New Roman"/>
                <w:b/>
                <w:bCs/>
                <w:color w:val="auto"/>
                <w:kern w:val="2"/>
                <w:sz w:val="24"/>
                <w:szCs w:val="24"/>
                <w:highlight w:val="none"/>
                <w:lang w:val="en-US" w:eastAsia="zh-CN" w:bidi="ar-SA"/>
              </w:rPr>
              <w:t>主要工程概况见下表：</w:t>
            </w:r>
          </w:p>
          <w:p w14:paraId="4DB58AE9">
            <w:pPr>
              <w:pStyle w:val="5"/>
              <w:keepNext w:val="0"/>
              <w:keepLines w:val="0"/>
              <w:pageBreakBefore w:val="0"/>
              <w:widowControl w:val="0"/>
              <w:kinsoku/>
              <w:wordWrap/>
              <w:overflowPunct/>
              <w:topLinePunct w:val="0"/>
              <w:bidi w:val="0"/>
              <w:adjustRightInd w:val="0"/>
              <w:snapToGrid w:val="0"/>
              <w:spacing w:line="360" w:lineRule="auto"/>
              <w:ind w:left="479" w:leftChars="228" w:firstLine="240" w:firstLineChars="100"/>
              <w:rPr>
                <w:rFonts w:hint="default" w:ascii="Times New Roman" w:hAnsi="Times New Roman" w:cs="Times New Roman"/>
                <w:color w:val="auto"/>
                <w:highlight w:val="none"/>
                <w:lang w:val="en-US" w:eastAsia="zh-CN"/>
              </w:rPr>
            </w:pPr>
            <w:r>
              <w:rPr>
                <w:rFonts w:hint="default" w:ascii="Times New Roman" w:hAnsi="Times New Roman" w:eastAsia="宋体" w:cs="Times New Roman"/>
                <w:b w:val="0"/>
                <w:color w:val="auto"/>
                <w:kern w:val="2"/>
                <w:sz w:val="24"/>
                <w:szCs w:val="24"/>
                <w:highlight w:val="none"/>
                <w:lang w:val="en-US" w:eastAsia="zh-CN" w:bidi="ar-SA"/>
              </w:rPr>
              <w:t>本项目各区域占用面积情况如下表：</w:t>
            </w:r>
          </w:p>
          <w:p w14:paraId="1EC46049">
            <w:pPr>
              <w:pStyle w:val="2"/>
              <w:keepNext/>
              <w:keepLines w:val="0"/>
              <w:pageBreakBefore w:val="0"/>
              <w:widowControl w:val="0"/>
              <w:kinsoku/>
              <w:wordWrap/>
              <w:overflowPunct w:val="0"/>
              <w:topLinePunct w:val="0"/>
              <w:autoSpaceDE/>
              <w:autoSpaceDN/>
              <w:bidi w:val="0"/>
              <w:adjustRightInd w:val="0"/>
              <w:snapToGrid w:val="0"/>
              <w:spacing w:before="0" w:after="0" w:line="240" w:lineRule="auto"/>
              <w:ind w:left="0" w:firstLine="0"/>
              <w:jc w:val="center"/>
              <w:textAlignment w:val="auto"/>
              <w:rPr>
                <w:rFonts w:hint="default" w:ascii="Times New Roman" w:hAnsi="Times New Roman" w:eastAsia="宋体" w:cs="Times New Roman"/>
                <w:bCs/>
                <w:color w:val="auto"/>
                <w:kern w:val="0"/>
                <w:sz w:val="21"/>
                <w:szCs w:val="21"/>
                <w:highlight w:val="none"/>
                <w:lang w:val="en-US" w:eastAsia="zh-CN" w:bidi="ar"/>
              </w:rPr>
            </w:pPr>
            <w:bookmarkStart w:id="2" w:name="_Toc18964"/>
            <w:bookmarkStart w:id="3" w:name="_Toc29423"/>
            <w:bookmarkStart w:id="4" w:name="_Toc32551"/>
            <w:r>
              <w:rPr>
                <w:rFonts w:hint="default" w:ascii="Times New Roman" w:hAnsi="Times New Roman" w:eastAsia="宋体" w:cs="Times New Roman"/>
                <w:bCs/>
                <w:color w:val="auto"/>
                <w:kern w:val="0"/>
                <w:sz w:val="21"/>
                <w:szCs w:val="21"/>
                <w:highlight w:val="none"/>
                <w:lang w:val="en-US" w:eastAsia="zh-CN" w:bidi="ar"/>
              </w:rPr>
              <w:t>表2-1 厂区各区域占用面积情况一览表</w:t>
            </w:r>
            <w:bookmarkEnd w:id="2"/>
            <w:bookmarkEnd w:id="3"/>
            <w:bookmarkEnd w:id="4"/>
          </w:p>
          <w:tbl>
            <w:tblPr>
              <w:tblStyle w:val="35"/>
              <w:tblW w:w="9117"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2"/>
              <w:gridCol w:w="1410"/>
              <w:gridCol w:w="1395"/>
              <w:gridCol w:w="644"/>
              <w:gridCol w:w="839"/>
              <w:gridCol w:w="2597"/>
            </w:tblGrid>
            <w:tr w14:paraId="4B3E3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2232" w:type="dxa"/>
                  <w:noWrap w:val="0"/>
                  <w:vAlign w:val="center"/>
                </w:tcPr>
                <w:p w14:paraId="3F81C681">
                  <w:pPr>
                    <w:keepLines w:val="0"/>
                    <w:pageBreakBefore w:val="0"/>
                    <w:kinsoku/>
                    <w:wordWrap/>
                    <w:topLinePunct w:val="0"/>
                    <w:bidi w:val="0"/>
                    <w:adjustRightInd w:val="0"/>
                    <w:snapToGrid w:val="0"/>
                    <w:jc w:val="center"/>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建筑物名称</w:t>
                  </w:r>
                </w:p>
              </w:tc>
              <w:tc>
                <w:tcPr>
                  <w:tcW w:w="1410" w:type="dxa"/>
                  <w:noWrap w:val="0"/>
                  <w:vAlign w:val="center"/>
                </w:tcPr>
                <w:p w14:paraId="3C227C77">
                  <w:pPr>
                    <w:keepLines w:val="0"/>
                    <w:pageBreakBefore w:val="0"/>
                    <w:kinsoku/>
                    <w:wordWrap/>
                    <w:topLinePunct w:val="0"/>
                    <w:bidi w:val="0"/>
                    <w:adjustRightInd w:val="0"/>
                    <w:snapToGrid w:val="0"/>
                    <w:jc w:val="center"/>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基底面积m</w:t>
                  </w:r>
                  <w:r>
                    <w:rPr>
                      <w:rFonts w:hint="default" w:ascii="Times New Roman" w:hAnsi="Times New Roman" w:cs="Times New Roman"/>
                      <w:b/>
                      <w:bCs/>
                      <w:color w:val="auto"/>
                      <w:sz w:val="21"/>
                      <w:szCs w:val="21"/>
                      <w:highlight w:val="none"/>
                      <w:vertAlign w:val="superscript"/>
                      <w:lang w:val="en-US" w:eastAsia="zh-CN"/>
                    </w:rPr>
                    <w:t>2</w:t>
                  </w:r>
                </w:p>
              </w:tc>
              <w:tc>
                <w:tcPr>
                  <w:tcW w:w="1395" w:type="dxa"/>
                  <w:noWrap w:val="0"/>
                  <w:vAlign w:val="center"/>
                </w:tcPr>
                <w:p w14:paraId="3EA2F7D7">
                  <w:pPr>
                    <w:keepLines w:val="0"/>
                    <w:pageBreakBefore w:val="0"/>
                    <w:kinsoku/>
                    <w:wordWrap/>
                    <w:topLinePunct w:val="0"/>
                    <w:bidi w:val="0"/>
                    <w:adjustRightInd w:val="0"/>
                    <w:snapToGrid w:val="0"/>
                    <w:jc w:val="center"/>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建筑面积m</w:t>
                  </w:r>
                  <w:r>
                    <w:rPr>
                      <w:rFonts w:hint="default" w:ascii="Times New Roman" w:hAnsi="Times New Roman" w:cs="Times New Roman"/>
                      <w:b/>
                      <w:bCs/>
                      <w:color w:val="auto"/>
                      <w:sz w:val="21"/>
                      <w:szCs w:val="21"/>
                      <w:highlight w:val="none"/>
                      <w:vertAlign w:val="superscript"/>
                      <w:lang w:val="en-US" w:eastAsia="zh-CN"/>
                    </w:rPr>
                    <w:t>2</w:t>
                  </w:r>
                </w:p>
              </w:tc>
              <w:tc>
                <w:tcPr>
                  <w:tcW w:w="644" w:type="dxa"/>
                  <w:noWrap w:val="0"/>
                  <w:vAlign w:val="center"/>
                </w:tcPr>
                <w:p w14:paraId="1891C400">
                  <w:pPr>
                    <w:keepLines w:val="0"/>
                    <w:pageBreakBefore w:val="0"/>
                    <w:kinsoku/>
                    <w:wordWrap/>
                    <w:topLinePunct w:val="0"/>
                    <w:bidi w:val="0"/>
                    <w:adjustRightInd w:val="0"/>
                    <w:snapToGrid w:val="0"/>
                    <w:jc w:val="center"/>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层数</w:t>
                  </w:r>
                </w:p>
              </w:tc>
              <w:tc>
                <w:tcPr>
                  <w:tcW w:w="839" w:type="dxa"/>
                  <w:noWrap w:val="0"/>
                  <w:vAlign w:val="center"/>
                </w:tcPr>
                <w:p w14:paraId="4D4294CD">
                  <w:pPr>
                    <w:keepLines w:val="0"/>
                    <w:pageBreakBefore w:val="0"/>
                    <w:kinsoku/>
                    <w:wordWrap/>
                    <w:topLinePunct w:val="0"/>
                    <w:bidi w:val="0"/>
                    <w:adjustRightInd w:val="0"/>
                    <w:snapToGrid w:val="0"/>
                    <w:jc w:val="center"/>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楼高m</w:t>
                  </w:r>
                </w:p>
              </w:tc>
              <w:tc>
                <w:tcPr>
                  <w:tcW w:w="2597" w:type="dxa"/>
                  <w:noWrap w:val="0"/>
                  <w:vAlign w:val="center"/>
                </w:tcPr>
                <w:p w14:paraId="672581F1">
                  <w:pPr>
                    <w:keepLines w:val="0"/>
                    <w:pageBreakBefore w:val="0"/>
                    <w:kinsoku/>
                    <w:wordWrap/>
                    <w:topLinePunct w:val="0"/>
                    <w:bidi w:val="0"/>
                    <w:adjustRightInd w:val="0"/>
                    <w:snapToGrid w:val="0"/>
                    <w:jc w:val="center"/>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备注</w:t>
                  </w:r>
                </w:p>
              </w:tc>
            </w:tr>
            <w:tr w14:paraId="525FA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2232" w:type="dxa"/>
                  <w:noWrap w:val="0"/>
                  <w:vAlign w:val="center"/>
                </w:tcPr>
                <w:p w14:paraId="155B826B">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生产厂房</w:t>
                  </w:r>
                </w:p>
              </w:tc>
              <w:tc>
                <w:tcPr>
                  <w:tcW w:w="1410" w:type="dxa"/>
                  <w:noWrap w:val="0"/>
                  <w:vAlign w:val="center"/>
                </w:tcPr>
                <w:p w14:paraId="795DD431">
                  <w:pPr>
                    <w:keepNext w:val="0"/>
                    <w:keepLines w:val="0"/>
                    <w:widowControl/>
                    <w:suppressLineNumbers w:val="0"/>
                    <w:jc w:val="center"/>
                    <w:textAlignment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17000</w:t>
                  </w:r>
                </w:p>
              </w:tc>
              <w:tc>
                <w:tcPr>
                  <w:tcW w:w="1395" w:type="dxa"/>
                  <w:noWrap w:val="0"/>
                  <w:vAlign w:val="center"/>
                </w:tcPr>
                <w:p w14:paraId="32A00809">
                  <w:pPr>
                    <w:keepNext w:val="0"/>
                    <w:keepLines w:val="0"/>
                    <w:widowControl/>
                    <w:suppressLineNumbers w:val="0"/>
                    <w:jc w:val="center"/>
                    <w:textAlignment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17000</w:t>
                  </w:r>
                </w:p>
              </w:tc>
              <w:tc>
                <w:tcPr>
                  <w:tcW w:w="644" w:type="dxa"/>
                  <w:noWrap w:val="0"/>
                  <w:vAlign w:val="center"/>
                </w:tcPr>
                <w:p w14:paraId="1E840BD2">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w:t>
                  </w:r>
                </w:p>
              </w:tc>
              <w:tc>
                <w:tcPr>
                  <w:tcW w:w="839" w:type="dxa"/>
                  <w:noWrap w:val="0"/>
                  <w:vAlign w:val="center"/>
                </w:tcPr>
                <w:p w14:paraId="75FECD38">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8</w:t>
                  </w:r>
                </w:p>
              </w:tc>
              <w:tc>
                <w:tcPr>
                  <w:tcW w:w="2597" w:type="dxa"/>
                  <w:noWrap w:val="0"/>
                  <w:vAlign w:val="center"/>
                </w:tcPr>
                <w:p w14:paraId="6A3D7F6A">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包括生产区、实验室、办公室及原料仓、</w:t>
                  </w:r>
                  <w:r>
                    <w:rPr>
                      <w:rFonts w:hint="eastAsia" w:ascii="Times New Roman" w:hAnsi="Times New Roman" w:cs="Times New Roman"/>
                      <w:color w:val="auto"/>
                      <w:sz w:val="21"/>
                      <w:szCs w:val="21"/>
                      <w:highlight w:val="none"/>
                      <w:vertAlign w:val="baseline"/>
                      <w:lang w:val="en-US" w:eastAsia="zh-CN"/>
                    </w:rPr>
                    <w:t>钢筋堆放区、</w:t>
                  </w:r>
                  <w:r>
                    <w:rPr>
                      <w:rFonts w:hint="default" w:ascii="Times New Roman" w:hAnsi="Times New Roman" w:cs="Times New Roman"/>
                      <w:color w:val="auto"/>
                      <w:sz w:val="21"/>
                      <w:szCs w:val="21"/>
                      <w:highlight w:val="none"/>
                      <w:vertAlign w:val="baseline"/>
                      <w:lang w:val="en-US" w:eastAsia="zh-CN"/>
                    </w:rPr>
                    <w:t>一般固废暂存间、危险废物暂存间</w:t>
                  </w:r>
                </w:p>
              </w:tc>
            </w:tr>
            <w:tr w14:paraId="09C33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2232" w:type="dxa"/>
                  <w:noWrap w:val="0"/>
                  <w:vAlign w:val="center"/>
                </w:tcPr>
                <w:p w14:paraId="2BAB9FF5">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aps/>
                      <w:color w:val="auto"/>
                      <w:szCs w:val="21"/>
                      <w:highlight w:val="none"/>
                      <w:lang w:val="en-US" w:eastAsia="zh-CN"/>
                    </w:rPr>
                    <w:t>搅拌及筒仓区</w:t>
                  </w:r>
                </w:p>
              </w:tc>
              <w:tc>
                <w:tcPr>
                  <w:tcW w:w="1410" w:type="dxa"/>
                  <w:noWrap w:val="0"/>
                  <w:vAlign w:val="center"/>
                </w:tcPr>
                <w:p w14:paraId="44F4DB12">
                  <w:pPr>
                    <w:keepNext w:val="0"/>
                    <w:keepLines w:val="0"/>
                    <w:widowControl/>
                    <w:suppressLineNumbers w:val="0"/>
                    <w:jc w:val="center"/>
                    <w:textAlignment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1200</w:t>
                  </w:r>
                </w:p>
              </w:tc>
              <w:tc>
                <w:tcPr>
                  <w:tcW w:w="1395" w:type="dxa"/>
                  <w:shd w:val="clear" w:color="auto" w:fill="auto"/>
                  <w:noWrap w:val="0"/>
                  <w:vAlign w:val="center"/>
                </w:tcPr>
                <w:p w14:paraId="44BBE538">
                  <w:pPr>
                    <w:keepNext w:val="0"/>
                    <w:keepLines w:val="0"/>
                    <w:widowControl/>
                    <w:suppressLineNumbers w:val="0"/>
                    <w:jc w:val="center"/>
                    <w:textAlignment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1200</w:t>
                  </w:r>
                </w:p>
              </w:tc>
              <w:tc>
                <w:tcPr>
                  <w:tcW w:w="644" w:type="dxa"/>
                  <w:shd w:val="clear" w:color="auto" w:fill="auto"/>
                  <w:noWrap w:val="0"/>
                  <w:vAlign w:val="center"/>
                </w:tcPr>
                <w:p w14:paraId="01B39530">
                  <w:pPr>
                    <w:keepNext w:val="0"/>
                    <w:keepLines w:val="0"/>
                    <w:widowControl/>
                    <w:suppressLineNumbers w:val="0"/>
                    <w:jc w:val="center"/>
                    <w:textAlignment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839" w:type="dxa"/>
                  <w:noWrap w:val="0"/>
                  <w:vAlign w:val="center"/>
                </w:tcPr>
                <w:p w14:paraId="182B9224">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10</w:t>
                  </w:r>
                </w:p>
              </w:tc>
              <w:tc>
                <w:tcPr>
                  <w:tcW w:w="2597" w:type="dxa"/>
                  <w:noWrap w:val="0"/>
                  <w:vAlign w:val="center"/>
                </w:tcPr>
                <w:p w14:paraId="5351D870">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w:t>
                  </w:r>
                </w:p>
              </w:tc>
            </w:tr>
            <w:tr w14:paraId="2AB47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2232" w:type="dxa"/>
                  <w:noWrap w:val="0"/>
                  <w:vAlign w:val="center"/>
                </w:tcPr>
                <w:p w14:paraId="0C79886F">
                  <w:pPr>
                    <w:keepLines w:val="0"/>
                    <w:pageBreakBefore w:val="0"/>
                    <w:kinsoku/>
                    <w:wordWrap/>
                    <w:topLinePunct w:val="0"/>
                    <w:bidi w:val="0"/>
                    <w:adjustRightInd w:val="0"/>
                    <w:snapToGrid w:val="0"/>
                    <w:jc w:val="center"/>
                    <w:rPr>
                      <w:rFonts w:hint="default" w:ascii="Times New Roman" w:hAnsi="Times New Roman" w:cs="Times New Roman"/>
                      <w:caps/>
                      <w:color w:val="auto"/>
                      <w:szCs w:val="21"/>
                      <w:highlight w:val="none"/>
                      <w:lang w:val="en-US" w:eastAsia="zh-CN"/>
                    </w:rPr>
                  </w:pPr>
                  <w:r>
                    <w:rPr>
                      <w:rFonts w:hint="default" w:ascii="Times New Roman" w:hAnsi="Times New Roman" w:cs="Times New Roman"/>
                      <w:caps/>
                      <w:color w:val="auto"/>
                      <w:szCs w:val="21"/>
                      <w:highlight w:val="none"/>
                      <w:lang w:val="en-US" w:eastAsia="zh-CN"/>
                    </w:rPr>
                    <w:t>锅炉房</w:t>
                  </w:r>
                </w:p>
              </w:tc>
              <w:tc>
                <w:tcPr>
                  <w:tcW w:w="1410" w:type="dxa"/>
                  <w:noWrap w:val="0"/>
                  <w:vAlign w:val="center"/>
                </w:tcPr>
                <w:p w14:paraId="2061CF8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500</w:t>
                  </w:r>
                </w:p>
              </w:tc>
              <w:tc>
                <w:tcPr>
                  <w:tcW w:w="1395" w:type="dxa"/>
                  <w:noWrap w:val="0"/>
                  <w:vAlign w:val="center"/>
                </w:tcPr>
                <w:p w14:paraId="21186D0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500</w:t>
                  </w:r>
                </w:p>
              </w:tc>
              <w:tc>
                <w:tcPr>
                  <w:tcW w:w="644" w:type="dxa"/>
                  <w:noWrap w:val="0"/>
                  <w:vAlign w:val="center"/>
                </w:tcPr>
                <w:p w14:paraId="3C38220B">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w:t>
                  </w:r>
                </w:p>
              </w:tc>
              <w:tc>
                <w:tcPr>
                  <w:tcW w:w="839" w:type="dxa"/>
                  <w:noWrap w:val="0"/>
                  <w:vAlign w:val="center"/>
                </w:tcPr>
                <w:p w14:paraId="11D03AE3">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4</w:t>
                  </w:r>
                </w:p>
              </w:tc>
              <w:tc>
                <w:tcPr>
                  <w:tcW w:w="2597" w:type="dxa"/>
                  <w:noWrap w:val="0"/>
                  <w:vAlign w:val="center"/>
                </w:tcPr>
                <w:p w14:paraId="3DDB7C88">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w:t>
                  </w:r>
                </w:p>
              </w:tc>
            </w:tr>
            <w:tr w14:paraId="3139C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2232" w:type="dxa"/>
                  <w:noWrap w:val="0"/>
                  <w:vAlign w:val="center"/>
                </w:tcPr>
                <w:p w14:paraId="3031938A">
                  <w:pPr>
                    <w:keepLines w:val="0"/>
                    <w:pageBreakBefore w:val="0"/>
                    <w:kinsoku/>
                    <w:wordWrap/>
                    <w:topLinePunct w:val="0"/>
                    <w:bidi w:val="0"/>
                    <w:adjustRightInd w:val="0"/>
                    <w:snapToGrid w:val="0"/>
                    <w:jc w:val="center"/>
                    <w:rPr>
                      <w:rFonts w:hint="default" w:ascii="Times New Roman" w:hAnsi="Times New Roman" w:cs="Times New Roman"/>
                      <w:caps/>
                      <w:color w:val="auto"/>
                      <w:szCs w:val="21"/>
                      <w:highlight w:val="none"/>
                      <w:lang w:val="en-US" w:eastAsia="zh-CN"/>
                    </w:rPr>
                  </w:pPr>
                  <w:r>
                    <w:rPr>
                      <w:rFonts w:hint="default" w:ascii="Times New Roman" w:hAnsi="Times New Roman" w:cs="Times New Roman"/>
                      <w:caps/>
                      <w:color w:val="auto"/>
                      <w:szCs w:val="21"/>
                      <w:highlight w:val="none"/>
                      <w:lang w:val="en-US" w:eastAsia="zh-CN"/>
                    </w:rPr>
                    <w:t>配电房</w:t>
                  </w:r>
                </w:p>
              </w:tc>
              <w:tc>
                <w:tcPr>
                  <w:tcW w:w="1410" w:type="dxa"/>
                  <w:noWrap w:val="0"/>
                  <w:vAlign w:val="center"/>
                </w:tcPr>
                <w:p w14:paraId="41ECC60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900</w:t>
                  </w:r>
                </w:p>
              </w:tc>
              <w:tc>
                <w:tcPr>
                  <w:tcW w:w="1395" w:type="dxa"/>
                  <w:noWrap w:val="0"/>
                  <w:vAlign w:val="center"/>
                </w:tcPr>
                <w:p w14:paraId="32870F3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900</w:t>
                  </w:r>
                </w:p>
              </w:tc>
              <w:tc>
                <w:tcPr>
                  <w:tcW w:w="644" w:type="dxa"/>
                  <w:noWrap w:val="0"/>
                  <w:vAlign w:val="center"/>
                </w:tcPr>
                <w:p w14:paraId="61FE2B4C">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w:t>
                  </w:r>
                </w:p>
              </w:tc>
              <w:tc>
                <w:tcPr>
                  <w:tcW w:w="839" w:type="dxa"/>
                  <w:noWrap w:val="0"/>
                  <w:vAlign w:val="center"/>
                </w:tcPr>
                <w:p w14:paraId="17150496">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4</w:t>
                  </w:r>
                </w:p>
              </w:tc>
              <w:tc>
                <w:tcPr>
                  <w:tcW w:w="2597" w:type="dxa"/>
                  <w:noWrap w:val="0"/>
                  <w:vAlign w:val="center"/>
                </w:tcPr>
                <w:p w14:paraId="240FB57E">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w:t>
                  </w:r>
                </w:p>
              </w:tc>
            </w:tr>
            <w:tr w14:paraId="3098F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trPr>
              <w:tc>
                <w:tcPr>
                  <w:tcW w:w="2232" w:type="dxa"/>
                  <w:noWrap w:val="0"/>
                  <w:vAlign w:val="center"/>
                </w:tcPr>
                <w:p w14:paraId="5F14C0BA">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空压机房</w:t>
                  </w:r>
                </w:p>
              </w:tc>
              <w:tc>
                <w:tcPr>
                  <w:tcW w:w="1410" w:type="dxa"/>
                  <w:noWrap w:val="0"/>
                  <w:vAlign w:val="center"/>
                </w:tcPr>
                <w:p w14:paraId="765622D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100</w:t>
                  </w:r>
                </w:p>
              </w:tc>
              <w:tc>
                <w:tcPr>
                  <w:tcW w:w="1395" w:type="dxa"/>
                  <w:noWrap w:val="0"/>
                  <w:vAlign w:val="center"/>
                </w:tcPr>
                <w:p w14:paraId="204727A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100</w:t>
                  </w:r>
                </w:p>
              </w:tc>
              <w:tc>
                <w:tcPr>
                  <w:tcW w:w="644" w:type="dxa"/>
                  <w:noWrap w:val="0"/>
                  <w:vAlign w:val="center"/>
                </w:tcPr>
                <w:p w14:paraId="5027E3F6">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w:t>
                  </w:r>
                </w:p>
              </w:tc>
              <w:tc>
                <w:tcPr>
                  <w:tcW w:w="839" w:type="dxa"/>
                  <w:noWrap w:val="0"/>
                  <w:vAlign w:val="center"/>
                </w:tcPr>
                <w:p w14:paraId="0B80402A">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4</w:t>
                  </w:r>
                </w:p>
              </w:tc>
              <w:tc>
                <w:tcPr>
                  <w:tcW w:w="2597" w:type="dxa"/>
                  <w:noWrap w:val="0"/>
                  <w:vAlign w:val="center"/>
                </w:tcPr>
                <w:p w14:paraId="0715466F">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p>
              </w:tc>
            </w:tr>
            <w:tr w14:paraId="3F9B1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trPr>
              <w:tc>
                <w:tcPr>
                  <w:tcW w:w="2232" w:type="dxa"/>
                  <w:noWrap w:val="0"/>
                  <w:vAlign w:val="center"/>
                </w:tcPr>
                <w:p w14:paraId="330BA193">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门卫室</w:t>
                  </w:r>
                </w:p>
              </w:tc>
              <w:tc>
                <w:tcPr>
                  <w:tcW w:w="1410" w:type="dxa"/>
                  <w:noWrap w:val="0"/>
                  <w:vAlign w:val="center"/>
                </w:tcPr>
                <w:p w14:paraId="5B258DB9">
                  <w:pPr>
                    <w:keepNext w:val="0"/>
                    <w:keepLines w:val="0"/>
                    <w:widowControl/>
                    <w:suppressLineNumbers w:val="0"/>
                    <w:jc w:val="center"/>
                    <w:textAlignment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1395" w:type="dxa"/>
                  <w:noWrap w:val="0"/>
                  <w:vAlign w:val="center"/>
                </w:tcPr>
                <w:p w14:paraId="71701BA9">
                  <w:pPr>
                    <w:keepNext w:val="0"/>
                    <w:keepLines w:val="0"/>
                    <w:widowControl/>
                    <w:suppressLineNumbers w:val="0"/>
                    <w:jc w:val="center"/>
                    <w:textAlignment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644" w:type="dxa"/>
                  <w:noWrap w:val="0"/>
                  <w:vAlign w:val="center"/>
                </w:tcPr>
                <w:p w14:paraId="2196671D">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w:t>
                  </w:r>
                </w:p>
              </w:tc>
              <w:tc>
                <w:tcPr>
                  <w:tcW w:w="839" w:type="dxa"/>
                  <w:noWrap w:val="0"/>
                  <w:vAlign w:val="center"/>
                </w:tcPr>
                <w:p w14:paraId="7A6F3C45">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w:t>
                  </w:r>
                </w:p>
              </w:tc>
              <w:tc>
                <w:tcPr>
                  <w:tcW w:w="2597" w:type="dxa"/>
                  <w:noWrap w:val="0"/>
                  <w:vAlign w:val="center"/>
                </w:tcPr>
                <w:p w14:paraId="38CD67DB">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w:t>
                  </w:r>
                </w:p>
              </w:tc>
            </w:tr>
            <w:tr w14:paraId="022D5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trPr>
              <w:tc>
                <w:tcPr>
                  <w:tcW w:w="2232" w:type="dxa"/>
                  <w:noWrap w:val="0"/>
                  <w:vAlign w:val="center"/>
                </w:tcPr>
                <w:p w14:paraId="30CF4363">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砂料仓</w:t>
                  </w:r>
                </w:p>
              </w:tc>
              <w:tc>
                <w:tcPr>
                  <w:tcW w:w="1410" w:type="dxa"/>
                  <w:noWrap w:val="0"/>
                  <w:vAlign w:val="center"/>
                </w:tcPr>
                <w:p w14:paraId="20DB75A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1200</w:t>
                  </w:r>
                </w:p>
              </w:tc>
              <w:tc>
                <w:tcPr>
                  <w:tcW w:w="1395" w:type="dxa"/>
                  <w:noWrap w:val="0"/>
                  <w:vAlign w:val="center"/>
                </w:tcPr>
                <w:p w14:paraId="7BA4CE5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1200</w:t>
                  </w:r>
                </w:p>
              </w:tc>
              <w:tc>
                <w:tcPr>
                  <w:tcW w:w="644" w:type="dxa"/>
                  <w:noWrap w:val="0"/>
                  <w:vAlign w:val="center"/>
                </w:tcPr>
                <w:p w14:paraId="2F920760">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p>
              </w:tc>
              <w:tc>
                <w:tcPr>
                  <w:tcW w:w="839" w:type="dxa"/>
                  <w:noWrap w:val="0"/>
                  <w:vAlign w:val="center"/>
                </w:tcPr>
                <w:p w14:paraId="6D2C6E4A">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p>
              </w:tc>
              <w:tc>
                <w:tcPr>
                  <w:tcW w:w="2597" w:type="dxa"/>
                  <w:noWrap w:val="0"/>
                  <w:vAlign w:val="center"/>
                </w:tcPr>
                <w:p w14:paraId="50FDECBC">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p>
              </w:tc>
            </w:tr>
            <w:tr w14:paraId="6EF59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trPr>
              <w:tc>
                <w:tcPr>
                  <w:tcW w:w="2232" w:type="dxa"/>
                  <w:noWrap w:val="0"/>
                  <w:vAlign w:val="center"/>
                </w:tcPr>
                <w:p w14:paraId="650085CF">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碎石料仓</w:t>
                  </w:r>
                </w:p>
              </w:tc>
              <w:tc>
                <w:tcPr>
                  <w:tcW w:w="1410" w:type="dxa"/>
                  <w:noWrap w:val="0"/>
                  <w:vAlign w:val="center"/>
                </w:tcPr>
                <w:p w14:paraId="46F09AA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1800</w:t>
                  </w:r>
                </w:p>
              </w:tc>
              <w:tc>
                <w:tcPr>
                  <w:tcW w:w="1395" w:type="dxa"/>
                  <w:noWrap w:val="0"/>
                  <w:vAlign w:val="center"/>
                </w:tcPr>
                <w:p w14:paraId="2634826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1800</w:t>
                  </w:r>
                </w:p>
              </w:tc>
              <w:tc>
                <w:tcPr>
                  <w:tcW w:w="644" w:type="dxa"/>
                  <w:noWrap w:val="0"/>
                  <w:vAlign w:val="center"/>
                </w:tcPr>
                <w:p w14:paraId="03F6FE60">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p>
              </w:tc>
              <w:tc>
                <w:tcPr>
                  <w:tcW w:w="839" w:type="dxa"/>
                  <w:noWrap w:val="0"/>
                  <w:vAlign w:val="center"/>
                </w:tcPr>
                <w:p w14:paraId="259F8FB4">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p>
              </w:tc>
              <w:tc>
                <w:tcPr>
                  <w:tcW w:w="2597" w:type="dxa"/>
                  <w:noWrap w:val="0"/>
                  <w:vAlign w:val="center"/>
                </w:tcPr>
                <w:p w14:paraId="1BC2EEDB">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p>
              </w:tc>
            </w:tr>
            <w:tr w14:paraId="374EF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2232" w:type="dxa"/>
                  <w:noWrap w:val="0"/>
                  <w:vAlign w:val="center"/>
                </w:tcPr>
                <w:p w14:paraId="73EA0369">
                  <w:pPr>
                    <w:keepLines w:val="0"/>
                    <w:pageBreakBefore w:val="0"/>
                    <w:kinsoku/>
                    <w:wordWrap/>
                    <w:topLinePunct w:val="0"/>
                    <w:bidi w:val="0"/>
                    <w:adjustRightInd w:val="0"/>
                    <w:snapToGrid w:val="0"/>
                    <w:jc w:val="center"/>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建筑物面积汇总</w:t>
                  </w:r>
                </w:p>
              </w:tc>
              <w:tc>
                <w:tcPr>
                  <w:tcW w:w="1410" w:type="dxa"/>
                  <w:noWrap w:val="0"/>
                  <w:vAlign w:val="center"/>
                </w:tcPr>
                <w:p w14:paraId="22090909">
                  <w:pPr>
                    <w:keepNext w:val="0"/>
                    <w:keepLines w:val="0"/>
                    <w:widowControl/>
                    <w:suppressLineNumbers w:val="0"/>
                    <w:jc w:val="center"/>
                    <w:textAlignment w:val="center"/>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eastAsia="宋体" w:cs="Times New Roman"/>
                      <w:b/>
                      <w:bCs/>
                      <w:i w:val="0"/>
                      <w:iCs w:val="0"/>
                      <w:color w:val="auto"/>
                      <w:kern w:val="0"/>
                      <w:sz w:val="21"/>
                      <w:szCs w:val="21"/>
                      <w:highlight w:val="none"/>
                      <w:u w:val="none"/>
                      <w:lang w:val="en-US" w:eastAsia="zh-CN" w:bidi="ar"/>
                    </w:rPr>
                    <w:t>19710</w:t>
                  </w:r>
                </w:p>
              </w:tc>
              <w:tc>
                <w:tcPr>
                  <w:tcW w:w="1395" w:type="dxa"/>
                  <w:noWrap w:val="0"/>
                  <w:vAlign w:val="center"/>
                </w:tcPr>
                <w:p w14:paraId="3042AC2E">
                  <w:pPr>
                    <w:keepNext w:val="0"/>
                    <w:keepLines w:val="0"/>
                    <w:widowControl/>
                    <w:suppressLineNumbers w:val="0"/>
                    <w:jc w:val="center"/>
                    <w:textAlignment w:val="center"/>
                    <w:rPr>
                      <w:rFonts w:hint="default" w:ascii="Times New Roman" w:hAnsi="Times New Roman" w:cs="Times New Roman"/>
                      <w:b/>
                      <w:bCs/>
                      <w:color w:val="auto"/>
                      <w:sz w:val="21"/>
                      <w:szCs w:val="21"/>
                      <w:highlight w:val="none"/>
                      <w:vertAlign w:val="baseline"/>
                      <w:lang w:val="en-US" w:eastAsia="zh-CN"/>
                    </w:rPr>
                  </w:pPr>
                  <w:r>
                    <w:rPr>
                      <w:rFonts w:hint="eastAsia" w:ascii="Times New Roman" w:hAnsi="Times New Roman" w:eastAsia="宋体" w:cs="Times New Roman"/>
                      <w:b/>
                      <w:bCs/>
                      <w:i w:val="0"/>
                      <w:iCs w:val="0"/>
                      <w:color w:val="auto"/>
                      <w:kern w:val="0"/>
                      <w:sz w:val="21"/>
                      <w:szCs w:val="21"/>
                      <w:highlight w:val="none"/>
                      <w:u w:val="none"/>
                      <w:lang w:val="en-US" w:eastAsia="zh-CN" w:bidi="ar"/>
                    </w:rPr>
                    <w:t>22710</w:t>
                  </w:r>
                </w:p>
              </w:tc>
              <w:tc>
                <w:tcPr>
                  <w:tcW w:w="644" w:type="dxa"/>
                  <w:noWrap w:val="0"/>
                  <w:vAlign w:val="center"/>
                </w:tcPr>
                <w:p w14:paraId="7C2A4F0D">
                  <w:pPr>
                    <w:keepLines w:val="0"/>
                    <w:pageBreakBefore w:val="0"/>
                    <w:kinsoku/>
                    <w:wordWrap/>
                    <w:topLinePunct w:val="0"/>
                    <w:bidi w:val="0"/>
                    <w:adjustRightInd w:val="0"/>
                    <w:snapToGrid w:val="0"/>
                    <w:jc w:val="center"/>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839" w:type="dxa"/>
                  <w:noWrap w:val="0"/>
                  <w:vAlign w:val="center"/>
                </w:tcPr>
                <w:p w14:paraId="6B1D5B90">
                  <w:pPr>
                    <w:keepLines w:val="0"/>
                    <w:pageBreakBefore w:val="0"/>
                    <w:kinsoku/>
                    <w:wordWrap/>
                    <w:topLinePunct w:val="0"/>
                    <w:bidi w:val="0"/>
                    <w:adjustRightInd w:val="0"/>
                    <w:snapToGrid w:val="0"/>
                    <w:jc w:val="center"/>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w:t>
                  </w:r>
                </w:p>
              </w:tc>
              <w:tc>
                <w:tcPr>
                  <w:tcW w:w="2597" w:type="dxa"/>
                  <w:noWrap w:val="0"/>
                  <w:vAlign w:val="center"/>
                </w:tcPr>
                <w:p w14:paraId="33D2DAB7">
                  <w:pPr>
                    <w:keepLines w:val="0"/>
                    <w:pageBreakBefore w:val="0"/>
                    <w:kinsoku/>
                    <w:wordWrap/>
                    <w:topLinePunct w:val="0"/>
                    <w:bidi w:val="0"/>
                    <w:adjustRightInd w:val="0"/>
                    <w:snapToGrid w:val="0"/>
                    <w:jc w:val="center"/>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w:t>
                  </w:r>
                </w:p>
              </w:tc>
            </w:tr>
            <w:tr w14:paraId="55A25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2232" w:type="dxa"/>
                  <w:noWrap w:val="0"/>
                  <w:vAlign w:val="center"/>
                </w:tcPr>
                <w:p w14:paraId="76186D43">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其余区域</w:t>
                  </w:r>
                </w:p>
              </w:tc>
              <w:tc>
                <w:tcPr>
                  <w:tcW w:w="1410" w:type="dxa"/>
                  <w:noWrap w:val="0"/>
                  <w:vAlign w:val="center"/>
                </w:tcPr>
                <w:p w14:paraId="3D3D7509">
                  <w:pPr>
                    <w:keepLines w:val="0"/>
                    <w:pageBreakBefore w:val="0"/>
                    <w:kinsoku/>
                    <w:wordWrap/>
                    <w:topLinePunct w:val="0"/>
                    <w:bidi w:val="0"/>
                    <w:adjustRightInd w:val="0"/>
                    <w:snapToGrid w:val="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b/>
                      <w:bCs/>
                      <w:color w:val="auto"/>
                      <w:sz w:val="21"/>
                      <w:szCs w:val="21"/>
                      <w:highlight w:val="none"/>
                      <w:vertAlign w:val="baseline"/>
                      <w:lang w:val="en-US" w:eastAsia="zh-CN"/>
                    </w:rPr>
                    <w:t>基底面积m</w:t>
                  </w:r>
                  <w:r>
                    <w:rPr>
                      <w:rFonts w:hint="default" w:ascii="Times New Roman" w:hAnsi="Times New Roman" w:cs="Times New Roman"/>
                      <w:b/>
                      <w:bCs/>
                      <w:color w:val="auto"/>
                      <w:sz w:val="21"/>
                      <w:szCs w:val="21"/>
                      <w:highlight w:val="none"/>
                      <w:vertAlign w:val="superscript"/>
                      <w:lang w:val="en-US" w:eastAsia="zh-CN"/>
                    </w:rPr>
                    <w:t>2</w:t>
                  </w:r>
                </w:p>
              </w:tc>
              <w:tc>
                <w:tcPr>
                  <w:tcW w:w="1395" w:type="dxa"/>
                  <w:noWrap w:val="0"/>
                  <w:vAlign w:val="center"/>
                </w:tcPr>
                <w:p w14:paraId="7CFCF234">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建筑面积m</w:t>
                  </w:r>
                  <w:r>
                    <w:rPr>
                      <w:rFonts w:hint="default" w:ascii="Times New Roman" w:hAnsi="Times New Roman" w:cs="Times New Roman"/>
                      <w:b/>
                      <w:bCs/>
                      <w:color w:val="auto"/>
                      <w:sz w:val="21"/>
                      <w:szCs w:val="21"/>
                      <w:highlight w:val="none"/>
                      <w:vertAlign w:val="superscript"/>
                      <w:lang w:val="en-US" w:eastAsia="zh-CN"/>
                    </w:rPr>
                    <w:t>2</w:t>
                  </w:r>
                </w:p>
              </w:tc>
              <w:tc>
                <w:tcPr>
                  <w:tcW w:w="644" w:type="dxa"/>
                  <w:noWrap w:val="0"/>
                  <w:vAlign w:val="center"/>
                </w:tcPr>
                <w:p w14:paraId="08E42DB7">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层数</w:t>
                  </w:r>
                </w:p>
              </w:tc>
              <w:tc>
                <w:tcPr>
                  <w:tcW w:w="839" w:type="dxa"/>
                  <w:noWrap w:val="0"/>
                  <w:vAlign w:val="center"/>
                </w:tcPr>
                <w:p w14:paraId="4AFCEB86">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楼高m</w:t>
                  </w:r>
                </w:p>
              </w:tc>
              <w:tc>
                <w:tcPr>
                  <w:tcW w:w="2597" w:type="dxa"/>
                  <w:noWrap w:val="0"/>
                  <w:vAlign w:val="center"/>
                </w:tcPr>
                <w:p w14:paraId="5F8059E3">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备注</w:t>
                  </w:r>
                </w:p>
              </w:tc>
            </w:tr>
            <w:tr w14:paraId="73F75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2232" w:type="dxa"/>
                  <w:noWrap w:val="0"/>
                  <w:vAlign w:val="center"/>
                </w:tcPr>
                <w:p w14:paraId="707901BB">
                  <w:pPr>
                    <w:keepNext w:val="0"/>
                    <w:keepLines w:val="0"/>
                    <w:widowControl/>
                    <w:suppressLineNumbers w:val="0"/>
                    <w:jc w:val="center"/>
                    <w:textAlignment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成品堆场</w:t>
                  </w:r>
                </w:p>
              </w:tc>
              <w:tc>
                <w:tcPr>
                  <w:tcW w:w="1410" w:type="dxa"/>
                  <w:noWrap w:val="0"/>
                  <w:vAlign w:val="center"/>
                </w:tcPr>
                <w:p w14:paraId="4F24334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15000</w:t>
                  </w:r>
                </w:p>
              </w:tc>
              <w:tc>
                <w:tcPr>
                  <w:tcW w:w="1395" w:type="dxa"/>
                  <w:noWrap w:val="0"/>
                  <w:vAlign w:val="center"/>
                </w:tcPr>
                <w:p w14:paraId="0269D95A">
                  <w:pPr>
                    <w:keepLines w:val="0"/>
                    <w:pageBreakBefore w:val="0"/>
                    <w:kinsoku/>
                    <w:wordWrap/>
                    <w:topLinePunct w:val="0"/>
                    <w:bidi w:val="0"/>
                    <w:adjustRightInd w:val="0"/>
                    <w:snapToGrid w:val="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vertAlign w:val="baseline"/>
                      <w:lang w:val="en-US" w:eastAsia="zh-CN"/>
                    </w:rPr>
                    <w:t>/</w:t>
                  </w:r>
                </w:p>
              </w:tc>
              <w:tc>
                <w:tcPr>
                  <w:tcW w:w="644" w:type="dxa"/>
                  <w:noWrap w:val="0"/>
                  <w:vAlign w:val="center"/>
                </w:tcPr>
                <w:p w14:paraId="2CF1A67E">
                  <w:pPr>
                    <w:keepLines w:val="0"/>
                    <w:pageBreakBefore w:val="0"/>
                    <w:kinsoku/>
                    <w:wordWrap/>
                    <w:topLinePunct w:val="0"/>
                    <w:bidi w:val="0"/>
                    <w:adjustRightInd w:val="0"/>
                    <w:snapToGrid w:val="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vertAlign w:val="baseline"/>
                      <w:lang w:val="en-US" w:eastAsia="zh-CN"/>
                    </w:rPr>
                    <w:t>/</w:t>
                  </w:r>
                </w:p>
              </w:tc>
              <w:tc>
                <w:tcPr>
                  <w:tcW w:w="839" w:type="dxa"/>
                  <w:noWrap w:val="0"/>
                  <w:vAlign w:val="center"/>
                </w:tcPr>
                <w:p w14:paraId="095E6957">
                  <w:pPr>
                    <w:keepLines w:val="0"/>
                    <w:pageBreakBefore w:val="0"/>
                    <w:kinsoku/>
                    <w:wordWrap/>
                    <w:topLinePunct w:val="0"/>
                    <w:bidi w:val="0"/>
                    <w:adjustRightInd w:val="0"/>
                    <w:snapToGrid w:val="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vertAlign w:val="baseline"/>
                      <w:lang w:val="en-US" w:eastAsia="zh-CN"/>
                    </w:rPr>
                    <w:t>/</w:t>
                  </w:r>
                </w:p>
              </w:tc>
              <w:tc>
                <w:tcPr>
                  <w:tcW w:w="2597" w:type="dxa"/>
                  <w:noWrap w:val="0"/>
                  <w:vAlign w:val="center"/>
                </w:tcPr>
                <w:p w14:paraId="43832568">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w:t>
                  </w:r>
                </w:p>
              </w:tc>
            </w:tr>
            <w:tr w14:paraId="20088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2232" w:type="dxa"/>
                  <w:noWrap w:val="0"/>
                  <w:vAlign w:val="center"/>
                </w:tcPr>
                <w:p w14:paraId="45DBA1F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水养池</w:t>
                  </w:r>
                </w:p>
              </w:tc>
              <w:tc>
                <w:tcPr>
                  <w:tcW w:w="1410" w:type="dxa"/>
                  <w:noWrap w:val="0"/>
                  <w:vAlign w:val="center"/>
                </w:tcPr>
                <w:p w14:paraId="0EB6A4F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3760</w:t>
                  </w:r>
                </w:p>
              </w:tc>
              <w:tc>
                <w:tcPr>
                  <w:tcW w:w="1395" w:type="dxa"/>
                  <w:noWrap w:val="0"/>
                  <w:vAlign w:val="center"/>
                </w:tcPr>
                <w:p w14:paraId="016F6327">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w:t>
                  </w:r>
                </w:p>
              </w:tc>
              <w:tc>
                <w:tcPr>
                  <w:tcW w:w="644" w:type="dxa"/>
                  <w:noWrap w:val="0"/>
                  <w:vAlign w:val="center"/>
                </w:tcPr>
                <w:p w14:paraId="6D9506D4">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w:t>
                  </w:r>
                </w:p>
              </w:tc>
              <w:tc>
                <w:tcPr>
                  <w:tcW w:w="839" w:type="dxa"/>
                  <w:noWrap w:val="0"/>
                  <w:vAlign w:val="center"/>
                </w:tcPr>
                <w:p w14:paraId="7230BD11">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w:t>
                  </w:r>
                </w:p>
              </w:tc>
              <w:tc>
                <w:tcPr>
                  <w:tcW w:w="2597" w:type="dxa"/>
                  <w:noWrap w:val="0"/>
                  <w:vAlign w:val="center"/>
                </w:tcPr>
                <w:p w14:paraId="1C088669">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w:t>
                  </w:r>
                </w:p>
              </w:tc>
            </w:tr>
            <w:tr w14:paraId="03A7A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2232" w:type="dxa"/>
                  <w:noWrap w:val="0"/>
                  <w:vAlign w:val="center"/>
                </w:tcPr>
                <w:p w14:paraId="3B0616E0">
                  <w:pPr>
                    <w:keepNext w:val="0"/>
                    <w:keepLines w:val="0"/>
                    <w:widowControl/>
                    <w:suppressLineNumbers w:val="0"/>
                    <w:jc w:val="center"/>
                    <w:textAlignment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初期雨水池</w:t>
                  </w:r>
                </w:p>
              </w:tc>
              <w:tc>
                <w:tcPr>
                  <w:tcW w:w="1410" w:type="dxa"/>
                  <w:noWrap w:val="0"/>
                  <w:vAlign w:val="center"/>
                </w:tcPr>
                <w:p w14:paraId="40B1518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500</w:t>
                  </w:r>
                </w:p>
              </w:tc>
              <w:tc>
                <w:tcPr>
                  <w:tcW w:w="1395" w:type="dxa"/>
                  <w:noWrap w:val="0"/>
                  <w:vAlign w:val="center"/>
                </w:tcPr>
                <w:p w14:paraId="6D0915D9">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w:t>
                  </w:r>
                </w:p>
              </w:tc>
              <w:tc>
                <w:tcPr>
                  <w:tcW w:w="644" w:type="dxa"/>
                  <w:noWrap w:val="0"/>
                  <w:vAlign w:val="center"/>
                </w:tcPr>
                <w:p w14:paraId="024AC6EC">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w:t>
                  </w:r>
                </w:p>
              </w:tc>
              <w:tc>
                <w:tcPr>
                  <w:tcW w:w="839" w:type="dxa"/>
                  <w:noWrap w:val="0"/>
                  <w:vAlign w:val="center"/>
                </w:tcPr>
                <w:p w14:paraId="50A00280">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w:t>
                  </w:r>
                </w:p>
              </w:tc>
              <w:tc>
                <w:tcPr>
                  <w:tcW w:w="2597" w:type="dxa"/>
                  <w:noWrap w:val="0"/>
                  <w:vAlign w:val="center"/>
                </w:tcPr>
                <w:p w14:paraId="442268AC">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w:t>
                  </w:r>
                </w:p>
              </w:tc>
            </w:tr>
            <w:tr w14:paraId="70C4E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2232" w:type="dxa"/>
                  <w:noWrap w:val="0"/>
                  <w:vAlign w:val="center"/>
                </w:tcPr>
                <w:p w14:paraId="0DD6D2BA">
                  <w:pPr>
                    <w:keepNext w:val="0"/>
                    <w:keepLines w:val="0"/>
                    <w:widowControl/>
                    <w:suppressLineNumbers w:val="0"/>
                    <w:jc w:val="center"/>
                    <w:textAlignment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三级沉淀池+回用水池</w:t>
                  </w:r>
                </w:p>
              </w:tc>
              <w:tc>
                <w:tcPr>
                  <w:tcW w:w="1410" w:type="dxa"/>
                  <w:noWrap w:val="0"/>
                  <w:vAlign w:val="center"/>
                </w:tcPr>
                <w:p w14:paraId="652B51D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30</w:t>
                  </w:r>
                </w:p>
              </w:tc>
              <w:tc>
                <w:tcPr>
                  <w:tcW w:w="1395" w:type="dxa"/>
                  <w:noWrap w:val="0"/>
                  <w:vAlign w:val="center"/>
                </w:tcPr>
                <w:p w14:paraId="5743B4C8">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w:t>
                  </w:r>
                </w:p>
              </w:tc>
              <w:tc>
                <w:tcPr>
                  <w:tcW w:w="644" w:type="dxa"/>
                  <w:noWrap w:val="0"/>
                  <w:vAlign w:val="center"/>
                </w:tcPr>
                <w:p w14:paraId="60908EB9">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w:t>
                  </w:r>
                </w:p>
              </w:tc>
              <w:tc>
                <w:tcPr>
                  <w:tcW w:w="839" w:type="dxa"/>
                  <w:noWrap w:val="0"/>
                  <w:vAlign w:val="center"/>
                </w:tcPr>
                <w:p w14:paraId="3B18BD5D">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w:t>
                  </w:r>
                </w:p>
              </w:tc>
              <w:tc>
                <w:tcPr>
                  <w:tcW w:w="2597" w:type="dxa"/>
                  <w:noWrap w:val="0"/>
                  <w:vAlign w:val="center"/>
                </w:tcPr>
                <w:p w14:paraId="50417281">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w:t>
                  </w:r>
                </w:p>
              </w:tc>
            </w:tr>
            <w:tr w14:paraId="75731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2232" w:type="dxa"/>
                  <w:noWrap w:val="0"/>
                  <w:vAlign w:val="center"/>
                </w:tcPr>
                <w:p w14:paraId="6DD3CE7E">
                  <w:pPr>
                    <w:keepNext w:val="0"/>
                    <w:keepLines w:val="0"/>
                    <w:widowControl/>
                    <w:suppressLineNumbers w:val="0"/>
                    <w:jc w:val="center"/>
                    <w:textAlignment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道路、停车区域等</w:t>
                  </w:r>
                </w:p>
              </w:tc>
              <w:tc>
                <w:tcPr>
                  <w:tcW w:w="1410" w:type="dxa"/>
                  <w:noWrap w:val="0"/>
                  <w:vAlign w:val="center"/>
                </w:tcPr>
                <w:p w14:paraId="473D961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7000</w:t>
                  </w:r>
                </w:p>
              </w:tc>
              <w:tc>
                <w:tcPr>
                  <w:tcW w:w="1395" w:type="dxa"/>
                  <w:noWrap w:val="0"/>
                  <w:vAlign w:val="center"/>
                </w:tcPr>
                <w:p w14:paraId="567D5784">
                  <w:pPr>
                    <w:keepNext w:val="0"/>
                    <w:keepLines w:val="0"/>
                    <w:pageBreakBefore w:val="0"/>
                    <w:widowControl/>
                    <w:suppressLineNumbers w:val="0"/>
                    <w:kinsoku/>
                    <w:wordWrap/>
                    <w:topLinePunct w:val="0"/>
                    <w:bidi w:val="0"/>
                    <w:adjustRightInd w:val="0"/>
                    <w:snapToGrid w:val="0"/>
                    <w:jc w:val="center"/>
                    <w:textAlignment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w:t>
                  </w:r>
                </w:p>
              </w:tc>
              <w:tc>
                <w:tcPr>
                  <w:tcW w:w="644" w:type="dxa"/>
                  <w:noWrap w:val="0"/>
                  <w:vAlign w:val="center"/>
                </w:tcPr>
                <w:p w14:paraId="7D7B7D15">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w:t>
                  </w:r>
                </w:p>
              </w:tc>
              <w:tc>
                <w:tcPr>
                  <w:tcW w:w="839" w:type="dxa"/>
                  <w:noWrap w:val="0"/>
                  <w:vAlign w:val="center"/>
                </w:tcPr>
                <w:p w14:paraId="75AB8D98">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w:t>
                  </w:r>
                </w:p>
              </w:tc>
              <w:tc>
                <w:tcPr>
                  <w:tcW w:w="2597" w:type="dxa"/>
                  <w:noWrap w:val="0"/>
                  <w:vAlign w:val="center"/>
                </w:tcPr>
                <w:p w14:paraId="60B0DA84">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w:t>
                  </w:r>
                </w:p>
              </w:tc>
            </w:tr>
            <w:tr w14:paraId="3622A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2232" w:type="dxa"/>
                  <w:noWrap w:val="0"/>
                  <w:vAlign w:val="center"/>
                </w:tcPr>
                <w:p w14:paraId="2899D391">
                  <w:pPr>
                    <w:keepLines w:val="0"/>
                    <w:pageBreakBefore w:val="0"/>
                    <w:kinsoku/>
                    <w:wordWrap/>
                    <w:topLinePunct w:val="0"/>
                    <w:bidi w:val="0"/>
                    <w:adjustRightInd w:val="0"/>
                    <w:snapToGrid w:val="0"/>
                    <w:jc w:val="center"/>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厂区总面积汇总</w:t>
                  </w:r>
                </w:p>
              </w:tc>
              <w:tc>
                <w:tcPr>
                  <w:tcW w:w="1410" w:type="dxa"/>
                  <w:noWrap w:val="0"/>
                  <w:vAlign w:val="center"/>
                </w:tcPr>
                <w:p w14:paraId="7A2B16F1">
                  <w:pPr>
                    <w:keepNext w:val="0"/>
                    <w:keepLines w:val="0"/>
                    <w:widowControl/>
                    <w:suppressLineNumbers w:val="0"/>
                    <w:jc w:val="center"/>
                    <w:textAlignment w:val="center"/>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eastAsia="宋体" w:cs="Times New Roman"/>
                      <w:b/>
                      <w:bCs/>
                      <w:i w:val="0"/>
                      <w:iCs w:val="0"/>
                      <w:color w:val="auto"/>
                      <w:kern w:val="0"/>
                      <w:sz w:val="21"/>
                      <w:szCs w:val="21"/>
                      <w:highlight w:val="none"/>
                      <w:u w:val="none"/>
                      <w:lang w:val="en-US" w:eastAsia="zh-CN" w:bidi="ar"/>
                    </w:rPr>
                    <w:t>49000</w:t>
                  </w:r>
                </w:p>
              </w:tc>
              <w:tc>
                <w:tcPr>
                  <w:tcW w:w="1395" w:type="dxa"/>
                  <w:noWrap w:val="0"/>
                  <w:vAlign w:val="center"/>
                </w:tcPr>
                <w:p w14:paraId="49ACFB25">
                  <w:pPr>
                    <w:keepLines w:val="0"/>
                    <w:pageBreakBefore w:val="0"/>
                    <w:kinsoku/>
                    <w:wordWrap/>
                    <w:topLinePunct w:val="0"/>
                    <w:bidi w:val="0"/>
                    <w:adjustRightInd w:val="0"/>
                    <w:snapToGrid w:val="0"/>
                    <w:jc w:val="center"/>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w:t>
                  </w:r>
                </w:p>
              </w:tc>
              <w:tc>
                <w:tcPr>
                  <w:tcW w:w="644" w:type="dxa"/>
                  <w:noWrap w:val="0"/>
                  <w:vAlign w:val="center"/>
                </w:tcPr>
                <w:p w14:paraId="351C45F1">
                  <w:pPr>
                    <w:keepLines w:val="0"/>
                    <w:pageBreakBefore w:val="0"/>
                    <w:kinsoku/>
                    <w:wordWrap/>
                    <w:topLinePunct w:val="0"/>
                    <w:bidi w:val="0"/>
                    <w:adjustRightInd w:val="0"/>
                    <w:snapToGrid w:val="0"/>
                    <w:jc w:val="center"/>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w:t>
                  </w:r>
                </w:p>
              </w:tc>
              <w:tc>
                <w:tcPr>
                  <w:tcW w:w="839" w:type="dxa"/>
                  <w:noWrap w:val="0"/>
                  <w:vAlign w:val="center"/>
                </w:tcPr>
                <w:p w14:paraId="04C911A9">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w:t>
                  </w:r>
                </w:p>
              </w:tc>
              <w:tc>
                <w:tcPr>
                  <w:tcW w:w="2597" w:type="dxa"/>
                  <w:noWrap w:val="0"/>
                  <w:vAlign w:val="center"/>
                </w:tcPr>
                <w:p w14:paraId="0407E405">
                  <w:pPr>
                    <w:keepLines w:val="0"/>
                    <w:pageBreakBefore w:val="0"/>
                    <w:kinsoku/>
                    <w:wordWrap/>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w:t>
                  </w:r>
                </w:p>
              </w:tc>
            </w:tr>
          </w:tbl>
          <w:p w14:paraId="10606807">
            <w:pPr>
              <w:pStyle w:val="2"/>
              <w:keepNext/>
              <w:keepLines w:val="0"/>
              <w:pageBreakBefore w:val="0"/>
              <w:widowControl w:val="0"/>
              <w:kinsoku/>
              <w:wordWrap/>
              <w:overflowPunct w:val="0"/>
              <w:topLinePunct w:val="0"/>
              <w:autoSpaceDE/>
              <w:autoSpaceDN/>
              <w:bidi w:val="0"/>
              <w:adjustRightInd w:val="0"/>
              <w:snapToGrid w:val="0"/>
              <w:spacing w:before="0" w:after="0" w:line="360" w:lineRule="auto"/>
              <w:ind w:left="0" w:firstLine="480" w:firstLineChars="200"/>
              <w:jc w:val="both"/>
              <w:textAlignment w:val="auto"/>
              <w:rPr>
                <w:rFonts w:hint="default" w:ascii="Times New Roman" w:hAnsi="Times New Roman" w:eastAsia="宋体" w:cs="Times New Roman"/>
                <w:b w:val="0"/>
                <w:color w:val="auto"/>
                <w:kern w:val="2"/>
                <w:sz w:val="24"/>
                <w:szCs w:val="24"/>
                <w:highlight w:val="none"/>
                <w:lang w:val="en-US" w:eastAsia="zh-CN" w:bidi="ar-SA"/>
              </w:rPr>
            </w:pPr>
            <w:bookmarkStart w:id="5" w:name="_Toc13882"/>
            <w:bookmarkStart w:id="6" w:name="_Toc23253"/>
            <w:bookmarkStart w:id="7" w:name="_Toc16559"/>
            <w:r>
              <w:rPr>
                <w:rFonts w:hint="default" w:ascii="Times New Roman" w:hAnsi="Times New Roman" w:eastAsia="宋体" w:cs="Times New Roman"/>
                <w:b w:val="0"/>
                <w:color w:val="auto"/>
                <w:kern w:val="2"/>
                <w:sz w:val="24"/>
                <w:szCs w:val="24"/>
                <w:highlight w:val="none"/>
                <w:lang w:val="en-US" w:eastAsia="zh-CN" w:bidi="ar-SA"/>
              </w:rPr>
              <w:t>本项目主要工程内容情况如下表：</w:t>
            </w:r>
            <w:bookmarkEnd w:id="5"/>
            <w:bookmarkEnd w:id="6"/>
            <w:bookmarkEnd w:id="7"/>
          </w:p>
          <w:p w14:paraId="55E6E23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olor w:val="auto"/>
                <w:szCs w:val="21"/>
                <w:highlight w:val="none"/>
                <w:lang w:val="en-US" w:eastAsia="zh-CN"/>
              </w:rPr>
            </w:pPr>
            <w:r>
              <w:rPr>
                <w:rFonts w:hint="default" w:ascii="Times New Roman" w:hAnsi="Times New Roman" w:cs="Times New Roman"/>
                <w:b/>
                <w:color w:val="auto"/>
                <w:szCs w:val="21"/>
                <w:highlight w:val="none"/>
              </w:rPr>
              <w:t>表</w:t>
            </w:r>
            <w:r>
              <w:rPr>
                <w:rFonts w:hint="default" w:ascii="Times New Roman" w:hAnsi="Times New Roman" w:cs="Times New Roman"/>
                <w:b/>
                <w:color w:val="auto"/>
                <w:szCs w:val="21"/>
                <w:highlight w:val="none"/>
                <w:lang w:val="en-US" w:eastAsia="zh-CN"/>
              </w:rPr>
              <w:t xml:space="preserve">2-2 </w:t>
            </w:r>
            <w:r>
              <w:rPr>
                <w:rFonts w:hint="default" w:ascii="Times New Roman" w:hAnsi="Times New Roman" w:cs="Times New Roman"/>
                <w:b/>
                <w:color w:val="auto"/>
                <w:szCs w:val="21"/>
                <w:highlight w:val="none"/>
                <w:lang w:eastAsia="zh-CN"/>
              </w:rPr>
              <w:t>本</w:t>
            </w:r>
            <w:r>
              <w:rPr>
                <w:rFonts w:hint="default" w:ascii="Times New Roman" w:hAnsi="Times New Roman" w:cs="Times New Roman"/>
                <w:b/>
                <w:color w:val="auto"/>
                <w:szCs w:val="21"/>
                <w:highlight w:val="none"/>
              </w:rPr>
              <w:t>项目主要工程组成</w:t>
            </w:r>
            <w:r>
              <w:rPr>
                <w:rFonts w:hint="default" w:ascii="Times New Roman" w:hAnsi="Times New Roman" w:cs="Times New Roman"/>
                <w:b/>
                <w:color w:val="auto"/>
                <w:szCs w:val="21"/>
                <w:highlight w:val="none"/>
                <w:lang w:val="en-US" w:eastAsia="zh-CN"/>
              </w:rPr>
              <w:t xml:space="preserve"> </w:t>
            </w:r>
          </w:p>
          <w:tbl>
            <w:tblPr>
              <w:tblStyle w:val="34"/>
              <w:tblW w:w="9121" w:type="dxa"/>
              <w:tblInd w:w="-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6"/>
              <w:gridCol w:w="387"/>
              <w:gridCol w:w="2870"/>
              <w:gridCol w:w="5178"/>
            </w:tblGrid>
            <w:tr w14:paraId="4BE5B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376" w:type="pct"/>
                  <w:noWrap w:val="0"/>
                  <w:vAlign w:val="center"/>
                </w:tcPr>
                <w:p w14:paraId="53E1B479">
                  <w:pPr>
                    <w:pStyle w:val="29"/>
                    <w:widowControl w:val="0"/>
                    <w:adjustRightInd w:val="0"/>
                    <w:spacing w:before="0" w:beforeAutospacing="0" w:after="0" w:afterAutospacing="0"/>
                    <w:jc w:val="center"/>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类别</w:t>
                  </w:r>
                </w:p>
              </w:tc>
              <w:tc>
                <w:tcPr>
                  <w:tcW w:w="1785" w:type="pct"/>
                  <w:gridSpan w:val="2"/>
                  <w:noWrap w:val="0"/>
                  <w:vAlign w:val="center"/>
                </w:tcPr>
                <w:p w14:paraId="7F765D2C">
                  <w:pPr>
                    <w:pStyle w:val="29"/>
                    <w:widowControl w:val="0"/>
                    <w:adjustRightInd w:val="0"/>
                    <w:spacing w:before="0" w:beforeAutospacing="0" w:after="0" w:afterAutospacing="0"/>
                    <w:jc w:val="center"/>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功能</w:t>
                  </w:r>
                </w:p>
              </w:tc>
              <w:tc>
                <w:tcPr>
                  <w:tcW w:w="2838" w:type="pct"/>
                  <w:noWrap w:val="0"/>
                  <w:vAlign w:val="center"/>
                </w:tcPr>
                <w:p w14:paraId="7C3BE45D">
                  <w:pPr>
                    <w:pStyle w:val="29"/>
                    <w:widowControl w:val="0"/>
                    <w:adjustRightInd w:val="0"/>
                    <w:spacing w:before="0" w:beforeAutospacing="0" w:after="0" w:afterAutospacing="0"/>
                    <w:jc w:val="center"/>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主要建设内容</w:t>
                  </w:r>
                </w:p>
              </w:tc>
            </w:tr>
            <w:tr w14:paraId="75F53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 w:hRule="atLeast"/>
              </w:trPr>
              <w:tc>
                <w:tcPr>
                  <w:tcW w:w="376" w:type="pct"/>
                  <w:vMerge w:val="restart"/>
                  <w:noWrap w:val="0"/>
                  <w:vAlign w:val="center"/>
                </w:tcPr>
                <w:p w14:paraId="3BEFF564">
                  <w:pPr>
                    <w:pStyle w:val="29"/>
                    <w:widowControl w:val="0"/>
                    <w:adjustRightInd w:val="0"/>
                    <w:spacing w:before="0" w:after="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主体工程</w:t>
                  </w:r>
                </w:p>
              </w:tc>
              <w:tc>
                <w:tcPr>
                  <w:tcW w:w="1785" w:type="pct"/>
                  <w:gridSpan w:val="2"/>
                  <w:noWrap w:val="0"/>
                  <w:vAlign w:val="center"/>
                </w:tcPr>
                <w:p w14:paraId="2B1728D2">
                  <w:pPr>
                    <w:jc w:val="center"/>
                    <w:rPr>
                      <w:rFonts w:hint="default" w:ascii="Times New Roman" w:hAnsi="Times New Roman" w:eastAsia="宋体" w:cs="Times New Roman"/>
                      <w:caps/>
                      <w:color w:val="auto"/>
                      <w:szCs w:val="21"/>
                      <w:highlight w:val="none"/>
                      <w:lang w:val="en-US" w:eastAsia="zh-CN"/>
                    </w:rPr>
                  </w:pPr>
                  <w:r>
                    <w:rPr>
                      <w:rFonts w:hint="default" w:ascii="Times New Roman" w:hAnsi="Times New Roman" w:cs="Times New Roman"/>
                      <w:color w:val="auto"/>
                      <w:sz w:val="21"/>
                      <w:szCs w:val="21"/>
                      <w:highlight w:val="none"/>
                      <w:vertAlign w:val="baseline"/>
                      <w:lang w:val="en-US" w:eastAsia="zh-CN"/>
                    </w:rPr>
                    <w:t>生产厂房</w:t>
                  </w:r>
                </w:p>
              </w:tc>
              <w:tc>
                <w:tcPr>
                  <w:tcW w:w="2838" w:type="pct"/>
                  <w:noWrap w:val="0"/>
                  <w:vAlign w:val="center"/>
                </w:tcPr>
                <w:p w14:paraId="58029138">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总占地面积14300</w:t>
                  </w:r>
                  <w:r>
                    <w:rPr>
                      <w:rFonts w:hint="default" w:ascii="Times New Roman" w:hAnsi="Times New Roman" w:cs="Times New Roman"/>
                      <w:color w:val="auto"/>
                      <w:szCs w:val="21"/>
                      <w:highlight w:val="none"/>
                    </w:rPr>
                    <w:t>m</w:t>
                  </w:r>
                  <w:r>
                    <w:rPr>
                      <w:rFonts w:hint="default" w:ascii="Times New Roman" w:hAnsi="Times New Roman" w:cs="Times New Roman"/>
                      <w:color w:val="auto"/>
                      <w:szCs w:val="21"/>
                      <w:highlight w:val="none"/>
                      <w:vertAlign w:val="superscript"/>
                    </w:rPr>
                    <w:t>2</w:t>
                  </w:r>
                  <w:r>
                    <w:rPr>
                      <w:rFonts w:hint="default" w:ascii="Times New Roman" w:hAnsi="Times New Roman" w:cs="Times New Roman"/>
                      <w:color w:val="auto"/>
                      <w:szCs w:val="21"/>
                      <w:highlight w:val="none"/>
                    </w:rPr>
                    <w:t>，</w:t>
                  </w:r>
                  <w:r>
                    <w:rPr>
                      <w:rFonts w:hint="default" w:ascii="Times New Roman" w:hAnsi="Times New Roman" w:cs="Times New Roman"/>
                      <w:color w:val="auto"/>
                      <w:szCs w:val="21"/>
                      <w:highlight w:val="none"/>
                      <w:lang w:val="en-US" w:eastAsia="zh-CN"/>
                    </w:rPr>
                    <w:t>生产区域总</w:t>
                  </w:r>
                  <w:r>
                    <w:rPr>
                      <w:rFonts w:hint="default" w:ascii="Times New Roman" w:hAnsi="Times New Roman" w:cs="Times New Roman"/>
                      <w:color w:val="auto"/>
                      <w:szCs w:val="21"/>
                      <w:highlight w:val="none"/>
                    </w:rPr>
                    <w:t>建筑面积</w:t>
                  </w:r>
                  <w:r>
                    <w:rPr>
                      <w:rFonts w:hint="default" w:ascii="Times New Roman" w:hAnsi="Times New Roman" w:cs="Times New Roman"/>
                      <w:color w:val="auto"/>
                      <w:szCs w:val="21"/>
                      <w:highlight w:val="none"/>
                      <w:lang w:val="en-US" w:eastAsia="zh-CN"/>
                    </w:rPr>
                    <w:t>14750</w:t>
                  </w:r>
                  <w:r>
                    <w:rPr>
                      <w:rFonts w:hint="default" w:ascii="Times New Roman" w:hAnsi="Times New Roman" w:cs="Times New Roman"/>
                      <w:color w:val="auto"/>
                      <w:szCs w:val="21"/>
                      <w:highlight w:val="none"/>
                    </w:rPr>
                    <w:t>m</w:t>
                  </w:r>
                  <w:r>
                    <w:rPr>
                      <w:rFonts w:hint="default" w:ascii="Times New Roman" w:hAnsi="Times New Roman" w:cs="Times New Roman"/>
                      <w:color w:val="auto"/>
                      <w:szCs w:val="21"/>
                      <w:highlight w:val="none"/>
                      <w:vertAlign w:val="superscript"/>
                    </w:rPr>
                    <w:t>2</w:t>
                  </w:r>
                  <w:r>
                    <w:rPr>
                      <w:rFonts w:hint="default" w:ascii="Times New Roman" w:hAnsi="Times New Roman" w:cs="Times New Roman"/>
                      <w:color w:val="auto"/>
                      <w:szCs w:val="21"/>
                      <w:highlight w:val="none"/>
                    </w:rPr>
                    <w:t>，</w:t>
                  </w:r>
                  <w:r>
                    <w:rPr>
                      <w:rFonts w:hint="default" w:ascii="Times New Roman" w:hAnsi="Times New Roman" w:cs="Times New Roman"/>
                      <w:color w:val="auto"/>
                      <w:szCs w:val="21"/>
                      <w:highlight w:val="none"/>
                      <w:lang w:val="en-US" w:eastAsia="zh-CN"/>
                    </w:rPr>
                    <w:t>主要包含钢筋加工区（1000</w:t>
                  </w:r>
                  <w:r>
                    <w:rPr>
                      <w:rFonts w:hint="default" w:ascii="Times New Roman" w:hAnsi="Times New Roman" w:cs="Times New Roman"/>
                      <w:color w:val="auto"/>
                      <w:szCs w:val="21"/>
                      <w:highlight w:val="none"/>
                    </w:rPr>
                    <w:t>m</w:t>
                  </w:r>
                  <w:r>
                    <w:rPr>
                      <w:rFonts w:hint="default" w:ascii="Times New Roman" w:hAnsi="Times New Roman" w:cs="Times New Roman"/>
                      <w:color w:val="auto"/>
                      <w:szCs w:val="21"/>
                      <w:highlight w:val="none"/>
                      <w:vertAlign w:val="superscript"/>
                    </w:rPr>
                    <w:t>2</w:t>
                  </w:r>
                  <w:r>
                    <w:rPr>
                      <w:rFonts w:hint="default"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rPr>
                    <w:t>，</w:t>
                  </w:r>
                  <w:r>
                    <w:rPr>
                      <w:rFonts w:hint="default" w:ascii="Times New Roman" w:hAnsi="Times New Roman" w:cs="Times New Roman"/>
                      <w:color w:val="auto"/>
                      <w:szCs w:val="21"/>
                      <w:highlight w:val="none"/>
                      <w:lang w:val="en-US" w:eastAsia="zh-CN"/>
                    </w:rPr>
                    <w:t>轨道板及轨枕自动生产线（含钢筋笼入模、浇筑振捣、脱模及缓存区域等13750</w:t>
                  </w:r>
                  <w:r>
                    <w:rPr>
                      <w:rFonts w:hint="default" w:ascii="Times New Roman" w:hAnsi="Times New Roman" w:cs="Times New Roman"/>
                      <w:color w:val="auto"/>
                      <w:szCs w:val="21"/>
                      <w:highlight w:val="none"/>
                    </w:rPr>
                    <w:t>m</w:t>
                  </w:r>
                  <w:r>
                    <w:rPr>
                      <w:rFonts w:hint="default" w:ascii="Times New Roman" w:hAnsi="Times New Roman" w:cs="Times New Roman"/>
                      <w:color w:val="auto"/>
                      <w:szCs w:val="21"/>
                      <w:highlight w:val="none"/>
                      <w:vertAlign w:val="superscript"/>
                    </w:rPr>
                    <w:t>2</w:t>
                  </w:r>
                  <w:r>
                    <w:rPr>
                      <w:rFonts w:hint="default" w:ascii="Times New Roman" w:hAnsi="Times New Roman" w:cs="Times New Roman"/>
                      <w:color w:val="auto"/>
                      <w:szCs w:val="21"/>
                      <w:highlight w:val="none"/>
                      <w:lang w:val="en-US" w:eastAsia="zh-CN"/>
                    </w:rPr>
                    <w:t>）</w:t>
                  </w:r>
                </w:p>
              </w:tc>
            </w:tr>
            <w:tr w14:paraId="02470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376" w:type="pct"/>
                  <w:vMerge w:val="continue"/>
                  <w:noWrap w:val="0"/>
                  <w:vAlign w:val="center"/>
                </w:tcPr>
                <w:p w14:paraId="5785A28F">
                  <w:pPr>
                    <w:pStyle w:val="29"/>
                    <w:widowControl w:val="0"/>
                    <w:adjustRightInd w:val="0"/>
                    <w:spacing w:before="0" w:after="0"/>
                    <w:jc w:val="center"/>
                    <w:rPr>
                      <w:rFonts w:hint="default" w:ascii="Times New Roman" w:hAnsi="Times New Roman" w:cs="Times New Roman"/>
                      <w:color w:val="auto"/>
                      <w:sz w:val="21"/>
                      <w:szCs w:val="21"/>
                      <w:highlight w:val="none"/>
                      <w:lang w:val="en-US" w:eastAsia="zh-CN"/>
                    </w:rPr>
                  </w:pPr>
                </w:p>
              </w:tc>
              <w:tc>
                <w:tcPr>
                  <w:tcW w:w="1785" w:type="pct"/>
                  <w:gridSpan w:val="2"/>
                  <w:noWrap w:val="0"/>
                  <w:vAlign w:val="center"/>
                </w:tcPr>
                <w:p w14:paraId="4F5B6C40">
                  <w:pPr>
                    <w:jc w:val="center"/>
                    <w:rPr>
                      <w:rFonts w:hint="default" w:ascii="Times New Roman" w:hAnsi="Times New Roman" w:cs="Times New Roman"/>
                      <w:caps/>
                      <w:color w:val="auto"/>
                      <w:szCs w:val="21"/>
                      <w:highlight w:val="none"/>
                      <w:lang w:val="en-US" w:eastAsia="zh-CN"/>
                    </w:rPr>
                  </w:pPr>
                  <w:r>
                    <w:rPr>
                      <w:rFonts w:hint="default" w:ascii="Times New Roman" w:hAnsi="Times New Roman" w:cs="Times New Roman"/>
                      <w:caps/>
                      <w:color w:val="auto"/>
                      <w:szCs w:val="21"/>
                      <w:highlight w:val="none"/>
                      <w:lang w:val="en-US" w:eastAsia="zh-CN"/>
                    </w:rPr>
                    <w:t>搅拌及筒仓区</w:t>
                  </w:r>
                </w:p>
              </w:tc>
              <w:tc>
                <w:tcPr>
                  <w:tcW w:w="2838" w:type="pct"/>
                  <w:noWrap w:val="0"/>
                  <w:vAlign w:val="center"/>
                </w:tcPr>
                <w:p w14:paraId="0295684C">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生产厂房东侧，</w:t>
                  </w:r>
                  <w:r>
                    <w:rPr>
                      <w:rFonts w:hint="default" w:ascii="Times New Roman" w:hAnsi="Times New Roman" w:cs="Times New Roman"/>
                      <w:color w:val="auto"/>
                      <w:szCs w:val="21"/>
                      <w:highlight w:val="none"/>
                    </w:rPr>
                    <w:t>占地面积</w:t>
                  </w:r>
                  <w:r>
                    <w:rPr>
                      <w:rFonts w:hint="default" w:ascii="Times New Roman" w:hAnsi="Times New Roman" w:eastAsia="宋体" w:cs="Times New Roman"/>
                      <w:i w:val="0"/>
                      <w:iCs w:val="0"/>
                      <w:color w:val="auto"/>
                      <w:kern w:val="0"/>
                      <w:sz w:val="21"/>
                      <w:szCs w:val="21"/>
                      <w:highlight w:val="none"/>
                      <w:u w:val="none"/>
                      <w:lang w:val="en-US" w:eastAsia="zh-CN" w:bidi="ar"/>
                    </w:rPr>
                    <w:t>1200</w:t>
                  </w:r>
                  <w:r>
                    <w:rPr>
                      <w:rFonts w:hint="default" w:ascii="Times New Roman" w:hAnsi="Times New Roman" w:cs="Times New Roman"/>
                      <w:color w:val="auto"/>
                      <w:szCs w:val="21"/>
                      <w:highlight w:val="none"/>
                    </w:rPr>
                    <w:t>m</w:t>
                  </w:r>
                  <w:r>
                    <w:rPr>
                      <w:rFonts w:hint="default" w:ascii="Times New Roman" w:hAnsi="Times New Roman" w:cs="Times New Roman"/>
                      <w:color w:val="auto"/>
                      <w:szCs w:val="21"/>
                      <w:highlight w:val="none"/>
                      <w:vertAlign w:val="superscript"/>
                    </w:rPr>
                    <w:t>2</w:t>
                  </w:r>
                  <w:r>
                    <w:rPr>
                      <w:rFonts w:hint="default" w:ascii="Times New Roman" w:hAnsi="Times New Roman" w:cs="Times New Roman"/>
                      <w:color w:val="auto"/>
                      <w:szCs w:val="21"/>
                      <w:highlight w:val="none"/>
                    </w:rPr>
                    <w:t>，建筑面积</w:t>
                  </w:r>
                  <w:r>
                    <w:rPr>
                      <w:rFonts w:hint="default" w:ascii="Times New Roman" w:hAnsi="Times New Roman" w:eastAsia="宋体" w:cs="Times New Roman"/>
                      <w:i w:val="0"/>
                      <w:iCs w:val="0"/>
                      <w:color w:val="auto"/>
                      <w:kern w:val="0"/>
                      <w:sz w:val="21"/>
                      <w:szCs w:val="21"/>
                      <w:highlight w:val="none"/>
                      <w:u w:val="none"/>
                      <w:lang w:val="en-US" w:eastAsia="zh-CN" w:bidi="ar"/>
                    </w:rPr>
                    <w:t>1200</w:t>
                  </w:r>
                  <w:r>
                    <w:rPr>
                      <w:rFonts w:hint="default" w:ascii="Times New Roman" w:hAnsi="Times New Roman" w:cs="Times New Roman"/>
                      <w:color w:val="auto"/>
                      <w:szCs w:val="21"/>
                      <w:highlight w:val="none"/>
                    </w:rPr>
                    <w:t>m</w:t>
                  </w:r>
                  <w:r>
                    <w:rPr>
                      <w:rFonts w:hint="default" w:ascii="Times New Roman" w:hAnsi="Times New Roman" w:cs="Times New Roman"/>
                      <w:color w:val="auto"/>
                      <w:szCs w:val="21"/>
                      <w:highlight w:val="none"/>
                      <w:vertAlign w:val="superscript"/>
                    </w:rPr>
                    <w:t>2</w:t>
                  </w:r>
                </w:p>
              </w:tc>
            </w:tr>
            <w:tr w14:paraId="6D0DC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376" w:type="pct"/>
                  <w:vMerge w:val="continue"/>
                  <w:noWrap w:val="0"/>
                  <w:vAlign w:val="center"/>
                </w:tcPr>
                <w:p w14:paraId="154E6404">
                  <w:pPr>
                    <w:pStyle w:val="29"/>
                    <w:widowControl w:val="0"/>
                    <w:adjustRightInd w:val="0"/>
                    <w:spacing w:before="0" w:after="0"/>
                    <w:jc w:val="center"/>
                    <w:rPr>
                      <w:rFonts w:hint="default" w:ascii="Times New Roman" w:hAnsi="Times New Roman" w:cs="Times New Roman"/>
                      <w:color w:val="auto"/>
                      <w:sz w:val="21"/>
                      <w:szCs w:val="21"/>
                      <w:highlight w:val="none"/>
                      <w:lang w:val="en-US" w:eastAsia="zh-CN"/>
                    </w:rPr>
                  </w:pPr>
                </w:p>
              </w:tc>
              <w:tc>
                <w:tcPr>
                  <w:tcW w:w="1785" w:type="pct"/>
                  <w:gridSpan w:val="2"/>
                  <w:noWrap w:val="0"/>
                  <w:vAlign w:val="center"/>
                </w:tcPr>
                <w:p w14:paraId="58963D23">
                  <w:pPr>
                    <w:keepLines w:val="0"/>
                    <w:pageBreakBefore w:val="0"/>
                    <w:kinsoku/>
                    <w:wordWrap/>
                    <w:topLinePunct w:val="0"/>
                    <w:bidi w:val="0"/>
                    <w:adjustRightInd w:val="0"/>
                    <w:snapToGrid w:val="0"/>
                    <w:jc w:val="center"/>
                    <w:rPr>
                      <w:rFonts w:hint="default" w:ascii="Times New Roman" w:hAnsi="Times New Roman" w:cs="Times New Roman"/>
                      <w:caps/>
                      <w:color w:val="auto"/>
                      <w:szCs w:val="21"/>
                      <w:highlight w:val="none"/>
                      <w:lang w:val="en-US" w:eastAsia="zh-CN"/>
                    </w:rPr>
                  </w:pPr>
                  <w:r>
                    <w:rPr>
                      <w:rFonts w:hint="default" w:ascii="Times New Roman" w:hAnsi="Times New Roman" w:cs="Times New Roman"/>
                      <w:caps/>
                      <w:color w:val="auto"/>
                      <w:szCs w:val="21"/>
                      <w:highlight w:val="none"/>
                      <w:lang w:val="en-US" w:eastAsia="zh-CN"/>
                    </w:rPr>
                    <w:t>锅炉房</w:t>
                  </w:r>
                </w:p>
              </w:tc>
              <w:tc>
                <w:tcPr>
                  <w:tcW w:w="2838" w:type="pct"/>
                  <w:noWrap w:val="0"/>
                  <w:vAlign w:val="center"/>
                </w:tcPr>
                <w:p w14:paraId="3C01AAAA">
                  <w:pPr>
                    <w:jc w:val="center"/>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位于生产厂房东面，占地面积500</w:t>
                  </w:r>
                  <w:r>
                    <w:rPr>
                      <w:rFonts w:hint="default" w:ascii="Times New Roman" w:hAnsi="Times New Roman" w:cs="Times New Roman"/>
                      <w:color w:val="auto"/>
                      <w:szCs w:val="21"/>
                      <w:highlight w:val="none"/>
                    </w:rPr>
                    <w:t>m</w:t>
                  </w:r>
                  <w:r>
                    <w:rPr>
                      <w:rFonts w:hint="default" w:ascii="Times New Roman" w:hAnsi="Times New Roman" w:cs="Times New Roman"/>
                      <w:color w:val="auto"/>
                      <w:szCs w:val="21"/>
                      <w:highlight w:val="none"/>
                      <w:vertAlign w:val="superscript"/>
                    </w:rPr>
                    <w:t>2</w:t>
                  </w:r>
                  <w:r>
                    <w:rPr>
                      <w:rFonts w:hint="default" w:ascii="Times New Roman" w:hAnsi="Times New Roman" w:cs="Times New Roman"/>
                      <w:color w:val="auto"/>
                      <w:kern w:val="0"/>
                      <w:szCs w:val="21"/>
                      <w:highlight w:val="none"/>
                      <w:lang w:val="en-US" w:eastAsia="zh-CN"/>
                    </w:rPr>
                    <w:t>，建筑面积500</w:t>
                  </w:r>
                  <w:r>
                    <w:rPr>
                      <w:rFonts w:hint="default" w:ascii="Times New Roman" w:hAnsi="Times New Roman" w:cs="Times New Roman"/>
                      <w:color w:val="auto"/>
                      <w:szCs w:val="21"/>
                      <w:highlight w:val="none"/>
                    </w:rPr>
                    <w:t>m</w:t>
                  </w:r>
                  <w:r>
                    <w:rPr>
                      <w:rFonts w:hint="default" w:ascii="Times New Roman" w:hAnsi="Times New Roman" w:cs="Times New Roman"/>
                      <w:color w:val="auto"/>
                      <w:szCs w:val="21"/>
                      <w:highlight w:val="none"/>
                      <w:vertAlign w:val="superscript"/>
                    </w:rPr>
                    <w:t>2</w:t>
                  </w:r>
                </w:p>
              </w:tc>
            </w:tr>
            <w:tr w14:paraId="54104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376" w:type="pct"/>
                  <w:vMerge w:val="continue"/>
                  <w:noWrap w:val="0"/>
                  <w:vAlign w:val="center"/>
                </w:tcPr>
                <w:p w14:paraId="19AA0A28">
                  <w:pPr>
                    <w:pStyle w:val="29"/>
                    <w:widowControl w:val="0"/>
                    <w:adjustRightInd w:val="0"/>
                    <w:spacing w:before="0" w:after="0"/>
                    <w:jc w:val="center"/>
                    <w:rPr>
                      <w:rFonts w:hint="default" w:ascii="Times New Roman" w:hAnsi="Times New Roman" w:cs="Times New Roman"/>
                      <w:color w:val="auto"/>
                      <w:sz w:val="21"/>
                      <w:szCs w:val="21"/>
                      <w:highlight w:val="none"/>
                      <w:lang w:val="en-US" w:eastAsia="zh-CN"/>
                    </w:rPr>
                  </w:pPr>
                </w:p>
              </w:tc>
              <w:tc>
                <w:tcPr>
                  <w:tcW w:w="1785" w:type="pct"/>
                  <w:gridSpan w:val="2"/>
                  <w:noWrap w:val="0"/>
                  <w:vAlign w:val="center"/>
                </w:tcPr>
                <w:p w14:paraId="7F81F637">
                  <w:pPr>
                    <w:keepLines w:val="0"/>
                    <w:pageBreakBefore w:val="0"/>
                    <w:kinsoku/>
                    <w:wordWrap/>
                    <w:topLinePunct w:val="0"/>
                    <w:bidi w:val="0"/>
                    <w:adjustRightInd w:val="0"/>
                    <w:snapToGrid w:val="0"/>
                    <w:jc w:val="center"/>
                    <w:rPr>
                      <w:rFonts w:hint="default" w:ascii="Times New Roman" w:hAnsi="Times New Roman" w:cs="Times New Roman"/>
                      <w:caps/>
                      <w:color w:val="auto"/>
                      <w:szCs w:val="21"/>
                      <w:highlight w:val="none"/>
                      <w:lang w:val="en-US" w:eastAsia="zh-CN"/>
                    </w:rPr>
                  </w:pPr>
                  <w:r>
                    <w:rPr>
                      <w:rFonts w:hint="default" w:ascii="Times New Roman" w:hAnsi="Times New Roman" w:cs="Times New Roman"/>
                      <w:caps/>
                      <w:color w:val="auto"/>
                      <w:szCs w:val="21"/>
                      <w:highlight w:val="none"/>
                      <w:lang w:val="en-US" w:eastAsia="zh-CN"/>
                    </w:rPr>
                    <w:t>配电房</w:t>
                  </w:r>
                </w:p>
              </w:tc>
              <w:tc>
                <w:tcPr>
                  <w:tcW w:w="2838" w:type="pct"/>
                  <w:shd w:val="clear" w:color="auto" w:fill="auto"/>
                  <w:noWrap w:val="0"/>
                  <w:vAlign w:val="center"/>
                </w:tcPr>
                <w:p w14:paraId="66B11899">
                  <w:pPr>
                    <w:jc w:val="center"/>
                    <w:rPr>
                      <w:rFonts w:hint="default" w:ascii="Times New Roman" w:hAnsi="Times New Roman" w:cs="Times New Roman" w:eastAsiaTheme="minorEastAsia"/>
                      <w:color w:val="auto"/>
                      <w:kern w:val="0"/>
                      <w:sz w:val="21"/>
                      <w:szCs w:val="21"/>
                      <w:highlight w:val="none"/>
                      <w:lang w:val="en-US" w:eastAsia="zh-CN" w:bidi="ar-SA"/>
                    </w:rPr>
                  </w:pPr>
                  <w:r>
                    <w:rPr>
                      <w:rFonts w:hint="default" w:ascii="Times New Roman" w:hAnsi="Times New Roman" w:cs="Times New Roman"/>
                      <w:color w:val="auto"/>
                      <w:kern w:val="0"/>
                      <w:szCs w:val="21"/>
                      <w:highlight w:val="none"/>
                      <w:lang w:val="en-US" w:eastAsia="zh-CN"/>
                    </w:rPr>
                    <w:t>位于生产厂房东面，占地面积900</w:t>
                  </w:r>
                  <w:r>
                    <w:rPr>
                      <w:rFonts w:hint="default" w:ascii="Times New Roman" w:hAnsi="Times New Roman" w:cs="Times New Roman"/>
                      <w:color w:val="auto"/>
                      <w:szCs w:val="21"/>
                      <w:highlight w:val="none"/>
                    </w:rPr>
                    <w:t>m</w:t>
                  </w:r>
                  <w:r>
                    <w:rPr>
                      <w:rFonts w:hint="default" w:ascii="Times New Roman" w:hAnsi="Times New Roman" w:cs="Times New Roman"/>
                      <w:color w:val="auto"/>
                      <w:szCs w:val="21"/>
                      <w:highlight w:val="none"/>
                      <w:vertAlign w:val="superscript"/>
                    </w:rPr>
                    <w:t>2</w:t>
                  </w:r>
                  <w:r>
                    <w:rPr>
                      <w:rFonts w:hint="default" w:ascii="Times New Roman" w:hAnsi="Times New Roman" w:cs="Times New Roman"/>
                      <w:color w:val="auto"/>
                      <w:kern w:val="0"/>
                      <w:szCs w:val="21"/>
                      <w:highlight w:val="none"/>
                      <w:lang w:val="en-US" w:eastAsia="zh-CN"/>
                    </w:rPr>
                    <w:t>，建筑面积900</w:t>
                  </w:r>
                  <w:r>
                    <w:rPr>
                      <w:rFonts w:hint="default" w:ascii="Times New Roman" w:hAnsi="Times New Roman" w:cs="Times New Roman"/>
                      <w:color w:val="auto"/>
                      <w:szCs w:val="21"/>
                      <w:highlight w:val="none"/>
                    </w:rPr>
                    <w:t>m</w:t>
                  </w:r>
                  <w:r>
                    <w:rPr>
                      <w:rFonts w:hint="default" w:ascii="Times New Roman" w:hAnsi="Times New Roman" w:cs="Times New Roman"/>
                      <w:color w:val="auto"/>
                      <w:szCs w:val="21"/>
                      <w:highlight w:val="none"/>
                      <w:vertAlign w:val="superscript"/>
                    </w:rPr>
                    <w:t>2</w:t>
                  </w:r>
                </w:p>
              </w:tc>
            </w:tr>
            <w:tr w14:paraId="6A339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376" w:type="pct"/>
                  <w:vMerge w:val="continue"/>
                  <w:noWrap w:val="0"/>
                  <w:vAlign w:val="center"/>
                </w:tcPr>
                <w:p w14:paraId="497D4D1B">
                  <w:pPr>
                    <w:pStyle w:val="29"/>
                    <w:widowControl w:val="0"/>
                    <w:adjustRightInd w:val="0"/>
                    <w:spacing w:before="0" w:after="0"/>
                    <w:jc w:val="center"/>
                    <w:rPr>
                      <w:rFonts w:hint="default" w:ascii="Times New Roman" w:hAnsi="Times New Roman" w:cs="Times New Roman"/>
                      <w:color w:val="auto"/>
                      <w:sz w:val="21"/>
                      <w:szCs w:val="21"/>
                      <w:highlight w:val="none"/>
                      <w:lang w:val="en-US" w:eastAsia="zh-CN"/>
                    </w:rPr>
                  </w:pPr>
                </w:p>
              </w:tc>
              <w:tc>
                <w:tcPr>
                  <w:tcW w:w="1785" w:type="pct"/>
                  <w:gridSpan w:val="2"/>
                  <w:noWrap w:val="0"/>
                  <w:vAlign w:val="center"/>
                </w:tcPr>
                <w:p w14:paraId="56ADA59C">
                  <w:pPr>
                    <w:keepLines w:val="0"/>
                    <w:pageBreakBefore w:val="0"/>
                    <w:kinsoku/>
                    <w:wordWrap/>
                    <w:topLinePunct w:val="0"/>
                    <w:bidi w:val="0"/>
                    <w:adjustRightInd w:val="0"/>
                    <w:snapToGrid w:val="0"/>
                    <w:jc w:val="center"/>
                    <w:rPr>
                      <w:rFonts w:hint="default" w:ascii="Times New Roman" w:hAnsi="Times New Roman" w:cs="Times New Roman"/>
                      <w:caps/>
                      <w:color w:val="auto"/>
                      <w:szCs w:val="21"/>
                      <w:highlight w:val="none"/>
                      <w:lang w:val="en-US" w:eastAsia="zh-CN"/>
                    </w:rPr>
                  </w:pPr>
                  <w:r>
                    <w:rPr>
                      <w:rFonts w:hint="default" w:ascii="Times New Roman" w:hAnsi="Times New Roman" w:cs="Times New Roman"/>
                      <w:caps/>
                      <w:color w:val="auto"/>
                      <w:szCs w:val="21"/>
                      <w:highlight w:val="none"/>
                      <w:lang w:val="en-US" w:eastAsia="zh-CN"/>
                    </w:rPr>
                    <w:t>空压机房</w:t>
                  </w:r>
                </w:p>
              </w:tc>
              <w:tc>
                <w:tcPr>
                  <w:tcW w:w="2838" w:type="pct"/>
                  <w:shd w:val="clear" w:color="auto" w:fill="auto"/>
                  <w:noWrap w:val="0"/>
                  <w:vAlign w:val="center"/>
                </w:tcPr>
                <w:p w14:paraId="16838575">
                  <w:pPr>
                    <w:jc w:val="center"/>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位于初期雨水池西面，占地面积100</w:t>
                  </w:r>
                  <w:r>
                    <w:rPr>
                      <w:rFonts w:hint="default" w:ascii="Times New Roman" w:hAnsi="Times New Roman" w:cs="Times New Roman"/>
                      <w:color w:val="auto"/>
                      <w:szCs w:val="21"/>
                      <w:highlight w:val="none"/>
                    </w:rPr>
                    <w:t>m</w:t>
                  </w:r>
                  <w:r>
                    <w:rPr>
                      <w:rFonts w:hint="default" w:ascii="Times New Roman" w:hAnsi="Times New Roman" w:cs="Times New Roman"/>
                      <w:color w:val="auto"/>
                      <w:szCs w:val="21"/>
                      <w:highlight w:val="none"/>
                      <w:vertAlign w:val="superscript"/>
                    </w:rPr>
                    <w:t>2</w:t>
                  </w:r>
                  <w:r>
                    <w:rPr>
                      <w:rFonts w:hint="default" w:ascii="Times New Roman" w:hAnsi="Times New Roman" w:cs="Times New Roman"/>
                      <w:color w:val="auto"/>
                      <w:kern w:val="0"/>
                      <w:szCs w:val="21"/>
                      <w:highlight w:val="none"/>
                      <w:lang w:val="en-US" w:eastAsia="zh-CN"/>
                    </w:rPr>
                    <w:t>，建筑面积100</w:t>
                  </w:r>
                  <w:r>
                    <w:rPr>
                      <w:rFonts w:hint="default" w:ascii="Times New Roman" w:hAnsi="Times New Roman" w:cs="Times New Roman"/>
                      <w:color w:val="auto"/>
                      <w:szCs w:val="21"/>
                      <w:highlight w:val="none"/>
                    </w:rPr>
                    <w:t>m</w:t>
                  </w:r>
                  <w:r>
                    <w:rPr>
                      <w:rFonts w:hint="default" w:ascii="Times New Roman" w:hAnsi="Times New Roman" w:cs="Times New Roman"/>
                      <w:color w:val="auto"/>
                      <w:szCs w:val="21"/>
                      <w:highlight w:val="none"/>
                      <w:vertAlign w:val="superscript"/>
                    </w:rPr>
                    <w:t>2</w:t>
                  </w:r>
                </w:p>
              </w:tc>
            </w:tr>
            <w:tr w14:paraId="20BC7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376" w:type="pct"/>
                  <w:vMerge w:val="restart"/>
                  <w:noWrap w:val="0"/>
                  <w:vAlign w:val="center"/>
                </w:tcPr>
                <w:p w14:paraId="56990B83">
                  <w:pPr>
                    <w:pStyle w:val="29"/>
                    <w:widowControl w:val="0"/>
                    <w:adjustRightInd w:val="0"/>
                    <w:spacing w:before="0" w:beforeAutospacing="0" w:after="0" w:afterAutospacing="0"/>
                    <w:jc w:val="center"/>
                    <w:rPr>
                      <w:rFonts w:hint="default" w:ascii="Times New Roman" w:hAnsi="Times New Roman" w:eastAsia="等线"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储运工程</w:t>
                  </w:r>
                </w:p>
              </w:tc>
              <w:tc>
                <w:tcPr>
                  <w:tcW w:w="1785" w:type="pct"/>
                  <w:gridSpan w:val="2"/>
                  <w:noWrap w:val="0"/>
                  <w:vAlign w:val="center"/>
                </w:tcPr>
                <w:p w14:paraId="185F5F48">
                  <w:pPr>
                    <w:jc w:val="center"/>
                    <w:rPr>
                      <w:rFonts w:hint="default" w:ascii="Times New Roman" w:hAnsi="Times New Roman" w:eastAsia="宋体" w:cs="Times New Roman"/>
                      <w:bCs/>
                      <w:color w:val="auto"/>
                      <w:szCs w:val="21"/>
                      <w:highlight w:val="none"/>
                      <w:lang w:eastAsia="zh-CN"/>
                    </w:rPr>
                  </w:pPr>
                  <w:r>
                    <w:rPr>
                      <w:rFonts w:hint="default" w:ascii="Times New Roman" w:hAnsi="Times New Roman" w:cs="Times New Roman"/>
                      <w:bCs/>
                      <w:color w:val="auto"/>
                      <w:szCs w:val="21"/>
                      <w:highlight w:val="none"/>
                    </w:rPr>
                    <w:t>成品堆场</w:t>
                  </w:r>
                </w:p>
              </w:tc>
              <w:tc>
                <w:tcPr>
                  <w:tcW w:w="2838" w:type="pct"/>
                  <w:noWrap w:val="0"/>
                  <w:vAlign w:val="center"/>
                </w:tcPr>
                <w:p w14:paraId="6BD9DBAD">
                  <w:pPr>
                    <w:jc w:val="center"/>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位于</w:t>
                  </w:r>
                  <w:r>
                    <w:rPr>
                      <w:rFonts w:hint="default" w:ascii="Times New Roman" w:hAnsi="Times New Roman" w:cs="Times New Roman"/>
                      <w:color w:val="auto"/>
                      <w:szCs w:val="21"/>
                      <w:highlight w:val="none"/>
                      <w:lang w:val="en-US" w:eastAsia="zh-CN"/>
                    </w:rPr>
                    <w:t>厂区东侧</w:t>
                  </w:r>
                  <w:r>
                    <w:rPr>
                      <w:rFonts w:hint="default" w:ascii="Times New Roman" w:hAnsi="Times New Roman" w:cs="Times New Roman"/>
                      <w:color w:val="auto"/>
                      <w:szCs w:val="21"/>
                      <w:highlight w:val="none"/>
                    </w:rPr>
                    <w:t>，总占地面积</w:t>
                  </w:r>
                  <w:r>
                    <w:rPr>
                      <w:rFonts w:hint="default" w:ascii="Times New Roman" w:hAnsi="Times New Roman" w:eastAsia="宋体" w:cs="Times New Roman"/>
                      <w:i w:val="0"/>
                      <w:iCs w:val="0"/>
                      <w:color w:val="auto"/>
                      <w:kern w:val="0"/>
                      <w:sz w:val="21"/>
                      <w:szCs w:val="21"/>
                      <w:highlight w:val="none"/>
                      <w:u w:val="none"/>
                      <w:lang w:val="en-US" w:eastAsia="zh-CN" w:bidi="ar"/>
                    </w:rPr>
                    <w:t>15000</w:t>
                  </w:r>
                  <w:r>
                    <w:rPr>
                      <w:rFonts w:hint="default" w:ascii="Times New Roman" w:hAnsi="Times New Roman" w:cs="Times New Roman"/>
                      <w:color w:val="auto"/>
                      <w:szCs w:val="21"/>
                      <w:highlight w:val="none"/>
                    </w:rPr>
                    <w:t>m</w:t>
                  </w:r>
                  <w:r>
                    <w:rPr>
                      <w:rFonts w:hint="default" w:ascii="Times New Roman" w:hAnsi="Times New Roman" w:cs="Times New Roman"/>
                      <w:color w:val="auto"/>
                      <w:szCs w:val="21"/>
                      <w:highlight w:val="none"/>
                      <w:vertAlign w:val="superscript"/>
                    </w:rPr>
                    <w:t>2</w:t>
                  </w:r>
                </w:p>
              </w:tc>
            </w:tr>
            <w:tr w14:paraId="7FA16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376" w:type="pct"/>
                  <w:vMerge w:val="continue"/>
                  <w:noWrap w:val="0"/>
                  <w:vAlign w:val="center"/>
                </w:tcPr>
                <w:p w14:paraId="45D580C3">
                  <w:pPr>
                    <w:pStyle w:val="29"/>
                    <w:widowControl w:val="0"/>
                    <w:adjustRightInd w:val="0"/>
                    <w:spacing w:before="0" w:beforeAutospacing="0" w:after="0" w:afterAutospacing="0"/>
                    <w:jc w:val="center"/>
                    <w:rPr>
                      <w:rFonts w:hint="default" w:ascii="Times New Roman" w:hAnsi="Times New Roman" w:cs="Times New Roman"/>
                      <w:color w:val="auto"/>
                      <w:sz w:val="21"/>
                      <w:szCs w:val="21"/>
                      <w:highlight w:val="none"/>
                      <w:lang w:val="en-US" w:eastAsia="zh-CN"/>
                    </w:rPr>
                  </w:pPr>
                </w:p>
              </w:tc>
              <w:tc>
                <w:tcPr>
                  <w:tcW w:w="1785" w:type="pct"/>
                  <w:gridSpan w:val="2"/>
                  <w:noWrap w:val="0"/>
                  <w:vAlign w:val="center"/>
                </w:tcPr>
                <w:p w14:paraId="33DCB1ED">
                  <w:pPr>
                    <w:jc w:val="center"/>
                    <w:rPr>
                      <w:rFonts w:hint="default" w:ascii="Times New Roman" w:hAnsi="Times New Roman" w:cs="Times New Roman"/>
                      <w:bCs/>
                      <w:color w:val="auto"/>
                      <w:szCs w:val="21"/>
                      <w:highlight w:val="none"/>
                    </w:rPr>
                  </w:pPr>
                  <w:r>
                    <w:rPr>
                      <w:rFonts w:hint="default" w:ascii="Times New Roman" w:hAnsi="Times New Roman" w:cs="Times New Roman"/>
                      <w:color w:val="auto"/>
                      <w:szCs w:val="21"/>
                      <w:highlight w:val="none"/>
                      <w:lang w:val="en-US" w:eastAsia="zh-CN"/>
                    </w:rPr>
                    <w:t>钢筋堆放区</w:t>
                  </w:r>
                </w:p>
              </w:tc>
              <w:tc>
                <w:tcPr>
                  <w:tcW w:w="2838" w:type="pct"/>
                  <w:noWrap w:val="0"/>
                  <w:vAlign w:val="center"/>
                </w:tcPr>
                <w:p w14:paraId="13E1746F">
                  <w:pPr>
                    <w:jc w:val="center"/>
                    <w:rPr>
                      <w:rFonts w:hint="default" w:ascii="Times New Roman" w:hAnsi="Times New Roman" w:cs="Times New Roman"/>
                      <w:color w:val="auto"/>
                      <w:szCs w:val="21"/>
                      <w:highlight w:val="none"/>
                      <w:lang w:val="en-US"/>
                    </w:rPr>
                  </w:pPr>
                  <w:r>
                    <w:rPr>
                      <w:rFonts w:hint="default" w:ascii="Times New Roman" w:hAnsi="Times New Roman" w:cs="Times New Roman"/>
                      <w:color w:val="auto"/>
                      <w:szCs w:val="21"/>
                      <w:highlight w:val="none"/>
                      <w:lang w:val="en-US" w:eastAsia="zh-CN"/>
                    </w:rPr>
                    <w:t>位于生产厂房西侧，占地面积700</w:t>
                  </w:r>
                  <w:r>
                    <w:rPr>
                      <w:rFonts w:hint="default" w:ascii="Times New Roman" w:hAnsi="Times New Roman" w:cs="Times New Roman"/>
                      <w:color w:val="auto"/>
                      <w:szCs w:val="21"/>
                      <w:highlight w:val="none"/>
                    </w:rPr>
                    <w:t>m</w:t>
                  </w:r>
                  <w:r>
                    <w:rPr>
                      <w:rFonts w:hint="default" w:ascii="Times New Roman" w:hAnsi="Times New Roman" w:cs="Times New Roman"/>
                      <w:color w:val="auto"/>
                      <w:szCs w:val="21"/>
                      <w:highlight w:val="none"/>
                      <w:vertAlign w:val="superscript"/>
                    </w:rPr>
                    <w:t>2</w:t>
                  </w:r>
                  <w:r>
                    <w:rPr>
                      <w:rFonts w:hint="default" w:ascii="Times New Roman" w:hAnsi="Times New Roman" w:cs="Times New Roman"/>
                      <w:color w:val="auto"/>
                      <w:szCs w:val="21"/>
                      <w:highlight w:val="none"/>
                      <w:lang w:val="en-US" w:eastAsia="zh-CN"/>
                    </w:rPr>
                    <w:t>，建筑面积700</w:t>
                  </w:r>
                  <w:r>
                    <w:rPr>
                      <w:rFonts w:hint="default" w:ascii="Times New Roman" w:hAnsi="Times New Roman" w:cs="Times New Roman"/>
                      <w:color w:val="auto"/>
                      <w:szCs w:val="21"/>
                      <w:highlight w:val="none"/>
                    </w:rPr>
                    <w:t>m</w:t>
                  </w:r>
                  <w:r>
                    <w:rPr>
                      <w:rFonts w:hint="default" w:ascii="Times New Roman" w:hAnsi="Times New Roman" w:cs="Times New Roman"/>
                      <w:color w:val="auto"/>
                      <w:szCs w:val="21"/>
                      <w:highlight w:val="none"/>
                      <w:vertAlign w:val="superscript"/>
                    </w:rPr>
                    <w:t>2</w:t>
                  </w:r>
                  <w:r>
                    <w:rPr>
                      <w:rFonts w:hint="default" w:ascii="Times New Roman" w:hAnsi="Times New Roman" w:cs="Times New Roman"/>
                      <w:color w:val="auto"/>
                      <w:szCs w:val="21"/>
                      <w:highlight w:val="none"/>
                      <w:lang w:val="en-US" w:eastAsia="zh-CN"/>
                    </w:rPr>
                    <w:t>，主要用于钢筋暂存</w:t>
                  </w:r>
                </w:p>
              </w:tc>
            </w:tr>
            <w:tr w14:paraId="3F978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376" w:type="pct"/>
                  <w:vMerge w:val="continue"/>
                  <w:noWrap w:val="0"/>
                  <w:vAlign w:val="center"/>
                </w:tcPr>
                <w:p w14:paraId="2C2ED522">
                  <w:pPr>
                    <w:pStyle w:val="29"/>
                    <w:widowControl w:val="0"/>
                    <w:adjustRightInd w:val="0"/>
                    <w:spacing w:before="0" w:beforeAutospacing="0" w:after="0" w:afterAutospacing="0"/>
                    <w:jc w:val="center"/>
                    <w:rPr>
                      <w:rFonts w:hint="default" w:ascii="Times New Roman" w:hAnsi="Times New Roman" w:cs="Times New Roman"/>
                      <w:color w:val="auto"/>
                      <w:sz w:val="21"/>
                      <w:szCs w:val="21"/>
                      <w:highlight w:val="none"/>
                      <w:lang w:val="en-US" w:eastAsia="zh-CN"/>
                    </w:rPr>
                  </w:pPr>
                </w:p>
              </w:tc>
              <w:tc>
                <w:tcPr>
                  <w:tcW w:w="1785" w:type="pct"/>
                  <w:gridSpan w:val="2"/>
                  <w:noWrap w:val="0"/>
                  <w:vAlign w:val="center"/>
                </w:tcPr>
                <w:p w14:paraId="58D5F02A">
                  <w:pPr>
                    <w:jc w:val="center"/>
                    <w:rPr>
                      <w:rFonts w:hint="default" w:ascii="Times New Roman" w:hAnsi="Times New Roman" w:cs="Times New Roman"/>
                      <w:bCs/>
                      <w:color w:val="auto"/>
                      <w:szCs w:val="21"/>
                      <w:highlight w:val="none"/>
                    </w:rPr>
                  </w:pPr>
                  <w:r>
                    <w:rPr>
                      <w:rFonts w:hint="default" w:ascii="Times New Roman" w:hAnsi="Times New Roman" w:cs="Times New Roman"/>
                      <w:color w:val="auto"/>
                      <w:szCs w:val="21"/>
                      <w:highlight w:val="none"/>
                      <w:lang w:val="en-US" w:eastAsia="zh-CN"/>
                    </w:rPr>
                    <w:t>原料仓</w:t>
                  </w:r>
                </w:p>
              </w:tc>
              <w:tc>
                <w:tcPr>
                  <w:tcW w:w="2838" w:type="pct"/>
                  <w:noWrap w:val="0"/>
                  <w:vAlign w:val="center"/>
                </w:tcPr>
                <w:p w14:paraId="495DB081">
                  <w:pPr>
                    <w:jc w:val="center"/>
                    <w:rPr>
                      <w:rFonts w:hint="default" w:ascii="Times New Roman" w:hAnsi="Times New Roman" w:cs="Times New Roman"/>
                      <w:color w:val="auto"/>
                      <w:szCs w:val="21"/>
                      <w:highlight w:val="none"/>
                      <w:lang w:val="en-US"/>
                    </w:rPr>
                  </w:pPr>
                  <w:r>
                    <w:rPr>
                      <w:rFonts w:hint="default" w:ascii="Times New Roman" w:hAnsi="Times New Roman" w:cs="Times New Roman"/>
                      <w:color w:val="auto"/>
                      <w:szCs w:val="21"/>
                      <w:highlight w:val="none"/>
                      <w:lang w:val="en-US" w:eastAsia="zh-CN"/>
                    </w:rPr>
                    <w:t>位于生产厂房内西南侧，占地面积200</w:t>
                  </w:r>
                  <w:r>
                    <w:rPr>
                      <w:rFonts w:hint="default" w:ascii="Times New Roman" w:hAnsi="Times New Roman" w:cs="Times New Roman"/>
                      <w:color w:val="auto"/>
                      <w:szCs w:val="21"/>
                      <w:highlight w:val="none"/>
                    </w:rPr>
                    <w:t>m</w:t>
                  </w:r>
                  <w:r>
                    <w:rPr>
                      <w:rFonts w:hint="default" w:ascii="Times New Roman" w:hAnsi="Times New Roman" w:cs="Times New Roman"/>
                      <w:color w:val="auto"/>
                      <w:szCs w:val="21"/>
                      <w:highlight w:val="none"/>
                      <w:vertAlign w:val="superscript"/>
                    </w:rPr>
                    <w:t>2</w:t>
                  </w:r>
                  <w:r>
                    <w:rPr>
                      <w:rFonts w:hint="default" w:ascii="Times New Roman" w:hAnsi="Times New Roman" w:cs="Times New Roman"/>
                      <w:color w:val="auto"/>
                      <w:szCs w:val="21"/>
                      <w:highlight w:val="none"/>
                      <w:lang w:val="en-US" w:eastAsia="zh-CN"/>
                    </w:rPr>
                    <w:t>，建筑面积200</w:t>
                  </w:r>
                  <w:r>
                    <w:rPr>
                      <w:rFonts w:hint="default" w:ascii="Times New Roman" w:hAnsi="Times New Roman" w:cs="Times New Roman"/>
                      <w:color w:val="auto"/>
                      <w:szCs w:val="21"/>
                      <w:highlight w:val="none"/>
                    </w:rPr>
                    <w:t>m</w:t>
                  </w:r>
                  <w:r>
                    <w:rPr>
                      <w:rFonts w:hint="default" w:ascii="Times New Roman" w:hAnsi="Times New Roman" w:cs="Times New Roman"/>
                      <w:color w:val="auto"/>
                      <w:szCs w:val="21"/>
                      <w:highlight w:val="none"/>
                      <w:vertAlign w:val="superscript"/>
                    </w:rPr>
                    <w:t>2</w:t>
                  </w:r>
                </w:p>
              </w:tc>
            </w:tr>
            <w:tr w14:paraId="213D6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376" w:type="pct"/>
                  <w:vMerge w:val="continue"/>
                  <w:noWrap w:val="0"/>
                  <w:vAlign w:val="center"/>
                </w:tcPr>
                <w:p w14:paraId="58DCD09D">
                  <w:pPr>
                    <w:pStyle w:val="29"/>
                    <w:widowControl w:val="0"/>
                    <w:adjustRightInd w:val="0"/>
                    <w:spacing w:before="0" w:beforeAutospacing="0" w:after="0" w:afterAutospacing="0"/>
                    <w:jc w:val="center"/>
                    <w:rPr>
                      <w:rFonts w:hint="default" w:ascii="Times New Roman" w:hAnsi="Times New Roman" w:cs="Times New Roman"/>
                      <w:color w:val="auto"/>
                      <w:sz w:val="21"/>
                      <w:szCs w:val="21"/>
                      <w:highlight w:val="none"/>
                      <w:lang w:val="en-US" w:eastAsia="zh-CN"/>
                    </w:rPr>
                  </w:pPr>
                </w:p>
              </w:tc>
              <w:tc>
                <w:tcPr>
                  <w:tcW w:w="1785" w:type="pct"/>
                  <w:gridSpan w:val="2"/>
                  <w:noWrap w:val="0"/>
                  <w:vAlign w:val="center"/>
                </w:tcPr>
                <w:p w14:paraId="169888F4">
                  <w:pPr>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bCs/>
                      <w:color w:val="auto"/>
                      <w:szCs w:val="21"/>
                      <w:highlight w:val="none"/>
                    </w:rPr>
                    <w:t>砂</w:t>
                  </w:r>
                  <w:r>
                    <w:rPr>
                      <w:rFonts w:hint="default" w:ascii="Times New Roman" w:hAnsi="Times New Roman" w:cs="Times New Roman"/>
                      <w:bCs/>
                      <w:color w:val="auto"/>
                      <w:szCs w:val="21"/>
                      <w:highlight w:val="none"/>
                      <w:lang w:val="en-US" w:eastAsia="zh-CN"/>
                    </w:rPr>
                    <w:t>料仓</w:t>
                  </w:r>
                </w:p>
              </w:tc>
              <w:tc>
                <w:tcPr>
                  <w:tcW w:w="2838" w:type="pct"/>
                  <w:noWrap w:val="0"/>
                  <w:vAlign w:val="center"/>
                </w:tcPr>
                <w:p w14:paraId="686F827E">
                  <w:pPr>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kern w:val="0"/>
                      <w:szCs w:val="21"/>
                      <w:highlight w:val="none"/>
                      <w:lang w:val="en-US" w:eastAsia="zh-CN"/>
                    </w:rPr>
                    <w:t>四周</w:t>
                  </w:r>
                  <w:r>
                    <w:rPr>
                      <w:rFonts w:hint="eastAsia" w:ascii="Times New Roman" w:hAnsi="Times New Roman" w:cs="Times New Roman"/>
                      <w:color w:val="auto"/>
                      <w:kern w:val="0"/>
                      <w:szCs w:val="21"/>
                      <w:highlight w:val="none"/>
                      <w:lang w:val="en-US" w:eastAsia="zh-CN"/>
                    </w:rPr>
                    <w:t>及顶部</w:t>
                  </w:r>
                  <w:r>
                    <w:rPr>
                      <w:rFonts w:hint="default" w:ascii="Times New Roman" w:hAnsi="Times New Roman" w:cs="Times New Roman"/>
                      <w:color w:val="auto"/>
                      <w:kern w:val="0"/>
                      <w:szCs w:val="21"/>
                      <w:highlight w:val="none"/>
                      <w:lang w:val="en-US" w:eastAsia="zh-CN"/>
                    </w:rPr>
                    <w:t>均围蔽</w:t>
                  </w:r>
                  <w:r>
                    <w:rPr>
                      <w:rFonts w:hint="default" w:ascii="Times New Roman" w:hAnsi="Times New Roman" w:cs="Times New Roman"/>
                      <w:color w:val="auto"/>
                      <w:kern w:val="0"/>
                      <w:szCs w:val="21"/>
                      <w:highlight w:val="none"/>
                      <w:lang w:eastAsia="zh-CN"/>
                    </w:rPr>
                    <w:t>，</w:t>
                  </w:r>
                  <w:r>
                    <w:rPr>
                      <w:rFonts w:hint="default" w:ascii="Times New Roman" w:hAnsi="Times New Roman" w:cs="Times New Roman"/>
                      <w:color w:val="auto"/>
                      <w:szCs w:val="21"/>
                      <w:highlight w:val="none"/>
                      <w:lang w:val="en-US" w:eastAsia="zh-CN"/>
                    </w:rPr>
                    <w:t>占地面积1200</w:t>
                  </w:r>
                  <w:r>
                    <w:rPr>
                      <w:rFonts w:hint="default" w:ascii="Times New Roman" w:hAnsi="Times New Roman" w:cs="Times New Roman"/>
                      <w:color w:val="auto"/>
                      <w:szCs w:val="21"/>
                      <w:highlight w:val="none"/>
                    </w:rPr>
                    <w:t>m</w:t>
                  </w:r>
                  <w:r>
                    <w:rPr>
                      <w:rFonts w:hint="default" w:ascii="Times New Roman" w:hAnsi="Times New Roman" w:cs="Times New Roman"/>
                      <w:color w:val="auto"/>
                      <w:szCs w:val="21"/>
                      <w:highlight w:val="none"/>
                      <w:vertAlign w:val="superscript"/>
                    </w:rPr>
                    <w:t>2</w:t>
                  </w:r>
                  <w:r>
                    <w:rPr>
                      <w:rFonts w:hint="default" w:ascii="Times New Roman" w:hAnsi="Times New Roman" w:cs="Times New Roman"/>
                      <w:color w:val="auto"/>
                      <w:szCs w:val="21"/>
                      <w:highlight w:val="none"/>
                      <w:lang w:val="en-US" w:eastAsia="zh-CN"/>
                    </w:rPr>
                    <w:t>，建筑面积</w:t>
                  </w:r>
                  <w:r>
                    <w:rPr>
                      <w:rFonts w:hint="eastAsia" w:ascii="Times New Roman" w:hAnsi="Times New Roman" w:cs="Times New Roman"/>
                      <w:color w:val="auto"/>
                      <w:szCs w:val="21"/>
                      <w:highlight w:val="none"/>
                      <w:lang w:val="en-US" w:eastAsia="zh-CN"/>
                    </w:rPr>
                    <w:t>1</w:t>
                  </w:r>
                  <w:r>
                    <w:rPr>
                      <w:rFonts w:hint="default" w:ascii="Times New Roman" w:hAnsi="Times New Roman" w:cs="Times New Roman"/>
                      <w:color w:val="auto"/>
                      <w:szCs w:val="21"/>
                      <w:highlight w:val="none"/>
                      <w:lang w:val="en-US" w:eastAsia="zh-CN"/>
                    </w:rPr>
                    <w:t>200</w:t>
                  </w:r>
                  <w:r>
                    <w:rPr>
                      <w:rFonts w:hint="default" w:ascii="Times New Roman" w:hAnsi="Times New Roman" w:cs="Times New Roman"/>
                      <w:color w:val="auto"/>
                      <w:szCs w:val="21"/>
                      <w:highlight w:val="none"/>
                    </w:rPr>
                    <w:t>m</w:t>
                  </w:r>
                  <w:r>
                    <w:rPr>
                      <w:rFonts w:hint="default" w:ascii="Times New Roman" w:hAnsi="Times New Roman" w:cs="Times New Roman"/>
                      <w:color w:val="auto"/>
                      <w:szCs w:val="21"/>
                      <w:highlight w:val="none"/>
                      <w:vertAlign w:val="superscript"/>
                    </w:rPr>
                    <w:t>2</w:t>
                  </w:r>
                </w:p>
              </w:tc>
            </w:tr>
            <w:tr w14:paraId="60EDE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376" w:type="pct"/>
                  <w:vMerge w:val="continue"/>
                  <w:noWrap w:val="0"/>
                  <w:vAlign w:val="center"/>
                </w:tcPr>
                <w:p w14:paraId="20A6A99C">
                  <w:pPr>
                    <w:pStyle w:val="29"/>
                    <w:widowControl w:val="0"/>
                    <w:adjustRightInd w:val="0"/>
                    <w:spacing w:before="0" w:beforeAutospacing="0" w:after="0" w:afterAutospacing="0"/>
                    <w:jc w:val="center"/>
                    <w:rPr>
                      <w:rFonts w:hint="default" w:ascii="Times New Roman" w:hAnsi="Times New Roman" w:cs="Times New Roman"/>
                      <w:color w:val="auto"/>
                      <w:sz w:val="21"/>
                      <w:szCs w:val="21"/>
                      <w:highlight w:val="none"/>
                      <w:lang w:val="en-US" w:eastAsia="zh-CN"/>
                    </w:rPr>
                  </w:pPr>
                </w:p>
              </w:tc>
              <w:tc>
                <w:tcPr>
                  <w:tcW w:w="1785" w:type="pct"/>
                  <w:gridSpan w:val="2"/>
                  <w:noWrap w:val="0"/>
                  <w:vAlign w:val="center"/>
                </w:tcPr>
                <w:p w14:paraId="6E63816D">
                  <w:pPr>
                    <w:jc w:val="center"/>
                    <w:rPr>
                      <w:rFonts w:hint="default" w:ascii="Times New Roman" w:hAnsi="Times New Roman" w:cs="Times New Roman" w:eastAsiaTheme="minorEastAsia"/>
                      <w:bCs/>
                      <w:color w:val="auto"/>
                      <w:szCs w:val="21"/>
                      <w:highlight w:val="none"/>
                      <w:lang w:val="en-US" w:eastAsia="zh-CN"/>
                    </w:rPr>
                  </w:pPr>
                  <w:r>
                    <w:rPr>
                      <w:rFonts w:hint="default" w:ascii="Times New Roman" w:hAnsi="Times New Roman" w:cs="Times New Roman"/>
                      <w:bCs/>
                      <w:color w:val="auto"/>
                      <w:szCs w:val="21"/>
                      <w:highlight w:val="none"/>
                      <w:lang w:val="en-US" w:eastAsia="zh-CN"/>
                    </w:rPr>
                    <w:t>碎石料仓</w:t>
                  </w:r>
                </w:p>
              </w:tc>
              <w:tc>
                <w:tcPr>
                  <w:tcW w:w="2838" w:type="pct"/>
                  <w:noWrap w:val="0"/>
                  <w:vAlign w:val="center"/>
                </w:tcPr>
                <w:p w14:paraId="4C0ABEA6">
                  <w:pPr>
                    <w:jc w:val="center"/>
                    <w:rPr>
                      <w:rFonts w:hint="default" w:ascii="Times New Roman" w:hAnsi="Times New Roman" w:cs="Times New Roman"/>
                      <w:color w:val="auto"/>
                      <w:kern w:val="0"/>
                      <w:szCs w:val="21"/>
                      <w:highlight w:val="none"/>
                      <w:lang w:eastAsia="zh-CN"/>
                    </w:rPr>
                  </w:pPr>
                  <w:r>
                    <w:rPr>
                      <w:rFonts w:hint="default" w:ascii="Times New Roman" w:hAnsi="Times New Roman" w:cs="Times New Roman"/>
                      <w:color w:val="auto"/>
                      <w:kern w:val="0"/>
                      <w:szCs w:val="21"/>
                      <w:highlight w:val="none"/>
                      <w:lang w:val="en-US" w:eastAsia="zh-CN"/>
                    </w:rPr>
                    <w:t>四周</w:t>
                  </w:r>
                  <w:r>
                    <w:rPr>
                      <w:rFonts w:hint="eastAsia" w:ascii="Times New Roman" w:hAnsi="Times New Roman" w:cs="Times New Roman"/>
                      <w:color w:val="auto"/>
                      <w:kern w:val="0"/>
                      <w:szCs w:val="21"/>
                      <w:highlight w:val="none"/>
                      <w:lang w:val="en-US" w:eastAsia="zh-CN"/>
                    </w:rPr>
                    <w:t>及顶部</w:t>
                  </w:r>
                  <w:r>
                    <w:rPr>
                      <w:rFonts w:hint="default" w:ascii="Times New Roman" w:hAnsi="Times New Roman" w:cs="Times New Roman"/>
                      <w:color w:val="auto"/>
                      <w:kern w:val="0"/>
                      <w:szCs w:val="21"/>
                      <w:highlight w:val="none"/>
                      <w:lang w:val="en-US" w:eastAsia="zh-CN"/>
                    </w:rPr>
                    <w:t>均围蔽</w:t>
                  </w:r>
                  <w:r>
                    <w:rPr>
                      <w:rFonts w:hint="default" w:ascii="Times New Roman" w:hAnsi="Times New Roman" w:cs="Times New Roman"/>
                      <w:color w:val="auto"/>
                      <w:kern w:val="0"/>
                      <w:szCs w:val="21"/>
                      <w:highlight w:val="none"/>
                      <w:lang w:eastAsia="zh-CN"/>
                    </w:rPr>
                    <w:t>，</w:t>
                  </w:r>
                  <w:r>
                    <w:rPr>
                      <w:rFonts w:hint="default" w:ascii="Times New Roman" w:hAnsi="Times New Roman" w:cs="Times New Roman"/>
                      <w:color w:val="auto"/>
                      <w:szCs w:val="21"/>
                      <w:highlight w:val="none"/>
                      <w:lang w:val="en-US" w:eastAsia="zh-CN"/>
                    </w:rPr>
                    <w:t>占地面积1800</w:t>
                  </w:r>
                  <w:r>
                    <w:rPr>
                      <w:rFonts w:hint="default" w:ascii="Times New Roman" w:hAnsi="Times New Roman" w:cs="Times New Roman"/>
                      <w:color w:val="auto"/>
                      <w:szCs w:val="21"/>
                      <w:highlight w:val="none"/>
                    </w:rPr>
                    <w:t>m</w:t>
                  </w:r>
                  <w:r>
                    <w:rPr>
                      <w:rFonts w:hint="default" w:ascii="Times New Roman" w:hAnsi="Times New Roman" w:cs="Times New Roman"/>
                      <w:color w:val="auto"/>
                      <w:szCs w:val="21"/>
                      <w:highlight w:val="none"/>
                      <w:vertAlign w:val="superscript"/>
                    </w:rPr>
                    <w:t>2</w:t>
                  </w:r>
                  <w:r>
                    <w:rPr>
                      <w:rFonts w:hint="default" w:ascii="Times New Roman" w:hAnsi="Times New Roman" w:cs="Times New Roman"/>
                      <w:color w:val="auto"/>
                      <w:szCs w:val="21"/>
                      <w:highlight w:val="none"/>
                      <w:lang w:val="en-US" w:eastAsia="zh-CN"/>
                    </w:rPr>
                    <w:t>，建筑面积</w:t>
                  </w:r>
                  <w:r>
                    <w:rPr>
                      <w:rFonts w:hint="eastAsia" w:ascii="Times New Roman" w:hAnsi="Times New Roman" w:cs="Times New Roman"/>
                      <w:color w:val="auto"/>
                      <w:szCs w:val="21"/>
                      <w:highlight w:val="none"/>
                      <w:lang w:val="en-US" w:eastAsia="zh-CN"/>
                    </w:rPr>
                    <w:t>18</w:t>
                  </w:r>
                  <w:r>
                    <w:rPr>
                      <w:rFonts w:hint="default" w:ascii="Times New Roman" w:hAnsi="Times New Roman" w:cs="Times New Roman"/>
                      <w:color w:val="auto"/>
                      <w:szCs w:val="21"/>
                      <w:highlight w:val="none"/>
                      <w:lang w:val="en-US" w:eastAsia="zh-CN"/>
                    </w:rPr>
                    <w:t>00</w:t>
                  </w:r>
                  <w:r>
                    <w:rPr>
                      <w:rFonts w:hint="default" w:ascii="Times New Roman" w:hAnsi="Times New Roman" w:cs="Times New Roman"/>
                      <w:color w:val="auto"/>
                      <w:szCs w:val="21"/>
                      <w:highlight w:val="none"/>
                    </w:rPr>
                    <w:t>m</w:t>
                  </w:r>
                  <w:r>
                    <w:rPr>
                      <w:rFonts w:hint="default" w:ascii="Times New Roman" w:hAnsi="Times New Roman" w:cs="Times New Roman"/>
                      <w:color w:val="auto"/>
                      <w:szCs w:val="21"/>
                      <w:highlight w:val="none"/>
                      <w:vertAlign w:val="superscript"/>
                    </w:rPr>
                    <w:t>2</w:t>
                  </w:r>
                </w:p>
              </w:tc>
            </w:tr>
            <w:tr w14:paraId="32248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376" w:type="pct"/>
                  <w:vMerge w:val="restart"/>
                  <w:noWrap w:val="0"/>
                  <w:vAlign w:val="center"/>
                </w:tcPr>
                <w:p w14:paraId="7AAB817A">
                  <w:pPr>
                    <w:pStyle w:val="29"/>
                    <w:widowControl w:val="0"/>
                    <w:adjustRightInd w:val="0"/>
                    <w:spacing w:before="0" w:after="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辅助工程</w:t>
                  </w:r>
                </w:p>
              </w:tc>
              <w:tc>
                <w:tcPr>
                  <w:tcW w:w="1785" w:type="pct"/>
                  <w:gridSpan w:val="2"/>
                  <w:noWrap w:val="0"/>
                  <w:vAlign w:val="center"/>
                </w:tcPr>
                <w:p w14:paraId="0DE95245">
                  <w:pPr>
                    <w:jc w:val="center"/>
                    <w:rPr>
                      <w:rFonts w:hint="default" w:ascii="Times New Roman" w:hAnsi="Times New Roman" w:cs="Times New Roman"/>
                      <w:bCs/>
                      <w:color w:val="auto"/>
                      <w:szCs w:val="21"/>
                      <w:highlight w:val="none"/>
                    </w:rPr>
                  </w:pPr>
                  <w:r>
                    <w:rPr>
                      <w:rFonts w:hint="default" w:ascii="Times New Roman" w:hAnsi="Times New Roman" w:cs="Times New Roman"/>
                      <w:caps/>
                      <w:color w:val="auto"/>
                      <w:szCs w:val="21"/>
                      <w:highlight w:val="none"/>
                    </w:rPr>
                    <w:t>办公</w:t>
                  </w:r>
                  <w:r>
                    <w:rPr>
                      <w:rFonts w:hint="default" w:ascii="Times New Roman" w:hAnsi="Times New Roman" w:cs="Times New Roman"/>
                      <w:color w:val="auto"/>
                      <w:sz w:val="21"/>
                      <w:szCs w:val="21"/>
                      <w:highlight w:val="none"/>
                      <w:vertAlign w:val="baseline"/>
                      <w:lang w:val="en-US" w:eastAsia="zh-CN"/>
                    </w:rPr>
                    <w:t>室</w:t>
                  </w:r>
                </w:p>
              </w:tc>
              <w:tc>
                <w:tcPr>
                  <w:tcW w:w="2838" w:type="pct"/>
                  <w:noWrap w:val="0"/>
                  <w:vAlign w:val="center"/>
                </w:tcPr>
                <w:p w14:paraId="6B0794E4">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位于生产厂房内西南面，占地面积500</w:t>
                  </w:r>
                  <w:r>
                    <w:rPr>
                      <w:rFonts w:hint="default" w:ascii="Times New Roman" w:hAnsi="Times New Roman" w:cs="Times New Roman"/>
                      <w:color w:val="auto"/>
                      <w:szCs w:val="21"/>
                      <w:highlight w:val="none"/>
                    </w:rPr>
                    <w:t>m</w:t>
                  </w:r>
                  <w:r>
                    <w:rPr>
                      <w:rFonts w:hint="default" w:ascii="Times New Roman" w:hAnsi="Times New Roman" w:cs="Times New Roman"/>
                      <w:color w:val="auto"/>
                      <w:szCs w:val="21"/>
                      <w:highlight w:val="none"/>
                      <w:vertAlign w:val="superscript"/>
                    </w:rPr>
                    <w:t>2</w:t>
                  </w:r>
                  <w:r>
                    <w:rPr>
                      <w:rFonts w:hint="default" w:ascii="Times New Roman" w:hAnsi="Times New Roman" w:cs="Times New Roman"/>
                      <w:color w:val="auto"/>
                      <w:szCs w:val="21"/>
                      <w:highlight w:val="none"/>
                      <w:lang w:val="en-US" w:eastAsia="zh-CN"/>
                    </w:rPr>
                    <w:t>，建筑面积500</w:t>
                  </w:r>
                  <w:r>
                    <w:rPr>
                      <w:rFonts w:hint="default" w:ascii="Times New Roman" w:hAnsi="Times New Roman" w:cs="Times New Roman"/>
                      <w:color w:val="auto"/>
                      <w:szCs w:val="21"/>
                      <w:highlight w:val="none"/>
                    </w:rPr>
                    <w:t>m</w:t>
                  </w:r>
                  <w:r>
                    <w:rPr>
                      <w:rFonts w:hint="default" w:ascii="Times New Roman" w:hAnsi="Times New Roman" w:cs="Times New Roman"/>
                      <w:color w:val="auto"/>
                      <w:szCs w:val="21"/>
                      <w:highlight w:val="none"/>
                      <w:vertAlign w:val="superscript"/>
                    </w:rPr>
                    <w:t>2</w:t>
                  </w:r>
                </w:p>
              </w:tc>
            </w:tr>
            <w:tr w14:paraId="0EAE6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376" w:type="pct"/>
                  <w:vMerge w:val="continue"/>
                  <w:noWrap w:val="0"/>
                  <w:vAlign w:val="center"/>
                </w:tcPr>
                <w:p w14:paraId="24DEB4AD">
                  <w:pPr>
                    <w:pStyle w:val="29"/>
                    <w:widowControl w:val="0"/>
                    <w:adjustRightInd w:val="0"/>
                    <w:spacing w:before="0" w:after="0"/>
                    <w:jc w:val="center"/>
                    <w:rPr>
                      <w:rFonts w:hint="default" w:ascii="Times New Roman" w:hAnsi="Times New Roman" w:cs="Times New Roman"/>
                      <w:color w:val="auto"/>
                      <w:sz w:val="21"/>
                      <w:szCs w:val="21"/>
                      <w:highlight w:val="none"/>
                      <w:lang w:val="en-US" w:eastAsia="zh-CN"/>
                    </w:rPr>
                  </w:pPr>
                </w:p>
              </w:tc>
              <w:tc>
                <w:tcPr>
                  <w:tcW w:w="1785" w:type="pct"/>
                  <w:gridSpan w:val="2"/>
                  <w:noWrap w:val="0"/>
                  <w:vAlign w:val="center"/>
                </w:tcPr>
                <w:p w14:paraId="78689D89">
                  <w:pPr>
                    <w:jc w:val="center"/>
                    <w:rPr>
                      <w:rFonts w:hint="default" w:ascii="Times New Roman" w:hAnsi="Times New Roman" w:eastAsia="宋体" w:cs="Times New Roman"/>
                      <w:caps/>
                      <w:color w:val="auto"/>
                      <w:szCs w:val="21"/>
                      <w:highlight w:val="none"/>
                      <w:lang w:val="en-US" w:eastAsia="zh-CN"/>
                    </w:rPr>
                  </w:pPr>
                  <w:r>
                    <w:rPr>
                      <w:rFonts w:hint="default" w:ascii="Times New Roman" w:hAnsi="Times New Roman" w:cs="Times New Roman"/>
                      <w:color w:val="auto"/>
                      <w:sz w:val="21"/>
                      <w:szCs w:val="21"/>
                      <w:highlight w:val="none"/>
                      <w:vertAlign w:val="baseline"/>
                      <w:lang w:val="en-US" w:eastAsia="zh-CN"/>
                    </w:rPr>
                    <w:t>实验室</w:t>
                  </w:r>
                </w:p>
              </w:tc>
              <w:tc>
                <w:tcPr>
                  <w:tcW w:w="2838" w:type="pct"/>
                  <w:noWrap w:val="0"/>
                  <w:vAlign w:val="center"/>
                </w:tcPr>
                <w:p w14:paraId="251EAE38">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位于生产厂房内西南面，占地面积600</w:t>
                  </w:r>
                  <w:r>
                    <w:rPr>
                      <w:rFonts w:hint="default" w:ascii="Times New Roman" w:hAnsi="Times New Roman" w:cs="Times New Roman"/>
                      <w:color w:val="auto"/>
                      <w:szCs w:val="21"/>
                      <w:highlight w:val="none"/>
                    </w:rPr>
                    <w:t>m</w:t>
                  </w:r>
                  <w:r>
                    <w:rPr>
                      <w:rFonts w:hint="default" w:ascii="Times New Roman" w:hAnsi="Times New Roman" w:cs="Times New Roman"/>
                      <w:color w:val="auto"/>
                      <w:szCs w:val="21"/>
                      <w:highlight w:val="none"/>
                      <w:vertAlign w:val="superscript"/>
                    </w:rPr>
                    <w:t>2</w:t>
                  </w:r>
                  <w:r>
                    <w:rPr>
                      <w:rFonts w:hint="default" w:ascii="Times New Roman" w:hAnsi="Times New Roman" w:cs="Times New Roman"/>
                      <w:color w:val="auto"/>
                      <w:szCs w:val="21"/>
                      <w:highlight w:val="none"/>
                      <w:lang w:val="en-US" w:eastAsia="zh-CN"/>
                    </w:rPr>
                    <w:t>，建筑面积600</w:t>
                  </w:r>
                  <w:r>
                    <w:rPr>
                      <w:rFonts w:hint="default" w:ascii="Times New Roman" w:hAnsi="Times New Roman" w:cs="Times New Roman"/>
                      <w:color w:val="auto"/>
                      <w:szCs w:val="21"/>
                      <w:highlight w:val="none"/>
                    </w:rPr>
                    <w:t>m</w:t>
                  </w:r>
                  <w:r>
                    <w:rPr>
                      <w:rFonts w:hint="default" w:ascii="Times New Roman" w:hAnsi="Times New Roman" w:cs="Times New Roman"/>
                      <w:color w:val="auto"/>
                      <w:szCs w:val="21"/>
                      <w:highlight w:val="none"/>
                      <w:vertAlign w:val="superscript"/>
                    </w:rPr>
                    <w:t>2</w:t>
                  </w:r>
                </w:p>
              </w:tc>
            </w:tr>
            <w:tr w14:paraId="56716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376" w:type="pct"/>
                  <w:vMerge w:val="continue"/>
                  <w:noWrap w:val="0"/>
                  <w:vAlign w:val="center"/>
                </w:tcPr>
                <w:p w14:paraId="48D4A724">
                  <w:pPr>
                    <w:pStyle w:val="29"/>
                    <w:widowControl w:val="0"/>
                    <w:adjustRightInd w:val="0"/>
                    <w:spacing w:before="0" w:after="0"/>
                    <w:jc w:val="center"/>
                    <w:rPr>
                      <w:rFonts w:hint="default" w:ascii="Times New Roman" w:hAnsi="Times New Roman" w:cs="Times New Roman"/>
                      <w:color w:val="auto"/>
                      <w:sz w:val="21"/>
                      <w:szCs w:val="21"/>
                      <w:highlight w:val="none"/>
                      <w:lang w:val="en-US" w:eastAsia="zh-CN"/>
                    </w:rPr>
                  </w:pPr>
                </w:p>
              </w:tc>
              <w:tc>
                <w:tcPr>
                  <w:tcW w:w="1785" w:type="pct"/>
                  <w:gridSpan w:val="2"/>
                  <w:noWrap w:val="0"/>
                  <w:vAlign w:val="center"/>
                </w:tcPr>
                <w:p w14:paraId="2DF6762F">
                  <w:pPr>
                    <w:jc w:val="center"/>
                    <w:rPr>
                      <w:rFonts w:hint="default" w:ascii="Times New Roman" w:hAnsi="Times New Roman" w:cs="Times New Roman"/>
                      <w:caps/>
                      <w:color w:val="auto"/>
                      <w:szCs w:val="21"/>
                      <w:highlight w:val="none"/>
                      <w:lang w:val="en-US" w:eastAsia="zh-CN"/>
                    </w:rPr>
                  </w:pPr>
                  <w:r>
                    <w:rPr>
                      <w:rFonts w:hint="default" w:ascii="Times New Roman" w:hAnsi="Times New Roman" w:cs="Times New Roman"/>
                      <w:caps/>
                      <w:color w:val="auto"/>
                      <w:szCs w:val="21"/>
                      <w:highlight w:val="none"/>
                      <w:lang w:val="en-US" w:eastAsia="zh-CN"/>
                    </w:rPr>
                    <w:t>初期雨水收集池</w:t>
                  </w:r>
                </w:p>
              </w:tc>
              <w:tc>
                <w:tcPr>
                  <w:tcW w:w="2838" w:type="pct"/>
                  <w:noWrap w:val="0"/>
                  <w:vAlign w:val="center"/>
                </w:tcPr>
                <w:p w14:paraId="7744D082">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位于碎石料仓南面，占地面积500</w:t>
                  </w:r>
                  <w:r>
                    <w:rPr>
                      <w:rFonts w:hint="default" w:ascii="Times New Roman" w:hAnsi="Times New Roman" w:cs="Times New Roman"/>
                      <w:color w:val="auto"/>
                      <w:szCs w:val="21"/>
                      <w:highlight w:val="none"/>
                    </w:rPr>
                    <w:t>m</w:t>
                  </w:r>
                  <w:r>
                    <w:rPr>
                      <w:rFonts w:hint="default" w:ascii="Times New Roman" w:hAnsi="Times New Roman" w:cs="Times New Roman"/>
                      <w:color w:val="auto"/>
                      <w:szCs w:val="21"/>
                      <w:highlight w:val="none"/>
                      <w:vertAlign w:val="superscript"/>
                    </w:rPr>
                    <w:t>2</w:t>
                  </w:r>
                </w:p>
              </w:tc>
            </w:tr>
            <w:tr w14:paraId="7AE80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376" w:type="pct"/>
                  <w:vMerge w:val="continue"/>
                  <w:noWrap w:val="0"/>
                  <w:vAlign w:val="center"/>
                </w:tcPr>
                <w:p w14:paraId="688D039B">
                  <w:pPr>
                    <w:pStyle w:val="29"/>
                    <w:widowControl w:val="0"/>
                    <w:adjustRightInd w:val="0"/>
                    <w:spacing w:before="0" w:after="0"/>
                    <w:jc w:val="center"/>
                    <w:rPr>
                      <w:rFonts w:hint="default" w:ascii="Times New Roman" w:hAnsi="Times New Roman" w:cs="Times New Roman"/>
                      <w:color w:val="auto"/>
                      <w:sz w:val="21"/>
                      <w:szCs w:val="21"/>
                      <w:highlight w:val="none"/>
                      <w:lang w:val="en-US" w:eastAsia="zh-CN"/>
                    </w:rPr>
                  </w:pPr>
                </w:p>
              </w:tc>
              <w:tc>
                <w:tcPr>
                  <w:tcW w:w="1785" w:type="pct"/>
                  <w:gridSpan w:val="2"/>
                  <w:noWrap w:val="0"/>
                  <w:vAlign w:val="center"/>
                </w:tcPr>
                <w:p w14:paraId="7FFA68CC">
                  <w:pPr>
                    <w:jc w:val="center"/>
                    <w:rPr>
                      <w:rFonts w:hint="default" w:ascii="Times New Roman" w:hAnsi="Times New Roman" w:cs="Times New Roman"/>
                      <w:caps/>
                      <w:color w:val="auto"/>
                      <w:szCs w:val="21"/>
                      <w:highlight w:val="none"/>
                      <w:lang w:val="en-US" w:eastAsia="zh-CN"/>
                    </w:rPr>
                  </w:pPr>
                  <w:r>
                    <w:rPr>
                      <w:rFonts w:hint="eastAsia" w:ascii="Times New Roman" w:hAnsi="Times New Roman" w:cs="Times New Roman"/>
                      <w:caps/>
                      <w:color w:val="auto"/>
                      <w:szCs w:val="21"/>
                      <w:highlight w:val="none"/>
                      <w:lang w:val="en-US" w:eastAsia="zh-CN"/>
                    </w:rPr>
                    <w:t>废水处理设施（</w:t>
                  </w:r>
                  <w:r>
                    <w:rPr>
                      <w:rFonts w:hint="default" w:ascii="Times New Roman" w:hAnsi="Times New Roman" w:cs="Times New Roman"/>
                      <w:caps/>
                      <w:color w:val="auto"/>
                      <w:szCs w:val="21"/>
                      <w:highlight w:val="none"/>
                      <w:lang w:val="en-US" w:eastAsia="zh-CN"/>
                    </w:rPr>
                    <w:t>调节混凝絮凝</w:t>
                  </w:r>
                  <w:r>
                    <w:rPr>
                      <w:rFonts w:hint="eastAsia" w:ascii="Times New Roman" w:hAnsi="Times New Roman" w:cs="Times New Roman"/>
                      <w:caps/>
                      <w:color w:val="auto"/>
                      <w:szCs w:val="21"/>
                      <w:highlight w:val="none"/>
                      <w:lang w:val="en-US" w:eastAsia="zh-CN"/>
                    </w:rPr>
                    <w:t>池</w:t>
                  </w:r>
                  <w:r>
                    <w:rPr>
                      <w:rFonts w:hint="default" w:ascii="Times New Roman" w:hAnsi="Times New Roman" w:cs="Times New Roman"/>
                      <w:caps/>
                      <w:color w:val="auto"/>
                      <w:szCs w:val="21"/>
                      <w:highlight w:val="none"/>
                      <w:lang w:val="en-US" w:eastAsia="zh-CN"/>
                    </w:rPr>
                    <w:t>+三级沉淀池+回用水池</w:t>
                  </w:r>
                  <w:r>
                    <w:rPr>
                      <w:rFonts w:hint="eastAsia" w:ascii="Times New Roman" w:hAnsi="Times New Roman" w:cs="Times New Roman"/>
                      <w:caps/>
                      <w:color w:val="auto"/>
                      <w:szCs w:val="21"/>
                      <w:highlight w:val="none"/>
                      <w:lang w:val="en-US" w:eastAsia="zh-CN"/>
                    </w:rPr>
                    <w:t>）</w:t>
                  </w:r>
                </w:p>
              </w:tc>
              <w:tc>
                <w:tcPr>
                  <w:tcW w:w="2838" w:type="pct"/>
                  <w:noWrap w:val="0"/>
                  <w:vAlign w:val="center"/>
                </w:tcPr>
                <w:p w14:paraId="19D06D78">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位于搅拌楼东侧，占地面积30</w:t>
                  </w:r>
                  <w:r>
                    <w:rPr>
                      <w:rFonts w:hint="default" w:ascii="Times New Roman" w:hAnsi="Times New Roman" w:cs="Times New Roman"/>
                      <w:color w:val="auto"/>
                      <w:szCs w:val="21"/>
                      <w:highlight w:val="none"/>
                    </w:rPr>
                    <w:t>m</w:t>
                  </w:r>
                  <w:r>
                    <w:rPr>
                      <w:rFonts w:hint="default" w:ascii="Times New Roman" w:hAnsi="Times New Roman" w:cs="Times New Roman"/>
                      <w:color w:val="auto"/>
                      <w:szCs w:val="21"/>
                      <w:highlight w:val="none"/>
                      <w:vertAlign w:val="superscript"/>
                    </w:rPr>
                    <w:t>2</w:t>
                  </w:r>
                </w:p>
              </w:tc>
            </w:tr>
            <w:tr w14:paraId="54E21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376" w:type="pct"/>
                  <w:vMerge w:val="continue"/>
                  <w:noWrap w:val="0"/>
                  <w:vAlign w:val="center"/>
                </w:tcPr>
                <w:p w14:paraId="68D3F573">
                  <w:pPr>
                    <w:pStyle w:val="29"/>
                    <w:widowControl w:val="0"/>
                    <w:adjustRightInd w:val="0"/>
                    <w:spacing w:before="0" w:after="0"/>
                    <w:jc w:val="center"/>
                    <w:rPr>
                      <w:rFonts w:hint="default" w:ascii="Times New Roman" w:hAnsi="Times New Roman" w:cs="Times New Roman"/>
                      <w:color w:val="auto"/>
                      <w:sz w:val="21"/>
                      <w:szCs w:val="21"/>
                      <w:highlight w:val="none"/>
                      <w:lang w:val="en-US" w:eastAsia="zh-CN"/>
                    </w:rPr>
                  </w:pPr>
                </w:p>
              </w:tc>
              <w:tc>
                <w:tcPr>
                  <w:tcW w:w="1785" w:type="pct"/>
                  <w:gridSpan w:val="2"/>
                  <w:noWrap w:val="0"/>
                  <w:vAlign w:val="center"/>
                </w:tcPr>
                <w:p w14:paraId="76321101">
                  <w:pPr>
                    <w:jc w:val="center"/>
                    <w:rPr>
                      <w:rFonts w:hint="default" w:ascii="Times New Roman" w:hAnsi="Times New Roman" w:cs="Times New Roman"/>
                      <w:caps/>
                      <w:color w:val="auto"/>
                      <w:szCs w:val="21"/>
                      <w:highlight w:val="none"/>
                      <w:lang w:val="en-US" w:eastAsia="zh-CN"/>
                    </w:rPr>
                  </w:pPr>
                  <w:r>
                    <w:rPr>
                      <w:rFonts w:hint="default" w:ascii="Times New Roman" w:hAnsi="Times New Roman" w:cs="Times New Roman"/>
                      <w:caps/>
                      <w:color w:val="auto"/>
                      <w:szCs w:val="21"/>
                      <w:highlight w:val="none"/>
                      <w:lang w:val="en-US" w:eastAsia="zh-CN"/>
                    </w:rPr>
                    <w:t>水养池</w:t>
                  </w:r>
                </w:p>
              </w:tc>
              <w:tc>
                <w:tcPr>
                  <w:tcW w:w="2838" w:type="pct"/>
                  <w:noWrap w:val="0"/>
                  <w:vAlign w:val="center"/>
                </w:tcPr>
                <w:p w14:paraId="10DBD806">
                  <w:pPr>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位于厂区东南面，占地面积3760</w:t>
                  </w:r>
                  <w:r>
                    <w:rPr>
                      <w:rFonts w:hint="default" w:ascii="Times New Roman" w:hAnsi="Times New Roman" w:cs="Times New Roman"/>
                      <w:color w:val="auto"/>
                      <w:szCs w:val="21"/>
                      <w:highlight w:val="none"/>
                    </w:rPr>
                    <w:t>m</w:t>
                  </w:r>
                  <w:r>
                    <w:rPr>
                      <w:rFonts w:hint="default" w:ascii="Times New Roman" w:hAnsi="Times New Roman" w:cs="Times New Roman"/>
                      <w:color w:val="auto"/>
                      <w:szCs w:val="21"/>
                      <w:highlight w:val="none"/>
                      <w:vertAlign w:val="superscript"/>
                    </w:rPr>
                    <w:t>2</w:t>
                  </w:r>
                </w:p>
              </w:tc>
            </w:tr>
            <w:tr w14:paraId="237B0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376" w:type="pct"/>
                  <w:vMerge w:val="continue"/>
                  <w:noWrap w:val="0"/>
                  <w:vAlign w:val="center"/>
                </w:tcPr>
                <w:p w14:paraId="145A1D88">
                  <w:pPr>
                    <w:pStyle w:val="29"/>
                    <w:widowControl w:val="0"/>
                    <w:adjustRightInd w:val="0"/>
                    <w:spacing w:before="0" w:after="0"/>
                    <w:jc w:val="center"/>
                    <w:rPr>
                      <w:rFonts w:hint="default" w:ascii="Times New Roman" w:hAnsi="Times New Roman" w:cs="Times New Roman"/>
                      <w:color w:val="auto"/>
                      <w:sz w:val="21"/>
                      <w:szCs w:val="21"/>
                      <w:highlight w:val="none"/>
                      <w:lang w:val="en-US" w:eastAsia="zh-CN"/>
                    </w:rPr>
                  </w:pPr>
                </w:p>
              </w:tc>
              <w:tc>
                <w:tcPr>
                  <w:tcW w:w="1785" w:type="pct"/>
                  <w:gridSpan w:val="2"/>
                  <w:noWrap w:val="0"/>
                  <w:vAlign w:val="center"/>
                </w:tcPr>
                <w:p w14:paraId="3D717B4B">
                  <w:pPr>
                    <w:jc w:val="center"/>
                    <w:rPr>
                      <w:rFonts w:hint="default" w:ascii="Times New Roman" w:hAnsi="Times New Roman" w:cs="Times New Roman" w:eastAsiaTheme="minorEastAsia"/>
                      <w:caps/>
                      <w:color w:val="auto"/>
                      <w:szCs w:val="21"/>
                      <w:highlight w:val="none"/>
                      <w:lang w:eastAsia="zh-CN"/>
                    </w:rPr>
                  </w:pPr>
                  <w:r>
                    <w:rPr>
                      <w:rFonts w:hint="default" w:ascii="Times New Roman" w:hAnsi="Times New Roman" w:cs="Times New Roman"/>
                      <w:caps/>
                      <w:color w:val="auto"/>
                      <w:szCs w:val="21"/>
                      <w:highlight w:val="none"/>
                      <w:lang w:val="en-US" w:eastAsia="zh-CN"/>
                    </w:rPr>
                    <w:t>门卫室</w:t>
                  </w:r>
                </w:p>
              </w:tc>
              <w:tc>
                <w:tcPr>
                  <w:tcW w:w="2838" w:type="pct"/>
                  <w:noWrap w:val="0"/>
                  <w:vAlign w:val="center"/>
                </w:tcPr>
                <w:p w14:paraId="1019A447">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占地面积</w:t>
                  </w:r>
                  <w:r>
                    <w:rPr>
                      <w:rFonts w:hint="default" w:ascii="Times New Roman" w:hAnsi="Times New Roman" w:cs="Times New Roman"/>
                      <w:color w:val="auto"/>
                      <w:szCs w:val="21"/>
                      <w:highlight w:val="none"/>
                      <w:lang w:val="en-US" w:eastAsia="zh-CN"/>
                    </w:rPr>
                    <w:t>10</w:t>
                  </w:r>
                  <w:r>
                    <w:rPr>
                      <w:rFonts w:hint="default" w:ascii="Times New Roman" w:hAnsi="Times New Roman" w:cs="Times New Roman"/>
                      <w:color w:val="auto"/>
                      <w:szCs w:val="21"/>
                      <w:highlight w:val="none"/>
                    </w:rPr>
                    <w:t>m</w:t>
                  </w:r>
                  <w:r>
                    <w:rPr>
                      <w:rFonts w:hint="default" w:ascii="Times New Roman" w:hAnsi="Times New Roman" w:cs="Times New Roman"/>
                      <w:color w:val="auto"/>
                      <w:szCs w:val="21"/>
                      <w:highlight w:val="none"/>
                      <w:vertAlign w:val="superscript"/>
                    </w:rPr>
                    <w:t>2</w:t>
                  </w:r>
                  <w:r>
                    <w:rPr>
                      <w:rFonts w:hint="default" w:ascii="Times New Roman" w:hAnsi="Times New Roman" w:cs="Times New Roman"/>
                      <w:color w:val="auto"/>
                      <w:szCs w:val="21"/>
                      <w:highlight w:val="none"/>
                    </w:rPr>
                    <w:t>，建筑面积</w:t>
                  </w:r>
                  <w:r>
                    <w:rPr>
                      <w:rFonts w:hint="default" w:ascii="Times New Roman" w:hAnsi="Times New Roman" w:cs="Times New Roman"/>
                      <w:color w:val="auto"/>
                      <w:szCs w:val="21"/>
                      <w:highlight w:val="none"/>
                      <w:lang w:val="en-US" w:eastAsia="zh-CN"/>
                    </w:rPr>
                    <w:t>10</w:t>
                  </w:r>
                  <w:r>
                    <w:rPr>
                      <w:rFonts w:hint="default" w:ascii="Times New Roman" w:hAnsi="Times New Roman" w:cs="Times New Roman"/>
                      <w:color w:val="auto"/>
                      <w:szCs w:val="21"/>
                      <w:highlight w:val="none"/>
                    </w:rPr>
                    <w:t>m</w:t>
                  </w:r>
                  <w:r>
                    <w:rPr>
                      <w:rFonts w:hint="default" w:ascii="Times New Roman" w:hAnsi="Times New Roman" w:cs="Times New Roman"/>
                      <w:color w:val="auto"/>
                      <w:szCs w:val="21"/>
                      <w:highlight w:val="none"/>
                      <w:vertAlign w:val="superscript"/>
                    </w:rPr>
                    <w:t>2</w:t>
                  </w:r>
                </w:p>
              </w:tc>
            </w:tr>
            <w:tr w14:paraId="4872A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376" w:type="pct"/>
                  <w:vMerge w:val="continue"/>
                  <w:noWrap w:val="0"/>
                  <w:vAlign w:val="center"/>
                </w:tcPr>
                <w:p w14:paraId="7877F8A9">
                  <w:pPr>
                    <w:pStyle w:val="29"/>
                    <w:widowControl w:val="0"/>
                    <w:adjustRightInd w:val="0"/>
                    <w:spacing w:before="0" w:after="0"/>
                    <w:jc w:val="center"/>
                    <w:rPr>
                      <w:rFonts w:hint="default" w:ascii="Times New Roman" w:hAnsi="Times New Roman" w:cs="Times New Roman"/>
                      <w:color w:val="auto"/>
                      <w:sz w:val="21"/>
                      <w:szCs w:val="21"/>
                      <w:highlight w:val="none"/>
                      <w:lang w:val="en-US" w:eastAsia="zh-CN"/>
                    </w:rPr>
                  </w:pPr>
                </w:p>
              </w:tc>
              <w:tc>
                <w:tcPr>
                  <w:tcW w:w="1785" w:type="pct"/>
                  <w:gridSpan w:val="2"/>
                  <w:noWrap w:val="0"/>
                  <w:vAlign w:val="center"/>
                </w:tcPr>
                <w:p w14:paraId="3EC49390">
                  <w:pPr>
                    <w:jc w:val="center"/>
                    <w:rPr>
                      <w:rFonts w:hint="default" w:ascii="Times New Roman" w:hAnsi="Times New Roman" w:eastAsia="宋体" w:cs="Times New Roman"/>
                      <w:caps/>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道路、停车区域等</w:t>
                  </w:r>
                </w:p>
              </w:tc>
              <w:tc>
                <w:tcPr>
                  <w:tcW w:w="2838" w:type="pct"/>
                  <w:noWrap w:val="0"/>
                  <w:vAlign w:val="center"/>
                </w:tcPr>
                <w:p w14:paraId="28B006F7">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占地面积</w:t>
                  </w:r>
                  <w:r>
                    <w:rPr>
                      <w:rFonts w:hint="default" w:ascii="Times New Roman" w:hAnsi="Times New Roman" w:cs="Times New Roman"/>
                      <w:color w:val="auto"/>
                      <w:szCs w:val="21"/>
                      <w:highlight w:val="none"/>
                      <w:lang w:val="en-US" w:eastAsia="zh-CN"/>
                    </w:rPr>
                    <w:t>70</w:t>
                  </w:r>
                  <w:r>
                    <w:rPr>
                      <w:rFonts w:hint="default" w:ascii="Times New Roman" w:hAnsi="Times New Roman" w:cs="Times New Roman"/>
                      <w:color w:val="auto"/>
                      <w:szCs w:val="21"/>
                      <w:highlight w:val="none"/>
                    </w:rPr>
                    <w:t>00m</w:t>
                  </w:r>
                  <w:r>
                    <w:rPr>
                      <w:rFonts w:hint="default" w:ascii="Times New Roman" w:hAnsi="Times New Roman" w:cs="Times New Roman"/>
                      <w:color w:val="auto"/>
                      <w:szCs w:val="21"/>
                      <w:highlight w:val="none"/>
                      <w:vertAlign w:val="superscript"/>
                    </w:rPr>
                    <w:t>2</w:t>
                  </w:r>
                </w:p>
              </w:tc>
            </w:tr>
            <w:tr w14:paraId="5ADEA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376" w:type="pct"/>
                  <w:vMerge w:val="restart"/>
                  <w:noWrap w:val="0"/>
                  <w:vAlign w:val="center"/>
                </w:tcPr>
                <w:p w14:paraId="5DF1EEF5">
                  <w:pPr>
                    <w:pStyle w:val="29"/>
                    <w:widowControl w:val="0"/>
                    <w:adjustRightInd w:val="0"/>
                    <w:spacing w:before="0" w:beforeAutospacing="0" w:after="0" w:afterAutospacing="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公用工程</w:t>
                  </w:r>
                </w:p>
              </w:tc>
              <w:tc>
                <w:tcPr>
                  <w:tcW w:w="1785" w:type="pct"/>
                  <w:gridSpan w:val="2"/>
                  <w:noWrap w:val="0"/>
                  <w:vAlign w:val="center"/>
                </w:tcPr>
                <w:p w14:paraId="2F9DA86C">
                  <w:pPr>
                    <w:jc w:val="center"/>
                    <w:rPr>
                      <w:rFonts w:hint="default" w:ascii="Times New Roman" w:hAnsi="Times New Roman" w:cs="Times New Roman"/>
                      <w:caps/>
                      <w:color w:val="auto"/>
                      <w:szCs w:val="21"/>
                      <w:highlight w:val="none"/>
                    </w:rPr>
                  </w:pPr>
                  <w:r>
                    <w:rPr>
                      <w:rFonts w:hint="default" w:ascii="Times New Roman" w:hAnsi="Times New Roman" w:cs="Times New Roman"/>
                      <w:caps/>
                      <w:color w:val="auto"/>
                      <w:szCs w:val="21"/>
                      <w:highlight w:val="none"/>
                    </w:rPr>
                    <w:t>给水工程</w:t>
                  </w:r>
                </w:p>
              </w:tc>
              <w:tc>
                <w:tcPr>
                  <w:tcW w:w="2838" w:type="pct"/>
                  <w:noWrap w:val="0"/>
                  <w:vAlign w:val="center"/>
                </w:tcPr>
                <w:p w14:paraId="095304A9">
                  <w:pPr>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由市政集中供水系统供应</w:t>
                  </w:r>
                </w:p>
              </w:tc>
            </w:tr>
            <w:tr w14:paraId="14FE3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376" w:type="pct"/>
                  <w:vMerge w:val="continue"/>
                  <w:noWrap w:val="0"/>
                  <w:vAlign w:val="center"/>
                </w:tcPr>
                <w:p w14:paraId="687C38A8">
                  <w:pPr>
                    <w:rPr>
                      <w:rFonts w:hint="default" w:ascii="Times New Roman" w:hAnsi="Times New Roman" w:cs="Times New Roman"/>
                      <w:color w:val="auto"/>
                      <w:szCs w:val="21"/>
                      <w:highlight w:val="none"/>
                    </w:rPr>
                  </w:pPr>
                </w:p>
              </w:tc>
              <w:tc>
                <w:tcPr>
                  <w:tcW w:w="1785" w:type="pct"/>
                  <w:gridSpan w:val="2"/>
                  <w:noWrap w:val="0"/>
                  <w:vAlign w:val="center"/>
                </w:tcPr>
                <w:p w14:paraId="414C3194">
                  <w:pPr>
                    <w:jc w:val="center"/>
                    <w:rPr>
                      <w:rFonts w:hint="default" w:ascii="Times New Roman" w:hAnsi="Times New Roman" w:cs="Times New Roman"/>
                      <w:caps/>
                      <w:color w:val="auto"/>
                      <w:szCs w:val="21"/>
                      <w:highlight w:val="none"/>
                    </w:rPr>
                  </w:pPr>
                  <w:r>
                    <w:rPr>
                      <w:rFonts w:hint="default" w:ascii="Times New Roman" w:hAnsi="Times New Roman" w:cs="Times New Roman"/>
                      <w:caps/>
                      <w:color w:val="auto"/>
                      <w:szCs w:val="21"/>
                      <w:highlight w:val="none"/>
                    </w:rPr>
                    <w:t>排水工程</w:t>
                  </w:r>
                </w:p>
              </w:tc>
              <w:tc>
                <w:tcPr>
                  <w:tcW w:w="2838" w:type="pct"/>
                  <w:noWrap w:val="0"/>
                  <w:vAlign w:val="center"/>
                </w:tcPr>
                <w:p w14:paraId="3F165EC0">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雨污分流制排水系统</w:t>
                  </w:r>
                </w:p>
              </w:tc>
            </w:tr>
            <w:tr w14:paraId="471EF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376" w:type="pct"/>
                  <w:vMerge w:val="continue"/>
                  <w:noWrap w:val="0"/>
                  <w:vAlign w:val="center"/>
                </w:tcPr>
                <w:p w14:paraId="41CBFEDB">
                  <w:pPr>
                    <w:rPr>
                      <w:rFonts w:hint="default" w:ascii="Times New Roman" w:hAnsi="Times New Roman" w:cs="Times New Roman"/>
                      <w:color w:val="auto"/>
                      <w:szCs w:val="21"/>
                      <w:highlight w:val="none"/>
                    </w:rPr>
                  </w:pPr>
                </w:p>
              </w:tc>
              <w:tc>
                <w:tcPr>
                  <w:tcW w:w="1785" w:type="pct"/>
                  <w:gridSpan w:val="2"/>
                  <w:noWrap w:val="0"/>
                  <w:vAlign w:val="center"/>
                </w:tcPr>
                <w:p w14:paraId="7AD48858">
                  <w:pPr>
                    <w:jc w:val="center"/>
                    <w:rPr>
                      <w:rFonts w:hint="default" w:ascii="Times New Roman" w:hAnsi="Times New Roman" w:cs="Times New Roman"/>
                      <w:caps/>
                      <w:color w:val="auto"/>
                      <w:szCs w:val="21"/>
                      <w:highlight w:val="none"/>
                    </w:rPr>
                  </w:pPr>
                  <w:r>
                    <w:rPr>
                      <w:rFonts w:hint="default" w:ascii="Times New Roman" w:hAnsi="Times New Roman" w:cs="Times New Roman"/>
                      <w:caps/>
                      <w:color w:val="auto"/>
                      <w:szCs w:val="21"/>
                      <w:highlight w:val="none"/>
                    </w:rPr>
                    <w:t>供电</w:t>
                  </w:r>
                </w:p>
              </w:tc>
              <w:tc>
                <w:tcPr>
                  <w:tcW w:w="2838" w:type="pct"/>
                  <w:noWrap w:val="0"/>
                  <w:vAlign w:val="center"/>
                </w:tcPr>
                <w:p w14:paraId="7BFB1CCB">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市政供电网提供</w:t>
                  </w:r>
                </w:p>
              </w:tc>
            </w:tr>
            <w:tr w14:paraId="29F4F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6" w:type="pct"/>
                  <w:vMerge w:val="restart"/>
                  <w:noWrap w:val="0"/>
                  <w:vAlign w:val="center"/>
                </w:tcPr>
                <w:p w14:paraId="56DA2F6F">
                  <w:pPr>
                    <w:pStyle w:val="29"/>
                    <w:widowControl w:val="0"/>
                    <w:adjustRightInd w:val="0"/>
                    <w:spacing w:before="0" w:beforeAutospacing="0" w:after="0" w:afterAutospacing="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环保工程</w:t>
                  </w:r>
                </w:p>
              </w:tc>
              <w:tc>
                <w:tcPr>
                  <w:tcW w:w="212" w:type="pct"/>
                  <w:vMerge w:val="restart"/>
                  <w:noWrap w:val="0"/>
                  <w:vAlign w:val="center"/>
                </w:tcPr>
                <w:p w14:paraId="596E2271">
                  <w:pPr>
                    <w:pStyle w:val="29"/>
                    <w:widowControl w:val="0"/>
                    <w:adjustRightInd w:val="0"/>
                    <w:spacing w:before="0" w:beforeAutospacing="0" w:after="0" w:afterAutospacing="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废气</w:t>
                  </w:r>
                </w:p>
              </w:tc>
              <w:tc>
                <w:tcPr>
                  <w:tcW w:w="1573" w:type="pct"/>
                  <w:noWrap w:val="0"/>
                  <w:vAlign w:val="center"/>
                </w:tcPr>
                <w:p w14:paraId="4858C316">
                  <w:pPr>
                    <w:pStyle w:val="29"/>
                    <w:widowControl w:val="0"/>
                    <w:adjustRightInd w:val="0"/>
                    <w:spacing w:before="0" w:beforeAutospacing="0" w:after="0" w:afterAutospacing="0"/>
                    <w:jc w:val="center"/>
                    <w:rPr>
                      <w:rFonts w:hint="default" w:ascii="Times New Roman" w:hAnsi="Times New Roman" w:eastAsia="等线"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锅炉</w:t>
                  </w:r>
                  <w:r>
                    <w:rPr>
                      <w:rFonts w:hint="eastAsia" w:ascii="Times New Roman" w:hAnsi="Times New Roman" w:cs="Times New Roman"/>
                      <w:color w:val="auto"/>
                      <w:sz w:val="21"/>
                      <w:szCs w:val="21"/>
                      <w:highlight w:val="none"/>
                      <w:lang w:val="en-US" w:eastAsia="zh-CN"/>
                    </w:rPr>
                    <w:t>燃烧</w:t>
                  </w:r>
                  <w:r>
                    <w:rPr>
                      <w:rFonts w:hint="default" w:ascii="Times New Roman" w:hAnsi="Times New Roman" w:cs="Times New Roman"/>
                      <w:color w:val="auto"/>
                      <w:sz w:val="21"/>
                      <w:szCs w:val="21"/>
                      <w:highlight w:val="none"/>
                      <w:lang w:val="en-US" w:eastAsia="zh-CN"/>
                    </w:rPr>
                    <w:t>废气</w:t>
                  </w:r>
                </w:p>
              </w:tc>
              <w:tc>
                <w:tcPr>
                  <w:tcW w:w="2838" w:type="pct"/>
                  <w:noWrap w:val="0"/>
                  <w:vAlign w:val="center"/>
                </w:tcPr>
                <w:p w14:paraId="03376596">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kern w:val="0"/>
                      <w:szCs w:val="21"/>
                      <w:highlight w:val="none"/>
                      <w:lang w:val="en-US" w:eastAsia="zh-CN"/>
                    </w:rPr>
                    <w:t>经“低氮燃烧”装置处理后于15m排气筒DA001及DA002排放</w:t>
                  </w:r>
                </w:p>
              </w:tc>
            </w:tr>
            <w:tr w14:paraId="6FFAD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6" w:type="pct"/>
                  <w:vMerge w:val="continue"/>
                  <w:noWrap w:val="0"/>
                  <w:vAlign w:val="center"/>
                </w:tcPr>
                <w:p w14:paraId="52C1C99F">
                  <w:pPr>
                    <w:pStyle w:val="29"/>
                    <w:widowControl w:val="0"/>
                    <w:adjustRightInd w:val="0"/>
                    <w:spacing w:before="0" w:beforeAutospacing="0" w:after="0" w:afterAutospacing="0"/>
                    <w:jc w:val="center"/>
                    <w:rPr>
                      <w:rFonts w:hint="default" w:ascii="Times New Roman" w:hAnsi="Times New Roman" w:cs="Times New Roman"/>
                      <w:color w:val="auto"/>
                      <w:sz w:val="21"/>
                      <w:szCs w:val="21"/>
                      <w:highlight w:val="none"/>
                      <w:lang w:val="en-US" w:eastAsia="zh-CN"/>
                    </w:rPr>
                  </w:pPr>
                </w:p>
              </w:tc>
              <w:tc>
                <w:tcPr>
                  <w:tcW w:w="212" w:type="pct"/>
                  <w:vMerge w:val="continue"/>
                  <w:noWrap w:val="0"/>
                  <w:vAlign w:val="center"/>
                </w:tcPr>
                <w:p w14:paraId="00274957">
                  <w:pPr>
                    <w:pStyle w:val="29"/>
                    <w:widowControl w:val="0"/>
                    <w:adjustRightInd w:val="0"/>
                    <w:spacing w:before="0" w:beforeAutospacing="0" w:after="0" w:afterAutospacing="0"/>
                    <w:jc w:val="center"/>
                    <w:rPr>
                      <w:rFonts w:hint="default" w:ascii="Times New Roman" w:hAnsi="Times New Roman" w:cs="Times New Roman"/>
                      <w:color w:val="auto"/>
                      <w:sz w:val="21"/>
                      <w:szCs w:val="21"/>
                      <w:highlight w:val="none"/>
                      <w:lang w:val="en-US" w:eastAsia="zh-CN"/>
                    </w:rPr>
                  </w:pPr>
                </w:p>
              </w:tc>
              <w:tc>
                <w:tcPr>
                  <w:tcW w:w="1573" w:type="pct"/>
                  <w:noWrap w:val="0"/>
                  <w:vAlign w:val="center"/>
                </w:tcPr>
                <w:p w14:paraId="4A8A5089">
                  <w:pPr>
                    <w:pStyle w:val="29"/>
                    <w:widowControl w:val="0"/>
                    <w:adjustRightInd w:val="0"/>
                    <w:spacing w:before="0" w:beforeAutospacing="0" w:after="0" w:afterAutospacing="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水泥、粉煤灰筒仓呼吸废气</w:t>
                  </w:r>
                </w:p>
              </w:tc>
              <w:tc>
                <w:tcPr>
                  <w:tcW w:w="2838" w:type="pct"/>
                  <w:noWrap w:val="0"/>
                  <w:vAlign w:val="center"/>
                </w:tcPr>
                <w:p w14:paraId="234BFEE7">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经筒仓自带布袋除尘器处理后无组织排放</w:t>
                  </w:r>
                </w:p>
              </w:tc>
            </w:tr>
            <w:tr w14:paraId="79C84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376" w:type="pct"/>
                  <w:vMerge w:val="continue"/>
                  <w:noWrap w:val="0"/>
                  <w:vAlign w:val="center"/>
                </w:tcPr>
                <w:p w14:paraId="02C38B60">
                  <w:pPr>
                    <w:pStyle w:val="29"/>
                    <w:widowControl w:val="0"/>
                    <w:adjustRightInd w:val="0"/>
                    <w:spacing w:before="0" w:beforeAutospacing="0" w:after="0" w:afterAutospacing="0"/>
                    <w:jc w:val="center"/>
                    <w:rPr>
                      <w:rFonts w:hint="default" w:ascii="Times New Roman" w:hAnsi="Times New Roman" w:cs="Times New Roman"/>
                      <w:color w:val="auto"/>
                      <w:highlight w:val="none"/>
                      <w:lang w:val="en-US" w:eastAsia="zh-CN"/>
                    </w:rPr>
                  </w:pPr>
                </w:p>
              </w:tc>
              <w:tc>
                <w:tcPr>
                  <w:tcW w:w="212" w:type="pct"/>
                  <w:vMerge w:val="continue"/>
                  <w:noWrap w:val="0"/>
                  <w:vAlign w:val="center"/>
                </w:tcPr>
                <w:p w14:paraId="5178E0F8">
                  <w:pPr>
                    <w:pStyle w:val="29"/>
                    <w:widowControl w:val="0"/>
                    <w:adjustRightInd w:val="0"/>
                    <w:spacing w:before="0" w:beforeAutospacing="0" w:after="0" w:afterAutospacing="0"/>
                    <w:jc w:val="center"/>
                    <w:rPr>
                      <w:rFonts w:hint="default" w:ascii="Times New Roman" w:hAnsi="Times New Roman" w:cs="Times New Roman"/>
                      <w:color w:val="auto"/>
                      <w:highlight w:val="none"/>
                      <w:lang w:val="en-US" w:eastAsia="zh-CN"/>
                    </w:rPr>
                  </w:pPr>
                </w:p>
              </w:tc>
              <w:tc>
                <w:tcPr>
                  <w:tcW w:w="1573" w:type="pct"/>
                  <w:noWrap w:val="0"/>
                  <w:vAlign w:val="center"/>
                </w:tcPr>
                <w:p w14:paraId="54F26E5D">
                  <w:pPr>
                    <w:pStyle w:val="29"/>
                    <w:widowControl w:val="0"/>
                    <w:adjustRightInd w:val="0"/>
                    <w:spacing w:before="0" w:beforeAutospacing="0" w:after="0" w:afterAutospacing="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搅拌废气</w:t>
                  </w:r>
                </w:p>
              </w:tc>
              <w:tc>
                <w:tcPr>
                  <w:tcW w:w="2838" w:type="pct"/>
                  <w:noWrap w:val="0"/>
                  <w:vAlign w:val="center"/>
                </w:tcPr>
                <w:p w14:paraId="0F9B9611">
                  <w:pPr>
                    <w:adjustRightInd w:val="0"/>
                    <w:snapToGrid w:val="0"/>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szCs w:val="21"/>
                      <w:highlight w:val="none"/>
                      <w:lang w:val="en-US" w:eastAsia="zh-CN"/>
                    </w:rPr>
                    <w:t>经搅拌设备自带脉冲布袋除尘器处理后无组织排放</w:t>
                  </w:r>
                </w:p>
              </w:tc>
            </w:tr>
            <w:tr w14:paraId="77049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376" w:type="pct"/>
                  <w:vMerge w:val="continue"/>
                  <w:noWrap w:val="0"/>
                  <w:vAlign w:val="center"/>
                </w:tcPr>
                <w:p w14:paraId="5DEF2094">
                  <w:pPr>
                    <w:pStyle w:val="29"/>
                    <w:widowControl w:val="0"/>
                    <w:adjustRightInd w:val="0"/>
                    <w:spacing w:before="0" w:beforeAutospacing="0" w:after="0" w:afterAutospacing="0"/>
                    <w:jc w:val="center"/>
                    <w:rPr>
                      <w:rFonts w:hint="default" w:ascii="Times New Roman" w:hAnsi="Times New Roman" w:cs="Times New Roman"/>
                      <w:color w:val="auto"/>
                      <w:highlight w:val="none"/>
                      <w:lang w:val="en-US" w:eastAsia="zh-CN"/>
                    </w:rPr>
                  </w:pPr>
                </w:p>
              </w:tc>
              <w:tc>
                <w:tcPr>
                  <w:tcW w:w="212" w:type="pct"/>
                  <w:vMerge w:val="continue"/>
                  <w:noWrap w:val="0"/>
                  <w:vAlign w:val="center"/>
                </w:tcPr>
                <w:p w14:paraId="75B2E504">
                  <w:pPr>
                    <w:pStyle w:val="29"/>
                    <w:widowControl w:val="0"/>
                    <w:adjustRightInd w:val="0"/>
                    <w:spacing w:before="0" w:beforeAutospacing="0" w:after="0" w:afterAutospacing="0"/>
                    <w:jc w:val="center"/>
                    <w:rPr>
                      <w:rFonts w:hint="default" w:ascii="Times New Roman" w:hAnsi="Times New Roman" w:cs="Times New Roman"/>
                      <w:color w:val="auto"/>
                      <w:highlight w:val="none"/>
                      <w:lang w:val="en-US" w:eastAsia="zh-CN"/>
                    </w:rPr>
                  </w:pPr>
                </w:p>
              </w:tc>
              <w:tc>
                <w:tcPr>
                  <w:tcW w:w="1573" w:type="pct"/>
                  <w:noWrap w:val="0"/>
                  <w:vAlign w:val="center"/>
                </w:tcPr>
                <w:p w14:paraId="2B63F574">
                  <w:pPr>
                    <w:pStyle w:val="29"/>
                    <w:widowControl w:val="0"/>
                    <w:adjustRightInd w:val="0"/>
                    <w:spacing w:before="0" w:beforeAutospacing="0" w:after="0" w:afterAutospacing="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砂石卸料粉尘</w:t>
                  </w:r>
                </w:p>
              </w:tc>
              <w:tc>
                <w:tcPr>
                  <w:tcW w:w="2838" w:type="pct"/>
                  <w:noWrap w:val="0"/>
                  <w:vAlign w:val="center"/>
                </w:tcPr>
                <w:p w14:paraId="2A8E886A">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洒水抑尘后无组织排放</w:t>
                  </w:r>
                </w:p>
              </w:tc>
            </w:tr>
            <w:tr w14:paraId="01288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376" w:type="pct"/>
                  <w:vMerge w:val="continue"/>
                  <w:noWrap w:val="0"/>
                  <w:vAlign w:val="center"/>
                </w:tcPr>
                <w:p w14:paraId="550E0B9D">
                  <w:pPr>
                    <w:pStyle w:val="29"/>
                    <w:widowControl w:val="0"/>
                    <w:adjustRightInd w:val="0"/>
                    <w:spacing w:before="0" w:beforeAutospacing="0" w:after="0" w:afterAutospacing="0"/>
                    <w:jc w:val="center"/>
                    <w:rPr>
                      <w:rFonts w:hint="default" w:ascii="Times New Roman" w:hAnsi="Times New Roman" w:cs="Times New Roman"/>
                      <w:color w:val="auto"/>
                      <w:highlight w:val="none"/>
                      <w:lang w:val="en-US" w:eastAsia="zh-CN"/>
                    </w:rPr>
                  </w:pPr>
                </w:p>
              </w:tc>
              <w:tc>
                <w:tcPr>
                  <w:tcW w:w="212" w:type="pct"/>
                  <w:vMerge w:val="continue"/>
                  <w:noWrap w:val="0"/>
                  <w:vAlign w:val="center"/>
                </w:tcPr>
                <w:p w14:paraId="0E903416">
                  <w:pPr>
                    <w:pStyle w:val="29"/>
                    <w:widowControl w:val="0"/>
                    <w:adjustRightInd w:val="0"/>
                    <w:spacing w:before="0" w:beforeAutospacing="0" w:after="0" w:afterAutospacing="0"/>
                    <w:jc w:val="center"/>
                    <w:rPr>
                      <w:rFonts w:hint="default" w:ascii="Times New Roman" w:hAnsi="Times New Roman" w:cs="Times New Roman"/>
                      <w:color w:val="auto"/>
                      <w:highlight w:val="none"/>
                      <w:lang w:val="en-US" w:eastAsia="zh-CN"/>
                    </w:rPr>
                  </w:pPr>
                </w:p>
              </w:tc>
              <w:tc>
                <w:tcPr>
                  <w:tcW w:w="1573" w:type="pct"/>
                  <w:noWrap w:val="0"/>
                  <w:vAlign w:val="center"/>
                </w:tcPr>
                <w:p w14:paraId="18A08074">
                  <w:pPr>
                    <w:pStyle w:val="29"/>
                    <w:widowControl w:val="0"/>
                    <w:adjustRightInd w:val="0"/>
                    <w:spacing w:before="0" w:beforeAutospacing="0" w:after="0" w:afterAutospacing="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砂石物料输送粉尘</w:t>
                  </w:r>
                </w:p>
              </w:tc>
              <w:tc>
                <w:tcPr>
                  <w:tcW w:w="2838" w:type="pct"/>
                  <w:noWrap w:val="0"/>
                  <w:vAlign w:val="center"/>
                </w:tcPr>
                <w:p w14:paraId="1B7896DA">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洒水抑尘后无组织排放</w:t>
                  </w:r>
                </w:p>
              </w:tc>
            </w:tr>
            <w:tr w14:paraId="2DD6E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376" w:type="pct"/>
                  <w:vMerge w:val="continue"/>
                  <w:noWrap w:val="0"/>
                  <w:vAlign w:val="center"/>
                </w:tcPr>
                <w:p w14:paraId="332FF2C8">
                  <w:pPr>
                    <w:pStyle w:val="29"/>
                    <w:widowControl w:val="0"/>
                    <w:adjustRightInd w:val="0"/>
                    <w:spacing w:before="0" w:beforeAutospacing="0" w:after="0" w:afterAutospacing="0"/>
                    <w:jc w:val="center"/>
                    <w:rPr>
                      <w:rFonts w:hint="default" w:ascii="Times New Roman" w:hAnsi="Times New Roman" w:cs="Times New Roman"/>
                      <w:color w:val="auto"/>
                      <w:highlight w:val="none"/>
                      <w:lang w:val="en-US" w:eastAsia="zh-CN"/>
                    </w:rPr>
                  </w:pPr>
                </w:p>
              </w:tc>
              <w:tc>
                <w:tcPr>
                  <w:tcW w:w="212" w:type="pct"/>
                  <w:vMerge w:val="continue"/>
                  <w:noWrap w:val="0"/>
                  <w:vAlign w:val="center"/>
                </w:tcPr>
                <w:p w14:paraId="307AAED1">
                  <w:pPr>
                    <w:pStyle w:val="29"/>
                    <w:widowControl w:val="0"/>
                    <w:adjustRightInd w:val="0"/>
                    <w:spacing w:before="0" w:beforeAutospacing="0" w:after="0" w:afterAutospacing="0"/>
                    <w:jc w:val="center"/>
                    <w:rPr>
                      <w:rFonts w:hint="default" w:ascii="Times New Roman" w:hAnsi="Times New Roman" w:cs="Times New Roman"/>
                      <w:color w:val="auto"/>
                      <w:highlight w:val="none"/>
                      <w:lang w:val="en-US" w:eastAsia="zh-CN"/>
                    </w:rPr>
                  </w:pPr>
                </w:p>
              </w:tc>
              <w:tc>
                <w:tcPr>
                  <w:tcW w:w="1573" w:type="pct"/>
                  <w:shd w:val="clear" w:color="auto" w:fill="auto"/>
                  <w:noWrap w:val="0"/>
                  <w:vAlign w:val="center"/>
                </w:tcPr>
                <w:p w14:paraId="6372E46A">
                  <w:pPr>
                    <w:pStyle w:val="29"/>
                    <w:widowControl w:val="0"/>
                    <w:adjustRightInd w:val="0"/>
                    <w:spacing w:before="0" w:beforeAutospacing="0" w:after="0" w:afterAutospacing="0"/>
                    <w:jc w:val="center"/>
                    <w:rPr>
                      <w:rFonts w:hint="default" w:ascii="Times New Roman" w:hAnsi="Times New Roman" w:cs="Times New Roman" w:eastAsiaTheme="minorEastAsia"/>
                      <w:color w:val="auto"/>
                      <w:kern w:val="0"/>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砂石料仓扬尘</w:t>
                  </w:r>
                </w:p>
              </w:tc>
              <w:tc>
                <w:tcPr>
                  <w:tcW w:w="2838" w:type="pct"/>
                  <w:noWrap w:val="0"/>
                  <w:vAlign w:val="center"/>
                </w:tcPr>
                <w:p w14:paraId="0F91CFC7">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洒水抑尘后无组织排放</w:t>
                  </w:r>
                </w:p>
              </w:tc>
            </w:tr>
            <w:tr w14:paraId="64226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376" w:type="pct"/>
                  <w:vMerge w:val="continue"/>
                  <w:noWrap w:val="0"/>
                  <w:vAlign w:val="center"/>
                </w:tcPr>
                <w:p w14:paraId="315EF3AA">
                  <w:pPr>
                    <w:pStyle w:val="29"/>
                    <w:widowControl w:val="0"/>
                    <w:adjustRightInd w:val="0"/>
                    <w:spacing w:before="0" w:beforeAutospacing="0" w:after="0" w:afterAutospacing="0"/>
                    <w:jc w:val="center"/>
                    <w:rPr>
                      <w:rFonts w:hint="default" w:ascii="Times New Roman" w:hAnsi="Times New Roman" w:cs="Times New Roman"/>
                      <w:color w:val="auto"/>
                      <w:highlight w:val="none"/>
                      <w:lang w:val="en-US" w:eastAsia="zh-CN"/>
                    </w:rPr>
                  </w:pPr>
                </w:p>
              </w:tc>
              <w:tc>
                <w:tcPr>
                  <w:tcW w:w="212" w:type="pct"/>
                  <w:vMerge w:val="continue"/>
                  <w:noWrap w:val="0"/>
                  <w:vAlign w:val="center"/>
                </w:tcPr>
                <w:p w14:paraId="1F5C863B">
                  <w:pPr>
                    <w:pStyle w:val="29"/>
                    <w:widowControl w:val="0"/>
                    <w:adjustRightInd w:val="0"/>
                    <w:spacing w:before="0" w:beforeAutospacing="0" w:after="0" w:afterAutospacing="0"/>
                    <w:jc w:val="center"/>
                    <w:rPr>
                      <w:rFonts w:hint="default" w:ascii="Times New Roman" w:hAnsi="Times New Roman" w:cs="Times New Roman"/>
                      <w:color w:val="auto"/>
                      <w:highlight w:val="none"/>
                      <w:lang w:val="en-US" w:eastAsia="zh-CN"/>
                    </w:rPr>
                  </w:pPr>
                </w:p>
              </w:tc>
              <w:tc>
                <w:tcPr>
                  <w:tcW w:w="1573" w:type="pct"/>
                  <w:shd w:val="clear" w:color="auto" w:fill="auto"/>
                  <w:noWrap w:val="0"/>
                  <w:vAlign w:val="center"/>
                </w:tcPr>
                <w:p w14:paraId="490708CC">
                  <w:pPr>
                    <w:pStyle w:val="29"/>
                    <w:widowControl w:val="0"/>
                    <w:adjustRightInd w:val="0"/>
                    <w:spacing w:before="0" w:beforeAutospacing="0" w:after="0" w:afterAutospacing="0"/>
                    <w:jc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kern w:val="2"/>
                      <w:sz w:val="21"/>
                      <w:szCs w:val="21"/>
                      <w:highlight w:val="none"/>
                    </w:rPr>
                    <w:t>运输车辆动力扬尘</w:t>
                  </w:r>
                </w:p>
              </w:tc>
              <w:tc>
                <w:tcPr>
                  <w:tcW w:w="2838" w:type="pct"/>
                  <w:noWrap w:val="0"/>
                  <w:vAlign w:val="center"/>
                </w:tcPr>
                <w:p w14:paraId="3B5DE2A5">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洒水抑尘后无组织排放</w:t>
                  </w:r>
                </w:p>
              </w:tc>
            </w:tr>
            <w:tr w14:paraId="2D427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376" w:type="pct"/>
                  <w:vMerge w:val="continue"/>
                  <w:noWrap w:val="0"/>
                  <w:vAlign w:val="center"/>
                </w:tcPr>
                <w:p w14:paraId="59507C4D">
                  <w:pPr>
                    <w:pStyle w:val="29"/>
                    <w:widowControl w:val="0"/>
                    <w:adjustRightInd w:val="0"/>
                    <w:spacing w:before="0" w:beforeAutospacing="0" w:after="0" w:afterAutospacing="0"/>
                    <w:jc w:val="center"/>
                    <w:rPr>
                      <w:rFonts w:hint="default" w:ascii="Times New Roman" w:hAnsi="Times New Roman" w:cs="Times New Roman"/>
                      <w:color w:val="auto"/>
                      <w:highlight w:val="none"/>
                      <w:lang w:val="en-US" w:eastAsia="zh-CN"/>
                    </w:rPr>
                  </w:pPr>
                </w:p>
              </w:tc>
              <w:tc>
                <w:tcPr>
                  <w:tcW w:w="212" w:type="pct"/>
                  <w:vMerge w:val="continue"/>
                  <w:noWrap w:val="0"/>
                  <w:vAlign w:val="center"/>
                </w:tcPr>
                <w:p w14:paraId="35329178">
                  <w:pPr>
                    <w:pStyle w:val="29"/>
                    <w:widowControl w:val="0"/>
                    <w:adjustRightInd w:val="0"/>
                    <w:spacing w:before="0" w:beforeAutospacing="0" w:after="0" w:afterAutospacing="0"/>
                    <w:jc w:val="center"/>
                    <w:rPr>
                      <w:rFonts w:hint="default" w:ascii="Times New Roman" w:hAnsi="Times New Roman" w:cs="Times New Roman"/>
                      <w:color w:val="auto"/>
                      <w:highlight w:val="none"/>
                      <w:lang w:val="en-US" w:eastAsia="zh-CN"/>
                    </w:rPr>
                  </w:pPr>
                </w:p>
              </w:tc>
              <w:tc>
                <w:tcPr>
                  <w:tcW w:w="1573" w:type="pct"/>
                  <w:shd w:val="clear" w:color="auto" w:fill="auto"/>
                  <w:noWrap w:val="0"/>
                  <w:vAlign w:val="center"/>
                </w:tcPr>
                <w:p w14:paraId="7325F63B">
                  <w:pPr>
                    <w:pStyle w:val="29"/>
                    <w:widowControl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rPr>
                    <w:t>汽车运输尾气</w:t>
                  </w:r>
                </w:p>
              </w:tc>
              <w:tc>
                <w:tcPr>
                  <w:tcW w:w="2838" w:type="pct"/>
                  <w:noWrap w:val="0"/>
                  <w:vAlign w:val="center"/>
                </w:tcPr>
                <w:p w14:paraId="13FE7BDD">
                  <w:pPr>
                    <w:adjustRightInd w:val="0"/>
                    <w:snapToGrid w:val="0"/>
                    <w:jc w:val="center"/>
                    <w:rPr>
                      <w:rFonts w:hint="default" w:ascii="Times New Roman" w:hAnsi="Times New Roman" w:cs="Times New Roman"/>
                      <w:color w:val="auto"/>
                      <w:kern w:val="0"/>
                      <w:szCs w:val="21"/>
                      <w:highlight w:val="none"/>
                    </w:rPr>
                  </w:pPr>
                  <w:r>
                    <w:rPr>
                      <w:rFonts w:hint="default" w:ascii="Times New Roman" w:hAnsi="Times New Roman" w:eastAsia="宋体" w:cs="Times New Roman"/>
                      <w:color w:val="auto"/>
                      <w:szCs w:val="21"/>
                      <w:highlight w:val="none"/>
                      <w:lang w:val="en-US" w:eastAsia="zh-CN"/>
                    </w:rPr>
                    <w:t>无组织排放</w:t>
                  </w:r>
                </w:p>
              </w:tc>
            </w:tr>
            <w:tr w14:paraId="38D3A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376" w:type="pct"/>
                  <w:vMerge w:val="continue"/>
                  <w:noWrap w:val="0"/>
                  <w:vAlign w:val="center"/>
                </w:tcPr>
                <w:p w14:paraId="1F8EB0D5">
                  <w:pPr>
                    <w:pStyle w:val="29"/>
                    <w:widowControl w:val="0"/>
                    <w:adjustRightInd w:val="0"/>
                    <w:spacing w:before="0" w:beforeAutospacing="0" w:after="0" w:afterAutospacing="0"/>
                    <w:jc w:val="center"/>
                    <w:rPr>
                      <w:rFonts w:hint="default" w:ascii="Times New Roman" w:hAnsi="Times New Roman" w:cs="Times New Roman"/>
                      <w:color w:val="auto"/>
                      <w:highlight w:val="none"/>
                      <w:lang w:val="en-US" w:eastAsia="zh-CN"/>
                    </w:rPr>
                  </w:pPr>
                </w:p>
              </w:tc>
              <w:tc>
                <w:tcPr>
                  <w:tcW w:w="212" w:type="pct"/>
                  <w:vMerge w:val="continue"/>
                  <w:noWrap w:val="0"/>
                  <w:vAlign w:val="center"/>
                </w:tcPr>
                <w:p w14:paraId="3AEC32E9">
                  <w:pPr>
                    <w:pStyle w:val="29"/>
                    <w:widowControl w:val="0"/>
                    <w:adjustRightInd w:val="0"/>
                    <w:spacing w:before="0" w:beforeAutospacing="0" w:after="0" w:afterAutospacing="0"/>
                    <w:jc w:val="center"/>
                    <w:rPr>
                      <w:rFonts w:hint="default" w:ascii="Times New Roman" w:hAnsi="Times New Roman" w:cs="Times New Roman"/>
                      <w:color w:val="auto"/>
                      <w:highlight w:val="none"/>
                      <w:lang w:val="en-US" w:eastAsia="zh-CN"/>
                    </w:rPr>
                  </w:pPr>
                </w:p>
              </w:tc>
              <w:tc>
                <w:tcPr>
                  <w:tcW w:w="1573" w:type="pct"/>
                  <w:shd w:val="clear" w:color="auto" w:fill="auto"/>
                  <w:noWrap w:val="0"/>
                  <w:vAlign w:val="center"/>
                </w:tcPr>
                <w:p w14:paraId="120B6526">
                  <w:pPr>
                    <w:pStyle w:val="29"/>
                    <w:widowControl w:val="0"/>
                    <w:adjustRightInd w:val="0"/>
                    <w:spacing w:before="0" w:beforeAutospacing="0" w:after="0" w:afterAutospacing="0"/>
                    <w:jc w:val="center"/>
                    <w:rPr>
                      <w:rFonts w:hint="default" w:ascii="Times New Roman" w:hAnsi="Times New Roman" w:cs="Times New Roman" w:eastAsiaTheme="minorEastAsia"/>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lang w:val="en-US" w:eastAsia="zh-CN" w:bidi="ar-SA"/>
                    </w:rPr>
                    <w:t>焊接烟尘</w:t>
                  </w:r>
                </w:p>
              </w:tc>
              <w:tc>
                <w:tcPr>
                  <w:tcW w:w="2838" w:type="pct"/>
                  <w:noWrap w:val="0"/>
                  <w:vAlign w:val="center"/>
                </w:tcPr>
                <w:p w14:paraId="577EF993">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经移动式烟尘净化器处理达标后无组织排放</w:t>
                  </w:r>
                </w:p>
              </w:tc>
            </w:tr>
            <w:tr w14:paraId="3D23D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376" w:type="pct"/>
                  <w:vMerge w:val="continue"/>
                  <w:noWrap w:val="0"/>
                  <w:vAlign w:val="center"/>
                </w:tcPr>
                <w:p w14:paraId="3C13F20B">
                  <w:pPr>
                    <w:pStyle w:val="29"/>
                    <w:widowControl w:val="0"/>
                    <w:adjustRightInd w:val="0"/>
                    <w:spacing w:before="0" w:beforeAutospacing="0" w:after="0" w:afterAutospacing="0"/>
                    <w:jc w:val="center"/>
                    <w:rPr>
                      <w:rFonts w:hint="default" w:ascii="Times New Roman" w:hAnsi="Times New Roman" w:cs="Times New Roman"/>
                      <w:color w:val="auto"/>
                      <w:sz w:val="21"/>
                      <w:szCs w:val="21"/>
                      <w:highlight w:val="none"/>
                      <w:lang w:val="en-US" w:eastAsia="zh-CN"/>
                    </w:rPr>
                  </w:pPr>
                </w:p>
              </w:tc>
              <w:tc>
                <w:tcPr>
                  <w:tcW w:w="212" w:type="pct"/>
                  <w:vMerge w:val="restart"/>
                  <w:noWrap w:val="0"/>
                  <w:vAlign w:val="center"/>
                </w:tcPr>
                <w:p w14:paraId="5A766549">
                  <w:pPr>
                    <w:pStyle w:val="29"/>
                    <w:widowControl w:val="0"/>
                    <w:adjustRightInd w:val="0"/>
                    <w:spacing w:before="0" w:beforeAutospacing="0" w:after="0" w:afterAutospacing="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废水</w:t>
                  </w:r>
                </w:p>
              </w:tc>
              <w:tc>
                <w:tcPr>
                  <w:tcW w:w="1573" w:type="pct"/>
                  <w:noWrap w:val="0"/>
                  <w:vAlign w:val="center"/>
                </w:tcPr>
                <w:p w14:paraId="51445662">
                  <w:pPr>
                    <w:pStyle w:val="29"/>
                    <w:widowControl w:val="0"/>
                    <w:adjustRightInd w:val="0"/>
                    <w:spacing w:before="0" w:beforeAutospacing="0" w:after="0" w:afterAutospacing="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生活污水</w:t>
                  </w:r>
                </w:p>
              </w:tc>
              <w:tc>
                <w:tcPr>
                  <w:tcW w:w="2838" w:type="pct"/>
                  <w:noWrap w:val="0"/>
                  <w:vAlign w:val="center"/>
                </w:tcPr>
                <w:p w14:paraId="09EC2F8E">
                  <w:pPr>
                    <w:widowControl/>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rPr>
                    <w:t>经三级化粪池预处理后进入市政管网由</w:t>
                  </w:r>
                  <w:r>
                    <w:rPr>
                      <w:rFonts w:hint="default" w:ascii="Times New Roman" w:hAnsi="Times New Roman" w:cs="Times New Roman"/>
                      <w:color w:val="auto"/>
                      <w:szCs w:val="21"/>
                      <w:highlight w:val="none"/>
                      <w:lang w:eastAsia="zh-CN"/>
                    </w:rPr>
                    <w:t>博罗县罗阳街道小金生活污水处理厂</w:t>
                  </w:r>
                  <w:r>
                    <w:rPr>
                      <w:rFonts w:hint="default" w:ascii="Times New Roman" w:hAnsi="Times New Roman" w:cs="Times New Roman"/>
                      <w:color w:val="auto"/>
                      <w:szCs w:val="21"/>
                      <w:highlight w:val="none"/>
                      <w:lang w:val="en-US" w:eastAsia="zh-CN"/>
                    </w:rPr>
                    <w:t>深度处理</w:t>
                  </w:r>
                </w:p>
              </w:tc>
            </w:tr>
            <w:tr w14:paraId="38CCE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376" w:type="pct"/>
                  <w:vMerge w:val="continue"/>
                  <w:noWrap w:val="0"/>
                  <w:vAlign w:val="center"/>
                </w:tcPr>
                <w:p w14:paraId="0D18E0D5">
                  <w:pPr>
                    <w:pStyle w:val="29"/>
                    <w:widowControl w:val="0"/>
                    <w:adjustRightInd w:val="0"/>
                    <w:spacing w:before="0" w:beforeAutospacing="0" w:after="0" w:afterAutospacing="0"/>
                    <w:jc w:val="center"/>
                    <w:rPr>
                      <w:rFonts w:hint="default" w:ascii="Times New Roman" w:hAnsi="Times New Roman" w:cs="Times New Roman"/>
                      <w:color w:val="auto"/>
                      <w:sz w:val="21"/>
                      <w:szCs w:val="21"/>
                      <w:highlight w:val="none"/>
                      <w:lang w:val="en-US" w:eastAsia="zh-CN"/>
                    </w:rPr>
                  </w:pPr>
                </w:p>
              </w:tc>
              <w:tc>
                <w:tcPr>
                  <w:tcW w:w="212" w:type="pct"/>
                  <w:vMerge w:val="continue"/>
                  <w:noWrap w:val="0"/>
                  <w:vAlign w:val="center"/>
                </w:tcPr>
                <w:p w14:paraId="24F3A3CB">
                  <w:pPr>
                    <w:pStyle w:val="29"/>
                    <w:widowControl w:val="0"/>
                    <w:adjustRightInd w:val="0"/>
                    <w:spacing w:before="0" w:beforeAutospacing="0" w:after="0" w:afterAutospacing="0"/>
                    <w:jc w:val="center"/>
                    <w:rPr>
                      <w:rFonts w:hint="default" w:ascii="Times New Roman" w:hAnsi="Times New Roman" w:cs="Times New Roman"/>
                      <w:color w:val="auto"/>
                      <w:sz w:val="21"/>
                      <w:szCs w:val="21"/>
                      <w:highlight w:val="none"/>
                      <w:lang w:val="en-US" w:eastAsia="zh-CN"/>
                    </w:rPr>
                  </w:pPr>
                </w:p>
              </w:tc>
              <w:tc>
                <w:tcPr>
                  <w:tcW w:w="1573" w:type="pct"/>
                  <w:noWrap w:val="0"/>
                  <w:vAlign w:val="center"/>
                </w:tcPr>
                <w:p w14:paraId="1FD3143B">
                  <w:pPr>
                    <w:pStyle w:val="29"/>
                    <w:widowControl w:val="0"/>
                    <w:adjustRightInd w:val="0"/>
                    <w:spacing w:before="0" w:beforeAutospacing="0" w:after="0" w:afterAutospacing="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原料调配用水</w:t>
                  </w:r>
                </w:p>
              </w:tc>
              <w:tc>
                <w:tcPr>
                  <w:tcW w:w="2838" w:type="pct"/>
                  <w:noWrap w:val="0"/>
                  <w:vAlign w:val="center"/>
                </w:tcPr>
                <w:p w14:paraId="35E316D4">
                  <w:pPr>
                    <w:widowControl/>
                    <w:jc w:val="center"/>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全部进入产品，不外排</w:t>
                  </w:r>
                </w:p>
              </w:tc>
            </w:tr>
            <w:tr w14:paraId="744DC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6" w:type="pct"/>
                  <w:vMerge w:val="continue"/>
                  <w:noWrap w:val="0"/>
                  <w:vAlign w:val="center"/>
                </w:tcPr>
                <w:p w14:paraId="19EBA80A">
                  <w:pPr>
                    <w:pStyle w:val="29"/>
                    <w:widowControl w:val="0"/>
                    <w:adjustRightInd w:val="0"/>
                    <w:spacing w:before="0" w:beforeAutospacing="0" w:after="0" w:afterAutospacing="0"/>
                    <w:jc w:val="center"/>
                    <w:rPr>
                      <w:rFonts w:hint="default" w:ascii="Times New Roman" w:hAnsi="Times New Roman" w:cs="Times New Roman"/>
                      <w:color w:val="auto"/>
                      <w:sz w:val="21"/>
                      <w:szCs w:val="21"/>
                      <w:highlight w:val="none"/>
                      <w:lang w:val="en-US" w:eastAsia="zh-CN"/>
                    </w:rPr>
                  </w:pPr>
                </w:p>
              </w:tc>
              <w:tc>
                <w:tcPr>
                  <w:tcW w:w="212" w:type="pct"/>
                  <w:vMerge w:val="continue"/>
                  <w:noWrap w:val="0"/>
                  <w:vAlign w:val="center"/>
                </w:tcPr>
                <w:p w14:paraId="5C24A30A">
                  <w:pPr>
                    <w:pStyle w:val="29"/>
                    <w:widowControl w:val="0"/>
                    <w:adjustRightInd w:val="0"/>
                    <w:spacing w:before="0" w:beforeAutospacing="0" w:after="0" w:afterAutospacing="0"/>
                    <w:jc w:val="center"/>
                    <w:rPr>
                      <w:rFonts w:hint="default" w:ascii="Times New Roman" w:hAnsi="Times New Roman" w:cs="Times New Roman"/>
                      <w:color w:val="auto"/>
                      <w:sz w:val="21"/>
                      <w:szCs w:val="21"/>
                      <w:highlight w:val="none"/>
                      <w:lang w:val="en-US" w:eastAsia="zh-CN"/>
                    </w:rPr>
                  </w:pPr>
                </w:p>
              </w:tc>
              <w:tc>
                <w:tcPr>
                  <w:tcW w:w="1573" w:type="pct"/>
                  <w:noWrap w:val="0"/>
                  <w:vAlign w:val="center"/>
                </w:tcPr>
                <w:p w14:paraId="4BE47C94">
                  <w:pPr>
                    <w:pStyle w:val="29"/>
                    <w:widowControl w:val="0"/>
                    <w:adjustRightInd w:val="0"/>
                    <w:spacing w:before="0" w:beforeAutospacing="0" w:after="0" w:afterAutospacing="0"/>
                    <w:jc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锅炉排污及软化再生废水</w:t>
                  </w:r>
                  <w:r>
                    <w:rPr>
                      <w:rFonts w:hint="eastAsia"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搅拌机清洗、运输原材料车辆</w:t>
                  </w:r>
                  <w:r>
                    <w:rPr>
                      <w:rFonts w:hint="default" w:ascii="Times New Roman" w:hAnsi="Times New Roman" w:cs="Times New Roman"/>
                      <w:color w:val="auto"/>
                      <w:sz w:val="21"/>
                      <w:szCs w:val="21"/>
                      <w:highlight w:val="none"/>
                      <w:lang w:val="en-US" w:eastAsia="zh-CN"/>
                    </w:rPr>
                    <w:t>清</w:t>
                  </w:r>
                  <w:r>
                    <w:rPr>
                      <w:rFonts w:hint="default" w:ascii="Times New Roman" w:hAnsi="Times New Roman" w:eastAsia="宋体" w:cs="Times New Roman"/>
                      <w:i w:val="0"/>
                      <w:iCs w:val="0"/>
                      <w:color w:val="auto"/>
                      <w:kern w:val="0"/>
                      <w:sz w:val="21"/>
                      <w:szCs w:val="21"/>
                      <w:highlight w:val="none"/>
                      <w:u w:val="none"/>
                      <w:lang w:val="en-US" w:eastAsia="zh-CN" w:bidi="ar"/>
                    </w:rPr>
                    <w:t>洗</w:t>
                  </w:r>
                  <w:r>
                    <w:rPr>
                      <w:rFonts w:hint="default" w:ascii="Times New Roman" w:hAnsi="Times New Roman" w:eastAsia="宋体" w:cs="Times New Roman"/>
                      <w:color w:val="auto"/>
                      <w:sz w:val="21"/>
                      <w:szCs w:val="21"/>
                      <w:highlight w:val="none"/>
                      <w:lang w:val="en-US" w:eastAsia="zh-CN"/>
                    </w:rPr>
                    <w:t>、搅拌区地面清洗废水</w:t>
                  </w:r>
                </w:p>
              </w:tc>
              <w:tc>
                <w:tcPr>
                  <w:tcW w:w="2838" w:type="pct"/>
                  <w:noWrap w:val="0"/>
                  <w:vAlign w:val="center"/>
                </w:tcPr>
                <w:p w14:paraId="7F36C91A">
                  <w:pPr>
                    <w:widowControl/>
                    <w:jc w:val="center"/>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锅炉排污水及软化再生废水先经</w:t>
                  </w:r>
                  <w:r>
                    <w:rPr>
                      <w:rFonts w:hint="default" w:ascii="Times New Roman" w:hAnsi="Times New Roman" w:cs="Times New Roman"/>
                      <w:color w:val="auto"/>
                      <w:highlight w:val="none"/>
                      <w:lang w:val="en-US" w:eastAsia="zh-CN"/>
                    </w:rPr>
                    <w:t>调节混凝絮凝</w:t>
                  </w:r>
                  <w:r>
                    <w:rPr>
                      <w:rFonts w:hint="eastAsia" w:ascii="Times New Roman" w:hAnsi="Times New Roman" w:cs="Times New Roman"/>
                      <w:color w:val="auto"/>
                      <w:highlight w:val="none"/>
                      <w:lang w:val="en-US" w:eastAsia="zh-CN"/>
                    </w:rPr>
                    <w:t>预处理后与其余废水经</w:t>
                  </w:r>
                  <w:r>
                    <w:rPr>
                      <w:rFonts w:hint="default" w:ascii="Times New Roman" w:hAnsi="Times New Roman" w:cs="Times New Roman"/>
                      <w:color w:val="auto"/>
                      <w:highlight w:val="none"/>
                      <w:lang w:val="en-US" w:eastAsia="zh-CN"/>
                    </w:rPr>
                    <w:t>三</w:t>
                  </w:r>
                  <w:r>
                    <w:rPr>
                      <w:rFonts w:hint="default" w:ascii="Times New Roman" w:hAnsi="Times New Roman" w:cs="Times New Roman"/>
                      <w:color w:val="auto"/>
                      <w:highlight w:val="none"/>
                    </w:rPr>
                    <w:t>级沉淀池处理后</w:t>
                  </w:r>
                  <w:r>
                    <w:rPr>
                      <w:rFonts w:hint="default" w:ascii="Times New Roman" w:hAnsi="Times New Roman" w:cs="Times New Roman"/>
                      <w:color w:val="auto"/>
                      <w:highlight w:val="none"/>
                      <w:lang w:eastAsia="zh-CN"/>
                    </w:rPr>
                    <w:t>回用于</w:t>
                  </w:r>
                  <w:r>
                    <w:rPr>
                      <w:rFonts w:hint="default" w:ascii="Times New Roman" w:hAnsi="Times New Roman" w:eastAsia="宋体" w:cs="Times New Roman"/>
                      <w:b w:val="0"/>
                      <w:bCs/>
                      <w:color w:val="auto"/>
                      <w:sz w:val="21"/>
                      <w:szCs w:val="21"/>
                      <w:highlight w:val="none"/>
                      <w:vertAlign w:val="baseline"/>
                      <w:lang w:val="en-US" w:eastAsia="zh-CN"/>
                    </w:rPr>
                    <w:t>原料调配用水</w:t>
                  </w:r>
                  <w:r>
                    <w:rPr>
                      <w:rFonts w:hint="default" w:ascii="Times New Roman" w:hAnsi="Times New Roman" w:cs="Times New Roman"/>
                      <w:color w:val="auto"/>
                      <w:highlight w:val="none"/>
                    </w:rPr>
                    <w:t>，不排放</w:t>
                  </w:r>
                </w:p>
              </w:tc>
            </w:tr>
            <w:tr w14:paraId="7B879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376" w:type="pct"/>
                  <w:vMerge w:val="continue"/>
                  <w:noWrap w:val="0"/>
                  <w:vAlign w:val="center"/>
                </w:tcPr>
                <w:p w14:paraId="7F34E414">
                  <w:pPr>
                    <w:pStyle w:val="29"/>
                    <w:widowControl w:val="0"/>
                    <w:adjustRightInd w:val="0"/>
                    <w:spacing w:before="0" w:beforeAutospacing="0" w:after="0" w:afterAutospacing="0"/>
                    <w:jc w:val="center"/>
                    <w:rPr>
                      <w:rFonts w:hint="default" w:ascii="Times New Roman" w:hAnsi="Times New Roman" w:cs="Times New Roman"/>
                      <w:color w:val="auto"/>
                      <w:sz w:val="21"/>
                      <w:szCs w:val="21"/>
                      <w:highlight w:val="none"/>
                      <w:lang w:val="en-US" w:eastAsia="zh-CN"/>
                    </w:rPr>
                  </w:pPr>
                </w:p>
              </w:tc>
              <w:tc>
                <w:tcPr>
                  <w:tcW w:w="212" w:type="pct"/>
                  <w:vMerge w:val="continue"/>
                  <w:noWrap w:val="0"/>
                  <w:vAlign w:val="center"/>
                </w:tcPr>
                <w:p w14:paraId="5CD0798E">
                  <w:pPr>
                    <w:pStyle w:val="29"/>
                    <w:widowControl w:val="0"/>
                    <w:adjustRightInd w:val="0"/>
                    <w:spacing w:before="0" w:beforeAutospacing="0" w:after="0" w:afterAutospacing="0"/>
                    <w:jc w:val="center"/>
                    <w:rPr>
                      <w:rFonts w:hint="default" w:ascii="Times New Roman" w:hAnsi="Times New Roman" w:cs="Times New Roman"/>
                      <w:color w:val="auto"/>
                      <w:sz w:val="21"/>
                      <w:szCs w:val="21"/>
                      <w:highlight w:val="none"/>
                      <w:lang w:val="en-US" w:eastAsia="zh-CN"/>
                    </w:rPr>
                  </w:pPr>
                </w:p>
              </w:tc>
              <w:tc>
                <w:tcPr>
                  <w:tcW w:w="1573" w:type="pct"/>
                  <w:noWrap w:val="0"/>
                  <w:vAlign w:val="center"/>
                </w:tcPr>
                <w:p w14:paraId="2C081F8E">
                  <w:pPr>
                    <w:pStyle w:val="29"/>
                    <w:widowControl w:val="0"/>
                    <w:adjustRightInd w:val="0"/>
                    <w:spacing w:before="0" w:beforeAutospacing="0" w:after="0" w:afterAutospacing="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初期雨水</w:t>
                  </w:r>
                </w:p>
              </w:tc>
              <w:tc>
                <w:tcPr>
                  <w:tcW w:w="2838" w:type="pct"/>
                  <w:noWrap w:val="0"/>
                  <w:vAlign w:val="center"/>
                </w:tcPr>
                <w:p w14:paraId="76703BE7">
                  <w:pPr>
                    <w:widowControl/>
                    <w:jc w:val="center"/>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color w:val="auto"/>
                      <w:highlight w:val="none"/>
                    </w:rPr>
                    <w:t>经初期雨水收集沉淀后</w:t>
                  </w:r>
                  <w:r>
                    <w:rPr>
                      <w:rFonts w:hint="default" w:ascii="Times New Roman" w:hAnsi="Times New Roman" w:cs="Times New Roman"/>
                      <w:color w:val="auto"/>
                      <w:highlight w:val="none"/>
                      <w:lang w:eastAsia="zh-CN"/>
                    </w:rPr>
                    <w:t>回用于</w:t>
                  </w:r>
                  <w:r>
                    <w:rPr>
                      <w:rFonts w:hint="default" w:ascii="Times New Roman" w:hAnsi="Times New Roman" w:cs="Times New Roman"/>
                      <w:color w:val="auto"/>
                      <w:highlight w:val="none"/>
                      <w:lang w:val="en-US" w:eastAsia="zh-CN"/>
                    </w:rPr>
                    <w:t>养护用水</w:t>
                  </w:r>
                </w:p>
              </w:tc>
            </w:tr>
            <w:tr w14:paraId="48886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376" w:type="pct"/>
                  <w:vMerge w:val="continue"/>
                  <w:noWrap w:val="0"/>
                  <w:vAlign w:val="center"/>
                </w:tcPr>
                <w:p w14:paraId="074B68DB">
                  <w:pPr>
                    <w:pStyle w:val="29"/>
                    <w:widowControl w:val="0"/>
                    <w:adjustRightInd w:val="0"/>
                    <w:spacing w:before="0" w:beforeAutospacing="0" w:after="0" w:afterAutospacing="0"/>
                    <w:jc w:val="center"/>
                    <w:rPr>
                      <w:rFonts w:hint="default" w:ascii="Times New Roman" w:hAnsi="Times New Roman" w:cs="Times New Roman"/>
                      <w:color w:val="auto"/>
                      <w:sz w:val="21"/>
                      <w:szCs w:val="21"/>
                      <w:highlight w:val="none"/>
                      <w:lang w:val="en-US" w:eastAsia="zh-CN"/>
                    </w:rPr>
                  </w:pPr>
                </w:p>
              </w:tc>
              <w:tc>
                <w:tcPr>
                  <w:tcW w:w="212" w:type="pct"/>
                  <w:vMerge w:val="continue"/>
                  <w:noWrap w:val="0"/>
                  <w:vAlign w:val="center"/>
                </w:tcPr>
                <w:p w14:paraId="0F51863F">
                  <w:pPr>
                    <w:pStyle w:val="29"/>
                    <w:widowControl w:val="0"/>
                    <w:adjustRightInd w:val="0"/>
                    <w:spacing w:before="0" w:beforeAutospacing="0" w:after="0" w:afterAutospacing="0"/>
                    <w:jc w:val="center"/>
                    <w:rPr>
                      <w:rFonts w:hint="default" w:ascii="Times New Roman" w:hAnsi="Times New Roman" w:cs="Times New Roman"/>
                      <w:color w:val="auto"/>
                      <w:sz w:val="21"/>
                      <w:szCs w:val="21"/>
                      <w:highlight w:val="none"/>
                      <w:lang w:val="en-US" w:eastAsia="zh-CN"/>
                    </w:rPr>
                  </w:pPr>
                </w:p>
              </w:tc>
              <w:tc>
                <w:tcPr>
                  <w:tcW w:w="1573" w:type="pct"/>
                  <w:noWrap w:val="0"/>
                  <w:vAlign w:val="center"/>
                </w:tcPr>
                <w:p w14:paraId="7CA3582E">
                  <w:pPr>
                    <w:jc w:val="center"/>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highlight w:val="none"/>
                    </w:rPr>
                    <w:t>堆场、</w:t>
                  </w:r>
                  <w:r>
                    <w:rPr>
                      <w:rFonts w:hint="default" w:ascii="Times New Roman" w:hAnsi="Times New Roman" w:cs="Times New Roman"/>
                      <w:color w:val="auto"/>
                      <w:highlight w:val="none"/>
                      <w:lang w:val="en-US" w:eastAsia="zh-CN"/>
                    </w:rPr>
                    <w:t>运输道路洒水</w:t>
                  </w:r>
                </w:p>
              </w:tc>
              <w:tc>
                <w:tcPr>
                  <w:tcW w:w="2838" w:type="pct"/>
                  <w:noWrap w:val="0"/>
                  <w:vAlign w:val="center"/>
                </w:tcPr>
                <w:p w14:paraId="107CF8FE">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全部蒸发损耗</w:t>
                  </w:r>
                </w:p>
              </w:tc>
            </w:tr>
            <w:tr w14:paraId="511BC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376" w:type="pct"/>
                  <w:vMerge w:val="continue"/>
                  <w:noWrap w:val="0"/>
                  <w:vAlign w:val="center"/>
                </w:tcPr>
                <w:p w14:paraId="5C7C078E">
                  <w:pPr>
                    <w:pStyle w:val="29"/>
                    <w:widowControl w:val="0"/>
                    <w:adjustRightInd w:val="0"/>
                    <w:spacing w:before="0" w:beforeAutospacing="0" w:after="0" w:afterAutospacing="0"/>
                    <w:jc w:val="center"/>
                    <w:rPr>
                      <w:rFonts w:hint="default" w:ascii="Times New Roman" w:hAnsi="Times New Roman" w:cs="Times New Roman"/>
                      <w:color w:val="auto"/>
                      <w:sz w:val="21"/>
                      <w:szCs w:val="21"/>
                      <w:highlight w:val="none"/>
                      <w:lang w:val="en-US" w:eastAsia="zh-CN"/>
                    </w:rPr>
                  </w:pPr>
                </w:p>
              </w:tc>
              <w:tc>
                <w:tcPr>
                  <w:tcW w:w="212" w:type="pct"/>
                  <w:vMerge w:val="continue"/>
                  <w:noWrap w:val="0"/>
                  <w:vAlign w:val="center"/>
                </w:tcPr>
                <w:p w14:paraId="52380A55">
                  <w:pPr>
                    <w:pStyle w:val="29"/>
                    <w:widowControl w:val="0"/>
                    <w:adjustRightInd w:val="0"/>
                    <w:spacing w:before="0" w:beforeAutospacing="0" w:after="0" w:afterAutospacing="0"/>
                    <w:jc w:val="center"/>
                    <w:rPr>
                      <w:rFonts w:hint="default" w:ascii="Times New Roman" w:hAnsi="Times New Roman" w:cs="Times New Roman"/>
                      <w:color w:val="auto"/>
                      <w:sz w:val="21"/>
                      <w:szCs w:val="21"/>
                      <w:highlight w:val="none"/>
                      <w:lang w:val="en-US" w:eastAsia="zh-CN"/>
                    </w:rPr>
                  </w:pPr>
                </w:p>
              </w:tc>
              <w:tc>
                <w:tcPr>
                  <w:tcW w:w="1573" w:type="pct"/>
                  <w:noWrap w:val="0"/>
                  <w:vAlign w:val="center"/>
                </w:tcPr>
                <w:p w14:paraId="754E3274">
                  <w:pPr>
                    <w:jc w:val="center"/>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养护用水</w:t>
                  </w:r>
                </w:p>
              </w:tc>
              <w:tc>
                <w:tcPr>
                  <w:tcW w:w="2838" w:type="pct"/>
                  <w:shd w:val="clear" w:color="auto" w:fill="auto"/>
                  <w:noWrap w:val="0"/>
                  <w:vAlign w:val="center"/>
                </w:tcPr>
                <w:p w14:paraId="00DAC942">
                  <w:pPr>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cs="Times New Roman"/>
                      <w:color w:val="auto"/>
                      <w:highlight w:val="none"/>
                      <w:lang w:val="en-US" w:eastAsia="zh-CN"/>
                    </w:rPr>
                    <w:t>全部蒸发损耗</w:t>
                  </w:r>
                </w:p>
              </w:tc>
            </w:tr>
            <w:tr w14:paraId="6F374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376" w:type="pct"/>
                  <w:vMerge w:val="continue"/>
                  <w:noWrap w:val="0"/>
                  <w:vAlign w:val="center"/>
                </w:tcPr>
                <w:p w14:paraId="5EF19B30">
                  <w:pPr>
                    <w:pStyle w:val="29"/>
                    <w:widowControl w:val="0"/>
                    <w:adjustRightInd w:val="0"/>
                    <w:spacing w:before="0" w:beforeAutospacing="0" w:after="0" w:afterAutospacing="0"/>
                    <w:jc w:val="center"/>
                    <w:rPr>
                      <w:rFonts w:hint="default" w:ascii="Times New Roman" w:hAnsi="Times New Roman" w:cs="Times New Roman"/>
                      <w:color w:val="auto"/>
                      <w:sz w:val="21"/>
                      <w:szCs w:val="21"/>
                      <w:highlight w:val="none"/>
                      <w:lang w:val="en-US" w:eastAsia="zh-CN"/>
                    </w:rPr>
                  </w:pPr>
                </w:p>
              </w:tc>
              <w:tc>
                <w:tcPr>
                  <w:tcW w:w="212" w:type="pct"/>
                  <w:vMerge w:val="continue"/>
                  <w:noWrap w:val="0"/>
                  <w:vAlign w:val="center"/>
                </w:tcPr>
                <w:p w14:paraId="6D17AF68">
                  <w:pPr>
                    <w:pStyle w:val="29"/>
                    <w:widowControl w:val="0"/>
                    <w:adjustRightInd w:val="0"/>
                    <w:spacing w:before="0" w:beforeAutospacing="0" w:after="0" w:afterAutospacing="0"/>
                    <w:jc w:val="center"/>
                    <w:rPr>
                      <w:rFonts w:hint="default" w:ascii="Times New Roman" w:hAnsi="Times New Roman" w:cs="Times New Roman"/>
                      <w:color w:val="auto"/>
                      <w:sz w:val="21"/>
                      <w:szCs w:val="21"/>
                      <w:highlight w:val="none"/>
                      <w:lang w:val="en-US" w:eastAsia="zh-CN"/>
                    </w:rPr>
                  </w:pPr>
                </w:p>
              </w:tc>
              <w:tc>
                <w:tcPr>
                  <w:tcW w:w="1573" w:type="pct"/>
                  <w:noWrap w:val="0"/>
                  <w:vAlign w:val="center"/>
                </w:tcPr>
                <w:p w14:paraId="31960697">
                  <w:pPr>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lang w:val="en-US" w:eastAsia="zh-CN"/>
                    </w:rPr>
                    <w:t>卸料</w:t>
                  </w:r>
                  <w:r>
                    <w:rPr>
                      <w:rFonts w:hint="default" w:ascii="Times New Roman" w:hAnsi="Times New Roman" w:cs="Times New Roman"/>
                      <w:color w:val="auto"/>
                      <w:highlight w:val="none"/>
                    </w:rPr>
                    <w:t>洒水</w:t>
                  </w:r>
                </w:p>
              </w:tc>
              <w:tc>
                <w:tcPr>
                  <w:tcW w:w="2838" w:type="pct"/>
                  <w:shd w:val="clear" w:color="auto" w:fill="auto"/>
                  <w:noWrap w:val="0"/>
                  <w:vAlign w:val="center"/>
                </w:tcPr>
                <w:p w14:paraId="29392EA6">
                  <w:pPr>
                    <w:jc w:val="center"/>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color w:val="auto"/>
                      <w:kern w:val="2"/>
                      <w:sz w:val="21"/>
                      <w:szCs w:val="24"/>
                      <w:highlight w:val="none"/>
                      <w:lang w:val="en-US" w:eastAsia="zh-CN" w:bidi="ar-SA"/>
                    </w:rPr>
                    <w:t>部分蒸发损耗，部分进入原材料</w:t>
                  </w:r>
                </w:p>
              </w:tc>
            </w:tr>
            <w:tr w14:paraId="1C6B6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376" w:type="pct"/>
                  <w:vMerge w:val="continue"/>
                  <w:noWrap w:val="0"/>
                  <w:vAlign w:val="center"/>
                </w:tcPr>
                <w:p w14:paraId="539A8CFD">
                  <w:pPr>
                    <w:rPr>
                      <w:rFonts w:hint="default" w:ascii="Times New Roman" w:hAnsi="Times New Roman" w:cs="Times New Roman"/>
                      <w:color w:val="auto"/>
                      <w:szCs w:val="21"/>
                      <w:highlight w:val="none"/>
                    </w:rPr>
                  </w:pPr>
                </w:p>
              </w:tc>
              <w:tc>
                <w:tcPr>
                  <w:tcW w:w="1785" w:type="pct"/>
                  <w:gridSpan w:val="2"/>
                  <w:noWrap w:val="0"/>
                  <w:vAlign w:val="center"/>
                </w:tcPr>
                <w:p w14:paraId="14B30DA9">
                  <w:pPr>
                    <w:pStyle w:val="29"/>
                    <w:widowControl w:val="0"/>
                    <w:adjustRightInd w:val="0"/>
                    <w:spacing w:before="0" w:beforeAutospacing="0" w:after="0" w:afterAutospacing="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噪声</w:t>
                  </w:r>
                </w:p>
              </w:tc>
              <w:tc>
                <w:tcPr>
                  <w:tcW w:w="2838" w:type="pct"/>
                  <w:noWrap w:val="0"/>
                  <w:vAlign w:val="center"/>
                </w:tcPr>
                <w:p w14:paraId="1124CE58">
                  <w:pPr>
                    <w:widowControl/>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定期对各种机械设备进行维护保养，基础减振、隔声、吸声措施</w:t>
                  </w:r>
                </w:p>
              </w:tc>
            </w:tr>
            <w:tr w14:paraId="38BE2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76" w:type="pct"/>
                  <w:vMerge w:val="continue"/>
                  <w:noWrap w:val="0"/>
                  <w:vAlign w:val="center"/>
                </w:tcPr>
                <w:p w14:paraId="414B560D">
                  <w:pPr>
                    <w:rPr>
                      <w:rFonts w:hint="default" w:ascii="Times New Roman" w:hAnsi="Times New Roman" w:cs="Times New Roman"/>
                      <w:color w:val="auto"/>
                      <w:szCs w:val="21"/>
                      <w:highlight w:val="none"/>
                    </w:rPr>
                  </w:pPr>
                </w:p>
              </w:tc>
              <w:tc>
                <w:tcPr>
                  <w:tcW w:w="212" w:type="pct"/>
                  <w:vMerge w:val="restart"/>
                  <w:noWrap w:val="0"/>
                  <w:vAlign w:val="center"/>
                </w:tcPr>
                <w:p w14:paraId="44CA8DA6">
                  <w:pPr>
                    <w:adjustRightInd w:val="0"/>
                    <w:snapToGrid w:val="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固体废物</w:t>
                  </w:r>
                </w:p>
              </w:tc>
              <w:tc>
                <w:tcPr>
                  <w:tcW w:w="1573" w:type="pct"/>
                  <w:noWrap w:val="0"/>
                  <w:vAlign w:val="center"/>
                </w:tcPr>
                <w:p w14:paraId="7C237025">
                  <w:pPr>
                    <w:pStyle w:val="29"/>
                    <w:widowControl w:val="0"/>
                    <w:adjustRightInd w:val="0"/>
                    <w:spacing w:before="0" w:beforeAutospacing="0" w:after="0" w:afterAutospacing="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一般固废</w:t>
                  </w:r>
                </w:p>
              </w:tc>
              <w:tc>
                <w:tcPr>
                  <w:tcW w:w="2838" w:type="pct"/>
                  <w:noWrap w:val="0"/>
                  <w:vAlign w:val="center"/>
                </w:tcPr>
                <w:p w14:paraId="0A90EAAA">
                  <w:pPr>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占地面积为</w:t>
                  </w:r>
                  <w:r>
                    <w:rPr>
                      <w:rFonts w:hint="default" w:ascii="Times New Roman" w:hAnsi="Times New Roman" w:cs="Times New Roman"/>
                      <w:bCs/>
                      <w:color w:val="auto"/>
                      <w:szCs w:val="21"/>
                      <w:highlight w:val="none"/>
                      <w:lang w:val="en-US" w:eastAsia="zh-CN"/>
                    </w:rPr>
                    <w:t>200</w:t>
                  </w:r>
                  <w:r>
                    <w:rPr>
                      <w:rFonts w:hint="default" w:ascii="Times New Roman" w:hAnsi="Times New Roman" w:cs="Times New Roman"/>
                      <w:bCs/>
                      <w:color w:val="auto"/>
                      <w:szCs w:val="21"/>
                      <w:highlight w:val="none"/>
                    </w:rPr>
                    <w:t>m</w:t>
                  </w:r>
                  <w:r>
                    <w:rPr>
                      <w:rFonts w:hint="default" w:ascii="Times New Roman" w:hAnsi="Times New Roman" w:cs="Times New Roman"/>
                      <w:bCs/>
                      <w:color w:val="auto"/>
                      <w:szCs w:val="21"/>
                      <w:highlight w:val="none"/>
                      <w:vertAlign w:val="superscript"/>
                    </w:rPr>
                    <w:t>2</w:t>
                  </w:r>
                  <w:r>
                    <w:rPr>
                      <w:rFonts w:hint="default" w:ascii="Times New Roman" w:hAnsi="Times New Roman" w:cs="Times New Roman"/>
                      <w:bCs/>
                      <w:color w:val="auto"/>
                      <w:szCs w:val="21"/>
                      <w:highlight w:val="none"/>
                    </w:rPr>
                    <w:t>的一般固体废物暂存间，位于</w:t>
                  </w:r>
                  <w:r>
                    <w:rPr>
                      <w:rFonts w:hint="default" w:ascii="Times New Roman" w:hAnsi="Times New Roman" w:cs="Times New Roman"/>
                      <w:bCs/>
                      <w:color w:val="auto"/>
                      <w:szCs w:val="21"/>
                      <w:highlight w:val="none"/>
                      <w:lang w:val="en-US" w:eastAsia="zh-CN"/>
                    </w:rPr>
                    <w:t>生产厂房内的南</w:t>
                  </w:r>
                  <w:r>
                    <w:rPr>
                      <w:rFonts w:hint="default" w:ascii="Times New Roman" w:hAnsi="Times New Roman" w:cs="Times New Roman"/>
                      <w:bCs/>
                      <w:color w:val="auto"/>
                      <w:szCs w:val="21"/>
                      <w:highlight w:val="none"/>
                    </w:rPr>
                    <w:t>面，</w:t>
                  </w:r>
                  <w:r>
                    <w:rPr>
                      <w:rFonts w:hint="default" w:ascii="Times New Roman" w:hAnsi="Times New Roman" w:cs="Times New Roman"/>
                      <w:bCs/>
                      <w:color w:val="auto"/>
                      <w:szCs w:val="21"/>
                      <w:highlight w:val="none"/>
                      <w:lang w:val="en-US" w:eastAsia="zh-CN"/>
                    </w:rPr>
                    <w:t>废混凝土块、布袋收集的粉尘，</w:t>
                  </w:r>
                  <w:r>
                    <w:rPr>
                      <w:rFonts w:hint="default" w:ascii="Times New Roman" w:hAnsi="Times New Roman" w:cs="Times New Roman"/>
                      <w:bCs/>
                      <w:color w:val="auto"/>
                      <w:szCs w:val="21"/>
                      <w:highlight w:val="none"/>
                    </w:rPr>
                    <w:t>沉淀池沉渣</w:t>
                  </w:r>
                  <w:r>
                    <w:rPr>
                      <w:rFonts w:hint="default" w:ascii="Times New Roman" w:hAnsi="Times New Roman" w:cs="Times New Roman"/>
                      <w:bCs/>
                      <w:color w:val="auto"/>
                      <w:szCs w:val="21"/>
                      <w:highlight w:val="none"/>
                      <w:lang w:eastAsia="zh-CN"/>
                    </w:rPr>
                    <w:t>、</w:t>
                  </w:r>
                  <w:r>
                    <w:rPr>
                      <w:rFonts w:hint="default" w:ascii="Times New Roman" w:hAnsi="Times New Roman" w:cs="Times New Roman"/>
                      <w:color w:val="auto"/>
                      <w:szCs w:val="21"/>
                      <w:highlight w:val="none"/>
                      <w:lang w:val="en-US" w:eastAsia="zh-CN"/>
                    </w:rPr>
                    <w:t>废塑料膜、废模具、焊渣、废滤袋、雨水沉渣、钢材边角料、废包装材料、废脱模剂桶等</w:t>
                  </w:r>
                  <w:r>
                    <w:rPr>
                      <w:rFonts w:hint="default" w:ascii="Times New Roman" w:hAnsi="Times New Roman" w:cs="Times New Roman"/>
                      <w:bCs/>
                      <w:color w:val="auto"/>
                      <w:szCs w:val="21"/>
                      <w:highlight w:val="none"/>
                    </w:rPr>
                    <w:t>收集后</w:t>
                  </w:r>
                  <w:r>
                    <w:rPr>
                      <w:rFonts w:hint="default" w:ascii="Times New Roman" w:hAnsi="Times New Roman" w:cs="Times New Roman"/>
                      <w:bCs/>
                      <w:color w:val="auto"/>
                      <w:szCs w:val="21"/>
                      <w:highlight w:val="none"/>
                      <w:lang w:eastAsia="zh-CN"/>
                    </w:rPr>
                    <w:t>交给专业回收公司处理</w:t>
                  </w:r>
                </w:p>
              </w:tc>
            </w:tr>
            <w:tr w14:paraId="4F163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6" w:type="pct"/>
                  <w:vMerge w:val="continue"/>
                  <w:noWrap w:val="0"/>
                  <w:vAlign w:val="center"/>
                </w:tcPr>
                <w:p w14:paraId="721C3C57">
                  <w:pPr>
                    <w:pStyle w:val="29"/>
                    <w:widowControl w:val="0"/>
                    <w:adjustRightInd w:val="0"/>
                    <w:spacing w:before="0" w:beforeAutospacing="0" w:after="0" w:afterAutospacing="0"/>
                    <w:jc w:val="center"/>
                    <w:rPr>
                      <w:rFonts w:hint="default" w:ascii="Times New Roman" w:hAnsi="Times New Roman" w:cs="Times New Roman"/>
                      <w:color w:val="auto"/>
                      <w:highlight w:val="none"/>
                      <w:lang w:val="en-US" w:eastAsia="zh-CN"/>
                    </w:rPr>
                  </w:pPr>
                </w:p>
              </w:tc>
              <w:tc>
                <w:tcPr>
                  <w:tcW w:w="212" w:type="pct"/>
                  <w:vMerge w:val="continue"/>
                  <w:noWrap w:val="0"/>
                  <w:vAlign w:val="center"/>
                </w:tcPr>
                <w:p w14:paraId="371A88BB">
                  <w:pPr>
                    <w:pStyle w:val="29"/>
                    <w:widowControl w:val="0"/>
                    <w:adjustRightInd w:val="0"/>
                    <w:spacing w:before="0" w:beforeAutospacing="0" w:after="0" w:afterAutospacing="0"/>
                    <w:jc w:val="center"/>
                    <w:rPr>
                      <w:rFonts w:hint="default" w:ascii="Times New Roman" w:hAnsi="Times New Roman" w:cs="Times New Roman"/>
                      <w:color w:val="auto"/>
                      <w:highlight w:val="none"/>
                      <w:lang w:val="en-US" w:eastAsia="zh-CN"/>
                    </w:rPr>
                  </w:pPr>
                </w:p>
              </w:tc>
              <w:tc>
                <w:tcPr>
                  <w:tcW w:w="1573" w:type="pct"/>
                  <w:noWrap w:val="0"/>
                  <w:vAlign w:val="center"/>
                </w:tcPr>
                <w:p w14:paraId="69706D81">
                  <w:pPr>
                    <w:pStyle w:val="29"/>
                    <w:widowControl w:val="0"/>
                    <w:adjustRightInd w:val="0"/>
                    <w:spacing w:before="0" w:beforeAutospacing="0" w:after="0" w:afterAutospacing="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危险废物</w:t>
                  </w:r>
                </w:p>
              </w:tc>
              <w:tc>
                <w:tcPr>
                  <w:tcW w:w="2838" w:type="pct"/>
                  <w:noWrap w:val="0"/>
                  <w:vAlign w:val="center"/>
                </w:tcPr>
                <w:p w14:paraId="08879276">
                  <w:pPr>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占地面积为</w:t>
                  </w:r>
                  <w:r>
                    <w:rPr>
                      <w:rFonts w:hint="default" w:ascii="Times New Roman" w:hAnsi="Times New Roman" w:cs="Times New Roman"/>
                      <w:bCs/>
                      <w:color w:val="auto"/>
                      <w:szCs w:val="21"/>
                      <w:highlight w:val="none"/>
                      <w:lang w:val="en-US" w:eastAsia="zh-CN"/>
                    </w:rPr>
                    <w:t>2</w:t>
                  </w:r>
                  <w:r>
                    <w:rPr>
                      <w:rFonts w:hint="default" w:ascii="Times New Roman" w:hAnsi="Times New Roman" w:cs="Times New Roman"/>
                      <w:bCs/>
                      <w:color w:val="auto"/>
                      <w:szCs w:val="21"/>
                      <w:highlight w:val="none"/>
                    </w:rPr>
                    <w:t>0m</w:t>
                  </w:r>
                  <w:r>
                    <w:rPr>
                      <w:rFonts w:hint="default" w:ascii="Times New Roman" w:hAnsi="Times New Roman" w:cs="Times New Roman"/>
                      <w:bCs/>
                      <w:color w:val="auto"/>
                      <w:szCs w:val="21"/>
                      <w:highlight w:val="none"/>
                      <w:vertAlign w:val="superscript"/>
                    </w:rPr>
                    <w:t>2</w:t>
                  </w:r>
                  <w:r>
                    <w:rPr>
                      <w:rFonts w:hint="default" w:ascii="Times New Roman" w:hAnsi="Times New Roman" w:cs="Times New Roman"/>
                      <w:bCs/>
                      <w:color w:val="auto"/>
                      <w:szCs w:val="21"/>
                      <w:highlight w:val="none"/>
                    </w:rPr>
                    <w:t>的危险废物暂存间，位于</w:t>
                  </w:r>
                  <w:r>
                    <w:rPr>
                      <w:rFonts w:hint="default" w:ascii="Times New Roman" w:hAnsi="Times New Roman" w:cs="Times New Roman"/>
                      <w:bCs/>
                      <w:color w:val="auto"/>
                      <w:szCs w:val="21"/>
                      <w:highlight w:val="none"/>
                      <w:lang w:val="en-US" w:eastAsia="zh-CN"/>
                    </w:rPr>
                    <w:t>生产厂房内</w:t>
                  </w:r>
                  <w:r>
                    <w:rPr>
                      <w:rFonts w:hint="eastAsia" w:ascii="Times New Roman" w:hAnsi="Times New Roman" w:cs="Times New Roman"/>
                      <w:bCs/>
                      <w:color w:val="auto"/>
                      <w:szCs w:val="21"/>
                      <w:highlight w:val="none"/>
                      <w:lang w:val="en-US" w:eastAsia="zh-CN"/>
                    </w:rPr>
                    <w:t>西</w:t>
                  </w:r>
                  <w:r>
                    <w:rPr>
                      <w:rFonts w:hint="default" w:ascii="Times New Roman" w:hAnsi="Times New Roman" w:cs="Times New Roman"/>
                      <w:bCs/>
                      <w:color w:val="auto"/>
                      <w:szCs w:val="21"/>
                      <w:highlight w:val="none"/>
                      <w:lang w:val="en-US" w:eastAsia="zh-CN"/>
                    </w:rPr>
                    <w:t>南</w:t>
                  </w:r>
                  <w:r>
                    <w:rPr>
                      <w:rFonts w:hint="default" w:ascii="Times New Roman" w:hAnsi="Times New Roman" w:cs="Times New Roman"/>
                      <w:bCs/>
                      <w:color w:val="auto"/>
                      <w:szCs w:val="21"/>
                      <w:highlight w:val="none"/>
                    </w:rPr>
                    <w:t>面，废机油、</w:t>
                  </w:r>
                  <w:r>
                    <w:rPr>
                      <w:rFonts w:hint="default" w:ascii="Times New Roman" w:hAnsi="Times New Roman" w:cs="Times New Roman"/>
                      <w:bCs/>
                      <w:color w:val="auto"/>
                      <w:szCs w:val="21"/>
                      <w:highlight w:val="none"/>
                      <w:lang w:eastAsia="zh-CN"/>
                    </w:rPr>
                    <w:t>含油手套及废抹布</w:t>
                  </w:r>
                  <w:r>
                    <w:rPr>
                      <w:rFonts w:hint="default" w:ascii="Times New Roman" w:hAnsi="Times New Roman" w:cs="Times New Roman"/>
                      <w:bCs/>
                      <w:color w:val="auto"/>
                      <w:szCs w:val="21"/>
                      <w:highlight w:val="none"/>
                    </w:rPr>
                    <w:t>、</w:t>
                  </w:r>
                  <w:r>
                    <w:rPr>
                      <w:rFonts w:hint="default" w:ascii="Times New Roman" w:hAnsi="Times New Roman" w:cs="Times New Roman"/>
                      <w:bCs/>
                      <w:color w:val="auto"/>
                      <w:szCs w:val="21"/>
                      <w:highlight w:val="none"/>
                      <w:lang w:val="en-US" w:eastAsia="zh-CN"/>
                    </w:rPr>
                    <w:t>废机油桶</w:t>
                  </w:r>
                  <w:r>
                    <w:rPr>
                      <w:rFonts w:hint="default" w:ascii="Times New Roman" w:hAnsi="Times New Roman" w:cs="Times New Roman"/>
                      <w:bCs/>
                      <w:color w:val="auto"/>
                      <w:szCs w:val="21"/>
                      <w:highlight w:val="none"/>
                    </w:rPr>
                    <w:t>等危险废物收集后暂存于危废间，定期交由有危险废物资质的公司处理处置</w:t>
                  </w:r>
                </w:p>
              </w:tc>
            </w:tr>
            <w:tr w14:paraId="1F4C6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2161" w:type="pct"/>
                  <w:gridSpan w:val="3"/>
                  <w:noWrap w:val="0"/>
                  <w:vAlign w:val="center"/>
                </w:tcPr>
                <w:p w14:paraId="163F926E">
                  <w:pPr>
                    <w:pStyle w:val="29"/>
                    <w:widowControl w:val="0"/>
                    <w:adjustRightInd w:val="0"/>
                    <w:spacing w:before="0" w:beforeAutospacing="0" w:after="0" w:afterAutospacing="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依托工程</w:t>
                  </w:r>
                </w:p>
              </w:tc>
              <w:tc>
                <w:tcPr>
                  <w:tcW w:w="2838" w:type="pct"/>
                  <w:noWrap w:val="0"/>
                  <w:vAlign w:val="center"/>
                </w:tcPr>
                <w:p w14:paraId="364DA071">
                  <w:pPr>
                    <w:pStyle w:val="29"/>
                    <w:widowControl w:val="0"/>
                    <w:adjustRightInd w:val="0"/>
                    <w:spacing w:before="0" w:beforeAutospacing="0" w:after="0" w:afterAutospacing="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博罗县罗阳街道小金生活污水处理厂</w:t>
                  </w:r>
                </w:p>
              </w:tc>
            </w:tr>
          </w:tbl>
          <w:p w14:paraId="67CE6B43">
            <w:pPr>
              <w:adjustRightInd w:val="0"/>
              <w:snapToGrid w:val="0"/>
              <w:spacing w:line="360" w:lineRule="auto"/>
              <w:ind w:firstLine="482" w:firstLineChars="200"/>
              <w:rPr>
                <w:rFonts w:hint="default" w:ascii="Times New Roman" w:hAnsi="Times New Roman" w:eastAsia="宋体" w:cs="Times New Roman"/>
                <w:b/>
                <w:color w:val="auto"/>
                <w:sz w:val="24"/>
                <w:szCs w:val="21"/>
                <w:highlight w:val="none"/>
                <w:lang w:val="en-US" w:eastAsia="zh-CN"/>
              </w:rPr>
            </w:pPr>
            <w:r>
              <w:rPr>
                <w:rFonts w:hint="default" w:ascii="Times New Roman" w:hAnsi="Times New Roman" w:cs="Times New Roman"/>
                <w:b/>
                <w:color w:val="auto"/>
                <w:sz w:val="24"/>
                <w:szCs w:val="21"/>
                <w:highlight w:val="none"/>
              </w:rPr>
              <w:t>2</w:t>
            </w:r>
            <w:r>
              <w:rPr>
                <w:rFonts w:hint="default" w:ascii="Times New Roman" w:hAnsi="Times New Roman" w:cs="Times New Roman"/>
                <w:b/>
                <w:color w:val="auto"/>
                <w:sz w:val="24"/>
                <w:szCs w:val="21"/>
                <w:highlight w:val="none"/>
                <w:lang w:val="en-US" w:eastAsia="zh-CN"/>
              </w:rPr>
              <w:t>.2</w:t>
            </w:r>
            <w:r>
              <w:rPr>
                <w:rFonts w:hint="default" w:ascii="Times New Roman" w:hAnsi="Times New Roman" w:cs="Times New Roman"/>
                <w:b/>
                <w:color w:val="auto"/>
                <w:sz w:val="24"/>
                <w:szCs w:val="21"/>
                <w:highlight w:val="none"/>
              </w:rPr>
              <w:t>、</w:t>
            </w:r>
            <w:r>
              <w:rPr>
                <w:rFonts w:hint="default" w:ascii="Times New Roman" w:hAnsi="Times New Roman" w:eastAsia="宋体" w:cs="Times New Roman"/>
                <w:b/>
                <w:color w:val="auto"/>
                <w:sz w:val="24"/>
                <w:szCs w:val="21"/>
                <w:highlight w:val="none"/>
                <w:lang w:val="en-US" w:eastAsia="zh-CN"/>
              </w:rPr>
              <w:t>项目</w:t>
            </w:r>
            <w:r>
              <w:rPr>
                <w:rFonts w:hint="default" w:ascii="Times New Roman" w:hAnsi="Times New Roman" w:eastAsia="宋体" w:cs="Times New Roman"/>
                <w:b/>
                <w:color w:val="auto"/>
                <w:sz w:val="24"/>
                <w:szCs w:val="21"/>
                <w:highlight w:val="none"/>
              </w:rPr>
              <w:t>主要产品及产能</w:t>
            </w:r>
            <w:r>
              <w:rPr>
                <w:rFonts w:hint="default" w:ascii="Times New Roman" w:hAnsi="Times New Roman" w:eastAsia="宋体" w:cs="Times New Roman"/>
                <w:b/>
                <w:color w:val="auto"/>
                <w:sz w:val="24"/>
                <w:szCs w:val="21"/>
                <w:highlight w:val="none"/>
                <w:lang w:val="en-US" w:eastAsia="zh-CN"/>
              </w:rPr>
              <w:t>方案</w:t>
            </w:r>
          </w:p>
          <w:p w14:paraId="4DB730BC">
            <w:pPr>
              <w:adjustRightInd w:val="0"/>
              <w:snapToGrid w:val="0"/>
              <w:ind w:firstLine="422" w:firstLineChars="200"/>
              <w:jc w:val="center"/>
              <w:rPr>
                <w:rFonts w:hint="default" w:ascii="Times New Roman" w:hAnsi="Times New Roman" w:cs="Times New Roman"/>
                <w:b/>
                <w:color w:val="auto"/>
                <w:szCs w:val="21"/>
                <w:highlight w:val="none"/>
                <w:lang w:val="en-US" w:eastAsia="zh-CN"/>
              </w:rPr>
            </w:pPr>
            <w:r>
              <w:rPr>
                <w:rFonts w:hint="default" w:ascii="Times New Roman" w:hAnsi="Times New Roman" w:cs="Times New Roman"/>
                <w:b/>
                <w:color w:val="auto"/>
                <w:szCs w:val="21"/>
                <w:highlight w:val="none"/>
              </w:rPr>
              <w:t>表2</w:t>
            </w:r>
            <w:r>
              <w:rPr>
                <w:rFonts w:hint="default" w:ascii="Times New Roman" w:hAnsi="Times New Roman" w:cs="Times New Roman"/>
                <w:b/>
                <w:color w:val="auto"/>
                <w:szCs w:val="21"/>
                <w:highlight w:val="none"/>
                <w:lang w:val="en-US" w:eastAsia="zh-CN"/>
              </w:rPr>
              <w:t xml:space="preserve">-3 </w:t>
            </w:r>
            <w:r>
              <w:rPr>
                <w:rFonts w:hint="default" w:ascii="Times New Roman" w:hAnsi="Times New Roman" w:cs="Times New Roman"/>
                <w:b/>
                <w:color w:val="auto"/>
                <w:szCs w:val="21"/>
                <w:highlight w:val="none"/>
                <w:lang w:eastAsia="zh-CN"/>
              </w:rPr>
              <w:t>项目</w:t>
            </w:r>
            <w:r>
              <w:rPr>
                <w:rFonts w:hint="default" w:ascii="Times New Roman" w:hAnsi="Times New Roman" w:cs="Times New Roman"/>
                <w:b/>
                <w:color w:val="auto"/>
                <w:szCs w:val="21"/>
                <w:highlight w:val="none"/>
                <w:lang w:val="en-US" w:eastAsia="zh-CN"/>
              </w:rPr>
              <w:t>典型</w:t>
            </w:r>
            <w:r>
              <w:rPr>
                <w:rFonts w:hint="default" w:ascii="Times New Roman" w:hAnsi="Times New Roman" w:cs="Times New Roman"/>
                <w:b/>
                <w:color w:val="auto"/>
                <w:szCs w:val="21"/>
                <w:highlight w:val="none"/>
              </w:rPr>
              <w:t>产品</w:t>
            </w:r>
            <w:r>
              <w:rPr>
                <w:rFonts w:hint="default" w:ascii="Times New Roman" w:hAnsi="Times New Roman" w:cs="Times New Roman"/>
                <w:b/>
                <w:color w:val="auto"/>
                <w:szCs w:val="21"/>
                <w:highlight w:val="none"/>
                <w:lang w:val="en-US" w:eastAsia="zh-CN"/>
              </w:rPr>
              <w:t>方案</w:t>
            </w:r>
          </w:p>
          <w:tbl>
            <w:tblPr>
              <w:tblStyle w:val="34"/>
              <w:tblW w:w="90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2409"/>
              <w:gridCol w:w="2347"/>
              <w:gridCol w:w="3147"/>
            </w:tblGrid>
            <w:tr w14:paraId="3F0A4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1135" w:type="dxa"/>
                  <w:tcBorders>
                    <w:top w:val="single" w:color="auto" w:sz="4" w:space="0"/>
                    <w:left w:val="single" w:color="auto" w:sz="4" w:space="0"/>
                    <w:right w:val="single" w:color="auto" w:sz="4" w:space="0"/>
                  </w:tcBorders>
                  <w:noWrap w:val="0"/>
                  <w:vAlign w:val="center"/>
                </w:tcPr>
                <w:p w14:paraId="0A3FAE03">
                  <w:pPr>
                    <w:adjustRightInd w:val="0"/>
                    <w:snapToGrid w:val="0"/>
                    <w:jc w:val="center"/>
                    <w:rPr>
                      <w:rFonts w:hint="default" w:ascii="Times New Roman" w:hAnsi="Times New Roman" w:cs="Times New Roman"/>
                      <w:b/>
                      <w:color w:val="auto"/>
                      <w:sz w:val="21"/>
                      <w:szCs w:val="21"/>
                      <w:highlight w:val="none"/>
                    </w:rPr>
                  </w:pPr>
                  <w:r>
                    <w:rPr>
                      <w:rFonts w:hint="default" w:ascii="Times New Roman" w:hAnsi="Times New Roman" w:cs="Times New Roman"/>
                      <w:b/>
                      <w:bCs/>
                      <w:color w:val="auto"/>
                      <w:szCs w:val="21"/>
                      <w:highlight w:val="none"/>
                      <w:lang w:val="en-US" w:eastAsia="zh-CN"/>
                    </w:rPr>
                    <w:t>产品</w:t>
                  </w:r>
                  <w:r>
                    <w:rPr>
                      <w:rFonts w:hint="default" w:ascii="Times New Roman" w:hAnsi="Times New Roman" w:cs="Times New Roman"/>
                      <w:b/>
                      <w:color w:val="auto"/>
                      <w:sz w:val="21"/>
                      <w:szCs w:val="21"/>
                      <w:highlight w:val="none"/>
                    </w:rPr>
                    <w:t>名称</w:t>
                  </w:r>
                </w:p>
              </w:tc>
              <w:tc>
                <w:tcPr>
                  <w:tcW w:w="2409" w:type="dxa"/>
                  <w:tcBorders>
                    <w:top w:val="single" w:color="auto" w:sz="4" w:space="0"/>
                    <w:left w:val="single" w:color="auto" w:sz="4" w:space="0"/>
                    <w:right w:val="single" w:color="auto" w:sz="4" w:space="0"/>
                  </w:tcBorders>
                  <w:noWrap w:val="0"/>
                  <w:vAlign w:val="center"/>
                </w:tcPr>
                <w:p w14:paraId="74654CED">
                  <w:pPr>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lang w:val="en-US" w:eastAsia="zh-CN"/>
                    </w:rPr>
                    <w:t>产品</w:t>
                  </w:r>
                  <w:r>
                    <w:rPr>
                      <w:rFonts w:hint="default" w:ascii="Times New Roman" w:hAnsi="Times New Roman" w:cs="Times New Roman"/>
                      <w:b/>
                      <w:bCs/>
                      <w:color w:val="auto"/>
                      <w:sz w:val="21"/>
                      <w:szCs w:val="21"/>
                      <w:highlight w:val="none"/>
                    </w:rPr>
                    <w:t>规格</w:t>
                  </w:r>
                </w:p>
              </w:tc>
              <w:tc>
                <w:tcPr>
                  <w:tcW w:w="2347" w:type="dxa"/>
                  <w:tcBorders>
                    <w:top w:val="single" w:color="auto" w:sz="4" w:space="0"/>
                    <w:left w:val="single" w:color="auto" w:sz="4" w:space="0"/>
                    <w:right w:val="single" w:color="auto" w:sz="4" w:space="0"/>
                  </w:tcBorders>
                  <w:noWrap w:val="0"/>
                  <w:vAlign w:val="center"/>
                </w:tcPr>
                <w:p w14:paraId="1D49C776">
                  <w:pPr>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总产量</w:t>
                  </w:r>
                </w:p>
              </w:tc>
              <w:tc>
                <w:tcPr>
                  <w:tcW w:w="3147" w:type="dxa"/>
                  <w:tcBorders>
                    <w:top w:val="single" w:color="auto" w:sz="4" w:space="0"/>
                    <w:left w:val="single" w:color="auto" w:sz="4" w:space="0"/>
                    <w:right w:val="single" w:color="auto" w:sz="4" w:space="0"/>
                  </w:tcBorders>
                  <w:noWrap w:val="0"/>
                  <w:vAlign w:val="center"/>
                </w:tcPr>
                <w:p w14:paraId="0471357F">
                  <w:pPr>
                    <w:jc w:val="center"/>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产品图片</w:t>
                  </w:r>
                </w:p>
              </w:tc>
            </w:tr>
            <w:tr w14:paraId="3DBB2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jc w:val="center"/>
              </w:trPr>
              <w:tc>
                <w:tcPr>
                  <w:tcW w:w="1135" w:type="dxa"/>
                  <w:tcBorders>
                    <w:left w:val="single" w:color="auto" w:sz="4" w:space="0"/>
                    <w:right w:val="single" w:color="auto" w:sz="4" w:space="0"/>
                  </w:tcBorders>
                  <w:noWrap w:val="0"/>
                  <w:vAlign w:val="center"/>
                </w:tcPr>
                <w:p w14:paraId="34F2A76F">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cs="Times New Roman"/>
                      <w:color w:val="auto"/>
                      <w:kern w:val="44"/>
                      <w:sz w:val="21"/>
                      <w:szCs w:val="21"/>
                      <w:highlight w:val="none"/>
                      <w:lang w:val="en-US" w:eastAsia="zh-CN"/>
                    </w:rPr>
                    <w:t>轨道板</w:t>
                  </w:r>
                </w:p>
              </w:tc>
              <w:tc>
                <w:tcPr>
                  <w:tcW w:w="2409" w:type="dxa"/>
                  <w:tcBorders>
                    <w:left w:val="single" w:color="auto" w:sz="4" w:space="0"/>
                    <w:right w:val="single" w:color="auto" w:sz="4" w:space="0"/>
                  </w:tcBorders>
                  <w:noWrap w:val="0"/>
                  <w:vAlign w:val="center"/>
                </w:tcPr>
                <w:p w14:paraId="2B77BBB2">
                  <w:pPr>
                    <w:adjustRightInd w:val="0"/>
                    <w:snapToGrid w:val="0"/>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color w:val="auto"/>
                      <w:highlight w:val="none"/>
                      <w:lang w:val="en-US" w:eastAsia="zh-CN"/>
                    </w:rPr>
                    <w:t>尺寸：长3.5</w:t>
                  </w:r>
                  <w:r>
                    <w:rPr>
                      <w:rFonts w:hint="default" w:ascii="Times New Roman" w:hAnsi="Times New Roman" w:cs="Times New Roman"/>
                      <w:color w:val="auto"/>
                      <w:highlight w:val="none"/>
                    </w:rPr>
                    <w:t>m*</w:t>
                  </w:r>
                  <w:r>
                    <w:rPr>
                      <w:rFonts w:hint="default" w:ascii="Times New Roman" w:hAnsi="Times New Roman" w:cs="Times New Roman"/>
                      <w:color w:val="auto"/>
                      <w:highlight w:val="none"/>
                      <w:lang w:val="en-US" w:eastAsia="zh-CN"/>
                    </w:rPr>
                    <w:t>宽2.4</w:t>
                  </w:r>
                  <w:r>
                    <w:rPr>
                      <w:rFonts w:hint="default" w:ascii="Times New Roman" w:hAnsi="Times New Roman" w:cs="Times New Roman"/>
                      <w:color w:val="auto"/>
                      <w:highlight w:val="none"/>
                    </w:rPr>
                    <w:t>m*</w:t>
                  </w:r>
                  <w:r>
                    <w:rPr>
                      <w:rFonts w:hint="default" w:ascii="Times New Roman" w:hAnsi="Times New Roman" w:cs="Times New Roman"/>
                      <w:color w:val="auto"/>
                      <w:highlight w:val="none"/>
                      <w:lang w:val="en-US" w:eastAsia="zh-CN"/>
                    </w:rPr>
                    <w:t>高0.29</w:t>
                  </w:r>
                  <w:r>
                    <w:rPr>
                      <w:rFonts w:hint="default" w:ascii="Times New Roman" w:hAnsi="Times New Roman" w:cs="Times New Roman"/>
                      <w:color w:val="auto"/>
                      <w:highlight w:val="none"/>
                    </w:rPr>
                    <w:t>m</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单件重量6.5t</w:t>
                  </w:r>
                </w:p>
              </w:tc>
              <w:tc>
                <w:tcPr>
                  <w:tcW w:w="2347" w:type="dxa"/>
                  <w:tcBorders>
                    <w:left w:val="single" w:color="auto" w:sz="4" w:space="0"/>
                    <w:right w:val="single" w:color="auto" w:sz="4" w:space="0"/>
                  </w:tcBorders>
                  <w:noWrap w:val="0"/>
                  <w:vAlign w:val="center"/>
                </w:tcPr>
                <w:p w14:paraId="0ABB4332">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44600块/年（289900t/a）</w:t>
                  </w:r>
                </w:p>
              </w:tc>
              <w:tc>
                <w:tcPr>
                  <w:tcW w:w="3147" w:type="dxa"/>
                  <w:tcBorders>
                    <w:left w:val="single" w:color="auto" w:sz="4" w:space="0"/>
                    <w:right w:val="single" w:color="auto" w:sz="4" w:space="0"/>
                  </w:tcBorders>
                  <w:noWrap w:val="0"/>
                  <w:vAlign w:val="center"/>
                </w:tcPr>
                <w:p w14:paraId="174D5CE7">
                  <w:pPr>
                    <w:adjustRightInd w:val="0"/>
                    <w:snapToGrid w:val="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highlight w:val="none"/>
                    </w:rPr>
                    <w:drawing>
                      <wp:inline distT="0" distB="0" distL="114300" distR="114300">
                        <wp:extent cx="1856105" cy="1467485"/>
                        <wp:effectExtent l="0" t="0" r="10795" b="18415"/>
                        <wp:docPr id="19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图片 5"/>
                                <pic:cNvPicPr>
                                  <a:picLocks noChangeAspect="1"/>
                                </pic:cNvPicPr>
                              </pic:nvPicPr>
                              <pic:blipFill>
                                <a:blip r:embed="rId10"/>
                                <a:stretch>
                                  <a:fillRect/>
                                </a:stretch>
                              </pic:blipFill>
                              <pic:spPr>
                                <a:xfrm>
                                  <a:off x="0" y="0"/>
                                  <a:ext cx="1856105" cy="1467485"/>
                                </a:xfrm>
                                <a:prstGeom prst="rect">
                                  <a:avLst/>
                                </a:prstGeom>
                                <a:noFill/>
                                <a:ln>
                                  <a:noFill/>
                                </a:ln>
                              </pic:spPr>
                            </pic:pic>
                          </a:graphicData>
                        </a:graphic>
                      </wp:inline>
                    </w:drawing>
                  </w:r>
                </w:p>
              </w:tc>
            </w:tr>
            <w:tr w14:paraId="42AB3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jc w:val="center"/>
              </w:trPr>
              <w:tc>
                <w:tcPr>
                  <w:tcW w:w="1135" w:type="dxa"/>
                  <w:tcBorders>
                    <w:left w:val="single" w:color="auto" w:sz="4" w:space="0"/>
                    <w:right w:val="single" w:color="auto" w:sz="4" w:space="0"/>
                  </w:tcBorders>
                  <w:noWrap w:val="0"/>
                  <w:vAlign w:val="center"/>
                </w:tcPr>
                <w:p w14:paraId="62FF8926">
                  <w:pPr>
                    <w:adjustRightInd w:val="0"/>
                    <w:snapToGrid w:val="0"/>
                    <w:jc w:val="center"/>
                    <w:rPr>
                      <w:rFonts w:hint="default" w:ascii="Times New Roman" w:hAnsi="Times New Roman" w:cs="Times New Roman"/>
                      <w:snapToGrid w:val="0"/>
                      <w:color w:val="auto"/>
                      <w:kern w:val="0"/>
                      <w:sz w:val="21"/>
                      <w:szCs w:val="21"/>
                      <w:highlight w:val="none"/>
                      <w:lang w:val="en-US" w:eastAsia="zh-CN"/>
                    </w:rPr>
                  </w:pPr>
                  <w:r>
                    <w:rPr>
                      <w:rFonts w:hint="default" w:ascii="Times New Roman" w:hAnsi="Times New Roman" w:cs="Times New Roman"/>
                      <w:snapToGrid w:val="0"/>
                      <w:color w:val="auto"/>
                      <w:kern w:val="0"/>
                      <w:sz w:val="21"/>
                      <w:szCs w:val="21"/>
                      <w:highlight w:val="none"/>
                      <w:lang w:val="en-US" w:eastAsia="zh-CN"/>
                    </w:rPr>
                    <w:t>Ⅲa型轨枕</w:t>
                  </w:r>
                </w:p>
              </w:tc>
              <w:tc>
                <w:tcPr>
                  <w:tcW w:w="2409" w:type="dxa"/>
                  <w:tcBorders>
                    <w:left w:val="single" w:color="auto" w:sz="4" w:space="0"/>
                    <w:right w:val="single" w:color="auto" w:sz="4" w:space="0"/>
                  </w:tcBorders>
                  <w:noWrap w:val="0"/>
                  <w:vAlign w:val="center"/>
                </w:tcPr>
                <w:p w14:paraId="0F82EE76">
                  <w:pPr>
                    <w:adjustRightInd w:val="0"/>
                    <w:snapToGrid w:val="0"/>
                    <w:jc w:val="center"/>
                    <w:rPr>
                      <w:rFonts w:hint="default" w:ascii="Times New Roman" w:hAnsi="Times New Roman" w:cs="Times New Roman" w:eastAsiaTheme="minorEastAsia"/>
                      <w:snapToGrid w:val="0"/>
                      <w:color w:val="auto"/>
                      <w:kern w:val="0"/>
                      <w:sz w:val="21"/>
                      <w:szCs w:val="21"/>
                      <w:highlight w:val="none"/>
                      <w:lang w:val="en-US" w:eastAsia="zh-CN"/>
                    </w:rPr>
                  </w:pPr>
                  <w:r>
                    <w:rPr>
                      <w:rFonts w:hint="default" w:ascii="Times New Roman" w:hAnsi="Times New Roman" w:cs="Times New Roman"/>
                      <w:color w:val="auto"/>
                      <w:highlight w:val="none"/>
                      <w:lang w:val="en-US" w:eastAsia="zh-CN"/>
                    </w:rPr>
                    <w:t>尺寸：长</w:t>
                  </w:r>
                  <w:r>
                    <w:rPr>
                      <w:rFonts w:hint="default" w:ascii="Times New Roman" w:hAnsi="Times New Roman" w:cs="Times New Roman"/>
                      <w:bCs/>
                      <w:color w:val="auto"/>
                      <w:sz w:val="21"/>
                      <w:szCs w:val="21"/>
                      <w:highlight w:val="none"/>
                      <w:lang w:val="en-US" w:eastAsia="zh-CN"/>
                    </w:rPr>
                    <w:t>2.6</w:t>
                  </w:r>
                  <w:r>
                    <w:rPr>
                      <w:rFonts w:hint="default" w:ascii="Times New Roman" w:hAnsi="Times New Roman" w:cs="Times New Roman"/>
                      <w:color w:val="auto"/>
                      <w:highlight w:val="none"/>
                    </w:rPr>
                    <w:t>m</w:t>
                  </w:r>
                  <w:r>
                    <w:rPr>
                      <w:rFonts w:hint="default" w:ascii="Times New Roman" w:hAnsi="Times New Roman" w:cs="Times New Roman"/>
                      <w:bCs/>
                      <w:color w:val="auto"/>
                      <w:sz w:val="21"/>
                      <w:szCs w:val="21"/>
                      <w:highlight w:val="none"/>
                    </w:rPr>
                    <w:t>*</w:t>
                  </w:r>
                  <w:r>
                    <w:rPr>
                      <w:rFonts w:hint="default" w:ascii="Times New Roman" w:hAnsi="Times New Roman" w:cs="Times New Roman"/>
                      <w:bCs/>
                      <w:color w:val="auto"/>
                      <w:sz w:val="21"/>
                      <w:szCs w:val="21"/>
                      <w:highlight w:val="none"/>
                      <w:lang w:val="en-US" w:eastAsia="zh-CN"/>
                    </w:rPr>
                    <w:t>宽0.32m</w:t>
                  </w:r>
                  <w:r>
                    <w:rPr>
                      <w:rFonts w:hint="default" w:ascii="Times New Roman" w:hAnsi="Times New Roman" w:cs="Times New Roman"/>
                      <w:bCs/>
                      <w:color w:val="auto"/>
                      <w:sz w:val="21"/>
                      <w:szCs w:val="21"/>
                      <w:highlight w:val="none"/>
                    </w:rPr>
                    <w:t>*</w:t>
                  </w:r>
                  <w:r>
                    <w:rPr>
                      <w:rFonts w:hint="default" w:ascii="Times New Roman" w:hAnsi="Times New Roman" w:cs="Times New Roman"/>
                      <w:bCs/>
                      <w:color w:val="auto"/>
                      <w:sz w:val="21"/>
                      <w:szCs w:val="21"/>
                      <w:highlight w:val="none"/>
                      <w:lang w:val="en-US" w:eastAsia="zh-CN"/>
                    </w:rPr>
                    <w:t>高0.26</w:t>
                  </w:r>
                  <w:r>
                    <w:rPr>
                      <w:rFonts w:hint="default" w:ascii="Times New Roman" w:hAnsi="Times New Roman" w:cs="Times New Roman"/>
                      <w:color w:val="auto"/>
                      <w:highlight w:val="none"/>
                    </w:rPr>
                    <w:t>m</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单件重0.4t</w:t>
                  </w:r>
                </w:p>
              </w:tc>
              <w:tc>
                <w:tcPr>
                  <w:tcW w:w="2347" w:type="dxa"/>
                  <w:tcBorders>
                    <w:left w:val="single" w:color="auto" w:sz="4" w:space="0"/>
                    <w:right w:val="single" w:color="auto" w:sz="4" w:space="0"/>
                  </w:tcBorders>
                  <w:noWrap w:val="0"/>
                  <w:vAlign w:val="center"/>
                </w:tcPr>
                <w:p w14:paraId="7355FDD2">
                  <w:pPr>
                    <w:adjustRightInd w:val="0"/>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674800根/年（269920t/a）</w:t>
                  </w:r>
                </w:p>
              </w:tc>
              <w:tc>
                <w:tcPr>
                  <w:tcW w:w="3147" w:type="dxa"/>
                  <w:tcBorders>
                    <w:left w:val="single" w:color="auto" w:sz="4" w:space="0"/>
                    <w:right w:val="single" w:color="auto" w:sz="4" w:space="0"/>
                  </w:tcBorders>
                  <w:noWrap w:val="0"/>
                  <w:vAlign w:val="center"/>
                </w:tcPr>
                <w:p w14:paraId="3CDE0795">
                  <w:pPr>
                    <w:adjustRightInd w:val="0"/>
                    <w:snapToGrid w:val="0"/>
                    <w:jc w:val="center"/>
                    <w:rPr>
                      <w:rFonts w:hint="default" w:ascii="Times New Roman" w:hAnsi="Times New Roman" w:cs="Times New Roman" w:eastAsiaTheme="minorEastAsia"/>
                      <w:color w:val="auto"/>
                      <w:highlight w:val="none"/>
                      <w:lang w:eastAsia="zh-CN"/>
                    </w:rPr>
                  </w:pPr>
                  <w:r>
                    <w:rPr>
                      <w:rFonts w:hint="default" w:ascii="Times New Roman" w:hAnsi="Times New Roman" w:cs="Times New Roman" w:eastAsiaTheme="minorEastAsia"/>
                      <w:color w:val="auto"/>
                      <w:highlight w:val="none"/>
                      <w:lang w:eastAsia="zh-CN"/>
                    </w:rPr>
                    <w:drawing>
                      <wp:inline distT="0" distB="0" distL="114300" distR="114300">
                        <wp:extent cx="1859915" cy="725170"/>
                        <wp:effectExtent l="0" t="0" r="6985" b="17780"/>
                        <wp:docPr id="160" name="图片 160" descr="b272d8d93f2b1b99563597a595bd3d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图片 160" descr="b272d8d93f2b1b99563597a595bd3d6"/>
                                <pic:cNvPicPr>
                                  <a:picLocks noChangeAspect="1"/>
                                </pic:cNvPicPr>
                              </pic:nvPicPr>
                              <pic:blipFill>
                                <a:blip r:embed="rId11"/>
                                <a:stretch>
                                  <a:fillRect/>
                                </a:stretch>
                              </pic:blipFill>
                              <pic:spPr>
                                <a:xfrm>
                                  <a:off x="0" y="0"/>
                                  <a:ext cx="1859915" cy="725170"/>
                                </a:xfrm>
                                <a:prstGeom prst="rect">
                                  <a:avLst/>
                                </a:prstGeom>
                              </pic:spPr>
                            </pic:pic>
                          </a:graphicData>
                        </a:graphic>
                      </wp:inline>
                    </w:drawing>
                  </w:r>
                </w:p>
              </w:tc>
            </w:tr>
          </w:tbl>
          <w:p w14:paraId="00667947">
            <w:pPr>
              <w:adjustRightInd w:val="0"/>
              <w:snapToGrid w:val="0"/>
              <w:spacing w:line="360" w:lineRule="auto"/>
              <w:ind w:firstLine="482" w:firstLineChars="200"/>
              <w:rPr>
                <w:rFonts w:hint="default" w:ascii="Times New Roman" w:hAnsi="Times New Roman" w:cs="Times New Roman"/>
                <w:b/>
                <w:color w:val="auto"/>
                <w:sz w:val="24"/>
                <w:szCs w:val="21"/>
                <w:highlight w:val="none"/>
                <w:lang w:eastAsia="zh-CN"/>
              </w:rPr>
            </w:pPr>
            <w:r>
              <w:rPr>
                <w:rFonts w:hint="default" w:ascii="Times New Roman" w:hAnsi="Times New Roman" w:cs="Times New Roman"/>
                <w:b/>
                <w:color w:val="auto"/>
                <w:sz w:val="24"/>
                <w:szCs w:val="21"/>
                <w:highlight w:val="none"/>
              </w:rPr>
              <w:t>2</w:t>
            </w:r>
            <w:r>
              <w:rPr>
                <w:rFonts w:hint="default" w:ascii="Times New Roman" w:hAnsi="Times New Roman" w:cs="Times New Roman"/>
                <w:b/>
                <w:color w:val="auto"/>
                <w:sz w:val="24"/>
                <w:szCs w:val="21"/>
                <w:highlight w:val="none"/>
                <w:lang w:val="en-US" w:eastAsia="zh-CN"/>
              </w:rPr>
              <w:t>.3</w:t>
            </w:r>
            <w:r>
              <w:rPr>
                <w:rFonts w:hint="default" w:ascii="Times New Roman" w:hAnsi="Times New Roman" w:cs="Times New Roman"/>
                <w:b/>
                <w:color w:val="auto"/>
                <w:sz w:val="24"/>
                <w:szCs w:val="21"/>
                <w:highlight w:val="none"/>
              </w:rPr>
              <w:t>、主要</w:t>
            </w:r>
            <w:r>
              <w:rPr>
                <w:rFonts w:hint="default" w:ascii="Times New Roman" w:hAnsi="Times New Roman" w:cs="Times New Roman"/>
                <w:b/>
                <w:color w:val="auto"/>
                <w:sz w:val="24"/>
                <w:szCs w:val="21"/>
                <w:highlight w:val="none"/>
                <w:lang w:eastAsia="zh-CN"/>
              </w:rPr>
              <w:t>原辅材料及其年用量</w:t>
            </w:r>
          </w:p>
          <w:p w14:paraId="3930297B">
            <w:pPr>
              <w:adjustRightInd w:val="0"/>
              <w:snapToGrid w:val="0"/>
              <w:jc w:val="center"/>
              <w:rPr>
                <w:rFonts w:hint="default" w:ascii="Times New Roman" w:hAnsi="Times New Roman" w:eastAsia="宋体" w:cs="Times New Roman"/>
                <w:b/>
                <w:color w:val="auto"/>
                <w:szCs w:val="21"/>
                <w:highlight w:val="none"/>
                <w:lang w:eastAsia="zh-CN"/>
              </w:rPr>
            </w:pPr>
            <w:r>
              <w:rPr>
                <w:rFonts w:hint="default" w:ascii="Times New Roman" w:hAnsi="Times New Roman" w:cs="Times New Roman"/>
                <w:b/>
                <w:color w:val="auto"/>
                <w:szCs w:val="21"/>
                <w:highlight w:val="none"/>
              </w:rPr>
              <w:t>表</w:t>
            </w:r>
            <w:r>
              <w:rPr>
                <w:rFonts w:hint="default" w:ascii="Times New Roman" w:hAnsi="Times New Roman" w:cs="Times New Roman"/>
                <w:b/>
                <w:color w:val="auto"/>
                <w:szCs w:val="21"/>
                <w:highlight w:val="none"/>
                <w:lang w:val="en-US" w:eastAsia="zh-CN"/>
              </w:rPr>
              <w:t xml:space="preserve">2-4 </w:t>
            </w:r>
            <w:r>
              <w:rPr>
                <w:rFonts w:hint="default" w:ascii="Times New Roman" w:hAnsi="Times New Roman" w:cs="Times New Roman"/>
                <w:b/>
                <w:color w:val="auto"/>
                <w:szCs w:val="21"/>
                <w:highlight w:val="none"/>
              </w:rPr>
              <w:t>项目</w:t>
            </w:r>
            <w:r>
              <w:rPr>
                <w:rFonts w:hint="default" w:ascii="Times New Roman" w:hAnsi="Times New Roman" w:cs="Times New Roman"/>
                <w:b/>
                <w:color w:val="auto"/>
                <w:szCs w:val="21"/>
                <w:highlight w:val="none"/>
                <w:lang w:eastAsia="zh-CN"/>
              </w:rPr>
              <w:t>原辅用料情况一览</w:t>
            </w:r>
            <w:r>
              <w:rPr>
                <w:rFonts w:hint="default" w:ascii="Times New Roman" w:hAnsi="Times New Roman" w:cs="Times New Roman"/>
                <w:b/>
                <w:color w:val="auto"/>
                <w:szCs w:val="21"/>
                <w:highlight w:val="none"/>
              </w:rPr>
              <w:t>表</w:t>
            </w:r>
          </w:p>
          <w:tbl>
            <w:tblPr>
              <w:tblStyle w:val="35"/>
              <w:tblW w:w="9077" w:type="dxa"/>
              <w:tblInd w:w="-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3"/>
              <w:gridCol w:w="1485"/>
              <w:gridCol w:w="1531"/>
              <w:gridCol w:w="849"/>
              <w:gridCol w:w="800"/>
              <w:gridCol w:w="1306"/>
              <w:gridCol w:w="1273"/>
            </w:tblGrid>
            <w:tr w14:paraId="4123F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1833" w:type="dxa"/>
                  <w:noWrap w:val="0"/>
                  <w:vAlign w:val="center"/>
                </w:tcPr>
                <w:p w14:paraId="173FA692">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cs="Times New Roman"/>
                      <w:b/>
                      <w:color w:val="auto"/>
                      <w:szCs w:val="21"/>
                      <w:highlight w:val="none"/>
                      <w:vertAlign w:val="baseline"/>
                    </w:rPr>
                  </w:pPr>
                  <w:r>
                    <w:rPr>
                      <w:rFonts w:hint="default" w:ascii="Times New Roman" w:hAnsi="Times New Roman" w:eastAsia="宋体" w:cs="Times New Roman"/>
                      <w:b/>
                      <w:bCs/>
                      <w:i w:val="0"/>
                      <w:iCs w:val="0"/>
                      <w:color w:val="auto"/>
                      <w:kern w:val="0"/>
                      <w:sz w:val="21"/>
                      <w:szCs w:val="21"/>
                      <w:highlight w:val="none"/>
                      <w:u w:val="none"/>
                      <w:lang w:val="en-US" w:eastAsia="zh-CN" w:bidi="ar"/>
                    </w:rPr>
                    <w:t>原辅材料</w:t>
                  </w:r>
                </w:p>
              </w:tc>
              <w:tc>
                <w:tcPr>
                  <w:tcW w:w="1485" w:type="dxa"/>
                  <w:noWrap w:val="0"/>
                  <w:vAlign w:val="center"/>
                </w:tcPr>
                <w:p w14:paraId="5D920237">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cs="Times New Roman"/>
                      <w:b/>
                      <w:color w:val="auto"/>
                      <w:szCs w:val="21"/>
                      <w:highlight w:val="none"/>
                      <w:vertAlign w:val="baseline"/>
                      <w:lang w:val="en-US"/>
                    </w:rPr>
                  </w:pPr>
                  <w:r>
                    <w:rPr>
                      <w:rFonts w:hint="default" w:ascii="Times New Roman" w:hAnsi="Times New Roman" w:eastAsia="宋体" w:cs="Times New Roman"/>
                      <w:b/>
                      <w:bCs/>
                      <w:i w:val="0"/>
                      <w:iCs w:val="0"/>
                      <w:color w:val="auto"/>
                      <w:kern w:val="0"/>
                      <w:sz w:val="21"/>
                      <w:szCs w:val="21"/>
                      <w:highlight w:val="none"/>
                      <w:u w:val="none"/>
                      <w:lang w:val="en-US" w:eastAsia="zh-CN" w:bidi="ar"/>
                    </w:rPr>
                    <w:t>年使用量（t/a）</w:t>
                  </w:r>
                </w:p>
              </w:tc>
              <w:tc>
                <w:tcPr>
                  <w:tcW w:w="1531" w:type="dxa"/>
                  <w:noWrap w:val="0"/>
                  <w:vAlign w:val="center"/>
                </w:tcPr>
                <w:p w14:paraId="27BC2AF1">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包装规格</w:t>
                  </w:r>
                </w:p>
              </w:tc>
              <w:tc>
                <w:tcPr>
                  <w:tcW w:w="849" w:type="dxa"/>
                  <w:noWrap w:val="0"/>
                  <w:vAlign w:val="center"/>
                </w:tcPr>
                <w:p w14:paraId="146C891C">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cs="Times New Roman"/>
                      <w:b/>
                      <w:color w:val="auto"/>
                      <w:szCs w:val="21"/>
                      <w:highlight w:val="none"/>
                      <w:vertAlign w:val="baseline"/>
                    </w:rPr>
                  </w:pPr>
                  <w:r>
                    <w:rPr>
                      <w:rFonts w:hint="default" w:ascii="Times New Roman" w:hAnsi="Times New Roman" w:eastAsia="宋体" w:cs="Times New Roman"/>
                      <w:b/>
                      <w:bCs/>
                      <w:i w:val="0"/>
                      <w:iCs w:val="0"/>
                      <w:color w:val="auto"/>
                      <w:kern w:val="0"/>
                      <w:sz w:val="21"/>
                      <w:szCs w:val="21"/>
                      <w:highlight w:val="none"/>
                      <w:u w:val="none"/>
                      <w:lang w:val="en-US" w:eastAsia="zh-CN" w:bidi="ar"/>
                    </w:rPr>
                    <w:t>最大储存量</w:t>
                  </w:r>
                </w:p>
              </w:tc>
              <w:tc>
                <w:tcPr>
                  <w:tcW w:w="800" w:type="dxa"/>
                  <w:noWrap w:val="0"/>
                  <w:vAlign w:val="center"/>
                </w:tcPr>
                <w:p w14:paraId="4BF64F6E">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cs="Times New Roman"/>
                      <w:b/>
                      <w:color w:val="auto"/>
                      <w:szCs w:val="21"/>
                      <w:highlight w:val="none"/>
                      <w:vertAlign w:val="baseline"/>
                    </w:rPr>
                  </w:pPr>
                  <w:r>
                    <w:rPr>
                      <w:rFonts w:hint="default" w:ascii="Times New Roman" w:hAnsi="Times New Roman" w:eastAsia="宋体" w:cs="Times New Roman"/>
                      <w:b/>
                      <w:bCs/>
                      <w:i w:val="0"/>
                      <w:iCs w:val="0"/>
                      <w:color w:val="auto"/>
                      <w:kern w:val="0"/>
                      <w:sz w:val="21"/>
                      <w:szCs w:val="21"/>
                      <w:highlight w:val="none"/>
                      <w:u w:val="none"/>
                      <w:lang w:val="en-US" w:eastAsia="zh-CN" w:bidi="ar"/>
                    </w:rPr>
                    <w:t>形态</w:t>
                  </w:r>
                </w:p>
              </w:tc>
              <w:tc>
                <w:tcPr>
                  <w:tcW w:w="1306" w:type="dxa"/>
                  <w:noWrap w:val="0"/>
                  <w:vAlign w:val="center"/>
                </w:tcPr>
                <w:p w14:paraId="7AD0FAA6">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储存位置</w:t>
                  </w:r>
                </w:p>
              </w:tc>
              <w:tc>
                <w:tcPr>
                  <w:tcW w:w="1273" w:type="dxa"/>
                  <w:noWrap w:val="0"/>
                  <w:vAlign w:val="center"/>
                </w:tcPr>
                <w:p w14:paraId="50D40C2F">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eastAsia" w:ascii="Times New Roman" w:hAnsi="Times New Roman" w:eastAsia="宋体" w:cs="Times New Roman"/>
                      <w:b/>
                      <w:bCs/>
                      <w:i w:val="0"/>
                      <w:iCs w:val="0"/>
                      <w:color w:val="auto"/>
                      <w:kern w:val="0"/>
                      <w:sz w:val="21"/>
                      <w:szCs w:val="21"/>
                      <w:highlight w:val="none"/>
                      <w:u w:val="none"/>
                      <w:lang w:val="en-US" w:eastAsia="zh-CN" w:bidi="ar"/>
                    </w:rPr>
                    <w:t>使用工序</w:t>
                  </w:r>
                </w:p>
              </w:tc>
            </w:tr>
            <w:tr w14:paraId="04430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1833" w:type="dxa"/>
                  <w:noWrap w:val="0"/>
                  <w:vAlign w:val="center"/>
                </w:tcPr>
                <w:p w14:paraId="6AB083A8">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水泥</w:t>
                  </w:r>
                </w:p>
              </w:tc>
              <w:tc>
                <w:tcPr>
                  <w:tcW w:w="1485" w:type="dxa"/>
                  <w:noWrap w:val="0"/>
                  <w:vAlign w:val="center"/>
                </w:tcPr>
                <w:p w14:paraId="5CE86D9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75000</w:t>
                  </w:r>
                </w:p>
              </w:tc>
              <w:tc>
                <w:tcPr>
                  <w:tcW w:w="1531" w:type="dxa"/>
                  <w:noWrap w:val="0"/>
                  <w:vAlign w:val="center"/>
                </w:tcPr>
                <w:p w14:paraId="64F0E956">
                  <w:pPr>
                    <w:keepNext w:val="0"/>
                    <w:keepLines w:val="0"/>
                    <w:widowControl/>
                    <w:suppressLineNumbers w:val="0"/>
                    <w:jc w:val="center"/>
                    <w:textAlignment w:val="center"/>
                    <w:rPr>
                      <w:rFonts w:hint="default" w:ascii="Times New Roman" w:hAnsi="Times New Roman" w:eastAsia="宋体" w:cs="Times New Roman"/>
                      <w:b w:val="0"/>
                      <w:bCs/>
                      <w:color w:val="auto"/>
                      <w:szCs w:val="21"/>
                      <w:highlight w:val="none"/>
                      <w:vertAlign w:val="baseline"/>
                      <w:lang w:val="en-US" w:eastAsia="zh-CN"/>
                    </w:rPr>
                  </w:pPr>
                  <w:r>
                    <w:rPr>
                      <w:rFonts w:hint="default" w:ascii="Times New Roman" w:hAnsi="Times New Roman" w:eastAsia="宋体" w:cs="Times New Roman"/>
                      <w:b w:val="0"/>
                      <w:bCs/>
                      <w:color w:val="auto"/>
                      <w:szCs w:val="21"/>
                      <w:highlight w:val="none"/>
                      <w:vertAlign w:val="baseline"/>
                      <w:lang w:val="en-US" w:eastAsia="zh-CN"/>
                    </w:rPr>
                    <w:t>来料散装，罐车运输</w:t>
                  </w:r>
                </w:p>
              </w:tc>
              <w:tc>
                <w:tcPr>
                  <w:tcW w:w="849" w:type="dxa"/>
                  <w:noWrap w:val="0"/>
                  <w:vAlign w:val="center"/>
                </w:tcPr>
                <w:p w14:paraId="372BAD00">
                  <w:pPr>
                    <w:keepNext w:val="0"/>
                    <w:keepLines w:val="0"/>
                    <w:widowControl/>
                    <w:suppressLineNumbers w:val="0"/>
                    <w:jc w:val="center"/>
                    <w:textAlignment w:val="center"/>
                    <w:rPr>
                      <w:rFonts w:hint="default" w:ascii="Times New Roman" w:hAnsi="Times New Roman" w:eastAsia="宋体" w:cs="Times New Roman"/>
                      <w:b w:val="0"/>
                      <w:bCs/>
                      <w:color w:val="auto"/>
                      <w:szCs w:val="21"/>
                      <w:highlight w:val="none"/>
                      <w:vertAlign w:val="baseline"/>
                      <w:lang w:val="en-US" w:eastAsia="zh-CN"/>
                    </w:rPr>
                  </w:pPr>
                  <w:r>
                    <w:rPr>
                      <w:rFonts w:hint="default" w:ascii="Times New Roman" w:hAnsi="Times New Roman" w:eastAsia="宋体" w:cs="Times New Roman"/>
                      <w:b w:val="0"/>
                      <w:bCs/>
                      <w:color w:val="auto"/>
                      <w:szCs w:val="21"/>
                      <w:highlight w:val="none"/>
                      <w:vertAlign w:val="baseline"/>
                      <w:lang w:val="en-US" w:eastAsia="zh-CN"/>
                    </w:rPr>
                    <w:t>480t</w:t>
                  </w:r>
                </w:p>
              </w:tc>
              <w:tc>
                <w:tcPr>
                  <w:tcW w:w="800" w:type="dxa"/>
                  <w:noWrap w:val="0"/>
                  <w:vAlign w:val="center"/>
                </w:tcPr>
                <w:p w14:paraId="361CF4AF">
                  <w:pPr>
                    <w:keepNext w:val="0"/>
                    <w:keepLines w:val="0"/>
                    <w:widowControl/>
                    <w:suppressLineNumbers w:val="0"/>
                    <w:jc w:val="center"/>
                    <w:textAlignment w:val="center"/>
                    <w:rPr>
                      <w:rFonts w:hint="default" w:ascii="Times New Roman" w:hAnsi="Times New Roman" w:eastAsia="宋体" w:cs="Times New Roman"/>
                      <w:b w:val="0"/>
                      <w:bCs/>
                      <w:color w:val="auto"/>
                      <w:szCs w:val="21"/>
                      <w:highlight w:val="none"/>
                      <w:vertAlign w:val="baseline"/>
                      <w:lang w:val="en-US" w:eastAsia="zh-CN"/>
                    </w:rPr>
                  </w:pPr>
                  <w:r>
                    <w:rPr>
                      <w:rFonts w:hint="default" w:ascii="Times New Roman" w:hAnsi="Times New Roman" w:eastAsia="宋体" w:cs="Times New Roman"/>
                      <w:b w:val="0"/>
                      <w:bCs/>
                      <w:color w:val="auto"/>
                      <w:szCs w:val="21"/>
                      <w:highlight w:val="none"/>
                      <w:vertAlign w:val="baseline"/>
                      <w:lang w:val="en-US" w:eastAsia="zh-CN"/>
                    </w:rPr>
                    <w:t>粉状</w:t>
                  </w:r>
                </w:p>
              </w:tc>
              <w:tc>
                <w:tcPr>
                  <w:tcW w:w="1306" w:type="dxa"/>
                  <w:noWrap w:val="0"/>
                  <w:vAlign w:val="center"/>
                </w:tcPr>
                <w:p w14:paraId="6C51F3F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水泥筒仓</w:t>
                  </w:r>
                </w:p>
              </w:tc>
              <w:tc>
                <w:tcPr>
                  <w:tcW w:w="1273" w:type="dxa"/>
                  <w:noWrap w:val="0"/>
                  <w:vAlign w:val="center"/>
                </w:tcPr>
                <w:p w14:paraId="6FA5979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混凝土搅拌</w:t>
                  </w:r>
                </w:p>
              </w:tc>
            </w:tr>
            <w:tr w14:paraId="5EF1A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833" w:type="dxa"/>
                  <w:noWrap w:val="0"/>
                  <w:vAlign w:val="center"/>
                </w:tcPr>
                <w:p w14:paraId="17EC4F51">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碎石</w:t>
                  </w:r>
                  <w:r>
                    <w:rPr>
                      <w:rFonts w:hint="default" w:ascii="Times New Roman" w:hAnsi="Times New Roman" w:cs="Times New Roman"/>
                      <w:color w:val="auto"/>
                      <w:highlight w:val="none"/>
                      <w:lang w:eastAsia="zh-CN"/>
                    </w:rPr>
                    <w:t>（</w:t>
                  </w:r>
                  <w:r>
                    <w:rPr>
                      <w:rFonts w:hint="default" w:ascii="Times New Roman" w:hAnsi="Times New Roman" w:cs="Times New Roman"/>
                      <w:color w:val="auto"/>
                      <w:szCs w:val="21"/>
                      <w:highlight w:val="none"/>
                      <w:lang w:val="en-US" w:eastAsia="zh-CN"/>
                    </w:rPr>
                    <w:t>8%含水率，粒径</w:t>
                  </w:r>
                  <w:r>
                    <w:rPr>
                      <w:rFonts w:hint="default" w:ascii="Times New Roman" w:hAnsi="Times New Roman" w:cs="Times New Roman"/>
                      <w:color w:val="auto"/>
                      <w:highlight w:val="none"/>
                      <w:lang w:val="en-US" w:eastAsia="zh-CN"/>
                    </w:rPr>
                    <w:t>5-20mm</w:t>
                  </w:r>
                  <w:r>
                    <w:rPr>
                      <w:rFonts w:hint="default" w:ascii="Times New Roman" w:hAnsi="Times New Roman" w:cs="Times New Roman"/>
                      <w:color w:val="auto"/>
                      <w:highlight w:val="none"/>
                      <w:lang w:eastAsia="zh-CN"/>
                    </w:rPr>
                    <w:t>）</w:t>
                  </w:r>
                </w:p>
              </w:tc>
              <w:tc>
                <w:tcPr>
                  <w:tcW w:w="1485" w:type="dxa"/>
                  <w:noWrap w:val="0"/>
                  <w:vAlign w:val="center"/>
                </w:tcPr>
                <w:p w14:paraId="04EFDC8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243600</w:t>
                  </w:r>
                </w:p>
              </w:tc>
              <w:tc>
                <w:tcPr>
                  <w:tcW w:w="1531" w:type="dxa"/>
                  <w:noWrap w:val="0"/>
                  <w:vAlign w:val="center"/>
                </w:tcPr>
                <w:p w14:paraId="2A776358">
                  <w:pPr>
                    <w:keepNext w:val="0"/>
                    <w:keepLines w:val="0"/>
                    <w:widowControl/>
                    <w:suppressLineNumbers w:val="0"/>
                    <w:jc w:val="center"/>
                    <w:textAlignment w:val="center"/>
                    <w:rPr>
                      <w:rFonts w:hint="default" w:ascii="Times New Roman" w:hAnsi="Times New Roman" w:eastAsia="宋体" w:cs="Times New Roman"/>
                      <w:b w:val="0"/>
                      <w:bCs/>
                      <w:color w:val="auto"/>
                      <w:szCs w:val="21"/>
                      <w:highlight w:val="none"/>
                      <w:vertAlign w:val="baseline"/>
                      <w:lang w:val="en-US" w:eastAsia="zh-CN"/>
                    </w:rPr>
                  </w:pPr>
                  <w:r>
                    <w:rPr>
                      <w:rFonts w:hint="default" w:ascii="Times New Roman" w:hAnsi="Times New Roman" w:eastAsia="宋体" w:cs="Times New Roman"/>
                      <w:b w:val="0"/>
                      <w:bCs/>
                      <w:color w:val="auto"/>
                      <w:szCs w:val="21"/>
                      <w:highlight w:val="none"/>
                      <w:vertAlign w:val="baseline"/>
                      <w:lang w:val="en-US" w:eastAsia="zh-CN"/>
                    </w:rPr>
                    <w:t>来料散装</w:t>
                  </w:r>
                  <w:r>
                    <w:rPr>
                      <w:rFonts w:hint="eastAsia" w:ascii="Times New Roman" w:hAnsi="Times New Roman" w:eastAsia="宋体" w:cs="Times New Roman"/>
                      <w:b w:val="0"/>
                      <w:bCs/>
                      <w:color w:val="auto"/>
                      <w:szCs w:val="21"/>
                      <w:highlight w:val="none"/>
                      <w:vertAlign w:val="baseline"/>
                      <w:lang w:val="en-US" w:eastAsia="zh-CN"/>
                    </w:rPr>
                    <w:t>，封闭车辆运输</w:t>
                  </w:r>
                </w:p>
              </w:tc>
              <w:tc>
                <w:tcPr>
                  <w:tcW w:w="849" w:type="dxa"/>
                  <w:noWrap w:val="0"/>
                  <w:vAlign w:val="center"/>
                </w:tcPr>
                <w:p w14:paraId="5ED53C66">
                  <w:pPr>
                    <w:keepNext w:val="0"/>
                    <w:keepLines w:val="0"/>
                    <w:widowControl/>
                    <w:suppressLineNumbers w:val="0"/>
                    <w:jc w:val="center"/>
                    <w:textAlignment w:val="center"/>
                    <w:rPr>
                      <w:rFonts w:hint="default" w:ascii="Times New Roman" w:hAnsi="Times New Roman" w:eastAsia="宋体" w:cs="Times New Roman"/>
                      <w:b w:val="0"/>
                      <w:bCs/>
                      <w:color w:val="auto"/>
                      <w:szCs w:val="21"/>
                      <w:highlight w:val="none"/>
                      <w:vertAlign w:val="baseline"/>
                      <w:lang w:val="en-US" w:eastAsia="zh-CN"/>
                    </w:rPr>
                  </w:pPr>
                  <w:r>
                    <w:rPr>
                      <w:rFonts w:hint="default" w:ascii="Times New Roman" w:hAnsi="Times New Roman" w:eastAsia="宋体" w:cs="Times New Roman"/>
                      <w:b w:val="0"/>
                      <w:bCs/>
                      <w:color w:val="auto"/>
                      <w:szCs w:val="21"/>
                      <w:highlight w:val="none"/>
                      <w:vertAlign w:val="baseline"/>
                      <w:lang w:val="en-US" w:eastAsia="zh-CN"/>
                    </w:rPr>
                    <w:t>3000t</w:t>
                  </w:r>
                </w:p>
              </w:tc>
              <w:tc>
                <w:tcPr>
                  <w:tcW w:w="800" w:type="dxa"/>
                  <w:noWrap w:val="0"/>
                  <w:vAlign w:val="center"/>
                </w:tcPr>
                <w:p w14:paraId="6858250B">
                  <w:pPr>
                    <w:keepNext w:val="0"/>
                    <w:keepLines w:val="0"/>
                    <w:widowControl/>
                    <w:suppressLineNumbers w:val="0"/>
                    <w:jc w:val="center"/>
                    <w:textAlignment w:val="center"/>
                    <w:rPr>
                      <w:rFonts w:hint="default" w:ascii="Times New Roman" w:hAnsi="Times New Roman" w:eastAsia="宋体" w:cs="Times New Roman"/>
                      <w:b w:val="0"/>
                      <w:bCs/>
                      <w:color w:val="auto"/>
                      <w:szCs w:val="21"/>
                      <w:highlight w:val="none"/>
                      <w:vertAlign w:val="baseline"/>
                      <w:lang w:val="en-US" w:eastAsia="zh-CN"/>
                    </w:rPr>
                  </w:pPr>
                  <w:r>
                    <w:rPr>
                      <w:rFonts w:hint="default" w:ascii="Times New Roman" w:hAnsi="Times New Roman" w:eastAsia="宋体" w:cs="Times New Roman"/>
                      <w:b w:val="0"/>
                      <w:bCs/>
                      <w:color w:val="auto"/>
                      <w:szCs w:val="21"/>
                      <w:highlight w:val="none"/>
                      <w:vertAlign w:val="baseline"/>
                      <w:lang w:val="en-US" w:eastAsia="zh-CN"/>
                    </w:rPr>
                    <w:t>颗粒状</w:t>
                  </w:r>
                </w:p>
              </w:tc>
              <w:tc>
                <w:tcPr>
                  <w:tcW w:w="1306" w:type="dxa"/>
                  <w:noWrap w:val="0"/>
                  <w:vAlign w:val="center"/>
                </w:tcPr>
                <w:p w14:paraId="188C515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碎石堆场</w:t>
                  </w:r>
                </w:p>
              </w:tc>
              <w:tc>
                <w:tcPr>
                  <w:tcW w:w="1273" w:type="dxa"/>
                  <w:shd w:val="clear" w:color="auto" w:fill="auto"/>
                  <w:noWrap w:val="0"/>
                  <w:vAlign w:val="center"/>
                </w:tcPr>
                <w:p w14:paraId="6F1F13F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混凝土搅拌</w:t>
                  </w:r>
                </w:p>
              </w:tc>
            </w:tr>
            <w:tr w14:paraId="35E03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1833" w:type="dxa"/>
                  <w:noWrap w:val="0"/>
                  <w:vAlign w:val="center"/>
                </w:tcPr>
                <w:p w14:paraId="48454491">
                  <w:pPr>
                    <w:jc w:val="center"/>
                    <w:rPr>
                      <w:rFonts w:hint="default" w:ascii="Times New Roman" w:hAnsi="Times New Roman" w:eastAsia="宋体" w:cs="Times New Roman"/>
                      <w:b w:val="0"/>
                      <w:bCs/>
                      <w:color w:val="auto"/>
                      <w:szCs w:val="21"/>
                      <w:highlight w:val="none"/>
                      <w:vertAlign w:val="baseline"/>
                      <w:lang w:val="en-US" w:eastAsia="zh-CN"/>
                    </w:rPr>
                  </w:pPr>
                  <w:r>
                    <w:rPr>
                      <w:rFonts w:hint="default" w:ascii="Times New Roman" w:hAnsi="Times New Roman" w:cs="Times New Roman"/>
                      <w:color w:val="auto"/>
                      <w:szCs w:val="21"/>
                      <w:highlight w:val="none"/>
                    </w:rPr>
                    <w:t>河砂</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10%含水率</w:t>
                  </w:r>
                  <w:r>
                    <w:rPr>
                      <w:rFonts w:hint="default" w:ascii="Times New Roman" w:hAnsi="Times New Roman" w:cs="Times New Roman"/>
                      <w:color w:val="auto"/>
                      <w:szCs w:val="21"/>
                      <w:highlight w:val="none"/>
                      <w:lang w:eastAsia="zh-CN"/>
                    </w:rPr>
                    <w:t>）</w:t>
                  </w:r>
                </w:p>
              </w:tc>
              <w:tc>
                <w:tcPr>
                  <w:tcW w:w="1485" w:type="dxa"/>
                  <w:noWrap w:val="0"/>
                  <w:vAlign w:val="center"/>
                </w:tcPr>
                <w:p w14:paraId="5A725E3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137400</w:t>
                  </w:r>
                </w:p>
              </w:tc>
              <w:tc>
                <w:tcPr>
                  <w:tcW w:w="1531" w:type="dxa"/>
                  <w:noWrap w:val="0"/>
                  <w:vAlign w:val="center"/>
                </w:tcPr>
                <w:p w14:paraId="2860206A">
                  <w:pPr>
                    <w:keepNext w:val="0"/>
                    <w:keepLines w:val="0"/>
                    <w:widowControl/>
                    <w:suppressLineNumbers w:val="0"/>
                    <w:jc w:val="center"/>
                    <w:textAlignment w:val="center"/>
                    <w:rPr>
                      <w:rFonts w:hint="default" w:ascii="Times New Roman" w:hAnsi="Times New Roman" w:eastAsia="宋体" w:cs="Times New Roman"/>
                      <w:b w:val="0"/>
                      <w:bCs/>
                      <w:color w:val="auto"/>
                      <w:szCs w:val="21"/>
                      <w:highlight w:val="none"/>
                      <w:vertAlign w:val="baseline"/>
                      <w:lang w:val="en-US" w:eastAsia="zh-CN"/>
                    </w:rPr>
                  </w:pPr>
                  <w:r>
                    <w:rPr>
                      <w:rFonts w:hint="default" w:ascii="Times New Roman" w:hAnsi="Times New Roman" w:eastAsia="宋体" w:cs="Times New Roman"/>
                      <w:b w:val="0"/>
                      <w:bCs/>
                      <w:color w:val="auto"/>
                      <w:szCs w:val="21"/>
                      <w:highlight w:val="none"/>
                      <w:vertAlign w:val="baseline"/>
                      <w:lang w:val="en-US" w:eastAsia="zh-CN"/>
                    </w:rPr>
                    <w:t>来料散装</w:t>
                  </w:r>
                  <w:r>
                    <w:rPr>
                      <w:rFonts w:hint="eastAsia" w:ascii="Times New Roman" w:hAnsi="Times New Roman" w:eastAsia="宋体" w:cs="Times New Roman"/>
                      <w:b w:val="0"/>
                      <w:bCs/>
                      <w:color w:val="auto"/>
                      <w:szCs w:val="21"/>
                      <w:highlight w:val="none"/>
                      <w:vertAlign w:val="baseline"/>
                      <w:lang w:val="en-US" w:eastAsia="zh-CN"/>
                    </w:rPr>
                    <w:t>，封闭车辆运输</w:t>
                  </w:r>
                </w:p>
              </w:tc>
              <w:tc>
                <w:tcPr>
                  <w:tcW w:w="849" w:type="dxa"/>
                  <w:noWrap w:val="0"/>
                  <w:vAlign w:val="center"/>
                </w:tcPr>
                <w:p w14:paraId="39E6247F">
                  <w:pPr>
                    <w:keepNext w:val="0"/>
                    <w:keepLines w:val="0"/>
                    <w:widowControl/>
                    <w:suppressLineNumbers w:val="0"/>
                    <w:jc w:val="center"/>
                    <w:textAlignment w:val="center"/>
                    <w:rPr>
                      <w:rFonts w:hint="default" w:ascii="Times New Roman" w:hAnsi="Times New Roman" w:eastAsia="宋体" w:cs="Times New Roman"/>
                      <w:b w:val="0"/>
                      <w:bCs/>
                      <w:color w:val="auto"/>
                      <w:szCs w:val="21"/>
                      <w:highlight w:val="none"/>
                      <w:vertAlign w:val="baseline"/>
                      <w:lang w:val="en-US" w:eastAsia="zh-CN"/>
                    </w:rPr>
                  </w:pPr>
                  <w:r>
                    <w:rPr>
                      <w:rFonts w:hint="default" w:ascii="Times New Roman" w:hAnsi="Times New Roman" w:eastAsia="宋体" w:cs="Times New Roman"/>
                      <w:b w:val="0"/>
                      <w:bCs/>
                      <w:color w:val="auto"/>
                      <w:szCs w:val="21"/>
                      <w:highlight w:val="none"/>
                      <w:vertAlign w:val="baseline"/>
                      <w:lang w:val="en-US" w:eastAsia="zh-CN"/>
                    </w:rPr>
                    <w:t>2000t</w:t>
                  </w:r>
                </w:p>
              </w:tc>
              <w:tc>
                <w:tcPr>
                  <w:tcW w:w="800" w:type="dxa"/>
                  <w:noWrap w:val="0"/>
                  <w:vAlign w:val="center"/>
                </w:tcPr>
                <w:p w14:paraId="51FFCA90">
                  <w:pPr>
                    <w:keepNext w:val="0"/>
                    <w:keepLines w:val="0"/>
                    <w:widowControl/>
                    <w:suppressLineNumbers w:val="0"/>
                    <w:jc w:val="center"/>
                    <w:textAlignment w:val="center"/>
                    <w:rPr>
                      <w:rFonts w:hint="default" w:ascii="Times New Roman" w:hAnsi="Times New Roman" w:eastAsia="宋体" w:cs="Times New Roman"/>
                      <w:b w:val="0"/>
                      <w:bCs/>
                      <w:color w:val="auto"/>
                      <w:szCs w:val="21"/>
                      <w:highlight w:val="none"/>
                      <w:vertAlign w:val="baseline"/>
                      <w:lang w:val="en-US" w:eastAsia="zh-CN"/>
                    </w:rPr>
                  </w:pPr>
                  <w:r>
                    <w:rPr>
                      <w:rFonts w:hint="default" w:ascii="Times New Roman" w:hAnsi="Times New Roman" w:eastAsia="宋体" w:cs="Times New Roman"/>
                      <w:b w:val="0"/>
                      <w:bCs/>
                      <w:color w:val="auto"/>
                      <w:szCs w:val="21"/>
                      <w:highlight w:val="none"/>
                      <w:vertAlign w:val="baseline"/>
                      <w:lang w:val="en-US" w:eastAsia="zh-CN"/>
                    </w:rPr>
                    <w:t>颗粒状</w:t>
                  </w:r>
                </w:p>
              </w:tc>
              <w:tc>
                <w:tcPr>
                  <w:tcW w:w="1306" w:type="dxa"/>
                  <w:noWrap w:val="0"/>
                  <w:vAlign w:val="center"/>
                </w:tcPr>
                <w:p w14:paraId="359C6C3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砂料堆场</w:t>
                  </w:r>
                </w:p>
              </w:tc>
              <w:tc>
                <w:tcPr>
                  <w:tcW w:w="1273" w:type="dxa"/>
                  <w:shd w:val="clear" w:color="auto" w:fill="auto"/>
                  <w:noWrap w:val="0"/>
                  <w:vAlign w:val="center"/>
                </w:tcPr>
                <w:p w14:paraId="389F2B4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混凝土搅拌</w:t>
                  </w:r>
                </w:p>
              </w:tc>
            </w:tr>
            <w:tr w14:paraId="42808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 w:hRule="atLeast"/>
              </w:trPr>
              <w:tc>
                <w:tcPr>
                  <w:tcW w:w="1833" w:type="dxa"/>
                  <w:noWrap w:val="0"/>
                  <w:vAlign w:val="center"/>
                </w:tcPr>
                <w:p w14:paraId="61239207">
                  <w:pPr>
                    <w:jc w:val="center"/>
                    <w:rPr>
                      <w:rFonts w:hint="default" w:ascii="Times New Roman" w:hAnsi="Times New Roman" w:eastAsia="宋体" w:cs="Times New Roman"/>
                      <w:b w:val="0"/>
                      <w:bCs/>
                      <w:color w:val="auto"/>
                      <w:szCs w:val="21"/>
                      <w:highlight w:val="none"/>
                      <w:vertAlign w:val="baseline"/>
                      <w:lang w:val="en-US" w:eastAsia="zh-CN"/>
                    </w:rPr>
                  </w:pPr>
                  <w:r>
                    <w:rPr>
                      <w:rFonts w:hint="default" w:ascii="Times New Roman" w:hAnsi="Times New Roman" w:cs="Times New Roman"/>
                      <w:color w:val="auto"/>
                      <w:szCs w:val="21"/>
                      <w:highlight w:val="none"/>
                      <w:lang w:eastAsia="zh-CN"/>
                    </w:rPr>
                    <w:t>粉煤灰</w:t>
                  </w:r>
                </w:p>
              </w:tc>
              <w:tc>
                <w:tcPr>
                  <w:tcW w:w="1485" w:type="dxa"/>
                  <w:noWrap w:val="0"/>
                  <w:vAlign w:val="center"/>
                </w:tcPr>
                <w:p w14:paraId="072E7D1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8200</w:t>
                  </w:r>
                </w:p>
              </w:tc>
              <w:tc>
                <w:tcPr>
                  <w:tcW w:w="1531" w:type="dxa"/>
                  <w:noWrap w:val="0"/>
                  <w:vAlign w:val="center"/>
                </w:tcPr>
                <w:p w14:paraId="45367059">
                  <w:pPr>
                    <w:keepNext w:val="0"/>
                    <w:keepLines w:val="0"/>
                    <w:widowControl/>
                    <w:suppressLineNumbers w:val="0"/>
                    <w:jc w:val="center"/>
                    <w:textAlignment w:val="center"/>
                    <w:rPr>
                      <w:rFonts w:hint="default" w:ascii="Times New Roman" w:hAnsi="Times New Roman" w:eastAsia="宋体" w:cs="Times New Roman"/>
                      <w:b w:val="0"/>
                      <w:bCs/>
                      <w:color w:val="auto"/>
                      <w:kern w:val="2"/>
                      <w:sz w:val="21"/>
                      <w:szCs w:val="21"/>
                      <w:highlight w:val="none"/>
                      <w:vertAlign w:val="baseline"/>
                      <w:lang w:val="en-US" w:eastAsia="zh-CN" w:bidi="ar-SA"/>
                    </w:rPr>
                  </w:pPr>
                  <w:r>
                    <w:rPr>
                      <w:rFonts w:hint="default" w:ascii="Times New Roman" w:hAnsi="Times New Roman" w:eastAsia="宋体" w:cs="Times New Roman"/>
                      <w:b w:val="0"/>
                      <w:bCs/>
                      <w:color w:val="auto"/>
                      <w:szCs w:val="21"/>
                      <w:highlight w:val="none"/>
                      <w:vertAlign w:val="baseline"/>
                      <w:lang w:val="en-US" w:eastAsia="zh-CN"/>
                    </w:rPr>
                    <w:t>来料散装，罐车运输</w:t>
                  </w:r>
                </w:p>
              </w:tc>
              <w:tc>
                <w:tcPr>
                  <w:tcW w:w="849" w:type="dxa"/>
                  <w:noWrap w:val="0"/>
                  <w:vAlign w:val="center"/>
                </w:tcPr>
                <w:p w14:paraId="225D10D6">
                  <w:pPr>
                    <w:keepNext w:val="0"/>
                    <w:keepLines w:val="0"/>
                    <w:widowControl/>
                    <w:suppressLineNumbers w:val="0"/>
                    <w:jc w:val="center"/>
                    <w:textAlignment w:val="center"/>
                    <w:rPr>
                      <w:rFonts w:hint="default" w:ascii="Times New Roman" w:hAnsi="Times New Roman" w:eastAsia="宋体" w:cs="Times New Roman"/>
                      <w:b w:val="0"/>
                      <w:bCs/>
                      <w:color w:val="auto"/>
                      <w:szCs w:val="21"/>
                      <w:highlight w:val="none"/>
                      <w:vertAlign w:val="baseline"/>
                      <w:lang w:val="en-US" w:eastAsia="zh-CN"/>
                    </w:rPr>
                  </w:pPr>
                  <w:r>
                    <w:rPr>
                      <w:rFonts w:hint="eastAsia" w:ascii="Times New Roman" w:hAnsi="Times New Roman" w:eastAsia="宋体" w:cs="Times New Roman"/>
                      <w:b w:val="0"/>
                      <w:bCs/>
                      <w:color w:val="auto"/>
                      <w:szCs w:val="21"/>
                      <w:highlight w:val="none"/>
                      <w:vertAlign w:val="baseline"/>
                      <w:lang w:val="en-US" w:eastAsia="zh-CN"/>
                    </w:rPr>
                    <w:t>8</w:t>
                  </w:r>
                  <w:r>
                    <w:rPr>
                      <w:rFonts w:hint="default" w:ascii="Times New Roman" w:hAnsi="Times New Roman" w:eastAsia="宋体" w:cs="Times New Roman"/>
                      <w:b w:val="0"/>
                      <w:bCs/>
                      <w:color w:val="auto"/>
                      <w:szCs w:val="21"/>
                      <w:highlight w:val="none"/>
                      <w:vertAlign w:val="baseline"/>
                      <w:lang w:val="en-US" w:eastAsia="zh-CN"/>
                    </w:rPr>
                    <w:t>0t</w:t>
                  </w:r>
                </w:p>
              </w:tc>
              <w:tc>
                <w:tcPr>
                  <w:tcW w:w="800" w:type="dxa"/>
                  <w:noWrap w:val="0"/>
                  <w:vAlign w:val="center"/>
                </w:tcPr>
                <w:p w14:paraId="3F287EA2">
                  <w:pPr>
                    <w:keepNext w:val="0"/>
                    <w:keepLines w:val="0"/>
                    <w:widowControl/>
                    <w:suppressLineNumbers w:val="0"/>
                    <w:jc w:val="center"/>
                    <w:textAlignment w:val="center"/>
                    <w:rPr>
                      <w:rFonts w:hint="default" w:ascii="Times New Roman" w:hAnsi="Times New Roman" w:eastAsia="宋体" w:cs="Times New Roman"/>
                      <w:b w:val="0"/>
                      <w:bCs/>
                      <w:color w:val="auto"/>
                      <w:szCs w:val="21"/>
                      <w:highlight w:val="none"/>
                      <w:vertAlign w:val="baseline"/>
                      <w:lang w:val="en-US" w:eastAsia="zh-CN"/>
                    </w:rPr>
                  </w:pPr>
                  <w:r>
                    <w:rPr>
                      <w:rFonts w:hint="default" w:ascii="Times New Roman" w:hAnsi="Times New Roman" w:eastAsia="宋体" w:cs="Times New Roman"/>
                      <w:b w:val="0"/>
                      <w:bCs/>
                      <w:color w:val="auto"/>
                      <w:szCs w:val="21"/>
                      <w:highlight w:val="none"/>
                      <w:vertAlign w:val="baseline"/>
                      <w:lang w:val="en-US" w:eastAsia="zh-CN"/>
                    </w:rPr>
                    <w:t>粉状</w:t>
                  </w:r>
                </w:p>
              </w:tc>
              <w:tc>
                <w:tcPr>
                  <w:tcW w:w="1306" w:type="dxa"/>
                  <w:noWrap w:val="0"/>
                  <w:vAlign w:val="center"/>
                </w:tcPr>
                <w:p w14:paraId="68816D3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Cs w:val="21"/>
                      <w:highlight w:val="none"/>
                      <w:lang w:eastAsia="zh-CN"/>
                    </w:rPr>
                    <w:t>粉煤灰</w:t>
                  </w:r>
                  <w:r>
                    <w:rPr>
                      <w:rFonts w:hint="default" w:ascii="Times New Roman" w:hAnsi="Times New Roman" w:eastAsia="宋体" w:cs="Times New Roman"/>
                      <w:i w:val="0"/>
                      <w:iCs w:val="0"/>
                      <w:color w:val="auto"/>
                      <w:kern w:val="0"/>
                      <w:sz w:val="21"/>
                      <w:szCs w:val="21"/>
                      <w:highlight w:val="none"/>
                      <w:u w:val="none"/>
                      <w:lang w:val="en-US" w:eastAsia="zh-CN" w:bidi="ar"/>
                    </w:rPr>
                    <w:t>筒仓</w:t>
                  </w:r>
                </w:p>
              </w:tc>
              <w:tc>
                <w:tcPr>
                  <w:tcW w:w="1273" w:type="dxa"/>
                  <w:shd w:val="clear" w:color="auto" w:fill="auto"/>
                  <w:noWrap w:val="0"/>
                  <w:vAlign w:val="center"/>
                </w:tcPr>
                <w:p w14:paraId="27BB97C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混凝土搅拌</w:t>
                  </w:r>
                </w:p>
              </w:tc>
            </w:tr>
            <w:tr w14:paraId="77696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1833" w:type="dxa"/>
                  <w:noWrap w:val="0"/>
                  <w:vAlign w:val="center"/>
                </w:tcPr>
                <w:p w14:paraId="4807E16E">
                  <w:pPr>
                    <w:jc w:val="center"/>
                    <w:rPr>
                      <w:rFonts w:hint="default" w:ascii="Times New Roman" w:hAnsi="Times New Roman" w:eastAsia="宋体" w:cs="Times New Roman"/>
                      <w:b w:val="0"/>
                      <w:bCs/>
                      <w:i w:val="0"/>
                      <w:iCs w:val="0"/>
                      <w:color w:val="auto"/>
                      <w:kern w:val="0"/>
                      <w:sz w:val="21"/>
                      <w:szCs w:val="21"/>
                      <w:highlight w:val="none"/>
                      <w:u w:val="none"/>
                      <w:lang w:val="en-US" w:eastAsia="zh-CN" w:bidi="ar"/>
                    </w:rPr>
                  </w:pPr>
                  <w:r>
                    <w:rPr>
                      <w:rFonts w:hint="default" w:ascii="Times New Roman" w:hAnsi="Times New Roman" w:cs="Times New Roman"/>
                      <w:color w:val="auto"/>
                      <w:szCs w:val="21"/>
                      <w:highlight w:val="none"/>
                    </w:rPr>
                    <w:t>聚羧基减水剂</w:t>
                  </w:r>
                </w:p>
              </w:tc>
              <w:tc>
                <w:tcPr>
                  <w:tcW w:w="1485" w:type="dxa"/>
                  <w:noWrap w:val="0"/>
                  <w:vAlign w:val="center"/>
                </w:tcPr>
                <w:p w14:paraId="030C401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800</w:t>
                  </w:r>
                </w:p>
              </w:tc>
              <w:tc>
                <w:tcPr>
                  <w:tcW w:w="1531" w:type="dxa"/>
                  <w:noWrap w:val="0"/>
                  <w:vAlign w:val="center"/>
                </w:tcPr>
                <w:p w14:paraId="3BB2FA1B">
                  <w:pPr>
                    <w:keepNext w:val="0"/>
                    <w:keepLines w:val="0"/>
                    <w:widowControl/>
                    <w:suppressLineNumbers w:val="0"/>
                    <w:jc w:val="center"/>
                    <w:textAlignment w:val="center"/>
                    <w:rPr>
                      <w:rFonts w:hint="default" w:ascii="Times New Roman" w:hAnsi="Times New Roman" w:cs="Times New Roman"/>
                      <w:b w:val="0"/>
                      <w:bCs/>
                      <w:i w:val="0"/>
                      <w:iCs w:val="0"/>
                      <w:color w:val="auto"/>
                      <w:kern w:val="0"/>
                      <w:sz w:val="21"/>
                      <w:szCs w:val="21"/>
                      <w:highlight w:val="none"/>
                      <w:u w:val="none"/>
                      <w:lang w:val="en-US" w:eastAsia="zh-CN" w:bidi="ar"/>
                    </w:rPr>
                  </w:pPr>
                  <w:r>
                    <w:rPr>
                      <w:rFonts w:hint="default" w:ascii="Times New Roman" w:hAnsi="Times New Roman" w:cs="Times New Roman"/>
                      <w:b w:val="0"/>
                      <w:bCs/>
                      <w:i w:val="0"/>
                      <w:iCs w:val="0"/>
                      <w:color w:val="auto"/>
                      <w:kern w:val="0"/>
                      <w:sz w:val="21"/>
                      <w:szCs w:val="21"/>
                      <w:highlight w:val="none"/>
                      <w:u w:val="none"/>
                      <w:lang w:val="en-US" w:eastAsia="zh-CN" w:bidi="ar"/>
                    </w:rPr>
                    <w:t>标准型、来料为散装</w:t>
                  </w:r>
                </w:p>
              </w:tc>
              <w:tc>
                <w:tcPr>
                  <w:tcW w:w="849" w:type="dxa"/>
                  <w:noWrap w:val="0"/>
                  <w:vAlign w:val="center"/>
                </w:tcPr>
                <w:p w14:paraId="787EC402">
                  <w:pPr>
                    <w:keepNext w:val="0"/>
                    <w:keepLines w:val="0"/>
                    <w:widowControl/>
                    <w:suppressLineNumbers w:val="0"/>
                    <w:jc w:val="center"/>
                    <w:textAlignment w:val="center"/>
                    <w:rPr>
                      <w:rFonts w:hint="default" w:ascii="Times New Roman" w:hAnsi="Times New Roman" w:cs="Times New Roman"/>
                      <w:b w:val="0"/>
                      <w:bCs/>
                      <w:i w:val="0"/>
                      <w:iCs w:val="0"/>
                      <w:color w:val="auto"/>
                      <w:kern w:val="0"/>
                      <w:sz w:val="21"/>
                      <w:szCs w:val="21"/>
                      <w:highlight w:val="none"/>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40t</w:t>
                  </w:r>
                </w:p>
              </w:tc>
              <w:tc>
                <w:tcPr>
                  <w:tcW w:w="800" w:type="dxa"/>
                  <w:noWrap w:val="0"/>
                  <w:vAlign w:val="center"/>
                </w:tcPr>
                <w:p w14:paraId="0186B7D4">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lang w:val="en-US" w:eastAsia="zh-CN" w:bidi="ar"/>
                    </w:rPr>
                  </w:pPr>
                  <w:r>
                    <w:rPr>
                      <w:rFonts w:hint="default" w:ascii="Times New Roman" w:hAnsi="Times New Roman" w:eastAsia="宋体" w:cs="Times New Roman"/>
                      <w:b w:val="0"/>
                      <w:bCs/>
                      <w:i w:val="0"/>
                      <w:iCs w:val="0"/>
                      <w:color w:val="auto"/>
                      <w:kern w:val="0"/>
                      <w:sz w:val="21"/>
                      <w:szCs w:val="21"/>
                      <w:highlight w:val="none"/>
                      <w:u w:val="none"/>
                      <w:lang w:val="en-US" w:eastAsia="zh-CN" w:bidi="ar"/>
                    </w:rPr>
                    <w:t>液态</w:t>
                  </w:r>
                </w:p>
              </w:tc>
              <w:tc>
                <w:tcPr>
                  <w:tcW w:w="1306" w:type="dxa"/>
                  <w:noWrap w:val="0"/>
                  <w:vAlign w:val="center"/>
                </w:tcPr>
                <w:p w14:paraId="57B17B2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cs="Times New Roman"/>
                      <w:color w:val="auto"/>
                      <w:highlight w:val="none"/>
                      <w:lang w:val="en-US" w:eastAsia="zh-CN"/>
                    </w:rPr>
                    <w:t>减水剂罐（</w:t>
                  </w:r>
                  <w:r>
                    <w:rPr>
                      <w:rFonts w:hint="eastAsia" w:ascii="Times New Roman" w:hAnsi="Times New Roman" w:eastAsia="宋体" w:cs="Times New Roman"/>
                      <w:i w:val="0"/>
                      <w:iCs w:val="0"/>
                      <w:color w:val="auto"/>
                      <w:kern w:val="0"/>
                      <w:sz w:val="21"/>
                      <w:szCs w:val="21"/>
                      <w:highlight w:val="none"/>
                      <w:u w:val="none"/>
                      <w:lang w:val="en-US" w:eastAsia="zh-CN" w:bidi="ar"/>
                    </w:rPr>
                    <w:t>筒仓区，无需恒温</w:t>
                  </w:r>
                  <w:r>
                    <w:rPr>
                      <w:rFonts w:hint="eastAsia" w:ascii="Times New Roman" w:hAnsi="Times New Roman" w:cs="Times New Roman"/>
                      <w:color w:val="auto"/>
                      <w:highlight w:val="none"/>
                      <w:lang w:val="en-US" w:eastAsia="zh-CN"/>
                    </w:rPr>
                    <w:t>）</w:t>
                  </w:r>
                </w:p>
              </w:tc>
              <w:tc>
                <w:tcPr>
                  <w:tcW w:w="1273" w:type="dxa"/>
                  <w:shd w:val="clear" w:color="auto" w:fill="auto"/>
                  <w:noWrap w:val="0"/>
                  <w:vAlign w:val="center"/>
                </w:tcPr>
                <w:p w14:paraId="3F328BB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混凝土搅拌</w:t>
                  </w:r>
                </w:p>
              </w:tc>
            </w:tr>
            <w:tr w14:paraId="12B67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1833" w:type="dxa"/>
                  <w:noWrap w:val="0"/>
                  <w:vAlign w:val="center"/>
                </w:tcPr>
                <w:p w14:paraId="13DEDFCF">
                  <w:pPr>
                    <w:spacing w:before="24" w:beforeLines="10" w:after="24" w:afterLines="10" w:line="240" w:lineRule="exact"/>
                    <w:jc w:val="center"/>
                    <w:rPr>
                      <w:rFonts w:hint="default" w:ascii="Times New Roman" w:hAnsi="Times New Roman" w:eastAsia="宋体" w:cs="Times New Roman"/>
                      <w:b w:val="0"/>
                      <w:bCs/>
                      <w:i w:val="0"/>
                      <w:iCs w:val="0"/>
                      <w:color w:val="auto"/>
                      <w:kern w:val="0"/>
                      <w:sz w:val="21"/>
                      <w:szCs w:val="21"/>
                      <w:highlight w:val="none"/>
                      <w:u w:val="none"/>
                      <w:lang w:val="en-US" w:eastAsia="zh-CN" w:bidi="ar"/>
                    </w:rPr>
                  </w:pPr>
                  <w:r>
                    <w:rPr>
                      <w:rFonts w:hint="default" w:ascii="Times New Roman" w:hAnsi="Times New Roman" w:eastAsia="宋体" w:cs="Times New Roman"/>
                      <w:b w:val="0"/>
                      <w:bCs/>
                      <w:i w:val="0"/>
                      <w:iCs w:val="0"/>
                      <w:color w:val="auto"/>
                      <w:kern w:val="0"/>
                      <w:sz w:val="21"/>
                      <w:szCs w:val="21"/>
                      <w:highlight w:val="none"/>
                      <w:u w:val="none"/>
                      <w:lang w:val="en-US" w:eastAsia="zh-CN" w:bidi="ar"/>
                    </w:rPr>
                    <w:t>钢筋</w:t>
                  </w:r>
                </w:p>
              </w:tc>
              <w:tc>
                <w:tcPr>
                  <w:tcW w:w="1485" w:type="dxa"/>
                  <w:shd w:val="clear" w:color="auto" w:fill="auto"/>
                  <w:noWrap w:val="0"/>
                  <w:vAlign w:val="center"/>
                </w:tcPr>
                <w:p w14:paraId="1BC7E53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70000</w:t>
                  </w:r>
                </w:p>
              </w:tc>
              <w:tc>
                <w:tcPr>
                  <w:tcW w:w="1531" w:type="dxa"/>
                  <w:noWrap w:val="0"/>
                  <w:vAlign w:val="center"/>
                </w:tcPr>
                <w:p w14:paraId="6C007976">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cs="Times New Roman"/>
                      <w:b w:val="0"/>
                      <w:bCs/>
                      <w:i w:val="0"/>
                      <w:iCs w:val="0"/>
                      <w:color w:val="auto"/>
                      <w:kern w:val="0"/>
                      <w:sz w:val="21"/>
                      <w:szCs w:val="21"/>
                      <w:highlight w:val="none"/>
                      <w:u w:val="none"/>
                      <w:lang w:val="en-US" w:eastAsia="zh-CN" w:bidi="ar"/>
                    </w:rPr>
                  </w:pPr>
                  <w:r>
                    <w:rPr>
                      <w:rFonts w:hint="default" w:ascii="Times New Roman" w:hAnsi="Times New Roman" w:cs="Times New Roman"/>
                      <w:b w:val="0"/>
                      <w:bCs/>
                      <w:i w:val="0"/>
                      <w:iCs w:val="0"/>
                      <w:color w:val="auto"/>
                      <w:kern w:val="0"/>
                      <w:sz w:val="21"/>
                      <w:szCs w:val="21"/>
                      <w:highlight w:val="none"/>
                      <w:u w:val="none"/>
                      <w:lang w:val="en-US" w:eastAsia="zh-CN" w:bidi="ar"/>
                    </w:rPr>
                    <w:t>18mm、20mm，每捆5t</w:t>
                  </w:r>
                </w:p>
              </w:tc>
              <w:tc>
                <w:tcPr>
                  <w:tcW w:w="849" w:type="dxa"/>
                  <w:noWrap w:val="0"/>
                  <w:vAlign w:val="center"/>
                </w:tcPr>
                <w:p w14:paraId="15005E9D">
                  <w:pPr>
                    <w:keepNext w:val="0"/>
                    <w:keepLines w:val="0"/>
                    <w:widowControl/>
                    <w:suppressLineNumbers w:val="0"/>
                    <w:jc w:val="center"/>
                    <w:textAlignment w:val="center"/>
                    <w:rPr>
                      <w:rFonts w:hint="default" w:ascii="Times New Roman" w:hAnsi="Times New Roman" w:cs="Times New Roman"/>
                      <w:b w:val="0"/>
                      <w:bCs/>
                      <w:i w:val="0"/>
                      <w:iCs w:val="0"/>
                      <w:color w:val="auto"/>
                      <w:kern w:val="0"/>
                      <w:sz w:val="21"/>
                      <w:szCs w:val="21"/>
                      <w:highlight w:val="none"/>
                      <w:u w:val="none"/>
                      <w:lang w:val="en-US" w:eastAsia="zh-CN" w:bidi="ar"/>
                    </w:rPr>
                  </w:pPr>
                  <w:r>
                    <w:rPr>
                      <w:rFonts w:hint="default" w:ascii="Times New Roman" w:hAnsi="Times New Roman" w:cs="Times New Roman"/>
                      <w:b w:val="0"/>
                      <w:bCs/>
                      <w:i w:val="0"/>
                      <w:iCs w:val="0"/>
                      <w:color w:val="auto"/>
                      <w:kern w:val="0"/>
                      <w:sz w:val="21"/>
                      <w:szCs w:val="21"/>
                      <w:highlight w:val="none"/>
                      <w:u w:val="none"/>
                      <w:lang w:val="en-US" w:eastAsia="zh-CN" w:bidi="ar"/>
                    </w:rPr>
                    <w:t>200t</w:t>
                  </w:r>
                </w:p>
              </w:tc>
              <w:tc>
                <w:tcPr>
                  <w:tcW w:w="800" w:type="dxa"/>
                  <w:noWrap w:val="0"/>
                  <w:vAlign w:val="center"/>
                </w:tcPr>
                <w:p w14:paraId="2AF5FB11">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lang w:val="en-US" w:eastAsia="zh-CN" w:bidi="ar"/>
                    </w:rPr>
                  </w:pPr>
                  <w:r>
                    <w:rPr>
                      <w:rFonts w:hint="default" w:ascii="Times New Roman" w:hAnsi="Times New Roman" w:eastAsia="宋体" w:cs="Times New Roman"/>
                      <w:b w:val="0"/>
                      <w:bCs/>
                      <w:color w:val="auto"/>
                      <w:szCs w:val="21"/>
                      <w:highlight w:val="none"/>
                      <w:vertAlign w:val="baseline"/>
                      <w:lang w:val="en-US" w:eastAsia="zh-CN"/>
                    </w:rPr>
                    <w:t>固态</w:t>
                  </w:r>
                </w:p>
              </w:tc>
              <w:tc>
                <w:tcPr>
                  <w:tcW w:w="1306" w:type="dxa"/>
                  <w:noWrap w:val="0"/>
                  <w:vAlign w:val="center"/>
                </w:tcPr>
                <w:p w14:paraId="74E87C1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钢筋堆放及加工区</w:t>
                  </w:r>
                </w:p>
              </w:tc>
              <w:tc>
                <w:tcPr>
                  <w:tcW w:w="1273" w:type="dxa"/>
                  <w:noWrap w:val="0"/>
                  <w:vAlign w:val="center"/>
                </w:tcPr>
                <w:p w14:paraId="76D2738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钢筋加工</w:t>
                  </w:r>
                </w:p>
              </w:tc>
            </w:tr>
            <w:tr w14:paraId="6D8D0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833" w:type="dxa"/>
                  <w:noWrap w:val="0"/>
                  <w:vAlign w:val="center"/>
                </w:tcPr>
                <w:p w14:paraId="66DD86CD">
                  <w:pPr>
                    <w:keepNext w:val="0"/>
                    <w:keepLines w:val="0"/>
                    <w:widowControl/>
                    <w:suppressLineNumbers w:val="0"/>
                    <w:jc w:val="center"/>
                    <w:textAlignment w:val="center"/>
                    <w:rPr>
                      <w:rFonts w:hint="default" w:ascii="Times New Roman" w:hAnsi="Times New Roman" w:cs="Times New Roman"/>
                      <w:b/>
                      <w:color w:val="auto"/>
                      <w:szCs w:val="21"/>
                      <w:highlight w:val="none"/>
                      <w:vertAlign w:val="baseline"/>
                    </w:rPr>
                  </w:pPr>
                  <w:r>
                    <w:rPr>
                      <w:rFonts w:hint="default" w:ascii="Times New Roman" w:hAnsi="Times New Roman" w:cs="Times New Roman"/>
                      <w:bCs/>
                      <w:color w:val="auto"/>
                      <w:kern w:val="18"/>
                      <w:szCs w:val="21"/>
                      <w:highlight w:val="none"/>
                    </w:rPr>
                    <w:t>水</w:t>
                  </w:r>
                </w:p>
              </w:tc>
              <w:tc>
                <w:tcPr>
                  <w:tcW w:w="1485" w:type="dxa"/>
                  <w:noWrap w:val="0"/>
                  <w:vAlign w:val="center"/>
                </w:tcPr>
                <w:p w14:paraId="71D90BF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25000</w:t>
                  </w:r>
                </w:p>
              </w:tc>
              <w:tc>
                <w:tcPr>
                  <w:tcW w:w="1531" w:type="dxa"/>
                  <w:noWrap w:val="0"/>
                  <w:vAlign w:val="center"/>
                </w:tcPr>
                <w:p w14:paraId="77E586B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849" w:type="dxa"/>
                  <w:noWrap w:val="0"/>
                  <w:vAlign w:val="center"/>
                </w:tcPr>
                <w:p w14:paraId="1FC7BBDE">
                  <w:pPr>
                    <w:keepNext w:val="0"/>
                    <w:keepLines w:val="0"/>
                    <w:widowControl/>
                    <w:suppressLineNumbers w:val="0"/>
                    <w:jc w:val="center"/>
                    <w:textAlignment w:val="center"/>
                    <w:rPr>
                      <w:rFonts w:hint="default" w:ascii="Times New Roman" w:hAnsi="Times New Roman" w:eastAsia="宋体" w:cs="Times New Roman"/>
                      <w:b/>
                      <w:color w:val="auto"/>
                      <w:szCs w:val="21"/>
                      <w:highlight w:val="none"/>
                      <w:vertAlign w:val="baseline"/>
                      <w:lang w:val="en-US" w:eastAsia="zh-CN"/>
                    </w:rPr>
                  </w:pPr>
                  <w:r>
                    <w:rPr>
                      <w:rFonts w:hint="default" w:ascii="Times New Roman" w:hAnsi="Times New Roman" w:cs="Times New Roman"/>
                      <w:b/>
                      <w:color w:val="auto"/>
                      <w:szCs w:val="21"/>
                      <w:highlight w:val="none"/>
                      <w:vertAlign w:val="baseline"/>
                      <w:lang w:val="en-US" w:eastAsia="zh-CN"/>
                    </w:rPr>
                    <w:t>/</w:t>
                  </w:r>
                </w:p>
              </w:tc>
              <w:tc>
                <w:tcPr>
                  <w:tcW w:w="800" w:type="dxa"/>
                  <w:noWrap w:val="0"/>
                  <w:vAlign w:val="center"/>
                </w:tcPr>
                <w:p w14:paraId="609FB99C">
                  <w:pPr>
                    <w:keepNext w:val="0"/>
                    <w:keepLines w:val="0"/>
                    <w:widowControl/>
                    <w:suppressLineNumbers w:val="0"/>
                    <w:jc w:val="center"/>
                    <w:textAlignment w:val="center"/>
                    <w:rPr>
                      <w:rFonts w:hint="default" w:ascii="Times New Roman" w:hAnsi="Times New Roman" w:cs="Times New Roman"/>
                      <w:b/>
                      <w:color w:val="auto"/>
                      <w:szCs w:val="21"/>
                      <w:highlight w:val="none"/>
                      <w:vertAlign w:val="baseline"/>
                    </w:rPr>
                  </w:pPr>
                  <w:r>
                    <w:rPr>
                      <w:rFonts w:hint="default" w:ascii="Times New Roman" w:hAnsi="Times New Roman" w:eastAsia="宋体" w:cs="Times New Roman"/>
                      <w:b w:val="0"/>
                      <w:bCs/>
                      <w:i w:val="0"/>
                      <w:iCs w:val="0"/>
                      <w:color w:val="auto"/>
                      <w:kern w:val="0"/>
                      <w:sz w:val="21"/>
                      <w:szCs w:val="21"/>
                      <w:highlight w:val="none"/>
                      <w:u w:val="none"/>
                      <w:lang w:val="en-US" w:eastAsia="zh-CN" w:bidi="ar"/>
                    </w:rPr>
                    <w:t>液态</w:t>
                  </w:r>
                </w:p>
              </w:tc>
              <w:tc>
                <w:tcPr>
                  <w:tcW w:w="1306" w:type="dxa"/>
                  <w:noWrap w:val="0"/>
                  <w:vAlign w:val="center"/>
                </w:tcPr>
                <w:p w14:paraId="236FE56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1273" w:type="dxa"/>
                  <w:noWrap w:val="0"/>
                  <w:vAlign w:val="center"/>
                </w:tcPr>
                <w:p w14:paraId="6A375F4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混凝土搅拌</w:t>
                  </w:r>
                </w:p>
              </w:tc>
            </w:tr>
            <w:tr w14:paraId="5D2F3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1833" w:type="dxa"/>
                  <w:noWrap w:val="0"/>
                  <w:vAlign w:val="center"/>
                </w:tcPr>
                <w:p w14:paraId="7A143CA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无铅实心焊丝</w:t>
                  </w:r>
                </w:p>
              </w:tc>
              <w:tc>
                <w:tcPr>
                  <w:tcW w:w="1485" w:type="dxa"/>
                  <w:noWrap w:val="0"/>
                  <w:vAlign w:val="center"/>
                </w:tcPr>
                <w:p w14:paraId="0AB7C1D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w:t>
                  </w:r>
                </w:p>
              </w:tc>
              <w:tc>
                <w:tcPr>
                  <w:tcW w:w="1531" w:type="dxa"/>
                  <w:noWrap w:val="0"/>
                  <w:vAlign w:val="center"/>
                </w:tcPr>
                <w:p w14:paraId="717F3C2D">
                  <w:pPr>
                    <w:keepNext w:val="0"/>
                    <w:keepLines w:val="0"/>
                    <w:widowControl/>
                    <w:suppressLineNumbers w:val="0"/>
                    <w:jc w:val="center"/>
                    <w:textAlignment w:val="center"/>
                    <w:rPr>
                      <w:rFonts w:hint="default" w:ascii="Times New Roman" w:hAnsi="Times New Roman" w:cs="Times New Roman"/>
                      <w:b w:val="0"/>
                      <w:bCs/>
                      <w:color w:val="auto"/>
                      <w:szCs w:val="21"/>
                      <w:highlight w:val="none"/>
                      <w:vertAlign w:val="baseline"/>
                      <w:lang w:val="en-US" w:eastAsia="zh-CN"/>
                    </w:rPr>
                  </w:pPr>
                  <w:r>
                    <w:rPr>
                      <w:rFonts w:hint="default" w:ascii="Times New Roman" w:hAnsi="Times New Roman" w:cs="Times New Roman"/>
                      <w:b w:val="0"/>
                      <w:bCs/>
                      <w:color w:val="auto"/>
                      <w:szCs w:val="21"/>
                      <w:highlight w:val="none"/>
                      <w:vertAlign w:val="baseline"/>
                      <w:lang w:val="en-US" w:eastAsia="zh-CN"/>
                    </w:rPr>
                    <w:t>50kg/袋</w:t>
                  </w:r>
                </w:p>
              </w:tc>
              <w:tc>
                <w:tcPr>
                  <w:tcW w:w="849" w:type="dxa"/>
                  <w:noWrap w:val="0"/>
                  <w:vAlign w:val="center"/>
                </w:tcPr>
                <w:p w14:paraId="0257772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0.5t</w:t>
                  </w:r>
                </w:p>
              </w:tc>
              <w:tc>
                <w:tcPr>
                  <w:tcW w:w="800" w:type="dxa"/>
                  <w:noWrap w:val="0"/>
                  <w:vAlign w:val="center"/>
                </w:tcPr>
                <w:p w14:paraId="01ECC32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 w:val="0"/>
                      <w:bCs/>
                      <w:color w:val="auto"/>
                      <w:szCs w:val="21"/>
                      <w:highlight w:val="none"/>
                      <w:vertAlign w:val="baseline"/>
                      <w:lang w:val="en-US" w:eastAsia="zh-CN"/>
                    </w:rPr>
                    <w:t>固态</w:t>
                  </w:r>
                </w:p>
              </w:tc>
              <w:tc>
                <w:tcPr>
                  <w:tcW w:w="1306" w:type="dxa"/>
                  <w:noWrap w:val="0"/>
                  <w:vAlign w:val="center"/>
                </w:tcPr>
                <w:p w14:paraId="61C2347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原料仓</w:t>
                  </w:r>
                </w:p>
              </w:tc>
              <w:tc>
                <w:tcPr>
                  <w:tcW w:w="1273" w:type="dxa"/>
                  <w:noWrap w:val="0"/>
                  <w:vAlign w:val="center"/>
                </w:tcPr>
                <w:p w14:paraId="6513EAB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焊接</w:t>
                  </w:r>
                </w:p>
              </w:tc>
            </w:tr>
            <w:tr w14:paraId="359DF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833" w:type="dxa"/>
                  <w:noWrap w:val="0"/>
                  <w:vAlign w:val="center"/>
                </w:tcPr>
                <w:p w14:paraId="084354E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脱模剂</w:t>
                  </w:r>
                </w:p>
              </w:tc>
              <w:tc>
                <w:tcPr>
                  <w:tcW w:w="1485" w:type="dxa"/>
                  <w:noWrap w:val="0"/>
                  <w:vAlign w:val="center"/>
                </w:tcPr>
                <w:p w14:paraId="38B9FFC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25</w:t>
                  </w:r>
                </w:p>
              </w:tc>
              <w:tc>
                <w:tcPr>
                  <w:tcW w:w="1531" w:type="dxa"/>
                  <w:noWrap w:val="0"/>
                  <w:vAlign w:val="center"/>
                </w:tcPr>
                <w:p w14:paraId="48C8556E">
                  <w:pPr>
                    <w:keepNext w:val="0"/>
                    <w:keepLines w:val="0"/>
                    <w:widowControl/>
                    <w:suppressLineNumbers w:val="0"/>
                    <w:jc w:val="center"/>
                    <w:textAlignment w:val="center"/>
                    <w:rPr>
                      <w:rFonts w:hint="default" w:ascii="Times New Roman" w:hAnsi="Times New Roman" w:cs="Times New Roman"/>
                      <w:b w:val="0"/>
                      <w:bCs/>
                      <w:color w:val="auto"/>
                      <w:szCs w:val="21"/>
                      <w:highlight w:val="none"/>
                      <w:vertAlign w:val="baseline"/>
                      <w:lang w:val="en-US" w:eastAsia="zh-CN"/>
                    </w:rPr>
                  </w:pPr>
                  <w:r>
                    <w:rPr>
                      <w:rFonts w:hint="default" w:ascii="Times New Roman" w:hAnsi="Times New Roman" w:cs="Times New Roman"/>
                      <w:b w:val="0"/>
                      <w:bCs/>
                      <w:color w:val="auto"/>
                      <w:szCs w:val="21"/>
                      <w:highlight w:val="none"/>
                      <w:vertAlign w:val="baseline"/>
                      <w:lang w:val="en-US" w:eastAsia="zh-CN"/>
                    </w:rPr>
                    <w:t>0.2t/桶</w:t>
                  </w:r>
                </w:p>
              </w:tc>
              <w:tc>
                <w:tcPr>
                  <w:tcW w:w="849" w:type="dxa"/>
                  <w:noWrap w:val="0"/>
                  <w:vAlign w:val="center"/>
                </w:tcPr>
                <w:p w14:paraId="3EF8186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2t</w:t>
                  </w:r>
                </w:p>
              </w:tc>
              <w:tc>
                <w:tcPr>
                  <w:tcW w:w="800" w:type="dxa"/>
                  <w:noWrap w:val="0"/>
                  <w:vAlign w:val="center"/>
                </w:tcPr>
                <w:p w14:paraId="0FC58D2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 w:val="0"/>
                      <w:bCs/>
                      <w:i w:val="0"/>
                      <w:iCs w:val="0"/>
                      <w:color w:val="auto"/>
                      <w:kern w:val="0"/>
                      <w:sz w:val="21"/>
                      <w:szCs w:val="21"/>
                      <w:highlight w:val="none"/>
                      <w:u w:val="none"/>
                      <w:lang w:val="en-US" w:eastAsia="zh-CN" w:bidi="ar"/>
                    </w:rPr>
                    <w:t>液态</w:t>
                  </w:r>
                </w:p>
              </w:tc>
              <w:tc>
                <w:tcPr>
                  <w:tcW w:w="1306" w:type="dxa"/>
                  <w:noWrap w:val="0"/>
                  <w:vAlign w:val="center"/>
                </w:tcPr>
                <w:p w14:paraId="35150E2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原料仓</w:t>
                  </w:r>
                </w:p>
              </w:tc>
              <w:tc>
                <w:tcPr>
                  <w:tcW w:w="1273" w:type="dxa"/>
                  <w:noWrap w:val="0"/>
                  <w:vAlign w:val="center"/>
                </w:tcPr>
                <w:p w14:paraId="05F2F6C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喷脱模剂</w:t>
                  </w:r>
                </w:p>
              </w:tc>
            </w:tr>
            <w:tr w14:paraId="6B746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1833" w:type="dxa"/>
                  <w:noWrap w:val="0"/>
                  <w:vAlign w:val="center"/>
                </w:tcPr>
                <w:p w14:paraId="5693EAE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塑料薄膜</w:t>
                  </w:r>
                </w:p>
              </w:tc>
              <w:tc>
                <w:tcPr>
                  <w:tcW w:w="1485" w:type="dxa"/>
                  <w:noWrap w:val="0"/>
                  <w:vAlign w:val="center"/>
                </w:tcPr>
                <w:p w14:paraId="0B8BA43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1531" w:type="dxa"/>
                  <w:noWrap w:val="0"/>
                  <w:vAlign w:val="center"/>
                </w:tcPr>
                <w:p w14:paraId="348DF56B">
                  <w:pPr>
                    <w:keepNext w:val="0"/>
                    <w:keepLines w:val="0"/>
                    <w:widowControl/>
                    <w:suppressLineNumbers w:val="0"/>
                    <w:jc w:val="center"/>
                    <w:textAlignment w:val="center"/>
                    <w:rPr>
                      <w:rFonts w:hint="default" w:ascii="Times New Roman" w:hAnsi="Times New Roman" w:cs="Times New Roman"/>
                      <w:b w:val="0"/>
                      <w:bCs/>
                      <w:color w:val="auto"/>
                      <w:szCs w:val="21"/>
                      <w:highlight w:val="none"/>
                      <w:vertAlign w:val="baseline"/>
                      <w:lang w:val="en-US" w:eastAsia="zh-CN"/>
                    </w:rPr>
                  </w:pPr>
                  <w:r>
                    <w:rPr>
                      <w:rFonts w:hint="default" w:ascii="Times New Roman" w:hAnsi="Times New Roman" w:cs="Times New Roman"/>
                      <w:b w:val="0"/>
                      <w:bCs/>
                      <w:color w:val="auto"/>
                      <w:szCs w:val="21"/>
                      <w:highlight w:val="none"/>
                      <w:vertAlign w:val="baseline"/>
                      <w:lang w:val="en-US" w:eastAsia="zh-CN"/>
                    </w:rPr>
                    <w:t>50kg/捆</w:t>
                  </w:r>
                </w:p>
              </w:tc>
              <w:tc>
                <w:tcPr>
                  <w:tcW w:w="849" w:type="dxa"/>
                  <w:noWrap w:val="0"/>
                  <w:vAlign w:val="center"/>
                </w:tcPr>
                <w:p w14:paraId="6836A2F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0.5t</w:t>
                  </w:r>
                </w:p>
              </w:tc>
              <w:tc>
                <w:tcPr>
                  <w:tcW w:w="800" w:type="dxa"/>
                  <w:noWrap w:val="0"/>
                  <w:vAlign w:val="center"/>
                </w:tcPr>
                <w:p w14:paraId="23F987BF">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lang w:val="en-US" w:eastAsia="zh-CN" w:bidi="ar"/>
                    </w:rPr>
                  </w:pPr>
                  <w:r>
                    <w:rPr>
                      <w:rFonts w:hint="default" w:ascii="Times New Roman" w:hAnsi="Times New Roman" w:eastAsia="宋体" w:cs="Times New Roman"/>
                      <w:b w:val="0"/>
                      <w:bCs/>
                      <w:color w:val="auto"/>
                      <w:szCs w:val="21"/>
                      <w:highlight w:val="none"/>
                      <w:vertAlign w:val="baseline"/>
                      <w:lang w:val="en-US" w:eastAsia="zh-CN"/>
                    </w:rPr>
                    <w:t>固态</w:t>
                  </w:r>
                </w:p>
              </w:tc>
              <w:tc>
                <w:tcPr>
                  <w:tcW w:w="1306" w:type="dxa"/>
                  <w:noWrap w:val="0"/>
                  <w:vAlign w:val="center"/>
                </w:tcPr>
                <w:p w14:paraId="5F40824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原料仓</w:t>
                  </w:r>
                </w:p>
              </w:tc>
              <w:tc>
                <w:tcPr>
                  <w:tcW w:w="1273" w:type="dxa"/>
                  <w:noWrap w:val="0"/>
                  <w:vAlign w:val="center"/>
                </w:tcPr>
                <w:p w14:paraId="0522F51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蒸汽养护</w:t>
                  </w:r>
                </w:p>
              </w:tc>
            </w:tr>
            <w:tr w14:paraId="31B3F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833" w:type="dxa"/>
                  <w:noWrap w:val="0"/>
                  <w:vAlign w:val="center"/>
                </w:tcPr>
                <w:p w14:paraId="0897EA3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Times New Roman" w:cs="Times New Roman"/>
                      <w:color w:val="auto"/>
                      <w:kern w:val="2"/>
                      <w:sz w:val="21"/>
                      <w:szCs w:val="21"/>
                      <w:highlight w:val="none"/>
                      <w:lang w:val="en-US" w:eastAsia="zh-CN"/>
                    </w:rPr>
                    <w:t>CO</w:t>
                  </w:r>
                  <w:r>
                    <w:rPr>
                      <w:rFonts w:hint="default" w:ascii="Times New Roman" w:hAnsi="Times New Roman" w:eastAsia="Times New Roman" w:cs="Times New Roman"/>
                      <w:color w:val="auto"/>
                      <w:kern w:val="2"/>
                      <w:sz w:val="21"/>
                      <w:szCs w:val="21"/>
                      <w:highlight w:val="none"/>
                      <w:vertAlign w:val="subscript"/>
                      <w:lang w:val="en-US" w:eastAsia="zh-CN"/>
                    </w:rPr>
                    <w:t>2</w:t>
                  </w:r>
                  <w:r>
                    <w:rPr>
                      <w:rFonts w:hint="default" w:ascii="Times New Roman" w:hAnsi="Times New Roman" w:eastAsia="Times New Roman" w:cs="Times New Roman"/>
                      <w:color w:val="auto"/>
                      <w:kern w:val="2"/>
                      <w:sz w:val="21"/>
                      <w:szCs w:val="21"/>
                      <w:highlight w:val="none"/>
                      <w:lang w:val="en-US" w:eastAsia="zh-CN"/>
                    </w:rPr>
                    <w:t>保护气体</w:t>
                  </w:r>
                </w:p>
              </w:tc>
              <w:tc>
                <w:tcPr>
                  <w:tcW w:w="1485" w:type="dxa"/>
                  <w:noWrap w:val="0"/>
                  <w:vAlign w:val="center"/>
                </w:tcPr>
                <w:p w14:paraId="08A3131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w:t>
                  </w:r>
                </w:p>
              </w:tc>
              <w:tc>
                <w:tcPr>
                  <w:tcW w:w="1531" w:type="dxa"/>
                  <w:noWrap w:val="0"/>
                  <w:vAlign w:val="center"/>
                </w:tcPr>
                <w:p w14:paraId="7A5C2111">
                  <w:pPr>
                    <w:keepNext w:val="0"/>
                    <w:keepLines w:val="0"/>
                    <w:widowControl/>
                    <w:suppressLineNumbers w:val="0"/>
                    <w:jc w:val="center"/>
                    <w:textAlignment w:val="center"/>
                    <w:rPr>
                      <w:rFonts w:hint="default" w:ascii="Times New Roman" w:hAnsi="Times New Roman" w:cs="Times New Roman"/>
                      <w:b w:val="0"/>
                      <w:bCs/>
                      <w:color w:val="auto"/>
                      <w:szCs w:val="21"/>
                      <w:highlight w:val="none"/>
                      <w:vertAlign w:val="baseline"/>
                      <w:lang w:val="en-US" w:eastAsia="zh-CN"/>
                    </w:rPr>
                  </w:pPr>
                  <w:r>
                    <w:rPr>
                      <w:rFonts w:hint="default" w:ascii="Times New Roman" w:hAnsi="Times New Roman" w:cs="Times New Roman"/>
                      <w:b w:val="0"/>
                      <w:bCs/>
                      <w:color w:val="auto"/>
                      <w:szCs w:val="21"/>
                      <w:highlight w:val="none"/>
                      <w:vertAlign w:val="baseline"/>
                      <w:lang w:val="en-US" w:eastAsia="zh-CN"/>
                    </w:rPr>
                    <w:t>25kg/桶</w:t>
                  </w:r>
                </w:p>
              </w:tc>
              <w:tc>
                <w:tcPr>
                  <w:tcW w:w="849" w:type="dxa"/>
                  <w:noWrap w:val="0"/>
                  <w:vAlign w:val="center"/>
                </w:tcPr>
                <w:p w14:paraId="0D9B4FF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1t</w:t>
                  </w:r>
                </w:p>
              </w:tc>
              <w:tc>
                <w:tcPr>
                  <w:tcW w:w="800" w:type="dxa"/>
                  <w:noWrap w:val="0"/>
                  <w:vAlign w:val="center"/>
                </w:tcPr>
                <w:p w14:paraId="3E4F53B0">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lang w:val="en-US" w:eastAsia="zh-CN" w:bidi="ar"/>
                    </w:rPr>
                  </w:pPr>
                  <w:r>
                    <w:rPr>
                      <w:rFonts w:hint="default" w:ascii="Times New Roman" w:hAnsi="Times New Roman" w:eastAsia="宋体" w:cs="Times New Roman"/>
                      <w:b w:val="0"/>
                      <w:bCs/>
                      <w:i w:val="0"/>
                      <w:iCs w:val="0"/>
                      <w:color w:val="auto"/>
                      <w:kern w:val="0"/>
                      <w:sz w:val="21"/>
                      <w:szCs w:val="21"/>
                      <w:highlight w:val="none"/>
                      <w:u w:val="none"/>
                      <w:lang w:val="en-US" w:eastAsia="zh-CN" w:bidi="ar"/>
                    </w:rPr>
                    <w:t>气态</w:t>
                  </w:r>
                </w:p>
              </w:tc>
              <w:tc>
                <w:tcPr>
                  <w:tcW w:w="1306" w:type="dxa"/>
                  <w:noWrap w:val="0"/>
                  <w:vAlign w:val="center"/>
                </w:tcPr>
                <w:p w14:paraId="3342BAE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原料仓</w:t>
                  </w:r>
                </w:p>
              </w:tc>
              <w:tc>
                <w:tcPr>
                  <w:tcW w:w="1273" w:type="dxa"/>
                  <w:noWrap w:val="0"/>
                  <w:vAlign w:val="center"/>
                </w:tcPr>
                <w:p w14:paraId="306311B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焊接</w:t>
                  </w:r>
                </w:p>
              </w:tc>
            </w:tr>
            <w:tr w14:paraId="595AE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1833" w:type="dxa"/>
                  <w:noWrap w:val="0"/>
                  <w:vAlign w:val="center"/>
                </w:tcPr>
                <w:p w14:paraId="42629D3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模具</w:t>
                  </w:r>
                </w:p>
              </w:tc>
              <w:tc>
                <w:tcPr>
                  <w:tcW w:w="1485" w:type="dxa"/>
                  <w:noWrap w:val="0"/>
                  <w:vAlign w:val="center"/>
                </w:tcPr>
                <w:p w14:paraId="3C64531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200套/年</w:t>
                  </w:r>
                </w:p>
              </w:tc>
              <w:tc>
                <w:tcPr>
                  <w:tcW w:w="1531" w:type="dxa"/>
                  <w:noWrap w:val="0"/>
                  <w:vAlign w:val="center"/>
                </w:tcPr>
                <w:p w14:paraId="0C433EB8">
                  <w:pPr>
                    <w:keepNext w:val="0"/>
                    <w:keepLines w:val="0"/>
                    <w:widowControl/>
                    <w:suppressLineNumbers w:val="0"/>
                    <w:jc w:val="center"/>
                    <w:textAlignment w:val="center"/>
                    <w:rPr>
                      <w:rFonts w:hint="default" w:ascii="Times New Roman" w:hAnsi="Times New Roman" w:cs="Times New Roman"/>
                      <w:b w:val="0"/>
                      <w:bCs/>
                      <w:color w:val="auto"/>
                      <w:szCs w:val="21"/>
                      <w:highlight w:val="none"/>
                      <w:vertAlign w:val="baseline"/>
                      <w:lang w:val="en-US" w:eastAsia="zh-CN"/>
                    </w:rPr>
                  </w:pPr>
                  <w:r>
                    <w:rPr>
                      <w:rFonts w:hint="default" w:ascii="Times New Roman" w:hAnsi="Times New Roman" w:cs="Times New Roman"/>
                      <w:b w:val="0"/>
                      <w:bCs/>
                      <w:color w:val="auto"/>
                      <w:szCs w:val="21"/>
                      <w:highlight w:val="none"/>
                      <w:vertAlign w:val="baseline"/>
                      <w:lang w:val="en-US" w:eastAsia="zh-CN"/>
                    </w:rPr>
                    <w:t>20套</w:t>
                  </w:r>
                </w:p>
              </w:tc>
              <w:tc>
                <w:tcPr>
                  <w:tcW w:w="849" w:type="dxa"/>
                  <w:noWrap w:val="0"/>
                  <w:vAlign w:val="center"/>
                </w:tcPr>
                <w:p w14:paraId="32467E9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800" w:type="dxa"/>
                  <w:noWrap w:val="0"/>
                  <w:vAlign w:val="center"/>
                </w:tcPr>
                <w:p w14:paraId="4D6E7089">
                  <w:pPr>
                    <w:keepNext w:val="0"/>
                    <w:keepLines w:val="0"/>
                    <w:widowControl/>
                    <w:suppressLineNumbers w:val="0"/>
                    <w:jc w:val="center"/>
                    <w:textAlignment w:val="center"/>
                    <w:rPr>
                      <w:rFonts w:hint="default" w:ascii="Times New Roman" w:hAnsi="Times New Roman" w:eastAsia="宋体" w:cs="Times New Roman"/>
                      <w:b w:val="0"/>
                      <w:bCs/>
                      <w:color w:val="auto"/>
                      <w:szCs w:val="21"/>
                      <w:highlight w:val="none"/>
                      <w:vertAlign w:val="baseline"/>
                      <w:lang w:val="en-US" w:eastAsia="zh-CN"/>
                    </w:rPr>
                  </w:pPr>
                  <w:r>
                    <w:rPr>
                      <w:rFonts w:hint="default" w:ascii="Times New Roman" w:hAnsi="Times New Roman" w:eastAsia="宋体" w:cs="Times New Roman"/>
                      <w:b w:val="0"/>
                      <w:bCs/>
                      <w:color w:val="auto"/>
                      <w:szCs w:val="21"/>
                      <w:highlight w:val="none"/>
                      <w:vertAlign w:val="baseline"/>
                      <w:lang w:val="en-US" w:eastAsia="zh-CN"/>
                    </w:rPr>
                    <w:t>固态</w:t>
                  </w:r>
                </w:p>
              </w:tc>
              <w:tc>
                <w:tcPr>
                  <w:tcW w:w="1306" w:type="dxa"/>
                  <w:noWrap w:val="0"/>
                  <w:vAlign w:val="center"/>
                </w:tcPr>
                <w:p w14:paraId="0CF1F11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原料仓</w:t>
                  </w:r>
                </w:p>
              </w:tc>
              <w:tc>
                <w:tcPr>
                  <w:tcW w:w="1273" w:type="dxa"/>
                  <w:noWrap w:val="0"/>
                  <w:vAlign w:val="center"/>
                </w:tcPr>
                <w:p w14:paraId="2E0715F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钢筋笼入模</w:t>
                  </w:r>
                </w:p>
              </w:tc>
            </w:tr>
            <w:tr w14:paraId="41937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833" w:type="dxa"/>
                  <w:noWrap w:val="0"/>
                  <w:vAlign w:val="center"/>
                </w:tcPr>
                <w:p w14:paraId="2E6C5B8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机油</w:t>
                  </w:r>
                </w:p>
              </w:tc>
              <w:tc>
                <w:tcPr>
                  <w:tcW w:w="1485" w:type="dxa"/>
                  <w:noWrap w:val="0"/>
                  <w:vAlign w:val="center"/>
                </w:tcPr>
                <w:p w14:paraId="4A11650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0.5</w:t>
                  </w:r>
                </w:p>
              </w:tc>
              <w:tc>
                <w:tcPr>
                  <w:tcW w:w="1531" w:type="dxa"/>
                  <w:noWrap w:val="0"/>
                  <w:vAlign w:val="center"/>
                </w:tcPr>
                <w:p w14:paraId="75929EA7">
                  <w:pPr>
                    <w:keepNext w:val="0"/>
                    <w:keepLines w:val="0"/>
                    <w:widowControl/>
                    <w:suppressLineNumbers w:val="0"/>
                    <w:jc w:val="center"/>
                    <w:textAlignment w:val="center"/>
                    <w:rPr>
                      <w:rFonts w:hint="default" w:ascii="Times New Roman" w:hAnsi="Times New Roman" w:cs="Times New Roman"/>
                      <w:b w:val="0"/>
                      <w:bCs/>
                      <w:color w:val="auto"/>
                      <w:szCs w:val="21"/>
                      <w:highlight w:val="none"/>
                      <w:vertAlign w:val="baseline"/>
                      <w:lang w:val="en-US" w:eastAsia="zh-CN"/>
                    </w:rPr>
                  </w:pPr>
                  <w:r>
                    <w:rPr>
                      <w:rFonts w:hint="default" w:ascii="Times New Roman" w:hAnsi="Times New Roman" w:cs="Times New Roman"/>
                      <w:b w:val="0"/>
                      <w:bCs/>
                      <w:color w:val="auto"/>
                      <w:szCs w:val="21"/>
                      <w:highlight w:val="none"/>
                      <w:vertAlign w:val="baseline"/>
                      <w:lang w:val="en-US" w:eastAsia="zh-CN"/>
                    </w:rPr>
                    <w:t>0.1t/桶</w:t>
                  </w:r>
                </w:p>
              </w:tc>
              <w:tc>
                <w:tcPr>
                  <w:tcW w:w="849" w:type="dxa"/>
                  <w:noWrap w:val="0"/>
                  <w:vAlign w:val="center"/>
                </w:tcPr>
                <w:p w14:paraId="41E63B6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0.2t</w:t>
                  </w:r>
                </w:p>
              </w:tc>
              <w:tc>
                <w:tcPr>
                  <w:tcW w:w="800" w:type="dxa"/>
                  <w:noWrap w:val="0"/>
                  <w:vAlign w:val="center"/>
                </w:tcPr>
                <w:p w14:paraId="3F8A08E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 w:val="0"/>
                      <w:bCs/>
                      <w:i w:val="0"/>
                      <w:iCs w:val="0"/>
                      <w:color w:val="auto"/>
                      <w:kern w:val="0"/>
                      <w:sz w:val="21"/>
                      <w:szCs w:val="21"/>
                      <w:highlight w:val="none"/>
                      <w:u w:val="none"/>
                      <w:lang w:val="en-US" w:eastAsia="zh-CN" w:bidi="ar"/>
                    </w:rPr>
                    <w:t>液态</w:t>
                  </w:r>
                </w:p>
              </w:tc>
              <w:tc>
                <w:tcPr>
                  <w:tcW w:w="1306" w:type="dxa"/>
                  <w:noWrap w:val="0"/>
                  <w:vAlign w:val="center"/>
                </w:tcPr>
                <w:p w14:paraId="758B221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原料仓</w:t>
                  </w:r>
                </w:p>
              </w:tc>
              <w:tc>
                <w:tcPr>
                  <w:tcW w:w="1273" w:type="dxa"/>
                  <w:noWrap w:val="0"/>
                  <w:vAlign w:val="center"/>
                </w:tcPr>
                <w:p w14:paraId="5B52DB8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设备维护</w:t>
                  </w:r>
                </w:p>
              </w:tc>
            </w:tr>
            <w:tr w14:paraId="08CAD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33" w:type="dxa"/>
                  <w:noWrap w:val="0"/>
                  <w:vAlign w:val="center"/>
                </w:tcPr>
                <w:p w14:paraId="10381686">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21"/>
                      <w:szCs w:val="21"/>
                      <w:highlight w:val="none"/>
                      <w:u w:val="none"/>
                      <w:lang w:val="en-US" w:eastAsia="zh-CN" w:bidi="ar"/>
                    </w:rPr>
                  </w:pPr>
                  <w:r>
                    <w:rPr>
                      <w:rFonts w:hint="default" w:ascii="Times New Roman" w:hAnsi="Times New Roman" w:eastAsia="宋体" w:cs="Times New Roman"/>
                      <w:b w:val="0"/>
                      <w:bCs w:val="0"/>
                      <w:i w:val="0"/>
                      <w:iCs w:val="0"/>
                      <w:color w:val="auto"/>
                      <w:kern w:val="0"/>
                      <w:sz w:val="21"/>
                      <w:szCs w:val="21"/>
                      <w:highlight w:val="none"/>
                      <w:u w:val="none"/>
                      <w:lang w:val="en-US" w:eastAsia="zh-CN" w:bidi="ar"/>
                    </w:rPr>
                    <w:t>管道天然气</w:t>
                  </w:r>
                </w:p>
              </w:tc>
              <w:tc>
                <w:tcPr>
                  <w:tcW w:w="1485" w:type="dxa"/>
                  <w:noWrap w:val="0"/>
                  <w:vAlign w:val="center"/>
                </w:tcPr>
                <w:p w14:paraId="7A9BF4FE">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21"/>
                      <w:szCs w:val="21"/>
                      <w:highlight w:val="none"/>
                      <w:u w:val="none"/>
                      <w:lang w:val="en-US" w:eastAsia="zh-CN" w:bidi="ar"/>
                    </w:rPr>
                  </w:pPr>
                  <w:r>
                    <w:rPr>
                      <w:rFonts w:hint="default" w:ascii="Times New Roman" w:hAnsi="Times New Roman" w:eastAsia="宋体" w:cs="Times New Roman"/>
                      <w:b w:val="0"/>
                      <w:bCs w:val="0"/>
                      <w:color w:val="auto"/>
                      <w:kern w:val="2"/>
                      <w:sz w:val="21"/>
                      <w:szCs w:val="21"/>
                      <w:highlight w:val="none"/>
                      <w:lang w:val="en-US" w:eastAsia="zh-CN"/>
                    </w:rPr>
                    <w:t>17.832</w:t>
                  </w:r>
                  <w:r>
                    <w:rPr>
                      <w:rFonts w:hint="default" w:ascii="Times New Roman" w:hAnsi="Times New Roman" w:eastAsia="宋体" w:cs="Times New Roman"/>
                      <w:b w:val="0"/>
                      <w:bCs w:val="0"/>
                      <w:color w:val="auto"/>
                      <w:kern w:val="2"/>
                      <w:sz w:val="21"/>
                      <w:szCs w:val="21"/>
                      <w:highlight w:val="none"/>
                    </w:rPr>
                    <w:t>万m</w:t>
                  </w:r>
                  <w:r>
                    <w:rPr>
                      <w:rFonts w:hint="default" w:ascii="Times New Roman" w:hAnsi="Times New Roman" w:eastAsia="宋体" w:cs="Times New Roman"/>
                      <w:b w:val="0"/>
                      <w:bCs w:val="0"/>
                      <w:color w:val="auto"/>
                      <w:kern w:val="2"/>
                      <w:sz w:val="21"/>
                      <w:szCs w:val="21"/>
                      <w:highlight w:val="none"/>
                      <w:vertAlign w:val="superscript"/>
                    </w:rPr>
                    <w:t>3</w:t>
                  </w:r>
                  <w:r>
                    <w:rPr>
                      <w:rFonts w:hint="default" w:ascii="Times New Roman" w:hAnsi="Times New Roman" w:eastAsia="宋体" w:cs="Times New Roman"/>
                      <w:b w:val="0"/>
                      <w:bCs w:val="0"/>
                      <w:color w:val="auto"/>
                      <w:kern w:val="2"/>
                      <w:sz w:val="21"/>
                      <w:szCs w:val="21"/>
                      <w:highlight w:val="none"/>
                    </w:rPr>
                    <w:t>/a</w:t>
                  </w:r>
                  <w:r>
                    <w:rPr>
                      <w:rFonts w:hint="default" w:ascii="Times New Roman" w:hAnsi="Times New Roman" w:eastAsia="宋体" w:cs="Times New Roman"/>
                      <w:b w:val="0"/>
                      <w:bCs w:val="0"/>
                      <w:color w:val="auto"/>
                      <w:kern w:val="2"/>
                      <w:sz w:val="21"/>
                      <w:szCs w:val="21"/>
                      <w:highlight w:val="none"/>
                      <w:lang w:eastAsia="zh-CN"/>
                    </w:rPr>
                    <w:t>（</w:t>
                  </w:r>
                  <w:r>
                    <w:rPr>
                      <w:rFonts w:hint="default" w:ascii="Times New Roman" w:hAnsi="Times New Roman" w:eastAsia="宋体" w:cs="Times New Roman"/>
                      <w:b w:val="0"/>
                      <w:bCs w:val="0"/>
                      <w:color w:val="auto"/>
                      <w:kern w:val="0"/>
                      <w:sz w:val="21"/>
                      <w:szCs w:val="21"/>
                      <w:highlight w:val="none"/>
                      <w:lang w:val="en-US" w:eastAsia="zh-CN" w:bidi="ar"/>
                    </w:rPr>
                    <w:t>127.93t/a</w:t>
                  </w:r>
                  <w:r>
                    <w:rPr>
                      <w:rFonts w:hint="default" w:ascii="Times New Roman" w:hAnsi="Times New Roman" w:eastAsia="宋体" w:cs="Times New Roman"/>
                      <w:b w:val="0"/>
                      <w:bCs w:val="0"/>
                      <w:color w:val="auto"/>
                      <w:kern w:val="2"/>
                      <w:sz w:val="21"/>
                      <w:szCs w:val="21"/>
                      <w:highlight w:val="none"/>
                      <w:lang w:eastAsia="zh-CN"/>
                    </w:rPr>
                    <w:t>）</w:t>
                  </w:r>
                </w:p>
              </w:tc>
              <w:tc>
                <w:tcPr>
                  <w:tcW w:w="1531" w:type="dxa"/>
                  <w:noWrap w:val="0"/>
                  <w:vAlign w:val="center"/>
                </w:tcPr>
                <w:p w14:paraId="434786B7">
                  <w:pPr>
                    <w:keepNext w:val="0"/>
                    <w:keepLines w:val="0"/>
                    <w:widowControl/>
                    <w:suppressLineNumbers w:val="0"/>
                    <w:jc w:val="center"/>
                    <w:textAlignment w:val="center"/>
                    <w:rPr>
                      <w:rFonts w:hint="default" w:ascii="Times New Roman" w:hAnsi="Times New Roman" w:cs="Times New Roman"/>
                      <w:b w:val="0"/>
                      <w:bCs/>
                      <w:color w:val="auto"/>
                      <w:szCs w:val="21"/>
                      <w:highlight w:val="none"/>
                      <w:vertAlign w:val="baseline"/>
                      <w:lang w:val="en-US" w:eastAsia="zh-CN"/>
                    </w:rPr>
                  </w:pPr>
                  <w:r>
                    <w:rPr>
                      <w:rFonts w:hint="eastAsia" w:ascii="Times New Roman" w:hAnsi="Times New Roman" w:cs="Times New Roman"/>
                      <w:b w:val="0"/>
                      <w:bCs/>
                      <w:color w:val="auto"/>
                      <w:szCs w:val="21"/>
                      <w:highlight w:val="none"/>
                      <w:vertAlign w:val="baseline"/>
                      <w:lang w:val="en-US" w:eastAsia="zh-CN"/>
                    </w:rPr>
                    <w:t>管道缓存</w:t>
                  </w:r>
                </w:p>
              </w:tc>
              <w:tc>
                <w:tcPr>
                  <w:tcW w:w="849" w:type="dxa"/>
                  <w:noWrap w:val="0"/>
                  <w:vAlign w:val="center"/>
                </w:tcPr>
                <w:p w14:paraId="50CC98B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w:t>
                  </w:r>
                  <w:r>
                    <w:rPr>
                      <w:rFonts w:hint="eastAsia" w:ascii="Times New Roman" w:hAnsi="Times New Roman" w:eastAsia="宋体" w:cs="Times New Roman"/>
                      <w:i w:val="0"/>
                      <w:iCs w:val="0"/>
                      <w:color w:val="auto"/>
                      <w:kern w:val="0"/>
                      <w:sz w:val="21"/>
                      <w:szCs w:val="21"/>
                      <w:highlight w:val="none"/>
                      <w:u w:val="none"/>
                      <w:lang w:val="en-US" w:eastAsia="zh-CN" w:bidi="ar"/>
                    </w:rPr>
                    <w:t>9t</w:t>
                  </w:r>
                </w:p>
              </w:tc>
              <w:tc>
                <w:tcPr>
                  <w:tcW w:w="800" w:type="dxa"/>
                  <w:noWrap w:val="0"/>
                  <w:vAlign w:val="center"/>
                </w:tcPr>
                <w:p w14:paraId="552734BC">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lang w:val="en-US" w:eastAsia="zh-CN" w:bidi="ar"/>
                    </w:rPr>
                  </w:pPr>
                  <w:r>
                    <w:rPr>
                      <w:rFonts w:hint="default" w:ascii="Times New Roman" w:hAnsi="Times New Roman" w:eastAsia="宋体" w:cs="Times New Roman"/>
                      <w:b w:val="0"/>
                      <w:bCs/>
                      <w:i w:val="0"/>
                      <w:iCs w:val="0"/>
                      <w:color w:val="auto"/>
                      <w:kern w:val="0"/>
                      <w:sz w:val="21"/>
                      <w:szCs w:val="21"/>
                      <w:highlight w:val="none"/>
                      <w:u w:val="none"/>
                      <w:lang w:val="en-US" w:eastAsia="zh-CN" w:bidi="ar"/>
                    </w:rPr>
                    <w:t>气态</w:t>
                  </w:r>
                </w:p>
              </w:tc>
              <w:tc>
                <w:tcPr>
                  <w:tcW w:w="1306" w:type="dxa"/>
                  <w:noWrap w:val="0"/>
                  <w:vAlign w:val="center"/>
                </w:tcPr>
                <w:p w14:paraId="7745274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管道缓存</w:t>
                  </w:r>
                </w:p>
              </w:tc>
              <w:tc>
                <w:tcPr>
                  <w:tcW w:w="1273" w:type="dxa"/>
                  <w:noWrap w:val="0"/>
                  <w:vAlign w:val="center"/>
                </w:tcPr>
                <w:p w14:paraId="0C5BA66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蒸汽养护</w:t>
                  </w:r>
                </w:p>
              </w:tc>
            </w:tr>
            <w:tr w14:paraId="1BDBB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833" w:type="dxa"/>
                  <w:noWrap w:val="0"/>
                  <w:vAlign w:val="center"/>
                </w:tcPr>
                <w:p w14:paraId="082D64D0">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21"/>
                      <w:szCs w:val="21"/>
                      <w:highlight w:val="none"/>
                      <w:u w:val="none"/>
                      <w:lang w:val="en-US" w:eastAsia="zh-CN" w:bidi="ar"/>
                    </w:rPr>
                  </w:pPr>
                  <w:r>
                    <w:rPr>
                      <w:rFonts w:hint="default" w:ascii="Times New Roman" w:hAnsi="Times New Roman" w:eastAsia="宋体" w:cs="Times New Roman"/>
                      <w:bCs/>
                      <w:color w:val="auto"/>
                      <w:sz w:val="21"/>
                      <w:szCs w:val="21"/>
                      <w:highlight w:val="none"/>
                      <w:lang w:val="en-US" w:eastAsia="zh-CN"/>
                    </w:rPr>
                    <w:t>片碱</w:t>
                  </w:r>
                </w:p>
              </w:tc>
              <w:tc>
                <w:tcPr>
                  <w:tcW w:w="1485" w:type="dxa"/>
                  <w:noWrap w:val="0"/>
                  <w:vAlign w:val="center"/>
                </w:tcPr>
                <w:p w14:paraId="7E6A4C2B">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rPr>
                  </w:pPr>
                  <w:r>
                    <w:rPr>
                      <w:rFonts w:hint="default" w:ascii="Times New Roman" w:hAnsi="Times New Roman" w:eastAsia="宋体" w:cs="Times New Roman"/>
                      <w:b w:val="0"/>
                      <w:bCs w:val="0"/>
                      <w:color w:val="auto"/>
                      <w:kern w:val="2"/>
                      <w:sz w:val="21"/>
                      <w:szCs w:val="21"/>
                      <w:highlight w:val="none"/>
                      <w:lang w:val="en-US" w:eastAsia="zh-CN"/>
                    </w:rPr>
                    <w:t>0.08</w:t>
                  </w:r>
                </w:p>
              </w:tc>
              <w:tc>
                <w:tcPr>
                  <w:tcW w:w="1531" w:type="dxa"/>
                  <w:noWrap w:val="0"/>
                  <w:vAlign w:val="center"/>
                </w:tcPr>
                <w:p w14:paraId="3DA2DEFC">
                  <w:pPr>
                    <w:jc w:val="center"/>
                    <w:rPr>
                      <w:rFonts w:hint="default" w:ascii="Times New Roman" w:hAnsi="Times New Roman" w:cs="Times New Roman"/>
                      <w:b w:val="0"/>
                      <w:bCs/>
                      <w:color w:val="auto"/>
                      <w:szCs w:val="21"/>
                      <w:highlight w:val="none"/>
                      <w:vertAlign w:val="baseline"/>
                      <w:lang w:val="en-US" w:eastAsia="zh-CN"/>
                    </w:rPr>
                  </w:pPr>
                  <w:r>
                    <w:rPr>
                      <w:rFonts w:hint="default" w:ascii="Times New Roman" w:hAnsi="Times New Roman" w:cs="Times New Roman"/>
                      <w:b w:val="0"/>
                      <w:bCs/>
                      <w:color w:val="auto"/>
                      <w:szCs w:val="21"/>
                      <w:highlight w:val="none"/>
                      <w:vertAlign w:val="baseline"/>
                      <w:lang w:val="en-US" w:eastAsia="zh-CN"/>
                    </w:rPr>
                    <w:t>25kg/袋</w:t>
                  </w:r>
                </w:p>
              </w:tc>
              <w:tc>
                <w:tcPr>
                  <w:tcW w:w="849" w:type="dxa"/>
                  <w:noWrap w:val="0"/>
                  <w:vAlign w:val="center"/>
                </w:tcPr>
                <w:p w14:paraId="22ADCE7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b w:val="0"/>
                      <w:bCs/>
                      <w:color w:val="auto"/>
                      <w:szCs w:val="21"/>
                      <w:highlight w:val="none"/>
                      <w:vertAlign w:val="baseline"/>
                      <w:lang w:val="en-US" w:eastAsia="zh-CN"/>
                    </w:rPr>
                    <w:t>0.04</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800" w:type="dxa"/>
                  <w:noWrap w:val="0"/>
                  <w:vAlign w:val="center"/>
                </w:tcPr>
                <w:p w14:paraId="408CF1C6">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lang w:val="en-US" w:eastAsia="zh-CN" w:bidi="ar"/>
                    </w:rPr>
                  </w:pPr>
                  <w:r>
                    <w:rPr>
                      <w:rFonts w:hint="default" w:ascii="Times New Roman" w:hAnsi="Times New Roman" w:eastAsia="宋体" w:cs="Times New Roman"/>
                      <w:b w:val="0"/>
                      <w:bCs/>
                      <w:color w:val="auto"/>
                      <w:szCs w:val="21"/>
                      <w:highlight w:val="none"/>
                      <w:vertAlign w:val="baseline"/>
                      <w:lang w:val="en-US" w:eastAsia="zh-CN"/>
                    </w:rPr>
                    <w:t>固态</w:t>
                  </w:r>
                </w:p>
              </w:tc>
              <w:tc>
                <w:tcPr>
                  <w:tcW w:w="1306" w:type="dxa"/>
                  <w:noWrap w:val="0"/>
                  <w:vAlign w:val="center"/>
                </w:tcPr>
                <w:p w14:paraId="154F7E8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原料仓</w:t>
                  </w:r>
                </w:p>
              </w:tc>
              <w:tc>
                <w:tcPr>
                  <w:tcW w:w="1273" w:type="dxa"/>
                  <w:noWrap w:val="0"/>
                  <w:vAlign w:val="center"/>
                </w:tcPr>
                <w:p w14:paraId="72646D7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废水处理</w:t>
                  </w:r>
                </w:p>
              </w:tc>
            </w:tr>
            <w:tr w14:paraId="03485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833" w:type="dxa"/>
                  <w:noWrap w:val="0"/>
                  <w:vAlign w:val="center"/>
                </w:tcPr>
                <w:p w14:paraId="2FA2B4AC">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21"/>
                      <w:szCs w:val="21"/>
                      <w:highlight w:val="none"/>
                      <w:u w:val="none"/>
                      <w:lang w:val="en-US" w:eastAsia="zh-CN" w:bidi="ar"/>
                    </w:rPr>
                  </w:pPr>
                  <w:r>
                    <w:rPr>
                      <w:rFonts w:hint="default" w:ascii="Times New Roman" w:hAnsi="Times New Roman" w:eastAsia="宋体" w:cs="Times New Roman"/>
                      <w:bCs/>
                      <w:color w:val="auto"/>
                      <w:sz w:val="21"/>
                      <w:szCs w:val="21"/>
                      <w:highlight w:val="none"/>
                      <w:lang w:val="en-US" w:eastAsia="zh-CN"/>
                    </w:rPr>
                    <w:t>PAM</w:t>
                  </w:r>
                </w:p>
              </w:tc>
              <w:tc>
                <w:tcPr>
                  <w:tcW w:w="1485" w:type="dxa"/>
                  <w:noWrap w:val="0"/>
                  <w:vAlign w:val="center"/>
                </w:tcPr>
                <w:p w14:paraId="159593E6">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rPr>
                  </w:pPr>
                  <w:r>
                    <w:rPr>
                      <w:rFonts w:hint="default" w:ascii="Times New Roman" w:hAnsi="Times New Roman" w:eastAsia="宋体" w:cs="Times New Roman"/>
                      <w:b w:val="0"/>
                      <w:bCs w:val="0"/>
                      <w:color w:val="auto"/>
                      <w:kern w:val="2"/>
                      <w:sz w:val="21"/>
                      <w:szCs w:val="21"/>
                      <w:highlight w:val="none"/>
                      <w:lang w:val="en-US" w:eastAsia="zh-CN"/>
                    </w:rPr>
                    <w:t>0.04</w:t>
                  </w:r>
                </w:p>
              </w:tc>
              <w:tc>
                <w:tcPr>
                  <w:tcW w:w="1531" w:type="dxa"/>
                  <w:noWrap w:val="0"/>
                  <w:vAlign w:val="center"/>
                </w:tcPr>
                <w:p w14:paraId="51C8CD8F">
                  <w:pPr>
                    <w:jc w:val="center"/>
                    <w:rPr>
                      <w:rFonts w:hint="default" w:ascii="Times New Roman" w:hAnsi="Times New Roman" w:cs="Times New Roman"/>
                      <w:b w:val="0"/>
                      <w:bCs/>
                      <w:color w:val="auto"/>
                      <w:szCs w:val="21"/>
                      <w:highlight w:val="none"/>
                      <w:vertAlign w:val="baseline"/>
                      <w:lang w:val="en-US" w:eastAsia="zh-CN"/>
                    </w:rPr>
                  </w:pPr>
                  <w:r>
                    <w:rPr>
                      <w:rFonts w:hint="default" w:ascii="Times New Roman" w:hAnsi="Times New Roman" w:cs="Times New Roman"/>
                      <w:b w:val="0"/>
                      <w:bCs/>
                      <w:color w:val="auto"/>
                      <w:szCs w:val="21"/>
                      <w:highlight w:val="none"/>
                      <w:vertAlign w:val="baseline"/>
                      <w:lang w:val="en-US" w:eastAsia="zh-CN"/>
                    </w:rPr>
                    <w:t>25kg/袋</w:t>
                  </w:r>
                </w:p>
              </w:tc>
              <w:tc>
                <w:tcPr>
                  <w:tcW w:w="849" w:type="dxa"/>
                  <w:noWrap w:val="0"/>
                  <w:vAlign w:val="center"/>
                </w:tcPr>
                <w:p w14:paraId="7F75885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0.02t</w:t>
                  </w:r>
                </w:p>
              </w:tc>
              <w:tc>
                <w:tcPr>
                  <w:tcW w:w="800" w:type="dxa"/>
                  <w:noWrap w:val="0"/>
                  <w:vAlign w:val="center"/>
                </w:tcPr>
                <w:p w14:paraId="59474F29">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lang w:val="en-US" w:eastAsia="zh-CN" w:bidi="ar"/>
                    </w:rPr>
                  </w:pPr>
                  <w:r>
                    <w:rPr>
                      <w:rFonts w:hint="default" w:ascii="Times New Roman" w:hAnsi="Times New Roman" w:eastAsia="宋体" w:cs="Times New Roman"/>
                      <w:b w:val="0"/>
                      <w:bCs/>
                      <w:color w:val="auto"/>
                      <w:szCs w:val="21"/>
                      <w:highlight w:val="none"/>
                      <w:vertAlign w:val="baseline"/>
                      <w:lang w:val="en-US" w:eastAsia="zh-CN"/>
                    </w:rPr>
                    <w:t>固态</w:t>
                  </w:r>
                </w:p>
              </w:tc>
              <w:tc>
                <w:tcPr>
                  <w:tcW w:w="1306" w:type="dxa"/>
                  <w:noWrap w:val="0"/>
                  <w:vAlign w:val="center"/>
                </w:tcPr>
                <w:p w14:paraId="2092675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原料仓</w:t>
                  </w:r>
                </w:p>
              </w:tc>
              <w:tc>
                <w:tcPr>
                  <w:tcW w:w="1273" w:type="dxa"/>
                  <w:noWrap w:val="0"/>
                  <w:vAlign w:val="center"/>
                </w:tcPr>
                <w:p w14:paraId="4CA20F3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废水处理</w:t>
                  </w:r>
                </w:p>
              </w:tc>
            </w:tr>
            <w:tr w14:paraId="3C3FA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833" w:type="dxa"/>
                  <w:noWrap w:val="0"/>
                  <w:vAlign w:val="center"/>
                </w:tcPr>
                <w:p w14:paraId="276F36D7">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21"/>
                      <w:szCs w:val="21"/>
                      <w:highlight w:val="none"/>
                      <w:u w:val="none"/>
                      <w:lang w:val="en-US" w:eastAsia="zh-CN" w:bidi="ar"/>
                    </w:rPr>
                  </w:pPr>
                  <w:r>
                    <w:rPr>
                      <w:rFonts w:hint="default" w:ascii="Times New Roman" w:hAnsi="Times New Roman" w:eastAsia="宋体" w:cs="Times New Roman"/>
                      <w:bCs/>
                      <w:color w:val="auto"/>
                      <w:sz w:val="21"/>
                      <w:szCs w:val="21"/>
                      <w:highlight w:val="none"/>
                      <w:lang w:val="en-US" w:eastAsia="zh-CN"/>
                    </w:rPr>
                    <w:t>PAC</w:t>
                  </w:r>
                </w:p>
              </w:tc>
              <w:tc>
                <w:tcPr>
                  <w:tcW w:w="1485" w:type="dxa"/>
                  <w:noWrap w:val="0"/>
                  <w:vAlign w:val="center"/>
                </w:tcPr>
                <w:p w14:paraId="0960CABB">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rPr>
                  </w:pPr>
                  <w:r>
                    <w:rPr>
                      <w:rFonts w:hint="default" w:ascii="Times New Roman" w:hAnsi="Times New Roman" w:eastAsia="宋体" w:cs="Times New Roman"/>
                      <w:b w:val="0"/>
                      <w:bCs w:val="0"/>
                      <w:color w:val="auto"/>
                      <w:kern w:val="2"/>
                      <w:sz w:val="21"/>
                      <w:szCs w:val="21"/>
                      <w:highlight w:val="none"/>
                      <w:lang w:val="en-US" w:eastAsia="zh-CN"/>
                    </w:rPr>
                    <w:t>0.5</w:t>
                  </w:r>
                </w:p>
              </w:tc>
              <w:tc>
                <w:tcPr>
                  <w:tcW w:w="1531" w:type="dxa"/>
                  <w:noWrap w:val="0"/>
                  <w:vAlign w:val="center"/>
                </w:tcPr>
                <w:p w14:paraId="3458058E">
                  <w:pPr>
                    <w:jc w:val="center"/>
                    <w:rPr>
                      <w:rFonts w:hint="default" w:ascii="Times New Roman" w:hAnsi="Times New Roman" w:cs="Times New Roman"/>
                      <w:b w:val="0"/>
                      <w:bCs/>
                      <w:color w:val="auto"/>
                      <w:szCs w:val="21"/>
                      <w:highlight w:val="none"/>
                      <w:vertAlign w:val="baseline"/>
                      <w:lang w:val="en-US" w:eastAsia="zh-CN"/>
                    </w:rPr>
                  </w:pPr>
                  <w:r>
                    <w:rPr>
                      <w:rFonts w:hint="default" w:ascii="Times New Roman" w:hAnsi="Times New Roman" w:cs="Times New Roman"/>
                      <w:b w:val="0"/>
                      <w:bCs/>
                      <w:color w:val="auto"/>
                      <w:szCs w:val="21"/>
                      <w:highlight w:val="none"/>
                      <w:vertAlign w:val="baseline"/>
                      <w:lang w:val="en-US" w:eastAsia="zh-CN"/>
                    </w:rPr>
                    <w:t>25kg/袋</w:t>
                  </w:r>
                </w:p>
              </w:tc>
              <w:tc>
                <w:tcPr>
                  <w:tcW w:w="849" w:type="dxa"/>
                  <w:noWrap w:val="0"/>
                  <w:vAlign w:val="center"/>
                </w:tcPr>
                <w:p w14:paraId="7FB143D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0.1t</w:t>
                  </w:r>
                </w:p>
              </w:tc>
              <w:tc>
                <w:tcPr>
                  <w:tcW w:w="800" w:type="dxa"/>
                  <w:noWrap w:val="0"/>
                  <w:vAlign w:val="center"/>
                </w:tcPr>
                <w:p w14:paraId="54C288FF">
                  <w:pPr>
                    <w:keepNext w:val="0"/>
                    <w:keepLines w:val="0"/>
                    <w:widowControl/>
                    <w:suppressLineNumbers w:val="0"/>
                    <w:jc w:val="center"/>
                    <w:textAlignment w:val="center"/>
                    <w:rPr>
                      <w:rFonts w:hint="default" w:ascii="Times New Roman" w:hAnsi="Times New Roman" w:eastAsia="宋体" w:cs="Times New Roman"/>
                      <w:b w:val="0"/>
                      <w:bCs/>
                      <w:i w:val="0"/>
                      <w:iCs w:val="0"/>
                      <w:color w:val="auto"/>
                      <w:kern w:val="0"/>
                      <w:sz w:val="21"/>
                      <w:szCs w:val="21"/>
                      <w:highlight w:val="none"/>
                      <w:u w:val="none"/>
                      <w:lang w:val="en-US" w:eastAsia="zh-CN" w:bidi="ar"/>
                    </w:rPr>
                  </w:pPr>
                  <w:r>
                    <w:rPr>
                      <w:rFonts w:hint="default" w:ascii="Times New Roman" w:hAnsi="Times New Roman" w:eastAsia="宋体" w:cs="Times New Roman"/>
                      <w:b w:val="0"/>
                      <w:bCs/>
                      <w:color w:val="auto"/>
                      <w:szCs w:val="21"/>
                      <w:highlight w:val="none"/>
                      <w:vertAlign w:val="baseline"/>
                      <w:lang w:val="en-US" w:eastAsia="zh-CN"/>
                    </w:rPr>
                    <w:t>固态</w:t>
                  </w:r>
                </w:p>
              </w:tc>
              <w:tc>
                <w:tcPr>
                  <w:tcW w:w="1306" w:type="dxa"/>
                  <w:noWrap w:val="0"/>
                  <w:vAlign w:val="center"/>
                </w:tcPr>
                <w:p w14:paraId="7973C1D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原料仓</w:t>
                  </w:r>
                </w:p>
              </w:tc>
              <w:tc>
                <w:tcPr>
                  <w:tcW w:w="1273" w:type="dxa"/>
                  <w:noWrap w:val="0"/>
                  <w:vAlign w:val="center"/>
                </w:tcPr>
                <w:p w14:paraId="639E2BD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废水处理</w:t>
                  </w:r>
                </w:p>
              </w:tc>
            </w:tr>
          </w:tbl>
          <w:p w14:paraId="60105CF8">
            <w:pPr>
              <w:adjustRightInd w:val="0"/>
              <w:snapToGrid w:val="0"/>
              <w:jc w:val="center"/>
              <w:rPr>
                <w:rFonts w:hint="default" w:ascii="Times New Roman" w:hAnsi="Times New Roman" w:cs="Times New Roman"/>
                <w:b/>
                <w:color w:val="auto"/>
                <w:szCs w:val="21"/>
                <w:highlight w:val="none"/>
              </w:rPr>
            </w:pPr>
          </w:p>
          <w:p w14:paraId="1C74EFD4">
            <w:pPr>
              <w:adjustRightInd w:val="0"/>
              <w:snapToGrid w:val="0"/>
              <w:jc w:val="center"/>
              <w:rPr>
                <w:rFonts w:hint="default" w:ascii="Times New Roman" w:hAnsi="Times New Roman" w:eastAsia="宋体" w:cs="Times New Roman"/>
                <w:b/>
                <w:color w:val="auto"/>
                <w:szCs w:val="21"/>
                <w:highlight w:val="none"/>
                <w:lang w:eastAsia="zh-CN"/>
              </w:rPr>
            </w:pPr>
            <w:r>
              <w:rPr>
                <w:rFonts w:hint="default" w:ascii="Times New Roman" w:hAnsi="Times New Roman" w:cs="Times New Roman"/>
                <w:b/>
                <w:color w:val="auto"/>
                <w:szCs w:val="21"/>
                <w:highlight w:val="none"/>
              </w:rPr>
              <w:t>表</w:t>
            </w:r>
            <w:r>
              <w:rPr>
                <w:rFonts w:hint="default" w:ascii="Times New Roman" w:hAnsi="Times New Roman" w:cs="Times New Roman"/>
                <w:b/>
                <w:color w:val="auto"/>
                <w:szCs w:val="21"/>
                <w:highlight w:val="none"/>
                <w:lang w:val="en-US" w:eastAsia="zh-CN"/>
              </w:rPr>
              <w:t>2-5 各产品</w:t>
            </w:r>
            <w:r>
              <w:rPr>
                <w:rFonts w:hint="default" w:ascii="Times New Roman" w:hAnsi="Times New Roman" w:cs="Times New Roman"/>
                <w:b/>
                <w:color w:val="auto"/>
                <w:szCs w:val="21"/>
                <w:highlight w:val="none"/>
                <w:lang w:eastAsia="zh-CN"/>
              </w:rPr>
              <w:t>原辅用料</w:t>
            </w:r>
            <w:r>
              <w:rPr>
                <w:rFonts w:hint="default" w:ascii="Times New Roman" w:hAnsi="Times New Roman" w:cs="Times New Roman"/>
                <w:b/>
                <w:color w:val="auto"/>
                <w:szCs w:val="21"/>
                <w:highlight w:val="none"/>
                <w:lang w:val="en-US" w:eastAsia="zh-CN"/>
              </w:rPr>
              <w:t>详情</w:t>
            </w:r>
            <w:r>
              <w:rPr>
                <w:rFonts w:hint="default" w:ascii="Times New Roman" w:hAnsi="Times New Roman" w:cs="Times New Roman"/>
                <w:b/>
                <w:color w:val="auto"/>
                <w:szCs w:val="21"/>
                <w:highlight w:val="none"/>
                <w:lang w:eastAsia="zh-CN"/>
              </w:rPr>
              <w:t>一览</w:t>
            </w:r>
            <w:r>
              <w:rPr>
                <w:rFonts w:hint="default" w:ascii="Times New Roman" w:hAnsi="Times New Roman" w:cs="Times New Roman"/>
                <w:b/>
                <w:color w:val="auto"/>
                <w:szCs w:val="21"/>
                <w:highlight w:val="none"/>
              </w:rPr>
              <w:t>表</w:t>
            </w:r>
          </w:p>
          <w:tbl>
            <w:tblPr>
              <w:tblStyle w:val="35"/>
              <w:tblW w:w="9097" w:type="dxa"/>
              <w:tblInd w:w="-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3"/>
              <w:gridCol w:w="2142"/>
              <w:gridCol w:w="2209"/>
              <w:gridCol w:w="3453"/>
            </w:tblGrid>
            <w:tr w14:paraId="42000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293" w:type="dxa"/>
                  <w:noWrap w:val="0"/>
                  <w:vAlign w:val="center"/>
                </w:tcPr>
                <w:p w14:paraId="7A471E60">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cs="Times New Roman"/>
                      <w:b/>
                      <w:color w:val="auto"/>
                      <w:szCs w:val="21"/>
                      <w:highlight w:val="none"/>
                      <w:vertAlign w:val="baseline"/>
                    </w:rPr>
                  </w:pPr>
                  <w:r>
                    <w:rPr>
                      <w:rFonts w:hint="default" w:ascii="Times New Roman" w:hAnsi="Times New Roman" w:eastAsia="宋体" w:cs="Times New Roman"/>
                      <w:b/>
                      <w:bCs/>
                      <w:i w:val="0"/>
                      <w:iCs w:val="0"/>
                      <w:color w:val="auto"/>
                      <w:kern w:val="0"/>
                      <w:sz w:val="21"/>
                      <w:szCs w:val="21"/>
                      <w:highlight w:val="none"/>
                      <w:u w:val="none"/>
                      <w:lang w:val="en-US" w:eastAsia="zh-CN" w:bidi="ar"/>
                    </w:rPr>
                    <w:t>产品</w:t>
                  </w:r>
                </w:p>
              </w:tc>
              <w:tc>
                <w:tcPr>
                  <w:tcW w:w="2142" w:type="dxa"/>
                  <w:noWrap w:val="0"/>
                  <w:vAlign w:val="center"/>
                </w:tcPr>
                <w:p w14:paraId="5C6A9E53">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cs="Times New Roman"/>
                      <w:b/>
                      <w:color w:val="auto"/>
                      <w:szCs w:val="21"/>
                      <w:highlight w:val="none"/>
                      <w:vertAlign w:val="baseline"/>
                    </w:rPr>
                  </w:pPr>
                  <w:r>
                    <w:rPr>
                      <w:rFonts w:hint="default" w:ascii="Times New Roman" w:hAnsi="Times New Roman" w:eastAsia="宋体" w:cs="Times New Roman"/>
                      <w:b/>
                      <w:bCs/>
                      <w:i w:val="0"/>
                      <w:iCs w:val="0"/>
                      <w:color w:val="auto"/>
                      <w:kern w:val="0"/>
                      <w:sz w:val="21"/>
                      <w:szCs w:val="21"/>
                      <w:highlight w:val="none"/>
                      <w:u w:val="none"/>
                      <w:lang w:val="en-US" w:eastAsia="zh-CN" w:bidi="ar"/>
                    </w:rPr>
                    <w:t>原辅材料</w:t>
                  </w:r>
                </w:p>
              </w:tc>
              <w:tc>
                <w:tcPr>
                  <w:tcW w:w="2209" w:type="dxa"/>
                  <w:noWrap w:val="0"/>
                  <w:vAlign w:val="center"/>
                </w:tcPr>
                <w:p w14:paraId="267FF64A">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cs="Times New Roman"/>
                      <w:b/>
                      <w:color w:val="auto"/>
                      <w:szCs w:val="21"/>
                      <w:highlight w:val="none"/>
                      <w:vertAlign w:val="baseline"/>
                      <w:lang w:val="en-US"/>
                    </w:rPr>
                  </w:pPr>
                  <w:r>
                    <w:rPr>
                      <w:rFonts w:hint="default" w:ascii="Times New Roman" w:hAnsi="Times New Roman" w:eastAsia="宋体" w:cs="Times New Roman"/>
                      <w:b/>
                      <w:bCs/>
                      <w:i w:val="0"/>
                      <w:iCs w:val="0"/>
                      <w:color w:val="auto"/>
                      <w:kern w:val="0"/>
                      <w:sz w:val="21"/>
                      <w:szCs w:val="21"/>
                      <w:highlight w:val="none"/>
                      <w:u w:val="none"/>
                      <w:lang w:val="en-US" w:eastAsia="zh-CN" w:bidi="ar"/>
                    </w:rPr>
                    <w:t>年使用量（t/a）</w:t>
                  </w:r>
                </w:p>
              </w:tc>
              <w:tc>
                <w:tcPr>
                  <w:tcW w:w="3453" w:type="dxa"/>
                  <w:noWrap w:val="0"/>
                  <w:vAlign w:val="center"/>
                </w:tcPr>
                <w:p w14:paraId="28FC5BFC">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储存方式</w:t>
                  </w:r>
                </w:p>
              </w:tc>
            </w:tr>
            <w:tr w14:paraId="4DED3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1293" w:type="dxa"/>
                  <w:vMerge w:val="restart"/>
                  <w:noWrap w:val="0"/>
                  <w:vAlign w:val="center"/>
                </w:tcPr>
                <w:p w14:paraId="0409324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Cs/>
                      <w:color w:val="auto"/>
                      <w:sz w:val="21"/>
                      <w:szCs w:val="21"/>
                      <w:highlight w:val="none"/>
                      <w:lang w:val="en-US" w:eastAsia="zh-CN"/>
                    </w:rPr>
                    <w:t>轨道板</w:t>
                  </w:r>
                </w:p>
              </w:tc>
              <w:tc>
                <w:tcPr>
                  <w:tcW w:w="2142" w:type="dxa"/>
                  <w:noWrap w:val="0"/>
                  <w:vAlign w:val="center"/>
                </w:tcPr>
                <w:p w14:paraId="77399FA4">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水泥</w:t>
                  </w:r>
                </w:p>
              </w:tc>
              <w:tc>
                <w:tcPr>
                  <w:tcW w:w="2209" w:type="dxa"/>
                  <w:noWrap w:val="0"/>
                  <w:vAlign w:val="center"/>
                </w:tcPr>
                <w:p w14:paraId="26B77B08">
                  <w:pPr>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37500</w:t>
                  </w:r>
                </w:p>
              </w:tc>
              <w:tc>
                <w:tcPr>
                  <w:tcW w:w="3453" w:type="dxa"/>
                  <w:noWrap w:val="0"/>
                  <w:vAlign w:val="center"/>
                </w:tcPr>
                <w:p w14:paraId="16E97982">
                  <w:pPr>
                    <w:widowControl/>
                    <w:spacing w:line="280" w:lineRule="exact"/>
                    <w:jc w:val="center"/>
                    <w:textAlignment w:val="center"/>
                    <w:rPr>
                      <w:rFonts w:hint="default" w:ascii="Times New Roman" w:hAnsi="Times New Roman" w:cs="Times New Roman"/>
                      <w:color w:val="auto"/>
                      <w:szCs w:val="21"/>
                      <w:highlight w:val="none"/>
                      <w:lang w:eastAsia="zh-CN"/>
                    </w:rPr>
                  </w:pPr>
                  <w:r>
                    <w:rPr>
                      <w:rFonts w:hint="default" w:ascii="Times New Roman" w:hAnsi="Times New Roman" w:cs="Times New Roman"/>
                      <w:color w:val="auto"/>
                      <w:szCs w:val="21"/>
                      <w:highlight w:val="none"/>
                      <w:lang w:eastAsia="zh-CN"/>
                    </w:rPr>
                    <w:t>水泥储罐储存，密闭管道输送</w:t>
                  </w:r>
                </w:p>
              </w:tc>
            </w:tr>
            <w:tr w14:paraId="748AB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293" w:type="dxa"/>
                  <w:vMerge w:val="continue"/>
                  <w:noWrap w:val="0"/>
                  <w:vAlign w:val="center"/>
                </w:tcPr>
                <w:p w14:paraId="4568C131">
                  <w:pPr>
                    <w:keepNext w:val="0"/>
                    <w:keepLines w:val="0"/>
                    <w:widowControl/>
                    <w:suppressLineNumbers w:val="0"/>
                    <w:jc w:val="center"/>
                    <w:textAlignment w:val="center"/>
                    <w:rPr>
                      <w:rFonts w:hint="default" w:ascii="Times New Roman" w:hAnsi="Times New Roman" w:eastAsia="宋体" w:cs="Times New Roman"/>
                      <w:bCs/>
                      <w:color w:val="auto"/>
                      <w:sz w:val="21"/>
                      <w:szCs w:val="21"/>
                      <w:highlight w:val="none"/>
                      <w:lang w:val="en-US" w:eastAsia="zh-CN"/>
                    </w:rPr>
                  </w:pPr>
                </w:p>
              </w:tc>
              <w:tc>
                <w:tcPr>
                  <w:tcW w:w="2142" w:type="dxa"/>
                  <w:noWrap w:val="0"/>
                  <w:vAlign w:val="center"/>
                </w:tcPr>
                <w:p w14:paraId="046AB710">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碎石</w:t>
                  </w:r>
                </w:p>
              </w:tc>
              <w:tc>
                <w:tcPr>
                  <w:tcW w:w="2209" w:type="dxa"/>
                  <w:noWrap w:val="0"/>
                  <w:vAlign w:val="center"/>
                </w:tcPr>
                <w:p w14:paraId="037E588B">
                  <w:pPr>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121800</w:t>
                  </w:r>
                </w:p>
              </w:tc>
              <w:tc>
                <w:tcPr>
                  <w:tcW w:w="3453" w:type="dxa"/>
                  <w:noWrap w:val="0"/>
                  <w:vAlign w:val="center"/>
                </w:tcPr>
                <w:p w14:paraId="13C11C3A">
                  <w:pPr>
                    <w:widowControl/>
                    <w:spacing w:line="280" w:lineRule="exact"/>
                    <w:jc w:val="center"/>
                    <w:textAlignment w:val="center"/>
                    <w:rPr>
                      <w:rFonts w:hint="default" w:ascii="Times New Roman" w:hAnsi="Times New Roman" w:cs="Times New Roman"/>
                      <w:color w:val="auto"/>
                      <w:szCs w:val="21"/>
                      <w:highlight w:val="none"/>
                      <w:lang w:eastAsia="zh-CN"/>
                    </w:rPr>
                  </w:pPr>
                  <w:r>
                    <w:rPr>
                      <w:rFonts w:hint="default" w:ascii="Times New Roman" w:hAnsi="Times New Roman" w:cs="Times New Roman"/>
                      <w:color w:val="auto"/>
                      <w:szCs w:val="21"/>
                      <w:highlight w:val="none"/>
                      <w:lang w:eastAsia="zh-CN"/>
                    </w:rPr>
                    <w:t>堆料场（碎石）储存，输送带输送</w:t>
                  </w:r>
                </w:p>
              </w:tc>
            </w:tr>
            <w:tr w14:paraId="521F0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293" w:type="dxa"/>
                  <w:vMerge w:val="continue"/>
                  <w:noWrap w:val="0"/>
                  <w:vAlign w:val="center"/>
                </w:tcPr>
                <w:p w14:paraId="785EC12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2142" w:type="dxa"/>
                  <w:noWrap w:val="0"/>
                  <w:vAlign w:val="center"/>
                </w:tcPr>
                <w:p w14:paraId="0683DA87">
                  <w:pPr>
                    <w:jc w:val="center"/>
                    <w:rPr>
                      <w:rFonts w:hint="default" w:ascii="Times New Roman" w:hAnsi="Times New Roman" w:eastAsia="宋体" w:cs="Times New Roman"/>
                      <w:b w:val="0"/>
                      <w:bCs/>
                      <w:color w:val="auto"/>
                      <w:szCs w:val="21"/>
                      <w:highlight w:val="none"/>
                      <w:vertAlign w:val="baseline"/>
                      <w:lang w:val="en-US" w:eastAsia="zh-CN"/>
                    </w:rPr>
                  </w:pPr>
                  <w:r>
                    <w:rPr>
                      <w:rFonts w:hint="default" w:ascii="Times New Roman" w:hAnsi="Times New Roman" w:cs="Times New Roman"/>
                      <w:color w:val="auto"/>
                      <w:szCs w:val="21"/>
                      <w:highlight w:val="none"/>
                    </w:rPr>
                    <w:t>河砂</w:t>
                  </w:r>
                </w:p>
              </w:tc>
              <w:tc>
                <w:tcPr>
                  <w:tcW w:w="2209" w:type="dxa"/>
                  <w:noWrap w:val="0"/>
                  <w:vAlign w:val="center"/>
                </w:tcPr>
                <w:p w14:paraId="17C4F27A">
                  <w:pPr>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68700</w:t>
                  </w:r>
                </w:p>
              </w:tc>
              <w:tc>
                <w:tcPr>
                  <w:tcW w:w="3453" w:type="dxa"/>
                  <w:noWrap w:val="0"/>
                  <w:vAlign w:val="center"/>
                </w:tcPr>
                <w:p w14:paraId="245467E6">
                  <w:pPr>
                    <w:widowControl/>
                    <w:spacing w:line="280" w:lineRule="exact"/>
                    <w:jc w:val="center"/>
                    <w:textAlignment w:val="center"/>
                    <w:rPr>
                      <w:rFonts w:hint="default" w:ascii="Times New Roman" w:hAnsi="Times New Roman" w:eastAsia="宋体" w:cs="Times New Roman"/>
                      <w:b w:val="0"/>
                      <w:bCs/>
                      <w:color w:val="auto"/>
                      <w:szCs w:val="21"/>
                      <w:highlight w:val="none"/>
                      <w:vertAlign w:val="baseline"/>
                      <w:lang w:val="en-US" w:eastAsia="zh-CN"/>
                    </w:rPr>
                  </w:pPr>
                  <w:r>
                    <w:rPr>
                      <w:rFonts w:hint="default" w:ascii="Times New Roman" w:hAnsi="Times New Roman" w:cs="Times New Roman"/>
                      <w:color w:val="auto"/>
                      <w:szCs w:val="21"/>
                      <w:highlight w:val="none"/>
                      <w:lang w:eastAsia="zh-CN"/>
                    </w:rPr>
                    <w:t>堆料场（河</w:t>
                  </w:r>
                  <w:r>
                    <w:rPr>
                      <w:rFonts w:hint="default" w:ascii="Times New Roman" w:hAnsi="Times New Roman" w:cs="Times New Roman"/>
                      <w:color w:val="auto"/>
                      <w:szCs w:val="21"/>
                      <w:highlight w:val="none"/>
                      <w:lang w:val="en-US" w:eastAsia="zh-CN"/>
                    </w:rPr>
                    <w:t xml:space="preserve"> </w:t>
                  </w:r>
                  <w:r>
                    <w:rPr>
                      <w:rFonts w:hint="default" w:ascii="Times New Roman" w:hAnsi="Times New Roman" w:cs="Times New Roman"/>
                      <w:color w:val="auto"/>
                      <w:szCs w:val="21"/>
                      <w:highlight w:val="none"/>
                      <w:lang w:eastAsia="zh-CN"/>
                    </w:rPr>
                    <w:t>砂）储存，输送带输送</w:t>
                  </w:r>
                </w:p>
              </w:tc>
            </w:tr>
            <w:tr w14:paraId="0D8F5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1293" w:type="dxa"/>
                  <w:vMerge w:val="continue"/>
                  <w:noWrap w:val="0"/>
                  <w:vAlign w:val="center"/>
                </w:tcPr>
                <w:p w14:paraId="177DCDC0">
                  <w:pPr>
                    <w:keepNext w:val="0"/>
                    <w:keepLines w:val="0"/>
                    <w:widowControl/>
                    <w:suppressLineNumbers w:val="0"/>
                    <w:jc w:val="center"/>
                    <w:textAlignment w:val="center"/>
                    <w:rPr>
                      <w:rFonts w:hint="default" w:ascii="Times New Roman" w:hAnsi="Times New Roman" w:cs="Times New Roman"/>
                      <w:b/>
                      <w:color w:val="auto"/>
                      <w:szCs w:val="21"/>
                      <w:highlight w:val="none"/>
                      <w:vertAlign w:val="baseline"/>
                    </w:rPr>
                  </w:pPr>
                </w:p>
              </w:tc>
              <w:tc>
                <w:tcPr>
                  <w:tcW w:w="2142" w:type="dxa"/>
                  <w:noWrap w:val="0"/>
                  <w:vAlign w:val="center"/>
                </w:tcPr>
                <w:p w14:paraId="5898E9F2">
                  <w:pPr>
                    <w:jc w:val="center"/>
                    <w:rPr>
                      <w:rFonts w:hint="default" w:ascii="Times New Roman" w:hAnsi="Times New Roman" w:eastAsia="宋体" w:cs="Times New Roman"/>
                      <w:b w:val="0"/>
                      <w:bCs/>
                      <w:color w:val="auto"/>
                      <w:szCs w:val="21"/>
                      <w:highlight w:val="none"/>
                      <w:vertAlign w:val="baseline"/>
                      <w:lang w:val="en-US" w:eastAsia="zh-CN"/>
                    </w:rPr>
                  </w:pPr>
                  <w:r>
                    <w:rPr>
                      <w:rFonts w:hint="default" w:ascii="Times New Roman" w:hAnsi="Times New Roman" w:cs="Times New Roman"/>
                      <w:color w:val="auto"/>
                      <w:szCs w:val="21"/>
                      <w:highlight w:val="none"/>
                      <w:lang w:eastAsia="zh-CN"/>
                    </w:rPr>
                    <w:t>粉煤灰</w:t>
                  </w:r>
                </w:p>
              </w:tc>
              <w:tc>
                <w:tcPr>
                  <w:tcW w:w="2209" w:type="dxa"/>
                  <w:noWrap w:val="0"/>
                  <w:vAlign w:val="center"/>
                </w:tcPr>
                <w:p w14:paraId="2158DEEA">
                  <w:pPr>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4100</w:t>
                  </w:r>
                </w:p>
              </w:tc>
              <w:tc>
                <w:tcPr>
                  <w:tcW w:w="3453" w:type="dxa"/>
                  <w:noWrap w:val="0"/>
                  <w:vAlign w:val="center"/>
                </w:tcPr>
                <w:p w14:paraId="23C822C0">
                  <w:pPr>
                    <w:widowControl/>
                    <w:spacing w:line="280" w:lineRule="exact"/>
                    <w:jc w:val="center"/>
                    <w:textAlignment w:val="center"/>
                    <w:rPr>
                      <w:rFonts w:hint="default" w:ascii="Times New Roman" w:hAnsi="Times New Roman" w:eastAsia="宋体" w:cs="Times New Roman"/>
                      <w:b w:val="0"/>
                      <w:bCs/>
                      <w:color w:val="auto"/>
                      <w:szCs w:val="21"/>
                      <w:highlight w:val="none"/>
                      <w:vertAlign w:val="baseline"/>
                      <w:lang w:val="en-US" w:eastAsia="zh-CN"/>
                    </w:rPr>
                  </w:pPr>
                  <w:r>
                    <w:rPr>
                      <w:rFonts w:hint="default" w:ascii="Times New Roman" w:hAnsi="Times New Roman" w:cs="Times New Roman"/>
                      <w:color w:val="auto"/>
                      <w:szCs w:val="21"/>
                      <w:highlight w:val="none"/>
                      <w:lang w:eastAsia="zh-CN"/>
                    </w:rPr>
                    <w:t>粉煤灰储罐储存，密闭管道输送</w:t>
                  </w:r>
                </w:p>
              </w:tc>
            </w:tr>
            <w:tr w14:paraId="11D0F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293" w:type="dxa"/>
                  <w:vMerge w:val="continue"/>
                  <w:noWrap w:val="0"/>
                  <w:vAlign w:val="center"/>
                </w:tcPr>
                <w:p w14:paraId="56AA903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2142" w:type="dxa"/>
                  <w:noWrap w:val="0"/>
                  <w:vAlign w:val="center"/>
                </w:tcPr>
                <w:p w14:paraId="7363BF5A">
                  <w:pPr>
                    <w:jc w:val="center"/>
                    <w:rPr>
                      <w:rFonts w:hint="default" w:ascii="Times New Roman" w:hAnsi="Times New Roman" w:eastAsia="宋体" w:cs="Times New Roman"/>
                      <w:b w:val="0"/>
                      <w:bCs/>
                      <w:i w:val="0"/>
                      <w:iCs w:val="0"/>
                      <w:color w:val="auto"/>
                      <w:kern w:val="0"/>
                      <w:sz w:val="21"/>
                      <w:szCs w:val="21"/>
                      <w:highlight w:val="none"/>
                      <w:u w:val="none"/>
                      <w:lang w:val="en-US" w:eastAsia="zh-CN" w:bidi="ar"/>
                    </w:rPr>
                  </w:pPr>
                  <w:r>
                    <w:rPr>
                      <w:rFonts w:hint="default" w:ascii="Times New Roman" w:hAnsi="Times New Roman" w:cs="Times New Roman"/>
                      <w:color w:val="auto"/>
                      <w:szCs w:val="21"/>
                      <w:highlight w:val="none"/>
                    </w:rPr>
                    <w:t>聚羧基减水剂</w:t>
                  </w:r>
                </w:p>
              </w:tc>
              <w:tc>
                <w:tcPr>
                  <w:tcW w:w="2209" w:type="dxa"/>
                  <w:noWrap w:val="0"/>
                  <w:vAlign w:val="center"/>
                </w:tcPr>
                <w:p w14:paraId="21A08910">
                  <w:pPr>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400</w:t>
                  </w:r>
                </w:p>
              </w:tc>
              <w:tc>
                <w:tcPr>
                  <w:tcW w:w="3453" w:type="dxa"/>
                  <w:noWrap w:val="0"/>
                  <w:vAlign w:val="center"/>
                </w:tcPr>
                <w:p w14:paraId="649C22EF">
                  <w:pPr>
                    <w:keepNext w:val="0"/>
                    <w:keepLines w:val="0"/>
                    <w:widowControl/>
                    <w:suppressLineNumbers w:val="0"/>
                    <w:jc w:val="center"/>
                    <w:textAlignment w:val="center"/>
                    <w:rPr>
                      <w:rFonts w:hint="default" w:ascii="Times New Roman" w:hAnsi="Times New Roman" w:cs="Times New Roman"/>
                      <w:b w:val="0"/>
                      <w:bCs/>
                      <w:i w:val="0"/>
                      <w:iCs w:val="0"/>
                      <w:color w:val="auto"/>
                      <w:kern w:val="0"/>
                      <w:sz w:val="21"/>
                      <w:szCs w:val="21"/>
                      <w:highlight w:val="none"/>
                      <w:u w:val="none"/>
                      <w:lang w:val="en-US" w:eastAsia="zh-CN" w:bidi="ar"/>
                    </w:rPr>
                  </w:pPr>
                  <w:r>
                    <w:rPr>
                      <w:rFonts w:hint="default" w:ascii="Times New Roman" w:hAnsi="Times New Roman" w:cs="Times New Roman"/>
                      <w:color w:val="auto"/>
                      <w:szCs w:val="21"/>
                      <w:highlight w:val="none"/>
                      <w:lang w:eastAsia="zh-CN"/>
                    </w:rPr>
                    <w:t>减水剂罐储存，密闭管道输送</w:t>
                  </w:r>
                </w:p>
              </w:tc>
            </w:tr>
            <w:tr w14:paraId="54ED5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1293" w:type="dxa"/>
                  <w:vMerge w:val="continue"/>
                  <w:noWrap w:val="0"/>
                  <w:vAlign w:val="center"/>
                </w:tcPr>
                <w:p w14:paraId="3719201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2142" w:type="dxa"/>
                  <w:noWrap w:val="0"/>
                  <w:vAlign w:val="center"/>
                </w:tcPr>
                <w:p w14:paraId="70BFA7A8">
                  <w:pPr>
                    <w:spacing w:before="24" w:beforeLines="10" w:after="24" w:afterLines="10" w:line="240" w:lineRule="exact"/>
                    <w:jc w:val="center"/>
                    <w:rPr>
                      <w:rFonts w:hint="default" w:ascii="Times New Roman" w:hAnsi="Times New Roman" w:eastAsia="宋体" w:cs="Times New Roman"/>
                      <w:b w:val="0"/>
                      <w:bCs/>
                      <w:i w:val="0"/>
                      <w:iCs w:val="0"/>
                      <w:color w:val="auto"/>
                      <w:kern w:val="0"/>
                      <w:sz w:val="21"/>
                      <w:szCs w:val="21"/>
                      <w:highlight w:val="none"/>
                      <w:u w:val="none"/>
                      <w:lang w:val="en-US" w:eastAsia="zh-CN" w:bidi="ar"/>
                    </w:rPr>
                  </w:pPr>
                  <w:r>
                    <w:rPr>
                      <w:rFonts w:hint="default" w:ascii="Times New Roman" w:hAnsi="Times New Roman" w:eastAsia="宋体" w:cs="Times New Roman"/>
                      <w:b w:val="0"/>
                      <w:bCs/>
                      <w:i w:val="0"/>
                      <w:iCs w:val="0"/>
                      <w:color w:val="auto"/>
                      <w:kern w:val="0"/>
                      <w:sz w:val="21"/>
                      <w:szCs w:val="21"/>
                      <w:highlight w:val="none"/>
                      <w:u w:val="none"/>
                      <w:lang w:val="en-US" w:eastAsia="zh-CN" w:bidi="ar"/>
                    </w:rPr>
                    <w:t>钢筋</w:t>
                  </w:r>
                </w:p>
              </w:tc>
              <w:tc>
                <w:tcPr>
                  <w:tcW w:w="2209" w:type="dxa"/>
                  <w:noWrap w:val="0"/>
                  <w:vAlign w:val="center"/>
                </w:tcPr>
                <w:p w14:paraId="256BDAF0">
                  <w:pPr>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45000</w:t>
                  </w:r>
                </w:p>
              </w:tc>
              <w:tc>
                <w:tcPr>
                  <w:tcW w:w="3453" w:type="dxa"/>
                  <w:noWrap w:val="0"/>
                  <w:vAlign w:val="center"/>
                </w:tcPr>
                <w:p w14:paraId="07A4831E">
                  <w:pPr>
                    <w:keepNext w:val="0"/>
                    <w:keepLines w:val="0"/>
                    <w:widowControl/>
                    <w:suppressLineNumbers w:val="0"/>
                    <w:jc w:val="center"/>
                    <w:textAlignment w:val="center"/>
                    <w:rPr>
                      <w:rFonts w:hint="default" w:ascii="Times New Roman" w:hAnsi="Times New Roman" w:cs="Times New Roman"/>
                      <w:b w:val="0"/>
                      <w:bCs/>
                      <w:i w:val="0"/>
                      <w:iCs w:val="0"/>
                      <w:color w:val="auto"/>
                      <w:kern w:val="0"/>
                      <w:sz w:val="21"/>
                      <w:szCs w:val="21"/>
                      <w:highlight w:val="none"/>
                      <w:u w:val="none"/>
                      <w:lang w:val="en-US" w:eastAsia="zh-CN" w:bidi="ar"/>
                    </w:rPr>
                  </w:pPr>
                  <w:r>
                    <w:rPr>
                      <w:rFonts w:hint="default" w:ascii="Times New Roman" w:hAnsi="Times New Roman" w:cs="Times New Roman"/>
                      <w:b w:val="0"/>
                      <w:bCs/>
                      <w:i w:val="0"/>
                      <w:iCs w:val="0"/>
                      <w:color w:val="auto"/>
                      <w:kern w:val="0"/>
                      <w:sz w:val="21"/>
                      <w:szCs w:val="21"/>
                      <w:highlight w:val="none"/>
                      <w:u w:val="none"/>
                      <w:lang w:val="en-US" w:eastAsia="zh-CN" w:bidi="ar"/>
                    </w:rPr>
                    <w:t>堆放</w:t>
                  </w:r>
                </w:p>
              </w:tc>
            </w:tr>
            <w:tr w14:paraId="12DAE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1293" w:type="dxa"/>
                  <w:vMerge w:val="continue"/>
                  <w:noWrap w:val="0"/>
                  <w:vAlign w:val="center"/>
                </w:tcPr>
                <w:p w14:paraId="31666AB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2142" w:type="dxa"/>
                  <w:noWrap w:val="0"/>
                  <w:vAlign w:val="center"/>
                </w:tcPr>
                <w:p w14:paraId="6693ECE5">
                  <w:pPr>
                    <w:keepNext w:val="0"/>
                    <w:keepLines w:val="0"/>
                    <w:widowControl/>
                    <w:suppressLineNumbers w:val="0"/>
                    <w:jc w:val="center"/>
                    <w:textAlignment w:val="center"/>
                    <w:rPr>
                      <w:rFonts w:hint="default" w:ascii="Times New Roman" w:hAnsi="Times New Roman" w:cs="Times New Roman"/>
                      <w:b/>
                      <w:color w:val="auto"/>
                      <w:szCs w:val="21"/>
                      <w:highlight w:val="none"/>
                      <w:vertAlign w:val="baseline"/>
                    </w:rPr>
                  </w:pPr>
                  <w:r>
                    <w:rPr>
                      <w:rFonts w:hint="default" w:ascii="Times New Roman" w:hAnsi="Times New Roman" w:cs="Times New Roman"/>
                      <w:bCs/>
                      <w:color w:val="auto"/>
                      <w:kern w:val="18"/>
                      <w:szCs w:val="21"/>
                      <w:highlight w:val="none"/>
                    </w:rPr>
                    <w:t>水</w:t>
                  </w:r>
                </w:p>
              </w:tc>
              <w:tc>
                <w:tcPr>
                  <w:tcW w:w="2209" w:type="dxa"/>
                  <w:noWrap w:val="0"/>
                  <w:vAlign w:val="center"/>
                </w:tcPr>
                <w:p w14:paraId="33F050E7">
                  <w:pPr>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12500</w:t>
                  </w:r>
                </w:p>
              </w:tc>
              <w:tc>
                <w:tcPr>
                  <w:tcW w:w="3453" w:type="dxa"/>
                  <w:noWrap w:val="0"/>
                  <w:vAlign w:val="center"/>
                </w:tcPr>
                <w:p w14:paraId="4395CB9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r>
            <w:tr w14:paraId="3208A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1293" w:type="dxa"/>
                  <w:vMerge w:val="restart"/>
                  <w:noWrap w:val="0"/>
                  <w:vAlign w:val="center"/>
                </w:tcPr>
                <w:p w14:paraId="1248965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Cs/>
                      <w:color w:val="auto"/>
                      <w:sz w:val="21"/>
                      <w:szCs w:val="21"/>
                      <w:highlight w:val="none"/>
                      <w:lang w:val="en-US" w:eastAsia="zh-CN"/>
                    </w:rPr>
                    <w:t>Ⅲa型轨枕</w:t>
                  </w:r>
                </w:p>
              </w:tc>
              <w:tc>
                <w:tcPr>
                  <w:tcW w:w="2142" w:type="dxa"/>
                  <w:noWrap w:val="0"/>
                  <w:vAlign w:val="center"/>
                </w:tcPr>
                <w:p w14:paraId="6FC6D6A0">
                  <w:pPr>
                    <w:jc w:val="center"/>
                    <w:rPr>
                      <w:rFonts w:hint="default" w:ascii="Times New Roman" w:hAnsi="Times New Roman" w:eastAsia="宋体" w:cs="Times New Roman"/>
                      <w:b w:val="0"/>
                      <w:bCs/>
                      <w:color w:val="auto"/>
                      <w:kern w:val="2"/>
                      <w:sz w:val="21"/>
                      <w:szCs w:val="21"/>
                      <w:highlight w:val="none"/>
                      <w:vertAlign w:val="baseline"/>
                      <w:lang w:val="en-US" w:eastAsia="zh-CN" w:bidi="ar-SA"/>
                    </w:rPr>
                  </w:pPr>
                  <w:r>
                    <w:rPr>
                      <w:rFonts w:hint="default" w:ascii="Times New Roman" w:hAnsi="Times New Roman" w:cs="Times New Roman"/>
                      <w:color w:val="auto"/>
                      <w:szCs w:val="21"/>
                      <w:highlight w:val="none"/>
                    </w:rPr>
                    <w:t>水泥</w:t>
                  </w:r>
                </w:p>
              </w:tc>
              <w:tc>
                <w:tcPr>
                  <w:tcW w:w="2209" w:type="dxa"/>
                  <w:noWrap w:val="0"/>
                  <w:vAlign w:val="center"/>
                </w:tcPr>
                <w:p w14:paraId="75BDFC62">
                  <w:pPr>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37500</w:t>
                  </w:r>
                </w:p>
              </w:tc>
              <w:tc>
                <w:tcPr>
                  <w:tcW w:w="3453" w:type="dxa"/>
                  <w:noWrap w:val="0"/>
                  <w:vAlign w:val="center"/>
                </w:tcPr>
                <w:p w14:paraId="2993FC93">
                  <w:pPr>
                    <w:widowControl/>
                    <w:spacing w:line="280" w:lineRule="exact"/>
                    <w:jc w:val="center"/>
                    <w:textAlignment w:val="center"/>
                    <w:rPr>
                      <w:rFonts w:hint="default" w:ascii="Times New Roman" w:hAnsi="Times New Roman" w:cs="Times New Roman"/>
                      <w:b w:val="0"/>
                      <w:bCs/>
                      <w:color w:val="auto"/>
                      <w:szCs w:val="21"/>
                      <w:highlight w:val="none"/>
                      <w:vertAlign w:val="baseline"/>
                      <w:lang w:val="en-US" w:eastAsia="zh-CN"/>
                    </w:rPr>
                  </w:pPr>
                  <w:r>
                    <w:rPr>
                      <w:rFonts w:hint="default" w:ascii="Times New Roman" w:hAnsi="Times New Roman" w:cs="Times New Roman"/>
                      <w:color w:val="auto"/>
                      <w:szCs w:val="21"/>
                      <w:highlight w:val="none"/>
                      <w:lang w:eastAsia="zh-CN"/>
                    </w:rPr>
                    <w:t>水泥储罐储存，密闭管道输送</w:t>
                  </w:r>
                </w:p>
              </w:tc>
            </w:tr>
            <w:tr w14:paraId="34A5C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293" w:type="dxa"/>
                  <w:vMerge w:val="continue"/>
                  <w:noWrap w:val="0"/>
                  <w:vAlign w:val="center"/>
                </w:tcPr>
                <w:p w14:paraId="1D4E694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2142" w:type="dxa"/>
                  <w:noWrap w:val="0"/>
                  <w:vAlign w:val="center"/>
                </w:tcPr>
                <w:p w14:paraId="4DDEFA9F">
                  <w:pPr>
                    <w:jc w:val="center"/>
                    <w:rPr>
                      <w:rFonts w:hint="default" w:ascii="Times New Roman" w:hAnsi="Times New Roman" w:eastAsia="宋体" w:cs="Times New Roman"/>
                      <w:b w:val="0"/>
                      <w:bCs/>
                      <w:color w:val="auto"/>
                      <w:kern w:val="2"/>
                      <w:sz w:val="21"/>
                      <w:szCs w:val="21"/>
                      <w:highlight w:val="none"/>
                      <w:vertAlign w:val="baseline"/>
                      <w:lang w:val="en-US" w:eastAsia="zh-CN" w:bidi="ar-SA"/>
                    </w:rPr>
                  </w:pPr>
                  <w:r>
                    <w:rPr>
                      <w:rFonts w:hint="default" w:ascii="Times New Roman" w:hAnsi="Times New Roman" w:cs="Times New Roman"/>
                      <w:color w:val="auto"/>
                      <w:szCs w:val="21"/>
                      <w:highlight w:val="none"/>
                    </w:rPr>
                    <w:t>碎石</w:t>
                  </w:r>
                </w:p>
              </w:tc>
              <w:tc>
                <w:tcPr>
                  <w:tcW w:w="2209" w:type="dxa"/>
                  <w:noWrap w:val="0"/>
                  <w:vAlign w:val="center"/>
                </w:tcPr>
                <w:p w14:paraId="78762F78">
                  <w:pPr>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121800</w:t>
                  </w:r>
                </w:p>
              </w:tc>
              <w:tc>
                <w:tcPr>
                  <w:tcW w:w="3453" w:type="dxa"/>
                  <w:noWrap w:val="0"/>
                  <w:vAlign w:val="center"/>
                </w:tcPr>
                <w:p w14:paraId="2DBC92B3">
                  <w:pPr>
                    <w:widowControl/>
                    <w:spacing w:line="280" w:lineRule="exact"/>
                    <w:jc w:val="center"/>
                    <w:textAlignment w:val="center"/>
                    <w:rPr>
                      <w:rFonts w:hint="default" w:ascii="Times New Roman" w:hAnsi="Times New Roman" w:cs="Times New Roman"/>
                      <w:b w:val="0"/>
                      <w:bCs/>
                      <w:color w:val="auto"/>
                      <w:szCs w:val="21"/>
                      <w:highlight w:val="none"/>
                      <w:vertAlign w:val="baseline"/>
                      <w:lang w:val="en-US" w:eastAsia="zh-CN"/>
                    </w:rPr>
                  </w:pPr>
                  <w:r>
                    <w:rPr>
                      <w:rFonts w:hint="default" w:ascii="Times New Roman" w:hAnsi="Times New Roman" w:cs="Times New Roman"/>
                      <w:color w:val="auto"/>
                      <w:szCs w:val="21"/>
                      <w:highlight w:val="none"/>
                      <w:lang w:eastAsia="zh-CN"/>
                    </w:rPr>
                    <w:t>堆料场（碎石）储存，输送带输送</w:t>
                  </w:r>
                </w:p>
              </w:tc>
            </w:tr>
            <w:tr w14:paraId="7DDE0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1293" w:type="dxa"/>
                  <w:vMerge w:val="continue"/>
                  <w:noWrap w:val="0"/>
                  <w:vAlign w:val="center"/>
                </w:tcPr>
                <w:p w14:paraId="1D6C1A7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2142" w:type="dxa"/>
                  <w:noWrap w:val="0"/>
                  <w:vAlign w:val="center"/>
                </w:tcPr>
                <w:p w14:paraId="5F50C897">
                  <w:pPr>
                    <w:jc w:val="center"/>
                    <w:rPr>
                      <w:rFonts w:hint="default" w:ascii="Times New Roman" w:hAnsi="Times New Roman" w:eastAsia="宋体" w:cs="Times New Roman"/>
                      <w:b w:val="0"/>
                      <w:bCs/>
                      <w:color w:val="auto"/>
                      <w:kern w:val="2"/>
                      <w:sz w:val="21"/>
                      <w:szCs w:val="21"/>
                      <w:highlight w:val="none"/>
                      <w:vertAlign w:val="baseline"/>
                      <w:lang w:val="en-US" w:eastAsia="zh-CN" w:bidi="ar-SA"/>
                    </w:rPr>
                  </w:pPr>
                  <w:r>
                    <w:rPr>
                      <w:rFonts w:hint="default" w:ascii="Times New Roman" w:hAnsi="Times New Roman" w:cs="Times New Roman"/>
                      <w:color w:val="auto"/>
                      <w:szCs w:val="21"/>
                      <w:highlight w:val="none"/>
                    </w:rPr>
                    <w:t>河砂</w:t>
                  </w:r>
                </w:p>
              </w:tc>
              <w:tc>
                <w:tcPr>
                  <w:tcW w:w="2209" w:type="dxa"/>
                  <w:noWrap w:val="0"/>
                  <w:vAlign w:val="center"/>
                </w:tcPr>
                <w:p w14:paraId="61774C73">
                  <w:pPr>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68700</w:t>
                  </w:r>
                </w:p>
              </w:tc>
              <w:tc>
                <w:tcPr>
                  <w:tcW w:w="3453" w:type="dxa"/>
                  <w:noWrap w:val="0"/>
                  <w:vAlign w:val="center"/>
                </w:tcPr>
                <w:p w14:paraId="468718E1">
                  <w:pPr>
                    <w:widowControl/>
                    <w:spacing w:line="280" w:lineRule="exact"/>
                    <w:jc w:val="center"/>
                    <w:textAlignment w:val="center"/>
                    <w:rPr>
                      <w:rFonts w:hint="default" w:ascii="Times New Roman" w:hAnsi="Times New Roman" w:cs="Times New Roman"/>
                      <w:b w:val="0"/>
                      <w:bCs/>
                      <w:color w:val="auto"/>
                      <w:szCs w:val="21"/>
                      <w:highlight w:val="none"/>
                      <w:vertAlign w:val="baseline"/>
                      <w:lang w:val="en-US" w:eastAsia="zh-CN"/>
                    </w:rPr>
                  </w:pPr>
                  <w:r>
                    <w:rPr>
                      <w:rFonts w:hint="default" w:ascii="Times New Roman" w:hAnsi="Times New Roman" w:cs="Times New Roman"/>
                      <w:color w:val="auto"/>
                      <w:szCs w:val="21"/>
                      <w:highlight w:val="none"/>
                      <w:lang w:eastAsia="zh-CN"/>
                    </w:rPr>
                    <w:t>堆料场（河</w:t>
                  </w:r>
                  <w:r>
                    <w:rPr>
                      <w:rFonts w:hint="default" w:ascii="Times New Roman" w:hAnsi="Times New Roman" w:cs="Times New Roman"/>
                      <w:color w:val="auto"/>
                      <w:szCs w:val="21"/>
                      <w:highlight w:val="none"/>
                      <w:lang w:val="en-US" w:eastAsia="zh-CN"/>
                    </w:rPr>
                    <w:t xml:space="preserve"> </w:t>
                  </w:r>
                  <w:r>
                    <w:rPr>
                      <w:rFonts w:hint="default" w:ascii="Times New Roman" w:hAnsi="Times New Roman" w:cs="Times New Roman"/>
                      <w:color w:val="auto"/>
                      <w:szCs w:val="21"/>
                      <w:highlight w:val="none"/>
                      <w:lang w:eastAsia="zh-CN"/>
                    </w:rPr>
                    <w:t>砂）储存，输送带输送</w:t>
                  </w:r>
                </w:p>
              </w:tc>
            </w:tr>
            <w:tr w14:paraId="41C81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293" w:type="dxa"/>
                  <w:vMerge w:val="continue"/>
                  <w:noWrap w:val="0"/>
                  <w:vAlign w:val="center"/>
                </w:tcPr>
                <w:p w14:paraId="0C1132E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2142" w:type="dxa"/>
                  <w:noWrap w:val="0"/>
                  <w:vAlign w:val="center"/>
                </w:tcPr>
                <w:p w14:paraId="73881A01">
                  <w:pPr>
                    <w:jc w:val="center"/>
                    <w:rPr>
                      <w:rFonts w:hint="default" w:ascii="Times New Roman" w:hAnsi="Times New Roman" w:eastAsia="宋体" w:cs="Times New Roman"/>
                      <w:b w:val="0"/>
                      <w:bCs/>
                      <w:i w:val="0"/>
                      <w:iCs w:val="0"/>
                      <w:color w:val="auto"/>
                      <w:kern w:val="0"/>
                      <w:sz w:val="21"/>
                      <w:szCs w:val="21"/>
                      <w:highlight w:val="none"/>
                      <w:u w:val="none"/>
                      <w:lang w:val="en-US" w:eastAsia="zh-CN" w:bidi="ar"/>
                    </w:rPr>
                  </w:pPr>
                  <w:r>
                    <w:rPr>
                      <w:rFonts w:hint="default" w:ascii="Times New Roman" w:hAnsi="Times New Roman" w:cs="Times New Roman"/>
                      <w:color w:val="auto"/>
                      <w:szCs w:val="21"/>
                      <w:highlight w:val="none"/>
                      <w:lang w:eastAsia="zh-CN"/>
                    </w:rPr>
                    <w:t>粉煤灰</w:t>
                  </w:r>
                </w:p>
              </w:tc>
              <w:tc>
                <w:tcPr>
                  <w:tcW w:w="2209" w:type="dxa"/>
                  <w:noWrap w:val="0"/>
                  <w:vAlign w:val="center"/>
                </w:tcPr>
                <w:p w14:paraId="375EB5B7">
                  <w:pPr>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4100</w:t>
                  </w:r>
                </w:p>
              </w:tc>
              <w:tc>
                <w:tcPr>
                  <w:tcW w:w="3453" w:type="dxa"/>
                  <w:noWrap w:val="0"/>
                  <w:vAlign w:val="center"/>
                </w:tcPr>
                <w:p w14:paraId="0F7DD706">
                  <w:pPr>
                    <w:widowControl/>
                    <w:spacing w:line="280" w:lineRule="exact"/>
                    <w:jc w:val="center"/>
                    <w:textAlignment w:val="center"/>
                    <w:rPr>
                      <w:rFonts w:hint="default" w:ascii="Times New Roman" w:hAnsi="Times New Roman" w:cs="Times New Roman"/>
                      <w:b w:val="0"/>
                      <w:bCs/>
                      <w:color w:val="auto"/>
                      <w:szCs w:val="21"/>
                      <w:highlight w:val="none"/>
                      <w:vertAlign w:val="baseline"/>
                      <w:lang w:val="en-US" w:eastAsia="zh-CN"/>
                    </w:rPr>
                  </w:pPr>
                  <w:r>
                    <w:rPr>
                      <w:rFonts w:hint="default" w:ascii="Times New Roman" w:hAnsi="Times New Roman" w:cs="Times New Roman"/>
                      <w:color w:val="auto"/>
                      <w:szCs w:val="21"/>
                      <w:highlight w:val="none"/>
                      <w:lang w:eastAsia="zh-CN"/>
                    </w:rPr>
                    <w:t>粉煤灰储罐储存，密闭管道输送</w:t>
                  </w:r>
                </w:p>
              </w:tc>
            </w:tr>
            <w:tr w14:paraId="08EFE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1293" w:type="dxa"/>
                  <w:vMerge w:val="continue"/>
                  <w:noWrap w:val="0"/>
                  <w:vAlign w:val="center"/>
                </w:tcPr>
                <w:p w14:paraId="735D90A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2142" w:type="dxa"/>
                  <w:noWrap w:val="0"/>
                  <w:vAlign w:val="center"/>
                </w:tcPr>
                <w:p w14:paraId="700DA128">
                  <w:pPr>
                    <w:jc w:val="center"/>
                    <w:rPr>
                      <w:rFonts w:hint="default" w:ascii="Times New Roman" w:hAnsi="Times New Roman" w:eastAsia="宋体" w:cs="Times New Roman"/>
                      <w:b w:val="0"/>
                      <w:bCs/>
                      <w:i w:val="0"/>
                      <w:iCs w:val="0"/>
                      <w:color w:val="auto"/>
                      <w:kern w:val="0"/>
                      <w:sz w:val="21"/>
                      <w:szCs w:val="21"/>
                      <w:highlight w:val="none"/>
                      <w:u w:val="none"/>
                      <w:lang w:val="en-US" w:eastAsia="zh-CN" w:bidi="ar"/>
                    </w:rPr>
                  </w:pPr>
                  <w:r>
                    <w:rPr>
                      <w:rFonts w:hint="default" w:ascii="Times New Roman" w:hAnsi="Times New Roman" w:cs="Times New Roman"/>
                      <w:color w:val="auto"/>
                      <w:szCs w:val="21"/>
                      <w:highlight w:val="none"/>
                    </w:rPr>
                    <w:t>聚羧基减水剂</w:t>
                  </w:r>
                </w:p>
              </w:tc>
              <w:tc>
                <w:tcPr>
                  <w:tcW w:w="2209" w:type="dxa"/>
                  <w:noWrap w:val="0"/>
                  <w:vAlign w:val="center"/>
                </w:tcPr>
                <w:p w14:paraId="003EE55C">
                  <w:pPr>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400</w:t>
                  </w:r>
                </w:p>
              </w:tc>
              <w:tc>
                <w:tcPr>
                  <w:tcW w:w="3453" w:type="dxa"/>
                  <w:noWrap w:val="0"/>
                  <w:vAlign w:val="center"/>
                </w:tcPr>
                <w:p w14:paraId="159AADC1">
                  <w:pPr>
                    <w:keepNext w:val="0"/>
                    <w:keepLines w:val="0"/>
                    <w:widowControl/>
                    <w:suppressLineNumbers w:val="0"/>
                    <w:jc w:val="center"/>
                    <w:textAlignment w:val="center"/>
                    <w:rPr>
                      <w:rFonts w:hint="default" w:ascii="Times New Roman" w:hAnsi="Times New Roman" w:cs="Times New Roman"/>
                      <w:b w:val="0"/>
                      <w:bCs/>
                      <w:color w:val="auto"/>
                      <w:szCs w:val="21"/>
                      <w:highlight w:val="none"/>
                      <w:vertAlign w:val="baseline"/>
                      <w:lang w:val="en-US" w:eastAsia="zh-CN"/>
                    </w:rPr>
                  </w:pPr>
                  <w:r>
                    <w:rPr>
                      <w:rFonts w:hint="default" w:ascii="Times New Roman" w:hAnsi="Times New Roman" w:cs="Times New Roman"/>
                      <w:color w:val="auto"/>
                      <w:szCs w:val="21"/>
                      <w:highlight w:val="none"/>
                      <w:lang w:eastAsia="zh-CN"/>
                    </w:rPr>
                    <w:t>减水剂罐储存，密闭管道输送</w:t>
                  </w:r>
                </w:p>
              </w:tc>
            </w:tr>
            <w:tr w14:paraId="3CF72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293" w:type="dxa"/>
                  <w:vMerge w:val="continue"/>
                  <w:noWrap w:val="0"/>
                  <w:vAlign w:val="center"/>
                </w:tcPr>
                <w:p w14:paraId="2003A96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2142" w:type="dxa"/>
                  <w:noWrap w:val="0"/>
                  <w:vAlign w:val="center"/>
                </w:tcPr>
                <w:p w14:paraId="7A4FEC6E">
                  <w:pPr>
                    <w:spacing w:before="24" w:beforeLines="10" w:after="24" w:afterLines="10" w:line="240" w:lineRule="exact"/>
                    <w:jc w:val="center"/>
                    <w:rPr>
                      <w:rFonts w:hint="default" w:ascii="Times New Roman" w:hAnsi="Times New Roman" w:eastAsia="宋体" w:cs="Times New Roman"/>
                      <w:b/>
                      <w:color w:val="auto"/>
                      <w:kern w:val="2"/>
                      <w:sz w:val="21"/>
                      <w:szCs w:val="21"/>
                      <w:highlight w:val="none"/>
                      <w:vertAlign w:val="baseline"/>
                      <w:lang w:val="en-US" w:eastAsia="zh-CN" w:bidi="ar-SA"/>
                    </w:rPr>
                  </w:pPr>
                  <w:r>
                    <w:rPr>
                      <w:rFonts w:hint="default" w:ascii="Times New Roman" w:hAnsi="Times New Roman" w:eastAsia="宋体" w:cs="Times New Roman"/>
                      <w:b w:val="0"/>
                      <w:bCs/>
                      <w:i w:val="0"/>
                      <w:iCs w:val="0"/>
                      <w:color w:val="auto"/>
                      <w:kern w:val="0"/>
                      <w:sz w:val="21"/>
                      <w:szCs w:val="21"/>
                      <w:highlight w:val="none"/>
                      <w:u w:val="none"/>
                      <w:lang w:val="en-US" w:eastAsia="zh-CN" w:bidi="ar"/>
                    </w:rPr>
                    <w:t>钢筋</w:t>
                  </w:r>
                </w:p>
              </w:tc>
              <w:tc>
                <w:tcPr>
                  <w:tcW w:w="2209" w:type="dxa"/>
                  <w:noWrap w:val="0"/>
                  <w:vAlign w:val="center"/>
                </w:tcPr>
                <w:p w14:paraId="00932764">
                  <w:pPr>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25000</w:t>
                  </w:r>
                </w:p>
              </w:tc>
              <w:tc>
                <w:tcPr>
                  <w:tcW w:w="3453" w:type="dxa"/>
                  <w:noWrap w:val="0"/>
                  <w:vAlign w:val="center"/>
                </w:tcPr>
                <w:p w14:paraId="6DA53FDC">
                  <w:pPr>
                    <w:keepNext w:val="0"/>
                    <w:keepLines w:val="0"/>
                    <w:widowControl/>
                    <w:suppressLineNumbers w:val="0"/>
                    <w:jc w:val="center"/>
                    <w:textAlignment w:val="center"/>
                    <w:rPr>
                      <w:rFonts w:hint="default" w:ascii="Times New Roman" w:hAnsi="Times New Roman" w:cs="Times New Roman"/>
                      <w:b w:val="0"/>
                      <w:bCs/>
                      <w:color w:val="auto"/>
                      <w:szCs w:val="21"/>
                      <w:highlight w:val="none"/>
                      <w:vertAlign w:val="baseline"/>
                      <w:lang w:val="en-US" w:eastAsia="zh-CN"/>
                    </w:rPr>
                  </w:pPr>
                  <w:r>
                    <w:rPr>
                      <w:rFonts w:hint="default" w:ascii="Times New Roman" w:hAnsi="Times New Roman" w:cs="Times New Roman"/>
                      <w:b w:val="0"/>
                      <w:bCs/>
                      <w:i w:val="0"/>
                      <w:iCs w:val="0"/>
                      <w:color w:val="auto"/>
                      <w:kern w:val="0"/>
                      <w:sz w:val="21"/>
                      <w:szCs w:val="21"/>
                      <w:highlight w:val="none"/>
                      <w:u w:val="none"/>
                      <w:lang w:val="en-US" w:eastAsia="zh-CN" w:bidi="ar"/>
                    </w:rPr>
                    <w:t>堆放</w:t>
                  </w:r>
                </w:p>
              </w:tc>
            </w:tr>
            <w:tr w14:paraId="2A830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1293" w:type="dxa"/>
                  <w:vMerge w:val="continue"/>
                  <w:noWrap w:val="0"/>
                  <w:vAlign w:val="center"/>
                </w:tcPr>
                <w:p w14:paraId="1FA5AE6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2142" w:type="dxa"/>
                  <w:noWrap w:val="0"/>
                  <w:vAlign w:val="center"/>
                </w:tcPr>
                <w:p w14:paraId="47E19D04">
                  <w:pPr>
                    <w:keepNext w:val="0"/>
                    <w:keepLines w:val="0"/>
                    <w:widowControl/>
                    <w:suppressLineNumbers w:val="0"/>
                    <w:jc w:val="center"/>
                    <w:textAlignment w:val="center"/>
                    <w:rPr>
                      <w:rFonts w:hint="default" w:ascii="Times New Roman" w:hAnsi="Times New Roman" w:cs="Times New Roman"/>
                      <w:bCs/>
                      <w:color w:val="auto"/>
                      <w:kern w:val="18"/>
                      <w:szCs w:val="21"/>
                      <w:highlight w:val="none"/>
                    </w:rPr>
                  </w:pPr>
                  <w:r>
                    <w:rPr>
                      <w:rFonts w:hint="default" w:ascii="Times New Roman" w:hAnsi="Times New Roman" w:cs="Times New Roman"/>
                      <w:bCs/>
                      <w:color w:val="auto"/>
                      <w:kern w:val="18"/>
                      <w:szCs w:val="21"/>
                      <w:highlight w:val="none"/>
                    </w:rPr>
                    <w:t>水</w:t>
                  </w:r>
                </w:p>
              </w:tc>
              <w:tc>
                <w:tcPr>
                  <w:tcW w:w="2209" w:type="dxa"/>
                  <w:noWrap w:val="0"/>
                  <w:vAlign w:val="center"/>
                </w:tcPr>
                <w:p w14:paraId="6B5EDC38">
                  <w:pPr>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12500</w:t>
                  </w:r>
                </w:p>
              </w:tc>
              <w:tc>
                <w:tcPr>
                  <w:tcW w:w="3453" w:type="dxa"/>
                  <w:noWrap w:val="0"/>
                  <w:vAlign w:val="center"/>
                </w:tcPr>
                <w:p w14:paraId="7578ABD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r>
            <w:tr w14:paraId="0C291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1293" w:type="dxa"/>
                  <w:vMerge w:val="restart"/>
                  <w:noWrap w:val="0"/>
                  <w:vAlign w:val="center"/>
                </w:tcPr>
                <w:p w14:paraId="5921687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辅料</w:t>
                  </w:r>
                </w:p>
              </w:tc>
              <w:tc>
                <w:tcPr>
                  <w:tcW w:w="2142" w:type="dxa"/>
                  <w:noWrap w:val="0"/>
                  <w:vAlign w:val="center"/>
                </w:tcPr>
                <w:p w14:paraId="7FA656E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模具</w:t>
                  </w:r>
                </w:p>
              </w:tc>
              <w:tc>
                <w:tcPr>
                  <w:tcW w:w="2209" w:type="dxa"/>
                  <w:noWrap w:val="0"/>
                  <w:vAlign w:val="center"/>
                </w:tcPr>
                <w:p w14:paraId="32247C8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200套/年</w:t>
                  </w:r>
                </w:p>
              </w:tc>
              <w:tc>
                <w:tcPr>
                  <w:tcW w:w="3453" w:type="dxa"/>
                  <w:noWrap w:val="0"/>
                  <w:vAlign w:val="center"/>
                </w:tcPr>
                <w:p w14:paraId="543DF7A5">
                  <w:pPr>
                    <w:keepNext w:val="0"/>
                    <w:keepLines w:val="0"/>
                    <w:widowControl/>
                    <w:suppressLineNumbers w:val="0"/>
                    <w:jc w:val="center"/>
                    <w:textAlignment w:val="center"/>
                    <w:rPr>
                      <w:rFonts w:hint="default" w:ascii="Times New Roman" w:hAnsi="Times New Roman" w:cs="Times New Roman"/>
                      <w:b w:val="0"/>
                      <w:bCs/>
                      <w:color w:val="auto"/>
                      <w:szCs w:val="21"/>
                      <w:highlight w:val="none"/>
                      <w:vertAlign w:val="baseline"/>
                      <w:lang w:val="en-US" w:eastAsia="zh-CN"/>
                    </w:rPr>
                  </w:pPr>
                  <w:r>
                    <w:rPr>
                      <w:rFonts w:hint="default" w:ascii="Times New Roman" w:hAnsi="Times New Roman" w:cs="Times New Roman"/>
                      <w:b w:val="0"/>
                      <w:bCs/>
                      <w:color w:val="auto"/>
                      <w:szCs w:val="21"/>
                      <w:highlight w:val="none"/>
                      <w:vertAlign w:val="baseline"/>
                      <w:lang w:val="en-US" w:eastAsia="zh-CN"/>
                    </w:rPr>
                    <w:t>堆放，存于原料仓库</w:t>
                  </w:r>
                </w:p>
              </w:tc>
            </w:tr>
            <w:tr w14:paraId="5B9C9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1293" w:type="dxa"/>
                  <w:vMerge w:val="continue"/>
                  <w:noWrap w:val="0"/>
                  <w:vAlign w:val="center"/>
                </w:tcPr>
                <w:p w14:paraId="272010F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2142" w:type="dxa"/>
                  <w:noWrap w:val="0"/>
                  <w:vAlign w:val="center"/>
                </w:tcPr>
                <w:p w14:paraId="27DB71A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塑料薄膜</w:t>
                  </w:r>
                </w:p>
              </w:tc>
              <w:tc>
                <w:tcPr>
                  <w:tcW w:w="2209" w:type="dxa"/>
                  <w:noWrap w:val="0"/>
                  <w:vAlign w:val="center"/>
                </w:tcPr>
                <w:p w14:paraId="34C4765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3453" w:type="dxa"/>
                  <w:noWrap w:val="0"/>
                  <w:vAlign w:val="center"/>
                </w:tcPr>
                <w:p w14:paraId="1C424EC3">
                  <w:pPr>
                    <w:keepNext w:val="0"/>
                    <w:keepLines w:val="0"/>
                    <w:widowControl/>
                    <w:suppressLineNumbers w:val="0"/>
                    <w:jc w:val="center"/>
                    <w:textAlignment w:val="center"/>
                    <w:rPr>
                      <w:rFonts w:hint="default" w:ascii="Times New Roman" w:hAnsi="Times New Roman" w:cs="Times New Roman"/>
                      <w:b w:val="0"/>
                      <w:bCs/>
                      <w:color w:val="auto"/>
                      <w:szCs w:val="21"/>
                      <w:highlight w:val="none"/>
                      <w:vertAlign w:val="baseline"/>
                      <w:lang w:val="en-US" w:eastAsia="zh-CN"/>
                    </w:rPr>
                  </w:pPr>
                  <w:r>
                    <w:rPr>
                      <w:rFonts w:hint="default" w:ascii="Times New Roman" w:hAnsi="Times New Roman" w:cs="Times New Roman"/>
                      <w:b w:val="0"/>
                      <w:bCs/>
                      <w:color w:val="auto"/>
                      <w:szCs w:val="21"/>
                      <w:highlight w:val="none"/>
                      <w:vertAlign w:val="baseline"/>
                      <w:lang w:val="en-US" w:eastAsia="zh-CN"/>
                    </w:rPr>
                    <w:t>堆放，存于原料仓库</w:t>
                  </w:r>
                </w:p>
              </w:tc>
            </w:tr>
            <w:tr w14:paraId="15BC2B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1293" w:type="dxa"/>
                  <w:vMerge w:val="continue"/>
                  <w:noWrap w:val="0"/>
                  <w:vAlign w:val="center"/>
                </w:tcPr>
                <w:p w14:paraId="055B65B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2142" w:type="dxa"/>
                  <w:noWrap w:val="0"/>
                  <w:vAlign w:val="center"/>
                </w:tcPr>
                <w:p w14:paraId="32C0F53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无铅实心焊丝</w:t>
                  </w:r>
                </w:p>
              </w:tc>
              <w:tc>
                <w:tcPr>
                  <w:tcW w:w="2209" w:type="dxa"/>
                  <w:noWrap w:val="0"/>
                  <w:vAlign w:val="center"/>
                </w:tcPr>
                <w:p w14:paraId="3DEFD88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w:t>
                  </w:r>
                </w:p>
              </w:tc>
              <w:tc>
                <w:tcPr>
                  <w:tcW w:w="3453" w:type="dxa"/>
                  <w:noWrap w:val="0"/>
                  <w:vAlign w:val="center"/>
                </w:tcPr>
                <w:p w14:paraId="269AEB9A">
                  <w:pPr>
                    <w:keepNext w:val="0"/>
                    <w:keepLines w:val="0"/>
                    <w:widowControl/>
                    <w:suppressLineNumbers w:val="0"/>
                    <w:jc w:val="center"/>
                    <w:textAlignment w:val="center"/>
                    <w:rPr>
                      <w:rFonts w:hint="default" w:ascii="Times New Roman" w:hAnsi="Times New Roman" w:cs="Times New Roman"/>
                      <w:b w:val="0"/>
                      <w:bCs/>
                      <w:color w:val="auto"/>
                      <w:szCs w:val="21"/>
                      <w:highlight w:val="none"/>
                      <w:vertAlign w:val="baseline"/>
                      <w:lang w:val="en-US" w:eastAsia="zh-CN"/>
                    </w:rPr>
                  </w:pPr>
                  <w:r>
                    <w:rPr>
                      <w:rFonts w:hint="default" w:ascii="Times New Roman" w:hAnsi="Times New Roman" w:cs="Times New Roman"/>
                      <w:b w:val="0"/>
                      <w:bCs/>
                      <w:color w:val="auto"/>
                      <w:szCs w:val="21"/>
                      <w:highlight w:val="none"/>
                      <w:vertAlign w:val="baseline"/>
                      <w:lang w:val="en-US" w:eastAsia="zh-CN"/>
                    </w:rPr>
                    <w:t>袋装，存于原料仓库</w:t>
                  </w:r>
                </w:p>
              </w:tc>
            </w:tr>
            <w:tr w14:paraId="0FA20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293" w:type="dxa"/>
                  <w:vMerge w:val="continue"/>
                  <w:noWrap w:val="0"/>
                  <w:vAlign w:val="center"/>
                </w:tcPr>
                <w:p w14:paraId="0F06393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2142" w:type="dxa"/>
                  <w:noWrap w:val="0"/>
                  <w:vAlign w:val="center"/>
                </w:tcPr>
                <w:p w14:paraId="7536E5A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脱模剂</w:t>
                  </w:r>
                </w:p>
              </w:tc>
              <w:tc>
                <w:tcPr>
                  <w:tcW w:w="2209" w:type="dxa"/>
                  <w:noWrap w:val="0"/>
                  <w:vAlign w:val="center"/>
                </w:tcPr>
                <w:p w14:paraId="60E2994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25</w:t>
                  </w:r>
                </w:p>
              </w:tc>
              <w:tc>
                <w:tcPr>
                  <w:tcW w:w="3453" w:type="dxa"/>
                  <w:noWrap w:val="0"/>
                  <w:vAlign w:val="center"/>
                </w:tcPr>
                <w:p w14:paraId="06743253">
                  <w:pPr>
                    <w:keepNext w:val="0"/>
                    <w:keepLines w:val="0"/>
                    <w:widowControl/>
                    <w:suppressLineNumbers w:val="0"/>
                    <w:jc w:val="center"/>
                    <w:textAlignment w:val="center"/>
                    <w:rPr>
                      <w:rFonts w:hint="default" w:ascii="Times New Roman" w:hAnsi="Times New Roman" w:cs="Times New Roman"/>
                      <w:b w:val="0"/>
                      <w:bCs/>
                      <w:color w:val="auto"/>
                      <w:szCs w:val="21"/>
                      <w:highlight w:val="none"/>
                      <w:vertAlign w:val="baseline"/>
                      <w:lang w:val="en-US" w:eastAsia="zh-CN"/>
                    </w:rPr>
                  </w:pPr>
                  <w:r>
                    <w:rPr>
                      <w:rFonts w:hint="default" w:ascii="Times New Roman" w:hAnsi="Times New Roman" w:cs="Times New Roman"/>
                      <w:b w:val="0"/>
                      <w:bCs/>
                      <w:color w:val="auto"/>
                      <w:szCs w:val="21"/>
                      <w:highlight w:val="none"/>
                      <w:vertAlign w:val="baseline"/>
                      <w:lang w:val="en-US" w:eastAsia="zh-CN"/>
                    </w:rPr>
                    <w:t>桶装，存于原料仓库</w:t>
                  </w:r>
                </w:p>
              </w:tc>
            </w:tr>
            <w:tr w14:paraId="3215A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1293" w:type="dxa"/>
                  <w:vMerge w:val="continue"/>
                  <w:noWrap w:val="0"/>
                  <w:vAlign w:val="center"/>
                </w:tcPr>
                <w:p w14:paraId="0D8511A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2142" w:type="dxa"/>
                  <w:noWrap w:val="0"/>
                  <w:vAlign w:val="center"/>
                </w:tcPr>
                <w:p w14:paraId="5638C2E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机油</w:t>
                  </w:r>
                </w:p>
              </w:tc>
              <w:tc>
                <w:tcPr>
                  <w:tcW w:w="2209" w:type="dxa"/>
                  <w:noWrap w:val="0"/>
                  <w:vAlign w:val="center"/>
                </w:tcPr>
                <w:p w14:paraId="7CF4A62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0.5</w:t>
                  </w:r>
                </w:p>
              </w:tc>
              <w:tc>
                <w:tcPr>
                  <w:tcW w:w="3453" w:type="dxa"/>
                  <w:noWrap w:val="0"/>
                  <w:vAlign w:val="center"/>
                </w:tcPr>
                <w:p w14:paraId="38F12E1B">
                  <w:pPr>
                    <w:keepNext w:val="0"/>
                    <w:keepLines w:val="0"/>
                    <w:widowControl/>
                    <w:suppressLineNumbers w:val="0"/>
                    <w:jc w:val="center"/>
                    <w:textAlignment w:val="center"/>
                    <w:rPr>
                      <w:rFonts w:hint="default" w:ascii="Times New Roman" w:hAnsi="Times New Roman" w:cs="Times New Roman"/>
                      <w:b w:val="0"/>
                      <w:bCs/>
                      <w:color w:val="auto"/>
                      <w:szCs w:val="21"/>
                      <w:highlight w:val="none"/>
                      <w:vertAlign w:val="baseline"/>
                      <w:lang w:val="en-US" w:eastAsia="zh-CN"/>
                    </w:rPr>
                  </w:pPr>
                  <w:r>
                    <w:rPr>
                      <w:rFonts w:hint="default" w:ascii="Times New Roman" w:hAnsi="Times New Roman" w:cs="Times New Roman"/>
                      <w:b w:val="0"/>
                      <w:bCs/>
                      <w:color w:val="auto"/>
                      <w:szCs w:val="21"/>
                      <w:highlight w:val="none"/>
                      <w:vertAlign w:val="baseline"/>
                      <w:lang w:val="en-US" w:eastAsia="zh-CN"/>
                    </w:rPr>
                    <w:t>桶装，存于原料仓库</w:t>
                  </w:r>
                </w:p>
              </w:tc>
            </w:tr>
            <w:tr w14:paraId="60CC7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1293" w:type="dxa"/>
                  <w:vMerge w:val="continue"/>
                  <w:noWrap w:val="0"/>
                  <w:vAlign w:val="center"/>
                </w:tcPr>
                <w:p w14:paraId="362A26E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2142" w:type="dxa"/>
                  <w:noWrap w:val="0"/>
                  <w:vAlign w:val="center"/>
                </w:tcPr>
                <w:p w14:paraId="64D582A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Times New Roman" w:cs="Times New Roman"/>
                      <w:color w:val="auto"/>
                      <w:kern w:val="2"/>
                      <w:sz w:val="21"/>
                      <w:szCs w:val="21"/>
                      <w:highlight w:val="none"/>
                      <w:lang w:val="en-US" w:eastAsia="zh-CN"/>
                    </w:rPr>
                    <w:t>CO</w:t>
                  </w:r>
                  <w:r>
                    <w:rPr>
                      <w:rFonts w:hint="default" w:ascii="Times New Roman" w:hAnsi="Times New Roman" w:eastAsia="Times New Roman" w:cs="Times New Roman"/>
                      <w:color w:val="auto"/>
                      <w:kern w:val="2"/>
                      <w:sz w:val="21"/>
                      <w:szCs w:val="21"/>
                      <w:highlight w:val="none"/>
                      <w:vertAlign w:val="subscript"/>
                      <w:lang w:val="en-US" w:eastAsia="zh-CN"/>
                    </w:rPr>
                    <w:t>2</w:t>
                  </w:r>
                  <w:r>
                    <w:rPr>
                      <w:rFonts w:hint="default" w:ascii="Times New Roman" w:hAnsi="Times New Roman" w:eastAsia="Times New Roman" w:cs="Times New Roman"/>
                      <w:color w:val="auto"/>
                      <w:kern w:val="2"/>
                      <w:sz w:val="21"/>
                      <w:szCs w:val="21"/>
                      <w:highlight w:val="none"/>
                      <w:lang w:val="en-US" w:eastAsia="zh-CN"/>
                    </w:rPr>
                    <w:t>保护气体</w:t>
                  </w:r>
                </w:p>
              </w:tc>
              <w:tc>
                <w:tcPr>
                  <w:tcW w:w="2209" w:type="dxa"/>
                  <w:noWrap w:val="0"/>
                  <w:vAlign w:val="center"/>
                </w:tcPr>
                <w:p w14:paraId="2F19FD1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w:t>
                  </w:r>
                </w:p>
              </w:tc>
              <w:tc>
                <w:tcPr>
                  <w:tcW w:w="3453" w:type="dxa"/>
                  <w:noWrap w:val="0"/>
                  <w:vAlign w:val="center"/>
                </w:tcPr>
                <w:p w14:paraId="36B74AF1">
                  <w:pPr>
                    <w:keepNext w:val="0"/>
                    <w:keepLines w:val="0"/>
                    <w:widowControl/>
                    <w:suppressLineNumbers w:val="0"/>
                    <w:jc w:val="center"/>
                    <w:textAlignment w:val="center"/>
                    <w:rPr>
                      <w:rFonts w:hint="default" w:ascii="Times New Roman" w:hAnsi="Times New Roman" w:cs="Times New Roman"/>
                      <w:b w:val="0"/>
                      <w:bCs/>
                      <w:color w:val="auto"/>
                      <w:szCs w:val="21"/>
                      <w:highlight w:val="none"/>
                      <w:vertAlign w:val="baseline"/>
                      <w:lang w:val="en-US" w:eastAsia="zh-CN"/>
                    </w:rPr>
                  </w:pPr>
                  <w:r>
                    <w:rPr>
                      <w:rFonts w:hint="default" w:ascii="Times New Roman" w:hAnsi="Times New Roman" w:cs="Times New Roman"/>
                      <w:b w:val="0"/>
                      <w:bCs/>
                      <w:color w:val="auto"/>
                      <w:szCs w:val="21"/>
                      <w:highlight w:val="none"/>
                      <w:vertAlign w:val="baseline"/>
                      <w:lang w:val="en-US" w:eastAsia="zh-CN"/>
                    </w:rPr>
                    <w:t>桶装，存于原料仓库</w:t>
                  </w:r>
                </w:p>
              </w:tc>
            </w:tr>
            <w:tr w14:paraId="6F27B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1293" w:type="dxa"/>
                  <w:vMerge w:val="continue"/>
                  <w:noWrap w:val="0"/>
                  <w:vAlign w:val="center"/>
                </w:tcPr>
                <w:p w14:paraId="2C5383C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2142" w:type="dxa"/>
                  <w:noWrap w:val="0"/>
                  <w:vAlign w:val="center"/>
                </w:tcPr>
                <w:p w14:paraId="0B34D08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 w:val="0"/>
                      <w:bCs w:val="0"/>
                      <w:i w:val="0"/>
                      <w:iCs w:val="0"/>
                      <w:color w:val="auto"/>
                      <w:kern w:val="0"/>
                      <w:sz w:val="21"/>
                      <w:szCs w:val="21"/>
                      <w:highlight w:val="none"/>
                      <w:u w:val="none"/>
                      <w:lang w:val="en-US" w:eastAsia="zh-CN" w:bidi="ar"/>
                    </w:rPr>
                    <w:t>管道天然气</w:t>
                  </w:r>
                </w:p>
              </w:tc>
              <w:tc>
                <w:tcPr>
                  <w:tcW w:w="2209" w:type="dxa"/>
                  <w:shd w:val="clear" w:color="auto" w:fill="auto"/>
                  <w:noWrap w:val="0"/>
                  <w:vAlign w:val="center"/>
                </w:tcPr>
                <w:p w14:paraId="004BBF92">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21"/>
                      <w:szCs w:val="21"/>
                      <w:highlight w:val="none"/>
                      <w:u w:val="none"/>
                      <w:lang w:val="en-US" w:eastAsia="zh-CN" w:bidi="ar"/>
                    </w:rPr>
                  </w:pPr>
                  <w:r>
                    <w:rPr>
                      <w:rFonts w:hint="default" w:ascii="Times New Roman" w:hAnsi="Times New Roman" w:eastAsia="宋体" w:cs="Times New Roman"/>
                      <w:b w:val="0"/>
                      <w:bCs w:val="0"/>
                      <w:color w:val="auto"/>
                      <w:kern w:val="2"/>
                      <w:sz w:val="21"/>
                      <w:szCs w:val="21"/>
                      <w:highlight w:val="none"/>
                      <w:lang w:val="en-US" w:eastAsia="zh-CN"/>
                    </w:rPr>
                    <w:t>17.832</w:t>
                  </w:r>
                  <w:r>
                    <w:rPr>
                      <w:rFonts w:hint="default" w:ascii="Times New Roman" w:hAnsi="Times New Roman" w:eastAsia="宋体" w:cs="Times New Roman"/>
                      <w:b w:val="0"/>
                      <w:bCs w:val="0"/>
                      <w:color w:val="auto"/>
                      <w:kern w:val="2"/>
                      <w:sz w:val="21"/>
                      <w:szCs w:val="21"/>
                      <w:highlight w:val="none"/>
                    </w:rPr>
                    <w:t>万m</w:t>
                  </w:r>
                  <w:r>
                    <w:rPr>
                      <w:rFonts w:hint="default" w:ascii="Times New Roman" w:hAnsi="Times New Roman" w:eastAsia="宋体" w:cs="Times New Roman"/>
                      <w:b w:val="0"/>
                      <w:bCs w:val="0"/>
                      <w:color w:val="auto"/>
                      <w:kern w:val="2"/>
                      <w:sz w:val="21"/>
                      <w:szCs w:val="21"/>
                      <w:highlight w:val="none"/>
                      <w:vertAlign w:val="superscript"/>
                    </w:rPr>
                    <w:t>3</w:t>
                  </w:r>
                  <w:r>
                    <w:rPr>
                      <w:rFonts w:hint="default" w:ascii="Times New Roman" w:hAnsi="Times New Roman" w:eastAsia="宋体" w:cs="Times New Roman"/>
                      <w:b w:val="0"/>
                      <w:bCs w:val="0"/>
                      <w:color w:val="auto"/>
                      <w:kern w:val="2"/>
                      <w:sz w:val="21"/>
                      <w:szCs w:val="21"/>
                      <w:highlight w:val="none"/>
                    </w:rPr>
                    <w:t>/a</w:t>
                  </w:r>
                  <w:r>
                    <w:rPr>
                      <w:rFonts w:hint="default" w:ascii="Times New Roman" w:hAnsi="Times New Roman" w:eastAsia="宋体" w:cs="Times New Roman"/>
                      <w:b w:val="0"/>
                      <w:bCs w:val="0"/>
                      <w:color w:val="auto"/>
                      <w:kern w:val="2"/>
                      <w:sz w:val="21"/>
                      <w:szCs w:val="21"/>
                      <w:highlight w:val="none"/>
                      <w:lang w:eastAsia="zh-CN"/>
                    </w:rPr>
                    <w:t>（</w:t>
                  </w:r>
                  <w:r>
                    <w:rPr>
                      <w:rFonts w:hint="default" w:ascii="Times New Roman" w:hAnsi="Times New Roman" w:eastAsia="宋体" w:cs="Times New Roman"/>
                      <w:b w:val="0"/>
                      <w:bCs w:val="0"/>
                      <w:color w:val="auto"/>
                      <w:kern w:val="0"/>
                      <w:sz w:val="21"/>
                      <w:szCs w:val="21"/>
                      <w:highlight w:val="none"/>
                      <w:lang w:val="en-US" w:eastAsia="zh-CN" w:bidi="ar"/>
                    </w:rPr>
                    <w:t>127.93t/a</w:t>
                  </w:r>
                  <w:r>
                    <w:rPr>
                      <w:rFonts w:hint="default" w:ascii="Times New Roman" w:hAnsi="Times New Roman" w:eastAsia="宋体" w:cs="Times New Roman"/>
                      <w:b w:val="0"/>
                      <w:bCs w:val="0"/>
                      <w:color w:val="auto"/>
                      <w:kern w:val="2"/>
                      <w:sz w:val="21"/>
                      <w:szCs w:val="21"/>
                      <w:highlight w:val="none"/>
                      <w:lang w:eastAsia="zh-CN"/>
                    </w:rPr>
                    <w:t>）</w:t>
                  </w:r>
                </w:p>
              </w:tc>
              <w:tc>
                <w:tcPr>
                  <w:tcW w:w="3453" w:type="dxa"/>
                  <w:noWrap w:val="0"/>
                  <w:vAlign w:val="center"/>
                </w:tcPr>
                <w:p w14:paraId="0CFA10DF">
                  <w:pPr>
                    <w:keepNext w:val="0"/>
                    <w:keepLines w:val="0"/>
                    <w:widowControl/>
                    <w:suppressLineNumbers w:val="0"/>
                    <w:jc w:val="center"/>
                    <w:textAlignment w:val="center"/>
                    <w:rPr>
                      <w:rFonts w:hint="default" w:ascii="Times New Roman" w:hAnsi="Times New Roman" w:cs="Times New Roman"/>
                      <w:b w:val="0"/>
                      <w:bCs/>
                      <w:color w:val="auto"/>
                      <w:szCs w:val="21"/>
                      <w:highlight w:val="none"/>
                      <w:vertAlign w:val="baseline"/>
                      <w:lang w:val="en-US" w:eastAsia="zh-CN"/>
                    </w:rPr>
                  </w:pPr>
                  <w:r>
                    <w:rPr>
                      <w:rFonts w:hint="eastAsia" w:ascii="Times New Roman" w:hAnsi="Times New Roman" w:cs="Times New Roman"/>
                      <w:b w:val="0"/>
                      <w:bCs/>
                      <w:color w:val="auto"/>
                      <w:szCs w:val="21"/>
                      <w:highlight w:val="none"/>
                      <w:vertAlign w:val="baseline"/>
                      <w:lang w:val="en-US" w:eastAsia="zh-CN"/>
                    </w:rPr>
                    <w:t>管道缓存</w:t>
                  </w:r>
                </w:p>
              </w:tc>
            </w:tr>
            <w:tr w14:paraId="0E22E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1293" w:type="dxa"/>
                  <w:vMerge w:val="continue"/>
                  <w:noWrap w:val="0"/>
                  <w:vAlign w:val="center"/>
                </w:tcPr>
                <w:p w14:paraId="74C8561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2142" w:type="dxa"/>
                  <w:noWrap w:val="0"/>
                  <w:vAlign w:val="center"/>
                </w:tcPr>
                <w:p w14:paraId="0595B5D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Cs/>
                      <w:color w:val="auto"/>
                      <w:sz w:val="21"/>
                      <w:szCs w:val="21"/>
                      <w:highlight w:val="none"/>
                      <w:lang w:val="en-US" w:eastAsia="zh-CN"/>
                    </w:rPr>
                    <w:t>片碱</w:t>
                  </w:r>
                </w:p>
              </w:tc>
              <w:tc>
                <w:tcPr>
                  <w:tcW w:w="2209" w:type="dxa"/>
                  <w:noWrap w:val="0"/>
                  <w:vAlign w:val="center"/>
                </w:tcPr>
                <w:p w14:paraId="5C97238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 w:val="0"/>
                      <w:bCs w:val="0"/>
                      <w:color w:val="auto"/>
                      <w:kern w:val="2"/>
                      <w:sz w:val="21"/>
                      <w:szCs w:val="21"/>
                      <w:highlight w:val="none"/>
                      <w:lang w:val="en-US" w:eastAsia="zh-CN"/>
                    </w:rPr>
                    <w:t>0.08</w:t>
                  </w:r>
                </w:p>
              </w:tc>
              <w:tc>
                <w:tcPr>
                  <w:tcW w:w="3453" w:type="dxa"/>
                  <w:noWrap w:val="0"/>
                  <w:vAlign w:val="center"/>
                </w:tcPr>
                <w:p w14:paraId="2AC181AD">
                  <w:pPr>
                    <w:keepNext w:val="0"/>
                    <w:keepLines w:val="0"/>
                    <w:widowControl/>
                    <w:suppressLineNumbers w:val="0"/>
                    <w:jc w:val="center"/>
                    <w:textAlignment w:val="center"/>
                    <w:rPr>
                      <w:rFonts w:hint="default" w:ascii="Times New Roman" w:hAnsi="Times New Roman" w:cs="Times New Roman"/>
                      <w:b w:val="0"/>
                      <w:bCs/>
                      <w:color w:val="auto"/>
                      <w:szCs w:val="21"/>
                      <w:highlight w:val="none"/>
                      <w:vertAlign w:val="baseline"/>
                      <w:lang w:val="en-US" w:eastAsia="zh-CN"/>
                    </w:rPr>
                  </w:pPr>
                  <w:r>
                    <w:rPr>
                      <w:rFonts w:hint="default" w:ascii="Times New Roman" w:hAnsi="Times New Roman" w:cs="Times New Roman"/>
                      <w:b w:val="0"/>
                      <w:bCs/>
                      <w:color w:val="auto"/>
                      <w:szCs w:val="21"/>
                      <w:highlight w:val="none"/>
                      <w:vertAlign w:val="baseline"/>
                      <w:lang w:val="en-US" w:eastAsia="zh-CN"/>
                    </w:rPr>
                    <w:t>袋装，存于原料仓库</w:t>
                  </w:r>
                </w:p>
              </w:tc>
            </w:tr>
            <w:tr w14:paraId="128FC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1293" w:type="dxa"/>
                  <w:vMerge w:val="continue"/>
                  <w:noWrap w:val="0"/>
                  <w:vAlign w:val="center"/>
                </w:tcPr>
                <w:p w14:paraId="02C7BC1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2142" w:type="dxa"/>
                  <w:noWrap w:val="0"/>
                  <w:vAlign w:val="center"/>
                </w:tcPr>
                <w:p w14:paraId="515EAB2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Cs/>
                      <w:color w:val="auto"/>
                      <w:sz w:val="21"/>
                      <w:szCs w:val="21"/>
                      <w:highlight w:val="none"/>
                      <w:lang w:val="en-US" w:eastAsia="zh-CN"/>
                    </w:rPr>
                    <w:t>PAM</w:t>
                  </w:r>
                </w:p>
              </w:tc>
              <w:tc>
                <w:tcPr>
                  <w:tcW w:w="2209" w:type="dxa"/>
                  <w:noWrap w:val="0"/>
                  <w:vAlign w:val="center"/>
                </w:tcPr>
                <w:p w14:paraId="56C31DF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 w:val="0"/>
                      <w:bCs w:val="0"/>
                      <w:color w:val="auto"/>
                      <w:kern w:val="2"/>
                      <w:sz w:val="21"/>
                      <w:szCs w:val="21"/>
                      <w:highlight w:val="none"/>
                      <w:lang w:val="en-US" w:eastAsia="zh-CN"/>
                    </w:rPr>
                    <w:t>0.04</w:t>
                  </w:r>
                </w:p>
              </w:tc>
              <w:tc>
                <w:tcPr>
                  <w:tcW w:w="3453" w:type="dxa"/>
                  <w:noWrap w:val="0"/>
                  <w:vAlign w:val="center"/>
                </w:tcPr>
                <w:p w14:paraId="7720CB21">
                  <w:pPr>
                    <w:keepNext w:val="0"/>
                    <w:keepLines w:val="0"/>
                    <w:widowControl/>
                    <w:suppressLineNumbers w:val="0"/>
                    <w:jc w:val="center"/>
                    <w:textAlignment w:val="center"/>
                    <w:rPr>
                      <w:rFonts w:hint="default" w:ascii="Times New Roman" w:hAnsi="Times New Roman" w:cs="Times New Roman"/>
                      <w:b w:val="0"/>
                      <w:bCs/>
                      <w:color w:val="auto"/>
                      <w:szCs w:val="21"/>
                      <w:highlight w:val="none"/>
                      <w:vertAlign w:val="baseline"/>
                      <w:lang w:val="en-US" w:eastAsia="zh-CN"/>
                    </w:rPr>
                  </w:pPr>
                  <w:r>
                    <w:rPr>
                      <w:rFonts w:hint="default" w:ascii="Times New Roman" w:hAnsi="Times New Roman" w:cs="Times New Roman"/>
                      <w:b w:val="0"/>
                      <w:bCs/>
                      <w:color w:val="auto"/>
                      <w:szCs w:val="21"/>
                      <w:highlight w:val="none"/>
                      <w:vertAlign w:val="baseline"/>
                      <w:lang w:val="en-US" w:eastAsia="zh-CN"/>
                    </w:rPr>
                    <w:t>袋装，存于原料仓库</w:t>
                  </w:r>
                </w:p>
              </w:tc>
            </w:tr>
            <w:tr w14:paraId="63743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93" w:type="dxa"/>
                  <w:vMerge w:val="continue"/>
                  <w:noWrap w:val="0"/>
                  <w:vAlign w:val="center"/>
                </w:tcPr>
                <w:p w14:paraId="6AD7911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2142" w:type="dxa"/>
                  <w:noWrap w:val="0"/>
                  <w:vAlign w:val="center"/>
                </w:tcPr>
                <w:p w14:paraId="75D7123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Cs/>
                      <w:color w:val="auto"/>
                      <w:sz w:val="21"/>
                      <w:szCs w:val="21"/>
                      <w:highlight w:val="none"/>
                      <w:lang w:val="en-US" w:eastAsia="zh-CN"/>
                    </w:rPr>
                    <w:t>PAC</w:t>
                  </w:r>
                </w:p>
              </w:tc>
              <w:tc>
                <w:tcPr>
                  <w:tcW w:w="2209" w:type="dxa"/>
                  <w:noWrap w:val="0"/>
                  <w:vAlign w:val="center"/>
                </w:tcPr>
                <w:p w14:paraId="09D55EF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 w:val="0"/>
                      <w:bCs w:val="0"/>
                      <w:color w:val="auto"/>
                      <w:kern w:val="2"/>
                      <w:sz w:val="21"/>
                      <w:szCs w:val="21"/>
                      <w:highlight w:val="none"/>
                      <w:lang w:val="en-US" w:eastAsia="zh-CN"/>
                    </w:rPr>
                    <w:t>0.5</w:t>
                  </w:r>
                </w:p>
              </w:tc>
              <w:tc>
                <w:tcPr>
                  <w:tcW w:w="3453" w:type="dxa"/>
                  <w:noWrap w:val="0"/>
                  <w:vAlign w:val="center"/>
                </w:tcPr>
                <w:p w14:paraId="091E20D7">
                  <w:pPr>
                    <w:keepNext w:val="0"/>
                    <w:keepLines w:val="0"/>
                    <w:widowControl/>
                    <w:suppressLineNumbers w:val="0"/>
                    <w:jc w:val="center"/>
                    <w:textAlignment w:val="center"/>
                    <w:rPr>
                      <w:rFonts w:hint="default" w:ascii="Times New Roman" w:hAnsi="Times New Roman" w:cs="Times New Roman"/>
                      <w:b w:val="0"/>
                      <w:bCs/>
                      <w:color w:val="auto"/>
                      <w:szCs w:val="21"/>
                      <w:highlight w:val="none"/>
                      <w:vertAlign w:val="baseline"/>
                      <w:lang w:val="en-US" w:eastAsia="zh-CN"/>
                    </w:rPr>
                  </w:pPr>
                  <w:r>
                    <w:rPr>
                      <w:rFonts w:hint="default" w:ascii="Times New Roman" w:hAnsi="Times New Roman" w:cs="Times New Roman"/>
                      <w:b w:val="0"/>
                      <w:bCs/>
                      <w:color w:val="auto"/>
                      <w:szCs w:val="21"/>
                      <w:highlight w:val="none"/>
                      <w:vertAlign w:val="baseline"/>
                      <w:lang w:val="en-US" w:eastAsia="zh-CN"/>
                    </w:rPr>
                    <w:t>袋装，存于原料仓库</w:t>
                  </w:r>
                </w:p>
              </w:tc>
            </w:tr>
          </w:tbl>
          <w:p w14:paraId="43587D1C">
            <w:pPr>
              <w:keepNext w:val="0"/>
              <w:keepLines w:val="0"/>
              <w:pageBreakBefore w:val="0"/>
              <w:widowControl w:val="0"/>
              <w:kinsoku/>
              <w:wordWrap/>
              <w:overflowPunct/>
              <w:topLinePunct w:val="0"/>
              <w:autoSpaceDE/>
              <w:autoSpaceDN/>
              <w:bidi w:val="0"/>
              <w:adjustRightInd w:val="0"/>
              <w:snapToGrid w:val="0"/>
              <w:spacing w:after="0" w:line="360" w:lineRule="auto"/>
              <w:ind w:firstLine="422" w:firstLineChars="200"/>
              <w:jc w:val="both"/>
              <w:textAlignment w:val="auto"/>
              <w:rPr>
                <w:rFonts w:hint="default" w:ascii="Times New Roman" w:hAnsi="Times New Roman" w:eastAsia="宋体" w:cs="Times New Roman"/>
                <w:b/>
                <w:color w:val="auto"/>
                <w:kern w:val="2"/>
                <w:sz w:val="21"/>
                <w:szCs w:val="21"/>
                <w:highlight w:val="none"/>
                <w:lang w:val="en-US" w:eastAsia="zh-CN"/>
              </w:rPr>
            </w:pPr>
            <w:r>
              <w:rPr>
                <w:rFonts w:hint="default" w:ascii="Times New Roman" w:hAnsi="Times New Roman" w:eastAsia="宋体" w:cs="Times New Roman"/>
                <w:b/>
                <w:color w:val="auto"/>
                <w:kern w:val="2"/>
                <w:sz w:val="21"/>
                <w:szCs w:val="21"/>
                <w:highlight w:val="none"/>
                <w:lang w:val="en-US" w:eastAsia="zh-CN"/>
              </w:rPr>
              <w:t>根据业主提供的产品混凝土原料配比（见附件5）可知，项目轨道板及轨枕混凝土（等级C60）每立方米（2450Kg）调配比例如下表：</w:t>
            </w:r>
          </w:p>
          <w:p w14:paraId="733486D2">
            <w:pPr>
              <w:adjustRightInd w:val="0"/>
              <w:snapToGrid w:val="0"/>
              <w:jc w:val="center"/>
              <w:rPr>
                <w:rFonts w:hint="default" w:ascii="Times New Roman" w:hAnsi="Times New Roman" w:eastAsia="宋体" w:cs="Times New Roman"/>
                <w:b/>
                <w:color w:val="auto"/>
                <w:szCs w:val="21"/>
                <w:highlight w:val="none"/>
                <w:lang w:eastAsia="zh-CN"/>
              </w:rPr>
            </w:pPr>
            <w:r>
              <w:rPr>
                <w:rFonts w:hint="default" w:ascii="Times New Roman" w:hAnsi="Times New Roman" w:cs="Times New Roman"/>
                <w:b/>
                <w:color w:val="auto"/>
                <w:szCs w:val="21"/>
                <w:highlight w:val="none"/>
              </w:rPr>
              <w:t>表</w:t>
            </w:r>
            <w:r>
              <w:rPr>
                <w:rFonts w:hint="default" w:ascii="Times New Roman" w:hAnsi="Times New Roman" w:cs="Times New Roman"/>
                <w:b/>
                <w:color w:val="auto"/>
                <w:szCs w:val="21"/>
                <w:highlight w:val="none"/>
                <w:lang w:val="en-US" w:eastAsia="zh-CN"/>
              </w:rPr>
              <w:t>2-5 项目每立方米混凝土（2450kg）调配比例</w:t>
            </w:r>
            <w:r>
              <w:rPr>
                <w:rFonts w:hint="default" w:ascii="Times New Roman" w:hAnsi="Times New Roman" w:cs="Times New Roman"/>
                <w:b/>
                <w:color w:val="auto"/>
                <w:szCs w:val="21"/>
                <w:highlight w:val="none"/>
                <w:lang w:eastAsia="zh-CN"/>
              </w:rPr>
              <w:t>一览</w:t>
            </w:r>
            <w:r>
              <w:rPr>
                <w:rFonts w:hint="default" w:ascii="Times New Roman" w:hAnsi="Times New Roman" w:cs="Times New Roman"/>
                <w:b/>
                <w:color w:val="auto"/>
                <w:szCs w:val="21"/>
                <w:highlight w:val="none"/>
              </w:rPr>
              <w:t>表</w:t>
            </w:r>
          </w:p>
          <w:tbl>
            <w:tblPr>
              <w:tblStyle w:val="35"/>
              <w:tblW w:w="89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6"/>
              <w:gridCol w:w="1182"/>
              <w:gridCol w:w="1216"/>
              <w:gridCol w:w="996"/>
              <w:gridCol w:w="1292"/>
              <w:gridCol w:w="1114"/>
              <w:gridCol w:w="1270"/>
            </w:tblGrid>
            <w:tr w14:paraId="4B4FC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926" w:type="dxa"/>
                  <w:vAlign w:val="center"/>
                </w:tcPr>
                <w:p w14:paraId="114C45B6">
                  <w:pPr>
                    <w:keepLines w:val="0"/>
                    <w:pageBreakBefore w:val="0"/>
                    <w:widowControl w:val="0"/>
                    <w:kinsoku/>
                    <w:wordWrap/>
                    <w:topLinePunct w:val="0"/>
                    <w:bidi w:val="0"/>
                    <w:adjustRightInd w:val="0"/>
                    <w:snapToGrid w:val="0"/>
                    <w:spacing w:after="0"/>
                    <w:jc w:val="center"/>
                    <w:rPr>
                      <w:rFonts w:hint="default" w:ascii="Times New Roman" w:hAnsi="Times New Roman" w:eastAsia="宋体" w:cs="Times New Roman"/>
                      <w:b/>
                      <w:color w:val="auto"/>
                      <w:kern w:val="2"/>
                      <w:sz w:val="21"/>
                      <w:szCs w:val="21"/>
                      <w:highlight w:val="none"/>
                      <w:vertAlign w:val="baseline"/>
                      <w:lang w:val="en-US" w:eastAsia="zh-CN"/>
                    </w:rPr>
                  </w:pPr>
                  <w:r>
                    <w:rPr>
                      <w:rFonts w:hint="default" w:ascii="Times New Roman" w:hAnsi="Times New Roman" w:eastAsia="宋体" w:cs="Times New Roman"/>
                      <w:b/>
                      <w:color w:val="auto"/>
                      <w:kern w:val="2"/>
                      <w:sz w:val="21"/>
                      <w:szCs w:val="21"/>
                      <w:highlight w:val="none"/>
                      <w:vertAlign w:val="baseline"/>
                      <w:lang w:val="en-US" w:eastAsia="zh-CN"/>
                    </w:rPr>
                    <w:t>项目</w:t>
                  </w:r>
                </w:p>
              </w:tc>
              <w:tc>
                <w:tcPr>
                  <w:tcW w:w="1182" w:type="dxa"/>
                  <w:vAlign w:val="center"/>
                </w:tcPr>
                <w:p w14:paraId="7DBF52EA">
                  <w:pPr>
                    <w:keepLines w:val="0"/>
                    <w:pageBreakBefore w:val="0"/>
                    <w:widowControl w:val="0"/>
                    <w:kinsoku/>
                    <w:wordWrap/>
                    <w:topLinePunct w:val="0"/>
                    <w:bidi w:val="0"/>
                    <w:adjustRightInd w:val="0"/>
                    <w:snapToGrid w:val="0"/>
                    <w:spacing w:after="0"/>
                    <w:jc w:val="center"/>
                    <w:rPr>
                      <w:rFonts w:hint="default" w:ascii="Times New Roman" w:hAnsi="Times New Roman" w:eastAsia="宋体" w:cs="Times New Roman"/>
                      <w:b/>
                      <w:color w:val="auto"/>
                      <w:kern w:val="2"/>
                      <w:sz w:val="21"/>
                      <w:szCs w:val="21"/>
                      <w:highlight w:val="none"/>
                      <w:vertAlign w:val="baseline"/>
                      <w:lang w:val="en-US" w:eastAsia="zh-CN"/>
                    </w:rPr>
                  </w:pPr>
                  <w:r>
                    <w:rPr>
                      <w:rFonts w:hint="default" w:ascii="Times New Roman" w:hAnsi="Times New Roman" w:eastAsia="宋体" w:cs="Times New Roman"/>
                      <w:b/>
                      <w:color w:val="auto"/>
                      <w:kern w:val="2"/>
                      <w:sz w:val="21"/>
                      <w:szCs w:val="21"/>
                      <w:highlight w:val="none"/>
                      <w:vertAlign w:val="baseline"/>
                      <w:lang w:val="en-US" w:eastAsia="zh-CN"/>
                    </w:rPr>
                    <w:t>水泥</w:t>
                  </w:r>
                </w:p>
              </w:tc>
              <w:tc>
                <w:tcPr>
                  <w:tcW w:w="1216" w:type="dxa"/>
                  <w:vAlign w:val="center"/>
                </w:tcPr>
                <w:p w14:paraId="16B0E09B">
                  <w:pPr>
                    <w:keepLines w:val="0"/>
                    <w:pageBreakBefore w:val="0"/>
                    <w:widowControl w:val="0"/>
                    <w:kinsoku/>
                    <w:wordWrap/>
                    <w:topLinePunct w:val="0"/>
                    <w:bidi w:val="0"/>
                    <w:adjustRightInd w:val="0"/>
                    <w:snapToGrid w:val="0"/>
                    <w:spacing w:after="0"/>
                    <w:jc w:val="center"/>
                    <w:rPr>
                      <w:rFonts w:hint="default" w:ascii="Times New Roman" w:hAnsi="Times New Roman" w:eastAsia="宋体" w:cs="Times New Roman"/>
                      <w:b/>
                      <w:color w:val="auto"/>
                      <w:kern w:val="2"/>
                      <w:sz w:val="21"/>
                      <w:szCs w:val="21"/>
                      <w:highlight w:val="none"/>
                      <w:vertAlign w:val="baseline"/>
                      <w:lang w:val="en-US" w:eastAsia="zh-CN"/>
                    </w:rPr>
                  </w:pPr>
                  <w:r>
                    <w:rPr>
                      <w:rFonts w:hint="default" w:ascii="Times New Roman" w:hAnsi="Times New Roman" w:eastAsia="宋体" w:cs="Times New Roman"/>
                      <w:b/>
                      <w:color w:val="auto"/>
                      <w:kern w:val="2"/>
                      <w:sz w:val="21"/>
                      <w:szCs w:val="21"/>
                      <w:highlight w:val="none"/>
                      <w:vertAlign w:val="baseline"/>
                      <w:lang w:val="en-US" w:eastAsia="zh-CN"/>
                    </w:rPr>
                    <w:t>碎石</w:t>
                  </w:r>
                </w:p>
              </w:tc>
              <w:tc>
                <w:tcPr>
                  <w:tcW w:w="996" w:type="dxa"/>
                  <w:vAlign w:val="center"/>
                </w:tcPr>
                <w:p w14:paraId="639A632B">
                  <w:pPr>
                    <w:keepLines w:val="0"/>
                    <w:pageBreakBefore w:val="0"/>
                    <w:widowControl w:val="0"/>
                    <w:kinsoku/>
                    <w:wordWrap/>
                    <w:topLinePunct w:val="0"/>
                    <w:bidi w:val="0"/>
                    <w:adjustRightInd w:val="0"/>
                    <w:snapToGrid w:val="0"/>
                    <w:spacing w:after="0"/>
                    <w:jc w:val="center"/>
                    <w:rPr>
                      <w:rFonts w:hint="default" w:ascii="Times New Roman" w:hAnsi="Times New Roman" w:eastAsia="宋体" w:cs="Times New Roman"/>
                      <w:b/>
                      <w:color w:val="auto"/>
                      <w:kern w:val="2"/>
                      <w:sz w:val="21"/>
                      <w:szCs w:val="21"/>
                      <w:highlight w:val="none"/>
                      <w:vertAlign w:val="baseline"/>
                      <w:lang w:val="en-US" w:eastAsia="zh-CN"/>
                    </w:rPr>
                  </w:pPr>
                  <w:r>
                    <w:rPr>
                      <w:rFonts w:hint="default" w:ascii="Times New Roman" w:hAnsi="Times New Roman" w:eastAsia="宋体" w:cs="Times New Roman"/>
                      <w:b/>
                      <w:color w:val="auto"/>
                      <w:kern w:val="2"/>
                      <w:sz w:val="21"/>
                      <w:szCs w:val="21"/>
                      <w:highlight w:val="none"/>
                      <w:vertAlign w:val="baseline"/>
                      <w:lang w:val="en-US" w:eastAsia="zh-CN"/>
                    </w:rPr>
                    <w:t>河砂</w:t>
                  </w:r>
                </w:p>
              </w:tc>
              <w:tc>
                <w:tcPr>
                  <w:tcW w:w="1292" w:type="dxa"/>
                  <w:vAlign w:val="center"/>
                </w:tcPr>
                <w:p w14:paraId="3A5973DF">
                  <w:pPr>
                    <w:keepLines w:val="0"/>
                    <w:pageBreakBefore w:val="0"/>
                    <w:widowControl w:val="0"/>
                    <w:kinsoku/>
                    <w:wordWrap/>
                    <w:topLinePunct w:val="0"/>
                    <w:bidi w:val="0"/>
                    <w:adjustRightInd w:val="0"/>
                    <w:snapToGrid w:val="0"/>
                    <w:spacing w:after="0"/>
                    <w:jc w:val="center"/>
                    <w:rPr>
                      <w:rFonts w:hint="default" w:ascii="Times New Roman" w:hAnsi="Times New Roman" w:eastAsia="宋体" w:cs="Times New Roman"/>
                      <w:b/>
                      <w:color w:val="auto"/>
                      <w:kern w:val="2"/>
                      <w:sz w:val="21"/>
                      <w:szCs w:val="21"/>
                      <w:highlight w:val="none"/>
                      <w:vertAlign w:val="baseline"/>
                      <w:lang w:val="en-US" w:eastAsia="zh-CN"/>
                    </w:rPr>
                  </w:pPr>
                  <w:r>
                    <w:rPr>
                      <w:rFonts w:hint="default" w:ascii="Times New Roman" w:hAnsi="Times New Roman" w:eastAsia="宋体" w:cs="Times New Roman"/>
                      <w:b/>
                      <w:color w:val="auto"/>
                      <w:kern w:val="2"/>
                      <w:sz w:val="21"/>
                      <w:szCs w:val="21"/>
                      <w:highlight w:val="none"/>
                      <w:vertAlign w:val="baseline"/>
                      <w:lang w:val="en-US" w:eastAsia="zh-CN"/>
                    </w:rPr>
                    <w:t>粉煤灰</w:t>
                  </w:r>
                </w:p>
              </w:tc>
              <w:tc>
                <w:tcPr>
                  <w:tcW w:w="1114" w:type="dxa"/>
                  <w:vAlign w:val="center"/>
                </w:tcPr>
                <w:p w14:paraId="7AA18FB1">
                  <w:pPr>
                    <w:keepLines w:val="0"/>
                    <w:pageBreakBefore w:val="0"/>
                    <w:widowControl w:val="0"/>
                    <w:kinsoku/>
                    <w:wordWrap/>
                    <w:topLinePunct w:val="0"/>
                    <w:bidi w:val="0"/>
                    <w:adjustRightInd w:val="0"/>
                    <w:snapToGrid w:val="0"/>
                    <w:spacing w:after="0"/>
                    <w:jc w:val="center"/>
                    <w:rPr>
                      <w:rFonts w:hint="default" w:ascii="Times New Roman" w:hAnsi="Times New Roman" w:eastAsia="宋体" w:cs="Times New Roman"/>
                      <w:b/>
                      <w:color w:val="auto"/>
                      <w:kern w:val="2"/>
                      <w:sz w:val="21"/>
                      <w:szCs w:val="21"/>
                      <w:highlight w:val="none"/>
                      <w:vertAlign w:val="baseline"/>
                      <w:lang w:val="en-US" w:eastAsia="zh-CN"/>
                    </w:rPr>
                  </w:pPr>
                  <w:r>
                    <w:rPr>
                      <w:rFonts w:hint="default" w:ascii="Times New Roman" w:hAnsi="Times New Roman" w:eastAsia="宋体" w:cs="Times New Roman"/>
                      <w:b/>
                      <w:color w:val="auto"/>
                      <w:kern w:val="2"/>
                      <w:sz w:val="21"/>
                      <w:szCs w:val="21"/>
                      <w:highlight w:val="none"/>
                      <w:vertAlign w:val="baseline"/>
                      <w:lang w:val="en-US" w:eastAsia="zh-CN"/>
                    </w:rPr>
                    <w:t>减水剂</w:t>
                  </w:r>
                </w:p>
              </w:tc>
              <w:tc>
                <w:tcPr>
                  <w:tcW w:w="1270" w:type="dxa"/>
                  <w:vAlign w:val="center"/>
                </w:tcPr>
                <w:p w14:paraId="6078F704">
                  <w:pPr>
                    <w:keepLines w:val="0"/>
                    <w:pageBreakBefore w:val="0"/>
                    <w:widowControl w:val="0"/>
                    <w:kinsoku/>
                    <w:wordWrap/>
                    <w:topLinePunct w:val="0"/>
                    <w:bidi w:val="0"/>
                    <w:adjustRightInd w:val="0"/>
                    <w:snapToGrid w:val="0"/>
                    <w:spacing w:after="0"/>
                    <w:jc w:val="center"/>
                    <w:rPr>
                      <w:rFonts w:hint="default" w:ascii="Times New Roman" w:hAnsi="Times New Roman" w:eastAsia="宋体" w:cs="Times New Roman"/>
                      <w:b/>
                      <w:color w:val="auto"/>
                      <w:kern w:val="2"/>
                      <w:sz w:val="21"/>
                      <w:szCs w:val="21"/>
                      <w:highlight w:val="none"/>
                      <w:vertAlign w:val="baseline"/>
                      <w:lang w:val="en-US" w:eastAsia="zh-CN"/>
                    </w:rPr>
                  </w:pPr>
                  <w:r>
                    <w:rPr>
                      <w:rFonts w:hint="default" w:ascii="Times New Roman" w:hAnsi="Times New Roman" w:eastAsia="宋体" w:cs="Times New Roman"/>
                      <w:b/>
                      <w:color w:val="auto"/>
                      <w:kern w:val="2"/>
                      <w:sz w:val="21"/>
                      <w:szCs w:val="21"/>
                      <w:highlight w:val="none"/>
                      <w:vertAlign w:val="baseline"/>
                      <w:lang w:val="en-US" w:eastAsia="zh-CN"/>
                    </w:rPr>
                    <w:t>水</w:t>
                  </w:r>
                </w:p>
              </w:tc>
            </w:tr>
            <w:tr w14:paraId="783F6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926" w:type="dxa"/>
                  <w:vAlign w:val="center"/>
                </w:tcPr>
                <w:p w14:paraId="3DD505F4">
                  <w:pPr>
                    <w:keepLines w:val="0"/>
                    <w:pageBreakBefore w:val="0"/>
                    <w:widowControl w:val="0"/>
                    <w:kinsoku/>
                    <w:wordWrap/>
                    <w:topLinePunct w:val="0"/>
                    <w:bidi w:val="0"/>
                    <w:adjustRightInd w:val="0"/>
                    <w:snapToGrid w:val="0"/>
                    <w:spacing w:after="0"/>
                    <w:jc w:val="center"/>
                    <w:rPr>
                      <w:rFonts w:hint="default" w:ascii="Times New Roman" w:hAnsi="Times New Roman" w:eastAsia="宋体" w:cs="Times New Roman"/>
                      <w:b/>
                      <w:color w:val="auto"/>
                      <w:kern w:val="2"/>
                      <w:sz w:val="21"/>
                      <w:szCs w:val="21"/>
                      <w:highlight w:val="none"/>
                      <w:vertAlign w:val="baseline"/>
                      <w:lang w:val="en-US" w:eastAsia="zh-CN"/>
                    </w:rPr>
                  </w:pPr>
                  <w:r>
                    <w:rPr>
                      <w:rFonts w:hint="default" w:ascii="Times New Roman" w:hAnsi="Times New Roman" w:eastAsia="宋体" w:cs="Times New Roman"/>
                      <w:b/>
                      <w:color w:val="auto"/>
                      <w:kern w:val="2"/>
                      <w:sz w:val="21"/>
                      <w:szCs w:val="21"/>
                      <w:highlight w:val="none"/>
                      <w:vertAlign w:val="baseline"/>
                      <w:lang w:val="en-US" w:eastAsia="zh-CN"/>
                    </w:rPr>
                    <w:t>2450kg混凝土</w:t>
                  </w:r>
                </w:p>
              </w:tc>
              <w:tc>
                <w:tcPr>
                  <w:tcW w:w="1182" w:type="dxa"/>
                  <w:vAlign w:val="center"/>
                </w:tcPr>
                <w:p w14:paraId="7BEEA4FA">
                  <w:pPr>
                    <w:keepLines w:val="0"/>
                    <w:pageBreakBefore w:val="0"/>
                    <w:widowControl w:val="0"/>
                    <w:kinsoku/>
                    <w:wordWrap/>
                    <w:topLinePunct w:val="0"/>
                    <w:bidi w:val="0"/>
                    <w:adjustRightInd w:val="0"/>
                    <w:snapToGrid w:val="0"/>
                    <w:spacing w:after="0"/>
                    <w:jc w:val="center"/>
                    <w:rPr>
                      <w:rFonts w:hint="default" w:ascii="Times New Roman" w:hAnsi="Times New Roman" w:eastAsia="宋体" w:cs="Times New Roman"/>
                      <w:b/>
                      <w:color w:val="auto"/>
                      <w:kern w:val="2"/>
                      <w:sz w:val="21"/>
                      <w:szCs w:val="21"/>
                      <w:highlight w:val="none"/>
                      <w:vertAlign w:val="baseline"/>
                      <w:lang w:val="en-US" w:eastAsia="zh-CN"/>
                    </w:rPr>
                  </w:pPr>
                  <w:r>
                    <w:rPr>
                      <w:rFonts w:hint="default" w:ascii="Times New Roman" w:hAnsi="Times New Roman" w:eastAsia="宋体" w:cs="Times New Roman"/>
                      <w:b/>
                      <w:color w:val="auto"/>
                      <w:kern w:val="2"/>
                      <w:sz w:val="21"/>
                      <w:szCs w:val="21"/>
                      <w:highlight w:val="none"/>
                      <w:vertAlign w:val="baseline"/>
                      <w:lang w:val="en-US" w:eastAsia="zh-CN"/>
                    </w:rPr>
                    <w:t>375kg</w:t>
                  </w:r>
                </w:p>
              </w:tc>
              <w:tc>
                <w:tcPr>
                  <w:tcW w:w="1216" w:type="dxa"/>
                  <w:vAlign w:val="center"/>
                </w:tcPr>
                <w:p w14:paraId="4E80FEAD">
                  <w:pPr>
                    <w:keepLines w:val="0"/>
                    <w:pageBreakBefore w:val="0"/>
                    <w:widowControl w:val="0"/>
                    <w:kinsoku/>
                    <w:wordWrap/>
                    <w:topLinePunct w:val="0"/>
                    <w:bidi w:val="0"/>
                    <w:adjustRightInd w:val="0"/>
                    <w:snapToGrid w:val="0"/>
                    <w:spacing w:after="0"/>
                    <w:jc w:val="center"/>
                    <w:rPr>
                      <w:rFonts w:hint="default" w:ascii="Times New Roman" w:hAnsi="Times New Roman" w:eastAsia="宋体" w:cs="Times New Roman"/>
                      <w:b/>
                      <w:color w:val="auto"/>
                      <w:kern w:val="2"/>
                      <w:sz w:val="21"/>
                      <w:szCs w:val="21"/>
                      <w:highlight w:val="none"/>
                      <w:vertAlign w:val="baseline"/>
                      <w:lang w:val="en-US" w:eastAsia="zh-CN"/>
                    </w:rPr>
                  </w:pPr>
                  <w:r>
                    <w:rPr>
                      <w:rFonts w:hint="default" w:ascii="Times New Roman" w:hAnsi="Times New Roman" w:eastAsia="宋体" w:cs="Times New Roman"/>
                      <w:b/>
                      <w:color w:val="auto"/>
                      <w:kern w:val="2"/>
                      <w:sz w:val="21"/>
                      <w:szCs w:val="21"/>
                      <w:highlight w:val="none"/>
                      <w:vertAlign w:val="baseline"/>
                      <w:lang w:val="en-US" w:eastAsia="zh-CN"/>
                    </w:rPr>
                    <w:t>1218kg</w:t>
                  </w:r>
                </w:p>
              </w:tc>
              <w:tc>
                <w:tcPr>
                  <w:tcW w:w="996" w:type="dxa"/>
                  <w:vAlign w:val="center"/>
                </w:tcPr>
                <w:p w14:paraId="585E8FD8">
                  <w:pPr>
                    <w:keepLines w:val="0"/>
                    <w:pageBreakBefore w:val="0"/>
                    <w:widowControl w:val="0"/>
                    <w:kinsoku/>
                    <w:wordWrap/>
                    <w:topLinePunct w:val="0"/>
                    <w:bidi w:val="0"/>
                    <w:adjustRightInd w:val="0"/>
                    <w:snapToGrid w:val="0"/>
                    <w:spacing w:after="0"/>
                    <w:jc w:val="center"/>
                    <w:rPr>
                      <w:rFonts w:hint="default" w:ascii="Times New Roman" w:hAnsi="Times New Roman" w:eastAsia="宋体" w:cs="Times New Roman"/>
                      <w:b/>
                      <w:color w:val="auto"/>
                      <w:kern w:val="2"/>
                      <w:sz w:val="21"/>
                      <w:szCs w:val="21"/>
                      <w:highlight w:val="none"/>
                      <w:vertAlign w:val="baseline"/>
                      <w:lang w:val="en-US" w:eastAsia="zh-CN"/>
                    </w:rPr>
                  </w:pPr>
                  <w:r>
                    <w:rPr>
                      <w:rFonts w:hint="default" w:ascii="Times New Roman" w:hAnsi="Times New Roman" w:eastAsia="宋体" w:cs="Times New Roman"/>
                      <w:b/>
                      <w:color w:val="auto"/>
                      <w:kern w:val="2"/>
                      <w:sz w:val="21"/>
                      <w:szCs w:val="21"/>
                      <w:highlight w:val="none"/>
                      <w:vertAlign w:val="baseline"/>
                      <w:lang w:val="en-US" w:eastAsia="zh-CN"/>
                    </w:rPr>
                    <w:t>687kg</w:t>
                  </w:r>
                </w:p>
              </w:tc>
              <w:tc>
                <w:tcPr>
                  <w:tcW w:w="1292" w:type="dxa"/>
                  <w:vAlign w:val="center"/>
                </w:tcPr>
                <w:p w14:paraId="5C475832">
                  <w:pPr>
                    <w:keepLines w:val="0"/>
                    <w:pageBreakBefore w:val="0"/>
                    <w:widowControl w:val="0"/>
                    <w:kinsoku/>
                    <w:wordWrap/>
                    <w:topLinePunct w:val="0"/>
                    <w:bidi w:val="0"/>
                    <w:adjustRightInd w:val="0"/>
                    <w:snapToGrid w:val="0"/>
                    <w:spacing w:after="0"/>
                    <w:jc w:val="center"/>
                    <w:rPr>
                      <w:rFonts w:hint="default" w:ascii="Times New Roman" w:hAnsi="Times New Roman" w:eastAsia="宋体" w:cs="Times New Roman"/>
                      <w:b/>
                      <w:color w:val="auto"/>
                      <w:kern w:val="2"/>
                      <w:sz w:val="21"/>
                      <w:szCs w:val="21"/>
                      <w:highlight w:val="none"/>
                      <w:vertAlign w:val="baseline"/>
                      <w:lang w:val="en-US" w:eastAsia="zh-CN"/>
                    </w:rPr>
                  </w:pPr>
                  <w:r>
                    <w:rPr>
                      <w:rFonts w:hint="default" w:ascii="Times New Roman" w:hAnsi="Times New Roman" w:eastAsia="宋体" w:cs="Times New Roman"/>
                      <w:b/>
                      <w:color w:val="auto"/>
                      <w:kern w:val="2"/>
                      <w:sz w:val="21"/>
                      <w:szCs w:val="21"/>
                      <w:highlight w:val="none"/>
                      <w:vertAlign w:val="baseline"/>
                      <w:lang w:val="en-US" w:eastAsia="zh-CN"/>
                    </w:rPr>
                    <w:t>41kg</w:t>
                  </w:r>
                </w:p>
              </w:tc>
              <w:tc>
                <w:tcPr>
                  <w:tcW w:w="1114" w:type="dxa"/>
                  <w:vAlign w:val="center"/>
                </w:tcPr>
                <w:p w14:paraId="7E63DF80">
                  <w:pPr>
                    <w:keepLines w:val="0"/>
                    <w:pageBreakBefore w:val="0"/>
                    <w:widowControl w:val="0"/>
                    <w:kinsoku/>
                    <w:wordWrap/>
                    <w:topLinePunct w:val="0"/>
                    <w:bidi w:val="0"/>
                    <w:adjustRightInd w:val="0"/>
                    <w:snapToGrid w:val="0"/>
                    <w:spacing w:after="0"/>
                    <w:jc w:val="center"/>
                    <w:rPr>
                      <w:rFonts w:hint="default" w:ascii="Times New Roman" w:hAnsi="Times New Roman" w:eastAsia="宋体" w:cs="Times New Roman"/>
                      <w:b/>
                      <w:color w:val="auto"/>
                      <w:kern w:val="2"/>
                      <w:sz w:val="21"/>
                      <w:szCs w:val="21"/>
                      <w:highlight w:val="none"/>
                      <w:vertAlign w:val="baseline"/>
                      <w:lang w:val="en-US" w:eastAsia="zh-CN"/>
                    </w:rPr>
                  </w:pPr>
                  <w:r>
                    <w:rPr>
                      <w:rFonts w:hint="default" w:ascii="Times New Roman" w:hAnsi="Times New Roman" w:eastAsia="宋体" w:cs="Times New Roman"/>
                      <w:b/>
                      <w:color w:val="auto"/>
                      <w:kern w:val="2"/>
                      <w:sz w:val="21"/>
                      <w:szCs w:val="21"/>
                      <w:highlight w:val="none"/>
                      <w:vertAlign w:val="baseline"/>
                      <w:lang w:val="en-US" w:eastAsia="zh-CN"/>
                    </w:rPr>
                    <w:t>4kg</w:t>
                  </w:r>
                </w:p>
              </w:tc>
              <w:tc>
                <w:tcPr>
                  <w:tcW w:w="1270" w:type="dxa"/>
                  <w:vAlign w:val="center"/>
                </w:tcPr>
                <w:p w14:paraId="666D784A">
                  <w:pPr>
                    <w:keepLines w:val="0"/>
                    <w:pageBreakBefore w:val="0"/>
                    <w:widowControl w:val="0"/>
                    <w:kinsoku/>
                    <w:wordWrap/>
                    <w:topLinePunct w:val="0"/>
                    <w:bidi w:val="0"/>
                    <w:adjustRightInd w:val="0"/>
                    <w:snapToGrid w:val="0"/>
                    <w:spacing w:after="0"/>
                    <w:jc w:val="center"/>
                    <w:rPr>
                      <w:rFonts w:hint="default" w:ascii="Times New Roman" w:hAnsi="Times New Roman" w:eastAsia="宋体" w:cs="Times New Roman"/>
                      <w:b/>
                      <w:color w:val="auto"/>
                      <w:kern w:val="2"/>
                      <w:sz w:val="21"/>
                      <w:szCs w:val="21"/>
                      <w:highlight w:val="none"/>
                      <w:vertAlign w:val="baseline"/>
                      <w:lang w:val="en-US" w:eastAsia="zh-CN"/>
                    </w:rPr>
                  </w:pPr>
                  <w:r>
                    <w:rPr>
                      <w:rFonts w:hint="default" w:ascii="Times New Roman" w:hAnsi="Times New Roman" w:eastAsia="宋体" w:cs="Times New Roman"/>
                      <w:b/>
                      <w:color w:val="auto"/>
                      <w:kern w:val="2"/>
                      <w:sz w:val="21"/>
                      <w:szCs w:val="21"/>
                      <w:highlight w:val="none"/>
                      <w:vertAlign w:val="baseline"/>
                      <w:lang w:val="en-US" w:eastAsia="zh-CN"/>
                    </w:rPr>
                    <w:t>125kg</w:t>
                  </w:r>
                </w:p>
              </w:tc>
            </w:tr>
          </w:tbl>
          <w:p w14:paraId="22F946A1">
            <w:pPr>
              <w:keepLines w:val="0"/>
              <w:pageBreakBefore w:val="0"/>
              <w:widowControl w:val="0"/>
              <w:kinsoku/>
              <w:wordWrap/>
              <w:topLinePunct w:val="0"/>
              <w:bidi w:val="0"/>
              <w:adjustRightInd w:val="0"/>
              <w:snapToGrid w:val="0"/>
              <w:spacing w:after="0"/>
              <w:jc w:val="both"/>
              <w:rPr>
                <w:rFonts w:hint="default" w:ascii="Times New Roman" w:hAnsi="Times New Roman" w:eastAsia="宋体" w:cs="Times New Roman"/>
                <w:b/>
                <w:color w:val="auto"/>
                <w:kern w:val="2"/>
                <w:sz w:val="21"/>
                <w:szCs w:val="21"/>
                <w:highlight w:val="none"/>
                <w:lang w:val="en-US" w:eastAsia="zh-CN"/>
              </w:rPr>
            </w:pPr>
            <w:r>
              <w:rPr>
                <w:rFonts w:hint="default" w:ascii="Times New Roman" w:hAnsi="Times New Roman" w:eastAsia="宋体" w:cs="Times New Roman"/>
                <w:b/>
                <w:color w:val="auto"/>
                <w:kern w:val="2"/>
                <w:sz w:val="21"/>
                <w:szCs w:val="21"/>
                <w:highlight w:val="none"/>
                <w:lang w:val="en-US" w:eastAsia="zh-CN"/>
              </w:rPr>
              <w:t xml:space="preserve">  项目管道天然气用量情况核算：</w:t>
            </w:r>
          </w:p>
          <w:p w14:paraId="7B0D0643">
            <w:pPr>
              <w:keepLines w:val="0"/>
              <w:pageBreakBefore w:val="0"/>
              <w:widowControl w:val="0"/>
              <w:kinsoku/>
              <w:wordWrap/>
              <w:topLinePunct w:val="0"/>
              <w:bidi w:val="0"/>
              <w:adjustRightInd w:val="0"/>
              <w:snapToGrid w:val="0"/>
              <w:spacing w:after="0"/>
              <w:jc w:val="center"/>
              <w:rPr>
                <w:rFonts w:hint="default" w:ascii="Times New Roman" w:hAnsi="Times New Roman" w:eastAsia="宋体" w:cs="Times New Roman"/>
                <w:b/>
                <w:color w:val="auto"/>
                <w:kern w:val="2"/>
                <w:sz w:val="21"/>
                <w:szCs w:val="21"/>
                <w:highlight w:val="none"/>
              </w:rPr>
            </w:pPr>
            <w:r>
              <w:rPr>
                <w:rFonts w:hint="default" w:ascii="Times New Roman" w:hAnsi="Times New Roman" w:eastAsia="宋体" w:cs="Times New Roman"/>
                <w:b/>
                <w:color w:val="auto"/>
                <w:kern w:val="2"/>
                <w:sz w:val="21"/>
                <w:szCs w:val="21"/>
                <w:highlight w:val="none"/>
              </w:rPr>
              <w:t>表2-</w:t>
            </w:r>
            <w:r>
              <w:rPr>
                <w:rFonts w:hint="default" w:ascii="Times New Roman" w:hAnsi="Times New Roman" w:eastAsia="宋体" w:cs="Times New Roman"/>
                <w:b/>
                <w:color w:val="auto"/>
                <w:kern w:val="2"/>
                <w:sz w:val="21"/>
                <w:szCs w:val="21"/>
                <w:highlight w:val="none"/>
                <w:lang w:val="en-US" w:eastAsia="zh-CN"/>
              </w:rPr>
              <w:t>6 项目</w:t>
            </w:r>
            <w:r>
              <w:rPr>
                <w:rFonts w:hint="default" w:ascii="Times New Roman" w:hAnsi="Times New Roman" w:eastAsia="宋体" w:cs="Times New Roman"/>
                <w:b/>
                <w:color w:val="auto"/>
                <w:kern w:val="2"/>
                <w:sz w:val="21"/>
                <w:szCs w:val="21"/>
                <w:highlight w:val="none"/>
              </w:rPr>
              <w:t>天然气用量一览表</w:t>
            </w:r>
          </w:p>
          <w:tbl>
            <w:tblPr>
              <w:tblStyle w:val="34"/>
              <w:tblW w:w="91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90"/>
              <w:gridCol w:w="2505"/>
              <w:gridCol w:w="539"/>
              <w:gridCol w:w="1065"/>
              <w:gridCol w:w="871"/>
              <w:gridCol w:w="1047"/>
            </w:tblGrid>
            <w:tr w14:paraId="04EBA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694" w:type="pct"/>
                  <w:noWrap/>
                  <w:vAlign w:val="center"/>
                </w:tcPr>
                <w:p w14:paraId="00529025">
                  <w:pPr>
                    <w:keepNext w:val="0"/>
                    <w:keepLines w:val="0"/>
                    <w:pageBreakBefore w:val="0"/>
                    <w:widowControl w:val="0"/>
                    <w:suppressLineNumbers w:val="0"/>
                    <w:kinsoku/>
                    <w:wordWrap/>
                    <w:topLinePunct w:val="0"/>
                    <w:autoSpaceDE w:val="0"/>
                    <w:autoSpaceDN w:val="0"/>
                    <w:bidi w:val="0"/>
                    <w:adjustRightInd w:val="0"/>
                    <w:snapToGrid w:val="0"/>
                    <w:spacing w:beforeAutospacing="0" w:after="0" w:afterAutospacing="0"/>
                    <w:ind w:left="0" w:right="0"/>
                    <w:jc w:val="center"/>
                    <w:textAlignment w:val="baseline"/>
                    <w:rPr>
                      <w:rFonts w:hint="default" w:ascii="Times New Roman" w:hAnsi="Times New Roman" w:eastAsia="宋体" w:cs="Times New Roman"/>
                      <w:b/>
                      <w:bCs/>
                      <w:color w:val="auto"/>
                      <w:kern w:val="0"/>
                      <w:sz w:val="21"/>
                      <w:szCs w:val="21"/>
                      <w:highlight w:val="none"/>
                      <w:lang w:val="en-US" w:eastAsia="zh-CN" w:bidi="ar"/>
                    </w:rPr>
                  </w:pPr>
                  <w:r>
                    <w:rPr>
                      <w:rFonts w:hint="default" w:ascii="Times New Roman" w:hAnsi="Times New Roman" w:eastAsia="宋体" w:cs="Times New Roman"/>
                      <w:b/>
                      <w:bCs/>
                      <w:color w:val="auto"/>
                      <w:kern w:val="0"/>
                      <w:sz w:val="21"/>
                      <w:szCs w:val="21"/>
                      <w:highlight w:val="none"/>
                      <w:lang w:val="en-US" w:eastAsia="zh-CN" w:bidi="ar"/>
                    </w:rPr>
                    <w:t>设备名称及规格</w:t>
                  </w:r>
                </w:p>
              </w:tc>
              <w:tc>
                <w:tcPr>
                  <w:tcW w:w="1373" w:type="pct"/>
                  <w:noWrap/>
                  <w:vAlign w:val="center"/>
                </w:tcPr>
                <w:p w14:paraId="7DD7024F">
                  <w:pPr>
                    <w:keepNext w:val="0"/>
                    <w:keepLines w:val="0"/>
                    <w:pageBreakBefore w:val="0"/>
                    <w:widowControl w:val="0"/>
                    <w:suppressLineNumbers w:val="0"/>
                    <w:kinsoku/>
                    <w:wordWrap/>
                    <w:topLinePunct w:val="0"/>
                    <w:autoSpaceDE w:val="0"/>
                    <w:autoSpaceDN w:val="0"/>
                    <w:bidi w:val="0"/>
                    <w:adjustRightInd w:val="0"/>
                    <w:snapToGrid w:val="0"/>
                    <w:spacing w:beforeAutospacing="0" w:after="0" w:afterAutospacing="0"/>
                    <w:ind w:left="0" w:right="0"/>
                    <w:jc w:val="center"/>
                    <w:textAlignment w:val="baseline"/>
                    <w:rPr>
                      <w:rFonts w:hint="default" w:ascii="Times New Roman" w:hAnsi="Times New Roman" w:eastAsia="宋体" w:cs="Times New Roman"/>
                      <w:b/>
                      <w:bCs/>
                      <w:color w:val="auto"/>
                      <w:kern w:val="0"/>
                      <w:sz w:val="21"/>
                      <w:szCs w:val="21"/>
                      <w:highlight w:val="none"/>
                      <w:lang w:val="en-US" w:eastAsia="zh-CN" w:bidi="ar"/>
                    </w:rPr>
                  </w:pPr>
                  <w:r>
                    <w:rPr>
                      <w:rFonts w:hint="default" w:ascii="Times New Roman" w:hAnsi="Times New Roman" w:eastAsia="宋体" w:cs="Times New Roman"/>
                      <w:b/>
                      <w:bCs/>
                      <w:color w:val="auto"/>
                      <w:kern w:val="0"/>
                      <w:sz w:val="21"/>
                      <w:szCs w:val="21"/>
                      <w:highlight w:val="none"/>
                      <w:lang w:val="en-US" w:eastAsia="zh-CN" w:bidi="ar"/>
                    </w:rPr>
                    <w:t>锅炉参数信息</w:t>
                  </w:r>
                </w:p>
              </w:tc>
              <w:tc>
                <w:tcPr>
                  <w:tcW w:w="295" w:type="pct"/>
                  <w:noWrap/>
                  <w:vAlign w:val="center"/>
                </w:tcPr>
                <w:p w14:paraId="56DE6897">
                  <w:pPr>
                    <w:keepNext w:val="0"/>
                    <w:keepLines w:val="0"/>
                    <w:pageBreakBefore w:val="0"/>
                    <w:widowControl w:val="0"/>
                    <w:suppressLineNumbers w:val="0"/>
                    <w:kinsoku/>
                    <w:wordWrap/>
                    <w:topLinePunct w:val="0"/>
                    <w:autoSpaceDE w:val="0"/>
                    <w:autoSpaceDN w:val="0"/>
                    <w:bidi w:val="0"/>
                    <w:adjustRightInd w:val="0"/>
                    <w:snapToGrid w:val="0"/>
                    <w:spacing w:beforeAutospacing="0" w:after="0" w:afterAutospacing="0"/>
                    <w:ind w:left="0" w:right="0"/>
                    <w:jc w:val="center"/>
                    <w:textAlignment w:val="baseline"/>
                    <w:rPr>
                      <w:rFonts w:hint="default" w:ascii="Times New Roman" w:hAnsi="Times New Roman" w:eastAsia="宋体" w:cs="Times New Roman"/>
                      <w:b/>
                      <w:bCs/>
                      <w:color w:val="auto"/>
                      <w:kern w:val="0"/>
                      <w:sz w:val="21"/>
                      <w:szCs w:val="21"/>
                      <w:highlight w:val="none"/>
                      <w:lang w:val="en-US" w:eastAsia="zh-CN" w:bidi="ar"/>
                    </w:rPr>
                  </w:pPr>
                  <w:r>
                    <w:rPr>
                      <w:rFonts w:hint="default" w:ascii="Times New Roman" w:hAnsi="Times New Roman" w:eastAsia="宋体" w:cs="Times New Roman"/>
                      <w:b/>
                      <w:bCs/>
                      <w:color w:val="auto"/>
                      <w:kern w:val="0"/>
                      <w:sz w:val="21"/>
                      <w:szCs w:val="21"/>
                      <w:highlight w:val="none"/>
                      <w:lang w:val="en-US" w:eastAsia="zh-CN" w:bidi="ar"/>
                    </w:rPr>
                    <w:t>数量</w:t>
                  </w:r>
                </w:p>
              </w:tc>
              <w:tc>
                <w:tcPr>
                  <w:tcW w:w="584" w:type="pct"/>
                  <w:noWrap/>
                  <w:vAlign w:val="center"/>
                </w:tcPr>
                <w:p w14:paraId="3FAF16B3">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0" w:afterAutospacing="0"/>
                    <w:ind w:left="0" w:right="0"/>
                    <w:jc w:val="center"/>
                    <w:textAlignment w:val="baseline"/>
                    <w:rPr>
                      <w:rFonts w:hint="default" w:ascii="Times New Roman" w:hAnsi="Times New Roman" w:eastAsia="宋体" w:cs="Times New Roman"/>
                      <w:b/>
                      <w:bCs/>
                      <w:color w:val="auto"/>
                      <w:kern w:val="0"/>
                      <w:sz w:val="21"/>
                      <w:szCs w:val="21"/>
                      <w:highlight w:val="none"/>
                      <w:lang w:val="en-US" w:eastAsia="zh-CN" w:bidi="ar"/>
                    </w:rPr>
                  </w:pPr>
                  <w:r>
                    <w:rPr>
                      <w:rFonts w:hint="default" w:ascii="Times New Roman" w:hAnsi="Times New Roman" w:eastAsia="宋体" w:cs="Times New Roman"/>
                      <w:b/>
                      <w:bCs/>
                      <w:color w:val="auto"/>
                      <w:kern w:val="0"/>
                      <w:sz w:val="21"/>
                      <w:szCs w:val="21"/>
                      <w:highlight w:val="none"/>
                      <w:lang w:val="en-US" w:eastAsia="zh-CN" w:bidi="ar"/>
                    </w:rPr>
                    <w:t>单台用气量m</w:t>
                  </w:r>
                  <w:r>
                    <w:rPr>
                      <w:rFonts w:hint="default" w:ascii="Times New Roman" w:hAnsi="Times New Roman" w:eastAsia="宋体" w:cs="Times New Roman"/>
                      <w:b/>
                      <w:bCs/>
                      <w:color w:val="auto"/>
                      <w:kern w:val="0"/>
                      <w:sz w:val="21"/>
                      <w:szCs w:val="21"/>
                      <w:highlight w:val="none"/>
                      <w:vertAlign w:val="superscript"/>
                      <w:lang w:val="en-US" w:eastAsia="zh-CN" w:bidi="ar"/>
                    </w:rPr>
                    <w:t>3</w:t>
                  </w:r>
                  <w:r>
                    <w:rPr>
                      <w:rFonts w:hint="default" w:ascii="Times New Roman" w:hAnsi="Times New Roman" w:eastAsia="宋体" w:cs="Times New Roman"/>
                      <w:b/>
                      <w:bCs/>
                      <w:color w:val="auto"/>
                      <w:kern w:val="0"/>
                      <w:sz w:val="21"/>
                      <w:szCs w:val="21"/>
                      <w:highlight w:val="none"/>
                      <w:lang w:val="en-US" w:eastAsia="zh-CN" w:bidi="ar"/>
                    </w:rPr>
                    <w:t>/h</w:t>
                  </w:r>
                </w:p>
              </w:tc>
              <w:tc>
                <w:tcPr>
                  <w:tcW w:w="477" w:type="pct"/>
                  <w:noWrap/>
                  <w:vAlign w:val="center"/>
                </w:tcPr>
                <w:p w14:paraId="22AF787C">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0" w:afterAutospacing="0"/>
                    <w:ind w:left="0" w:right="0"/>
                    <w:jc w:val="center"/>
                    <w:textAlignment w:val="baseline"/>
                    <w:rPr>
                      <w:rFonts w:hint="default" w:ascii="Times New Roman" w:hAnsi="Times New Roman" w:eastAsia="宋体" w:cs="Times New Roman"/>
                      <w:b/>
                      <w:bCs/>
                      <w:color w:val="auto"/>
                      <w:kern w:val="0"/>
                      <w:sz w:val="21"/>
                      <w:szCs w:val="21"/>
                      <w:highlight w:val="none"/>
                      <w:lang w:val="en-US" w:eastAsia="zh-CN" w:bidi="ar"/>
                    </w:rPr>
                  </w:pPr>
                  <w:r>
                    <w:rPr>
                      <w:rFonts w:hint="default" w:ascii="Times New Roman" w:hAnsi="Times New Roman" w:eastAsia="宋体" w:cs="Times New Roman"/>
                      <w:b/>
                      <w:bCs/>
                      <w:color w:val="auto"/>
                      <w:kern w:val="0"/>
                      <w:sz w:val="21"/>
                      <w:szCs w:val="21"/>
                      <w:highlight w:val="none"/>
                      <w:lang w:val="en-US" w:eastAsia="zh-CN" w:bidi="ar"/>
                    </w:rPr>
                    <w:t>年工作时间h</w:t>
                  </w:r>
                </w:p>
              </w:tc>
              <w:tc>
                <w:tcPr>
                  <w:tcW w:w="574" w:type="pct"/>
                  <w:noWrap/>
                  <w:vAlign w:val="center"/>
                </w:tcPr>
                <w:p w14:paraId="40838C14">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0" w:afterAutospacing="0"/>
                    <w:ind w:left="0" w:right="0"/>
                    <w:jc w:val="center"/>
                    <w:textAlignment w:val="baseline"/>
                    <w:rPr>
                      <w:rFonts w:hint="default" w:ascii="Times New Roman" w:hAnsi="Times New Roman" w:eastAsia="宋体" w:cs="Times New Roman"/>
                      <w:b/>
                      <w:bCs/>
                      <w:color w:val="auto"/>
                      <w:kern w:val="0"/>
                      <w:sz w:val="21"/>
                      <w:szCs w:val="21"/>
                      <w:highlight w:val="none"/>
                      <w:lang w:val="en-US" w:eastAsia="zh-CN" w:bidi="ar"/>
                    </w:rPr>
                  </w:pPr>
                  <w:r>
                    <w:rPr>
                      <w:rFonts w:hint="default" w:ascii="Times New Roman" w:hAnsi="Times New Roman" w:eastAsia="宋体" w:cs="Times New Roman"/>
                      <w:b/>
                      <w:bCs/>
                      <w:color w:val="auto"/>
                      <w:kern w:val="0"/>
                      <w:sz w:val="21"/>
                      <w:szCs w:val="21"/>
                      <w:highlight w:val="none"/>
                      <w:lang w:val="en-US" w:eastAsia="zh-CN" w:bidi="ar"/>
                    </w:rPr>
                    <w:t>总用气量万m</w:t>
                  </w:r>
                  <w:r>
                    <w:rPr>
                      <w:rFonts w:hint="default" w:ascii="Times New Roman" w:hAnsi="Times New Roman" w:eastAsia="宋体" w:cs="Times New Roman"/>
                      <w:b/>
                      <w:bCs/>
                      <w:color w:val="auto"/>
                      <w:kern w:val="0"/>
                      <w:sz w:val="21"/>
                      <w:szCs w:val="21"/>
                      <w:highlight w:val="none"/>
                      <w:vertAlign w:val="superscript"/>
                      <w:lang w:val="en-US" w:eastAsia="zh-CN" w:bidi="ar"/>
                    </w:rPr>
                    <w:t>3</w:t>
                  </w:r>
                  <w:r>
                    <w:rPr>
                      <w:rFonts w:hint="default" w:ascii="Times New Roman" w:hAnsi="Times New Roman" w:eastAsia="宋体" w:cs="Times New Roman"/>
                      <w:b/>
                      <w:bCs/>
                      <w:color w:val="auto"/>
                      <w:kern w:val="0"/>
                      <w:sz w:val="21"/>
                      <w:szCs w:val="21"/>
                      <w:highlight w:val="none"/>
                      <w:lang w:val="en-US" w:eastAsia="zh-CN" w:bidi="ar"/>
                    </w:rPr>
                    <w:t>/a</w:t>
                  </w:r>
                </w:p>
              </w:tc>
            </w:tr>
            <w:tr w14:paraId="6F12D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1694" w:type="pct"/>
                  <w:noWrap/>
                  <w:vAlign w:val="center"/>
                </w:tcPr>
                <w:p w14:paraId="70354C29">
                  <w:pPr>
                    <w:keepNext w:val="0"/>
                    <w:keepLines w:val="0"/>
                    <w:pageBreakBefore w:val="0"/>
                    <w:widowControl w:val="0"/>
                    <w:suppressLineNumbers w:val="0"/>
                    <w:kinsoku/>
                    <w:wordWrap/>
                    <w:topLinePunct w:val="0"/>
                    <w:autoSpaceDE w:val="0"/>
                    <w:autoSpaceDN w:val="0"/>
                    <w:bidi w:val="0"/>
                    <w:adjustRightInd w:val="0"/>
                    <w:snapToGrid w:val="0"/>
                    <w:spacing w:beforeAutospacing="0" w:after="0" w:afterAutospacing="0"/>
                    <w:ind w:left="0" w:right="0"/>
                    <w:jc w:val="center"/>
                    <w:textAlignment w:val="baseline"/>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单台配套加热系统：60万大卡燃烧机，天然气热值8500大卡，计算得出天然气用量约74.3m</w:t>
                  </w:r>
                  <w:r>
                    <w:rPr>
                      <w:rFonts w:hint="default" w:ascii="Times New Roman" w:hAnsi="Times New Roman" w:eastAsia="宋体" w:cs="Times New Roman"/>
                      <w:color w:val="auto"/>
                      <w:kern w:val="0"/>
                      <w:sz w:val="21"/>
                      <w:szCs w:val="21"/>
                      <w:highlight w:val="none"/>
                      <w:vertAlign w:val="super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/h</w:t>
                  </w:r>
                </w:p>
              </w:tc>
              <w:tc>
                <w:tcPr>
                  <w:tcW w:w="1373" w:type="pct"/>
                  <w:noWrap/>
                  <w:vAlign w:val="center"/>
                </w:tcPr>
                <w:p w14:paraId="19805B41">
                  <w:pPr>
                    <w:keepNext w:val="0"/>
                    <w:keepLines w:val="0"/>
                    <w:pageBreakBefore w:val="0"/>
                    <w:widowControl w:val="0"/>
                    <w:suppressLineNumbers w:val="0"/>
                    <w:kinsoku/>
                    <w:wordWrap/>
                    <w:topLinePunct w:val="0"/>
                    <w:autoSpaceDE w:val="0"/>
                    <w:autoSpaceDN w:val="0"/>
                    <w:bidi w:val="0"/>
                    <w:adjustRightInd w:val="0"/>
                    <w:snapToGrid w:val="0"/>
                    <w:spacing w:beforeAutospacing="0" w:after="0" w:afterAutospacing="0"/>
                    <w:ind w:left="0" w:right="0"/>
                    <w:jc w:val="both"/>
                    <w:textAlignment w:val="baseline"/>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1、额定蒸发量：1T/h</w:t>
                  </w:r>
                </w:p>
                <w:p w14:paraId="0168E156">
                  <w:pPr>
                    <w:keepNext w:val="0"/>
                    <w:keepLines w:val="0"/>
                    <w:pageBreakBefore w:val="0"/>
                    <w:widowControl w:val="0"/>
                    <w:suppressLineNumbers w:val="0"/>
                    <w:kinsoku/>
                    <w:wordWrap/>
                    <w:topLinePunct w:val="0"/>
                    <w:autoSpaceDE w:val="0"/>
                    <w:autoSpaceDN w:val="0"/>
                    <w:bidi w:val="0"/>
                    <w:adjustRightInd w:val="0"/>
                    <w:snapToGrid w:val="0"/>
                    <w:spacing w:beforeAutospacing="0" w:after="0" w:afterAutospacing="0"/>
                    <w:ind w:left="0" w:right="0"/>
                    <w:jc w:val="both"/>
                    <w:textAlignment w:val="baseline"/>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2、饱和蒸汽温度：194℃</w:t>
                  </w:r>
                </w:p>
                <w:p w14:paraId="6A2684F4">
                  <w:pPr>
                    <w:keepNext w:val="0"/>
                    <w:keepLines w:val="0"/>
                    <w:pageBreakBefore w:val="0"/>
                    <w:widowControl w:val="0"/>
                    <w:suppressLineNumbers w:val="0"/>
                    <w:kinsoku/>
                    <w:wordWrap/>
                    <w:topLinePunct w:val="0"/>
                    <w:autoSpaceDE w:val="0"/>
                    <w:autoSpaceDN w:val="0"/>
                    <w:bidi w:val="0"/>
                    <w:adjustRightInd w:val="0"/>
                    <w:snapToGrid w:val="0"/>
                    <w:spacing w:beforeAutospacing="0" w:after="0" w:afterAutospacing="0"/>
                    <w:ind w:left="0" w:right="0"/>
                    <w:jc w:val="both"/>
                    <w:textAlignment w:val="baseline"/>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3、锅炉热效率：93%-97%</w:t>
                  </w:r>
                </w:p>
              </w:tc>
              <w:tc>
                <w:tcPr>
                  <w:tcW w:w="295" w:type="pct"/>
                  <w:noWrap/>
                  <w:vAlign w:val="center"/>
                </w:tcPr>
                <w:p w14:paraId="552AFB42">
                  <w:pPr>
                    <w:keepNext w:val="0"/>
                    <w:keepLines w:val="0"/>
                    <w:pageBreakBefore w:val="0"/>
                    <w:widowControl w:val="0"/>
                    <w:suppressLineNumbers w:val="0"/>
                    <w:kinsoku/>
                    <w:wordWrap/>
                    <w:topLinePunct w:val="0"/>
                    <w:autoSpaceDE w:val="0"/>
                    <w:autoSpaceDN w:val="0"/>
                    <w:bidi w:val="0"/>
                    <w:adjustRightInd w:val="0"/>
                    <w:snapToGrid w:val="0"/>
                    <w:spacing w:beforeAutospacing="0" w:after="0" w:afterAutospacing="0"/>
                    <w:ind w:left="0" w:right="0"/>
                    <w:jc w:val="center"/>
                    <w:textAlignment w:val="baseline"/>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2台</w:t>
                  </w:r>
                </w:p>
              </w:tc>
              <w:tc>
                <w:tcPr>
                  <w:tcW w:w="584" w:type="pct"/>
                  <w:noWrap/>
                  <w:vAlign w:val="center"/>
                </w:tcPr>
                <w:p w14:paraId="575747C7">
                  <w:pPr>
                    <w:keepNext w:val="0"/>
                    <w:keepLines w:val="0"/>
                    <w:pageBreakBefore w:val="0"/>
                    <w:widowControl w:val="0"/>
                    <w:suppressLineNumbers w:val="0"/>
                    <w:kinsoku/>
                    <w:wordWrap/>
                    <w:topLinePunct w:val="0"/>
                    <w:autoSpaceDE w:val="0"/>
                    <w:autoSpaceDN w:val="0"/>
                    <w:bidi w:val="0"/>
                    <w:adjustRightInd w:val="0"/>
                    <w:snapToGrid w:val="0"/>
                    <w:spacing w:beforeAutospacing="0" w:after="0" w:afterAutospacing="0"/>
                    <w:ind w:left="0" w:right="0"/>
                    <w:jc w:val="center"/>
                    <w:textAlignment w:val="baseline"/>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74.3</w:t>
                  </w:r>
                </w:p>
              </w:tc>
              <w:tc>
                <w:tcPr>
                  <w:tcW w:w="477" w:type="pct"/>
                  <w:noWrap/>
                  <w:vAlign w:val="center"/>
                </w:tcPr>
                <w:p w14:paraId="58B4F4BA">
                  <w:pPr>
                    <w:keepNext w:val="0"/>
                    <w:keepLines w:val="0"/>
                    <w:pageBreakBefore w:val="0"/>
                    <w:widowControl w:val="0"/>
                    <w:suppressLineNumbers w:val="0"/>
                    <w:kinsoku/>
                    <w:wordWrap/>
                    <w:topLinePunct w:val="0"/>
                    <w:autoSpaceDE w:val="0"/>
                    <w:autoSpaceDN w:val="0"/>
                    <w:bidi w:val="0"/>
                    <w:adjustRightInd w:val="0"/>
                    <w:snapToGrid w:val="0"/>
                    <w:spacing w:beforeAutospacing="0" w:after="0" w:afterAutospacing="0"/>
                    <w:ind w:left="0" w:right="0"/>
                    <w:jc w:val="center"/>
                    <w:textAlignment w:val="baseline"/>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1200</w:t>
                  </w:r>
                </w:p>
              </w:tc>
              <w:tc>
                <w:tcPr>
                  <w:tcW w:w="574" w:type="pct"/>
                  <w:noWrap/>
                  <w:vAlign w:val="center"/>
                </w:tcPr>
                <w:p w14:paraId="093BB5D5">
                  <w:pPr>
                    <w:keepNext w:val="0"/>
                    <w:keepLines w:val="0"/>
                    <w:pageBreakBefore w:val="0"/>
                    <w:widowControl w:val="0"/>
                    <w:suppressLineNumbers w:val="0"/>
                    <w:kinsoku/>
                    <w:wordWrap/>
                    <w:topLinePunct w:val="0"/>
                    <w:autoSpaceDE w:val="0"/>
                    <w:autoSpaceDN w:val="0"/>
                    <w:bidi w:val="0"/>
                    <w:adjustRightInd w:val="0"/>
                    <w:snapToGrid w:val="0"/>
                    <w:spacing w:beforeAutospacing="0" w:after="0" w:afterAutospacing="0"/>
                    <w:ind w:left="0" w:right="0"/>
                    <w:jc w:val="center"/>
                    <w:textAlignment w:val="baseline"/>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17.832</w:t>
                  </w:r>
                </w:p>
              </w:tc>
            </w:tr>
          </w:tbl>
          <w:p w14:paraId="6158CF4A">
            <w:pPr>
              <w:keepLines w:val="0"/>
              <w:pageBreakBefore w:val="0"/>
              <w:widowControl w:val="0"/>
              <w:kinsoku/>
              <w:wordWrap/>
              <w:topLinePunct w:val="0"/>
              <w:bidi w:val="0"/>
              <w:adjustRightInd w:val="0"/>
              <w:snapToGrid w:val="0"/>
              <w:spacing w:after="0"/>
              <w:ind w:firstLine="422" w:firstLineChars="200"/>
              <w:jc w:val="both"/>
              <w:rPr>
                <w:rFonts w:hint="default" w:ascii="Times New Roman" w:hAnsi="Times New Roman" w:eastAsia="宋体" w:cs="Times New Roman"/>
                <w:b/>
                <w:color w:val="auto"/>
                <w:kern w:val="2"/>
                <w:sz w:val="21"/>
                <w:szCs w:val="21"/>
                <w:highlight w:val="none"/>
              </w:rPr>
            </w:pPr>
            <w:r>
              <w:rPr>
                <w:rFonts w:hint="default" w:ascii="Times New Roman" w:hAnsi="Times New Roman" w:eastAsia="宋体" w:cs="Times New Roman"/>
                <w:b/>
                <w:color w:val="auto"/>
                <w:kern w:val="2"/>
                <w:sz w:val="21"/>
                <w:szCs w:val="21"/>
                <w:highlight w:val="none"/>
                <w:lang w:eastAsia="zh-CN"/>
              </w:rPr>
              <w:t>注：</w:t>
            </w:r>
            <w:r>
              <w:rPr>
                <w:rFonts w:hint="default" w:ascii="Times New Roman" w:hAnsi="Times New Roman" w:eastAsia="宋体" w:cs="Times New Roman"/>
                <w:b/>
                <w:color w:val="auto"/>
                <w:kern w:val="2"/>
                <w:sz w:val="21"/>
                <w:szCs w:val="21"/>
                <w:highlight w:val="none"/>
                <w:lang w:val="en-US" w:eastAsia="zh-CN"/>
              </w:rPr>
              <w:t>1）</w:t>
            </w:r>
            <w:r>
              <w:rPr>
                <w:rFonts w:hint="default" w:ascii="Times New Roman" w:hAnsi="Times New Roman" w:eastAsia="宋体" w:cs="Times New Roman"/>
                <w:b/>
                <w:color w:val="auto"/>
                <w:kern w:val="2"/>
                <w:sz w:val="21"/>
                <w:szCs w:val="21"/>
                <w:highlight w:val="none"/>
              </w:rPr>
              <w:t>项目使用天然气燃烧提供热能，</w:t>
            </w:r>
            <w:r>
              <w:rPr>
                <w:rFonts w:hint="default" w:ascii="Times New Roman" w:hAnsi="Times New Roman" w:eastAsia="宋体" w:cs="Times New Roman"/>
                <w:b/>
                <w:color w:val="auto"/>
                <w:kern w:val="2"/>
                <w:sz w:val="21"/>
                <w:szCs w:val="21"/>
                <w:highlight w:val="none"/>
                <w:lang w:val="en-US" w:eastAsia="zh-CN"/>
              </w:rPr>
              <w:t>总共设置2台1t/h燃天然气锅炉，每台</w:t>
            </w:r>
            <w:r>
              <w:rPr>
                <w:rFonts w:hint="default" w:ascii="Times New Roman" w:hAnsi="Times New Roman" w:eastAsia="宋体" w:cs="Times New Roman"/>
                <w:b/>
                <w:color w:val="auto"/>
                <w:kern w:val="2"/>
                <w:sz w:val="21"/>
                <w:szCs w:val="21"/>
                <w:highlight w:val="none"/>
              </w:rPr>
              <w:t>燃烧配套</w:t>
            </w:r>
            <w:r>
              <w:rPr>
                <w:rFonts w:hint="default" w:ascii="Times New Roman" w:hAnsi="Times New Roman" w:eastAsia="宋体" w:cs="Times New Roman"/>
                <w:b/>
                <w:color w:val="auto"/>
                <w:kern w:val="2"/>
                <w:sz w:val="21"/>
                <w:szCs w:val="21"/>
                <w:highlight w:val="none"/>
                <w:lang w:val="en-US" w:eastAsia="zh-CN"/>
              </w:rPr>
              <w:t>60</w:t>
            </w:r>
            <w:r>
              <w:rPr>
                <w:rFonts w:hint="default" w:ascii="Times New Roman" w:hAnsi="Times New Roman" w:eastAsia="宋体" w:cs="Times New Roman"/>
                <w:b/>
                <w:color w:val="auto"/>
                <w:kern w:val="2"/>
                <w:sz w:val="21"/>
                <w:szCs w:val="21"/>
                <w:highlight w:val="none"/>
              </w:rPr>
              <w:t>万大卡燃烧机，天然气热值取8500大卡，</w:t>
            </w:r>
            <w:r>
              <w:rPr>
                <w:rFonts w:hint="default" w:ascii="Times New Roman" w:hAnsi="Times New Roman" w:eastAsia="宋体" w:cs="Times New Roman"/>
                <w:b/>
                <w:color w:val="auto"/>
                <w:kern w:val="2"/>
                <w:sz w:val="21"/>
                <w:szCs w:val="21"/>
                <w:highlight w:val="none"/>
                <w:lang w:val="en-US" w:eastAsia="zh-CN"/>
              </w:rPr>
              <w:t>根据业主提供的锅炉参数，锅炉热效率值为93%~97%，本项目综合</w:t>
            </w:r>
            <w:r>
              <w:rPr>
                <w:rFonts w:hint="default" w:ascii="Times New Roman" w:hAnsi="Times New Roman" w:eastAsia="宋体" w:cs="Times New Roman"/>
                <w:b/>
                <w:color w:val="auto"/>
                <w:kern w:val="2"/>
                <w:sz w:val="21"/>
                <w:szCs w:val="21"/>
                <w:highlight w:val="none"/>
              </w:rPr>
              <w:t>取</w:t>
            </w:r>
            <w:r>
              <w:rPr>
                <w:rFonts w:hint="default" w:ascii="Times New Roman" w:hAnsi="Times New Roman" w:eastAsia="宋体" w:cs="Times New Roman"/>
                <w:b/>
                <w:color w:val="auto"/>
                <w:kern w:val="2"/>
                <w:sz w:val="21"/>
                <w:szCs w:val="21"/>
                <w:highlight w:val="none"/>
                <w:lang w:val="en-US" w:eastAsia="zh-CN"/>
              </w:rPr>
              <w:t>中间值</w:t>
            </w:r>
            <w:r>
              <w:rPr>
                <w:rFonts w:hint="default" w:ascii="Times New Roman" w:hAnsi="Times New Roman" w:eastAsia="宋体" w:cs="Times New Roman"/>
                <w:b/>
                <w:color w:val="auto"/>
                <w:kern w:val="2"/>
                <w:sz w:val="21"/>
                <w:szCs w:val="21"/>
                <w:highlight w:val="none"/>
              </w:rPr>
              <w:t>9</w:t>
            </w:r>
            <w:r>
              <w:rPr>
                <w:rFonts w:hint="default" w:ascii="Times New Roman" w:hAnsi="Times New Roman" w:eastAsia="宋体" w:cs="Times New Roman"/>
                <w:b/>
                <w:color w:val="auto"/>
                <w:kern w:val="2"/>
                <w:sz w:val="21"/>
                <w:szCs w:val="21"/>
                <w:highlight w:val="none"/>
                <w:lang w:val="en-US" w:eastAsia="zh-CN"/>
              </w:rPr>
              <w:t>5</w:t>
            </w:r>
            <w:r>
              <w:rPr>
                <w:rFonts w:hint="default" w:ascii="Times New Roman" w:hAnsi="Times New Roman" w:eastAsia="宋体" w:cs="Times New Roman"/>
                <w:b/>
                <w:color w:val="auto"/>
                <w:kern w:val="2"/>
                <w:sz w:val="21"/>
                <w:szCs w:val="21"/>
                <w:highlight w:val="none"/>
              </w:rPr>
              <w:t>%，</w:t>
            </w:r>
            <w:r>
              <w:rPr>
                <w:rFonts w:hint="default" w:ascii="Times New Roman" w:hAnsi="Times New Roman" w:eastAsia="宋体" w:cs="Times New Roman"/>
                <w:b/>
                <w:color w:val="auto"/>
                <w:kern w:val="2"/>
                <w:sz w:val="21"/>
                <w:szCs w:val="21"/>
                <w:highlight w:val="none"/>
                <w:lang w:val="en-US" w:eastAsia="zh-CN"/>
              </w:rPr>
              <w:t>单台</w:t>
            </w:r>
            <w:r>
              <w:rPr>
                <w:rFonts w:hint="default" w:ascii="Times New Roman" w:hAnsi="Times New Roman" w:eastAsia="宋体" w:cs="Times New Roman"/>
                <w:b/>
                <w:color w:val="auto"/>
                <w:kern w:val="2"/>
                <w:sz w:val="21"/>
                <w:szCs w:val="21"/>
                <w:highlight w:val="none"/>
              </w:rPr>
              <w:t>1小时耗气量为</w:t>
            </w:r>
            <w:r>
              <w:rPr>
                <w:rFonts w:hint="default" w:ascii="Times New Roman" w:hAnsi="Times New Roman" w:eastAsia="宋体" w:cs="Times New Roman"/>
                <w:b/>
                <w:color w:val="auto"/>
                <w:kern w:val="2"/>
                <w:sz w:val="21"/>
                <w:szCs w:val="21"/>
                <w:highlight w:val="none"/>
                <w:lang w:val="en-US" w:eastAsia="zh-CN"/>
              </w:rPr>
              <w:t>60</w:t>
            </w:r>
            <w:r>
              <w:rPr>
                <w:rFonts w:hint="default" w:ascii="Times New Roman" w:hAnsi="Times New Roman" w:eastAsia="宋体" w:cs="Times New Roman"/>
                <w:b/>
                <w:color w:val="auto"/>
                <w:kern w:val="2"/>
                <w:sz w:val="21"/>
                <w:szCs w:val="21"/>
                <w:highlight w:val="none"/>
              </w:rPr>
              <w:t>万大卡÷（8500大卡×9</w:t>
            </w:r>
            <w:r>
              <w:rPr>
                <w:rFonts w:hint="default" w:ascii="Times New Roman" w:hAnsi="Times New Roman" w:eastAsia="宋体" w:cs="Times New Roman"/>
                <w:b/>
                <w:color w:val="auto"/>
                <w:kern w:val="2"/>
                <w:sz w:val="21"/>
                <w:szCs w:val="21"/>
                <w:highlight w:val="none"/>
                <w:lang w:val="en-US" w:eastAsia="zh-CN"/>
              </w:rPr>
              <w:t>5</w:t>
            </w:r>
            <w:r>
              <w:rPr>
                <w:rFonts w:hint="default" w:ascii="Times New Roman" w:hAnsi="Times New Roman" w:eastAsia="宋体" w:cs="Times New Roman"/>
                <w:b/>
                <w:color w:val="auto"/>
                <w:kern w:val="2"/>
                <w:sz w:val="21"/>
                <w:szCs w:val="21"/>
                <w:highlight w:val="none"/>
              </w:rPr>
              <w:t>%）≈</w:t>
            </w:r>
            <w:r>
              <w:rPr>
                <w:rFonts w:hint="default" w:ascii="Times New Roman" w:hAnsi="Times New Roman" w:eastAsia="宋体" w:cs="Times New Roman"/>
                <w:b/>
                <w:color w:val="auto"/>
                <w:kern w:val="2"/>
                <w:sz w:val="21"/>
                <w:szCs w:val="21"/>
                <w:highlight w:val="none"/>
                <w:lang w:val="en-US" w:eastAsia="zh-CN"/>
              </w:rPr>
              <w:t>74.3</w:t>
            </w:r>
            <w:r>
              <w:rPr>
                <w:rFonts w:hint="default" w:ascii="Times New Roman" w:hAnsi="Times New Roman" w:eastAsia="宋体" w:cs="Times New Roman"/>
                <w:b/>
                <w:color w:val="auto"/>
                <w:kern w:val="2"/>
                <w:sz w:val="21"/>
                <w:szCs w:val="21"/>
                <w:highlight w:val="none"/>
              </w:rPr>
              <w:t>m</w:t>
            </w:r>
            <w:r>
              <w:rPr>
                <w:rFonts w:hint="default" w:ascii="Times New Roman" w:hAnsi="Times New Roman" w:eastAsia="宋体" w:cs="Times New Roman"/>
                <w:b/>
                <w:color w:val="auto"/>
                <w:kern w:val="2"/>
                <w:sz w:val="21"/>
                <w:szCs w:val="21"/>
                <w:highlight w:val="none"/>
                <w:vertAlign w:val="superscript"/>
              </w:rPr>
              <w:t>3</w:t>
            </w:r>
            <w:r>
              <w:rPr>
                <w:rFonts w:hint="default" w:ascii="Times New Roman" w:hAnsi="Times New Roman" w:eastAsia="宋体" w:cs="Times New Roman"/>
                <w:b/>
                <w:color w:val="auto"/>
                <w:kern w:val="2"/>
                <w:sz w:val="21"/>
                <w:szCs w:val="21"/>
                <w:highlight w:val="none"/>
              </w:rPr>
              <w:t>/h，</w:t>
            </w:r>
            <w:r>
              <w:rPr>
                <w:rFonts w:hint="default" w:ascii="Times New Roman" w:hAnsi="Times New Roman" w:eastAsia="宋体" w:cs="Times New Roman"/>
                <w:b/>
                <w:color w:val="auto"/>
                <w:kern w:val="2"/>
                <w:sz w:val="21"/>
                <w:szCs w:val="21"/>
                <w:highlight w:val="none"/>
                <w:lang w:val="en-US" w:eastAsia="zh-CN"/>
              </w:rPr>
              <w:t>锅炉燃烧</w:t>
            </w:r>
            <w:r>
              <w:rPr>
                <w:rFonts w:hint="default" w:ascii="Times New Roman" w:hAnsi="Times New Roman" w:eastAsia="宋体" w:cs="Times New Roman"/>
                <w:b/>
                <w:color w:val="auto"/>
                <w:kern w:val="2"/>
                <w:sz w:val="21"/>
                <w:szCs w:val="21"/>
                <w:highlight w:val="none"/>
              </w:rPr>
              <w:t>工作时间为</w:t>
            </w:r>
            <w:r>
              <w:rPr>
                <w:rFonts w:hint="default" w:ascii="Times New Roman" w:hAnsi="Times New Roman" w:eastAsia="宋体" w:cs="Times New Roman"/>
                <w:b/>
                <w:color w:val="auto"/>
                <w:kern w:val="2"/>
                <w:sz w:val="21"/>
                <w:szCs w:val="21"/>
                <w:highlight w:val="none"/>
                <w:lang w:val="en-US" w:eastAsia="zh-CN"/>
              </w:rPr>
              <w:t>1200</w:t>
            </w:r>
            <w:r>
              <w:rPr>
                <w:rFonts w:hint="default" w:ascii="Times New Roman" w:hAnsi="Times New Roman" w:eastAsia="宋体" w:cs="Times New Roman"/>
                <w:b/>
                <w:color w:val="auto"/>
                <w:kern w:val="2"/>
                <w:sz w:val="21"/>
                <w:szCs w:val="21"/>
                <w:highlight w:val="none"/>
              </w:rPr>
              <w:t>h/a，</w:t>
            </w:r>
            <w:r>
              <w:rPr>
                <w:rFonts w:hint="default" w:ascii="Times New Roman" w:hAnsi="Times New Roman" w:eastAsia="宋体" w:cs="Times New Roman"/>
                <w:b/>
                <w:color w:val="auto"/>
                <w:kern w:val="2"/>
                <w:sz w:val="21"/>
                <w:szCs w:val="21"/>
                <w:highlight w:val="none"/>
                <w:lang w:val="en-US" w:eastAsia="zh-CN"/>
              </w:rPr>
              <w:t>则项目</w:t>
            </w:r>
            <w:r>
              <w:rPr>
                <w:rFonts w:hint="default" w:ascii="Times New Roman" w:hAnsi="Times New Roman" w:eastAsia="宋体" w:cs="Times New Roman"/>
                <w:b/>
                <w:color w:val="auto"/>
                <w:kern w:val="2"/>
                <w:sz w:val="21"/>
                <w:szCs w:val="21"/>
                <w:highlight w:val="none"/>
              </w:rPr>
              <w:t>天然气总用气量为</w:t>
            </w:r>
            <w:r>
              <w:rPr>
                <w:rFonts w:hint="default" w:ascii="Times New Roman" w:hAnsi="Times New Roman" w:eastAsia="宋体" w:cs="Times New Roman"/>
                <w:b/>
                <w:color w:val="auto"/>
                <w:kern w:val="2"/>
                <w:sz w:val="21"/>
                <w:szCs w:val="21"/>
                <w:highlight w:val="none"/>
                <w:lang w:val="en-US" w:eastAsia="zh-CN"/>
              </w:rPr>
              <w:t>74.3</w:t>
            </w:r>
            <w:r>
              <w:rPr>
                <w:rFonts w:hint="default" w:ascii="Times New Roman" w:hAnsi="Times New Roman" w:eastAsia="宋体" w:cs="Times New Roman"/>
                <w:b/>
                <w:color w:val="auto"/>
                <w:kern w:val="2"/>
                <w:sz w:val="21"/>
                <w:szCs w:val="21"/>
                <w:highlight w:val="none"/>
              </w:rPr>
              <w:t>m</w:t>
            </w:r>
            <w:r>
              <w:rPr>
                <w:rFonts w:hint="default" w:ascii="Times New Roman" w:hAnsi="Times New Roman" w:eastAsia="宋体" w:cs="Times New Roman"/>
                <w:b/>
                <w:color w:val="auto"/>
                <w:kern w:val="2"/>
                <w:sz w:val="21"/>
                <w:szCs w:val="21"/>
                <w:highlight w:val="none"/>
                <w:vertAlign w:val="superscript"/>
              </w:rPr>
              <w:t>3</w:t>
            </w:r>
            <w:r>
              <w:rPr>
                <w:rFonts w:hint="default" w:ascii="Times New Roman" w:hAnsi="Times New Roman" w:eastAsia="宋体" w:cs="Times New Roman"/>
                <w:b/>
                <w:color w:val="auto"/>
                <w:kern w:val="2"/>
                <w:sz w:val="21"/>
                <w:szCs w:val="21"/>
                <w:highlight w:val="none"/>
              </w:rPr>
              <w:t>/h×</w:t>
            </w:r>
            <w:r>
              <w:rPr>
                <w:rFonts w:hint="default" w:ascii="Times New Roman" w:hAnsi="Times New Roman" w:eastAsia="宋体" w:cs="Times New Roman"/>
                <w:b/>
                <w:color w:val="auto"/>
                <w:kern w:val="2"/>
                <w:sz w:val="21"/>
                <w:szCs w:val="21"/>
                <w:highlight w:val="none"/>
                <w:lang w:val="en-US" w:eastAsia="zh-CN"/>
              </w:rPr>
              <w:t>1200</w:t>
            </w:r>
            <w:r>
              <w:rPr>
                <w:rFonts w:hint="default" w:ascii="Times New Roman" w:hAnsi="Times New Roman" w:eastAsia="宋体" w:cs="Times New Roman"/>
                <w:b/>
                <w:color w:val="auto"/>
                <w:kern w:val="2"/>
                <w:sz w:val="21"/>
                <w:szCs w:val="21"/>
                <w:highlight w:val="none"/>
              </w:rPr>
              <w:t>h/a×</w:t>
            </w:r>
            <w:r>
              <w:rPr>
                <w:rFonts w:hint="default" w:ascii="Times New Roman" w:hAnsi="Times New Roman" w:eastAsia="宋体" w:cs="Times New Roman"/>
                <w:b/>
                <w:color w:val="auto"/>
                <w:kern w:val="2"/>
                <w:sz w:val="21"/>
                <w:szCs w:val="21"/>
                <w:highlight w:val="none"/>
                <w:lang w:val="en-US" w:eastAsia="zh-CN"/>
              </w:rPr>
              <w:t>2台</w:t>
            </w:r>
            <w:r>
              <w:rPr>
                <w:rFonts w:hint="default" w:ascii="Times New Roman" w:hAnsi="Times New Roman" w:eastAsia="宋体" w:cs="Times New Roman"/>
                <w:b/>
                <w:color w:val="auto"/>
                <w:kern w:val="2"/>
                <w:sz w:val="21"/>
                <w:szCs w:val="21"/>
                <w:highlight w:val="none"/>
              </w:rPr>
              <w:t>=</w:t>
            </w:r>
            <w:r>
              <w:rPr>
                <w:rFonts w:hint="default" w:ascii="Times New Roman" w:hAnsi="Times New Roman" w:eastAsia="宋体" w:cs="Times New Roman"/>
                <w:b/>
                <w:color w:val="auto"/>
                <w:kern w:val="2"/>
                <w:sz w:val="21"/>
                <w:szCs w:val="21"/>
                <w:highlight w:val="none"/>
                <w:lang w:val="en-US" w:eastAsia="zh-CN"/>
              </w:rPr>
              <w:t>17.832</w:t>
            </w:r>
            <w:r>
              <w:rPr>
                <w:rFonts w:hint="default" w:ascii="Times New Roman" w:hAnsi="Times New Roman" w:eastAsia="宋体" w:cs="Times New Roman"/>
                <w:b/>
                <w:color w:val="auto"/>
                <w:kern w:val="2"/>
                <w:sz w:val="21"/>
                <w:szCs w:val="21"/>
                <w:highlight w:val="none"/>
              </w:rPr>
              <w:t>万m</w:t>
            </w:r>
            <w:r>
              <w:rPr>
                <w:rFonts w:hint="default" w:ascii="Times New Roman" w:hAnsi="Times New Roman" w:eastAsia="宋体" w:cs="Times New Roman"/>
                <w:b/>
                <w:color w:val="auto"/>
                <w:kern w:val="2"/>
                <w:sz w:val="21"/>
                <w:szCs w:val="21"/>
                <w:highlight w:val="none"/>
                <w:vertAlign w:val="superscript"/>
              </w:rPr>
              <w:t>3</w:t>
            </w:r>
            <w:r>
              <w:rPr>
                <w:rFonts w:hint="default" w:ascii="Times New Roman" w:hAnsi="Times New Roman" w:eastAsia="宋体" w:cs="Times New Roman"/>
                <w:b/>
                <w:color w:val="auto"/>
                <w:kern w:val="2"/>
                <w:sz w:val="21"/>
                <w:szCs w:val="21"/>
                <w:highlight w:val="none"/>
              </w:rPr>
              <w:t>/a</w:t>
            </w:r>
            <w:r>
              <w:rPr>
                <w:rFonts w:hint="default" w:ascii="Times New Roman" w:hAnsi="Times New Roman" w:eastAsia="宋体" w:cs="Times New Roman"/>
                <w:b/>
                <w:bCs w:val="0"/>
                <w:color w:val="auto"/>
                <w:kern w:val="2"/>
                <w:sz w:val="21"/>
                <w:szCs w:val="21"/>
                <w:highlight w:val="none"/>
                <w:lang w:eastAsia="zh-CN"/>
              </w:rPr>
              <w:t>（</w:t>
            </w:r>
            <w:r>
              <w:rPr>
                <w:rFonts w:hint="default" w:ascii="Times New Roman" w:hAnsi="Times New Roman" w:eastAsia="宋体" w:cs="Times New Roman"/>
                <w:b/>
                <w:bCs w:val="0"/>
                <w:color w:val="auto"/>
                <w:kern w:val="0"/>
                <w:sz w:val="21"/>
                <w:szCs w:val="21"/>
                <w:highlight w:val="none"/>
                <w:lang w:val="en-US" w:eastAsia="zh-CN" w:bidi="ar"/>
              </w:rPr>
              <w:t>127.93t/a</w:t>
            </w:r>
            <w:r>
              <w:rPr>
                <w:rFonts w:hint="default" w:ascii="Times New Roman" w:hAnsi="Times New Roman" w:eastAsia="宋体" w:cs="Times New Roman"/>
                <w:b/>
                <w:bCs w:val="0"/>
                <w:color w:val="auto"/>
                <w:kern w:val="2"/>
                <w:sz w:val="21"/>
                <w:szCs w:val="21"/>
                <w:highlight w:val="none"/>
                <w:lang w:eastAsia="zh-CN"/>
              </w:rPr>
              <w:t>）</w:t>
            </w:r>
            <w:r>
              <w:rPr>
                <w:rFonts w:hint="default" w:ascii="Times New Roman" w:hAnsi="Times New Roman" w:eastAsia="宋体" w:cs="Times New Roman"/>
                <w:b/>
                <w:color w:val="auto"/>
                <w:kern w:val="2"/>
                <w:sz w:val="21"/>
                <w:szCs w:val="21"/>
                <w:highlight w:val="none"/>
              </w:rPr>
              <w:t>。</w:t>
            </w:r>
          </w:p>
          <w:p w14:paraId="3D9A6DDC">
            <w:pPr>
              <w:keepLines w:val="0"/>
              <w:pageBreakBefore w:val="0"/>
              <w:widowControl w:val="0"/>
              <w:kinsoku/>
              <w:wordWrap/>
              <w:topLinePunct w:val="0"/>
              <w:bidi w:val="0"/>
              <w:adjustRightInd w:val="0"/>
              <w:snapToGrid w:val="0"/>
              <w:spacing w:after="0"/>
              <w:ind w:firstLine="422" w:firstLineChars="200"/>
              <w:jc w:val="both"/>
              <w:rPr>
                <w:rFonts w:hint="default" w:ascii="Times New Roman" w:hAnsi="Times New Roman" w:eastAsia="宋体" w:cs="Times New Roman"/>
                <w:b/>
                <w:color w:val="auto"/>
                <w:kern w:val="2"/>
                <w:sz w:val="21"/>
                <w:szCs w:val="21"/>
                <w:highlight w:val="none"/>
              </w:rPr>
            </w:pPr>
            <w:r>
              <w:rPr>
                <w:rFonts w:hint="default" w:ascii="Times New Roman" w:hAnsi="Times New Roman" w:eastAsia="宋体" w:cs="Times New Roman"/>
                <w:b/>
                <w:bCs/>
                <w:color w:val="auto"/>
                <w:kern w:val="2"/>
                <w:sz w:val="21"/>
                <w:szCs w:val="21"/>
                <w:highlight w:val="none"/>
                <w:lang w:val="en-US" w:eastAsia="zh-CN"/>
              </w:rPr>
              <w:t>2）</w:t>
            </w:r>
            <w:r>
              <w:rPr>
                <w:rFonts w:hint="default" w:ascii="Times New Roman" w:hAnsi="Times New Roman" w:eastAsia="宋体" w:cs="Times New Roman"/>
                <w:b/>
                <w:bCs/>
                <w:color w:val="auto"/>
                <w:kern w:val="2"/>
                <w:sz w:val="21"/>
                <w:szCs w:val="21"/>
                <w:highlight w:val="none"/>
              </w:rPr>
              <w:t>天然气管网供气，</w:t>
            </w:r>
            <w:r>
              <w:rPr>
                <w:rFonts w:hint="default" w:ascii="Times New Roman" w:hAnsi="Times New Roman" w:eastAsia="宋体" w:cs="Times New Roman"/>
                <w:b/>
                <w:bCs/>
                <w:color w:val="auto"/>
                <w:kern w:val="2"/>
                <w:sz w:val="21"/>
                <w:szCs w:val="21"/>
                <w:highlight w:val="none"/>
                <w:lang w:val="en-US" w:eastAsia="zh-CN"/>
              </w:rPr>
              <w:t>按照厂区内天然气管段总长度计算天然气储存量，天然气管径为20cm，厂区内天然气管段总长度约为400m，则项目天然气体积计算为3.14×0.1</w:t>
            </w:r>
            <w:r>
              <w:rPr>
                <w:rFonts w:hint="default" w:ascii="Times New Roman" w:hAnsi="Times New Roman" w:eastAsia="宋体" w:cs="Times New Roman"/>
                <w:b/>
                <w:bCs/>
                <w:color w:val="auto"/>
                <w:kern w:val="2"/>
                <w:sz w:val="21"/>
                <w:szCs w:val="21"/>
                <w:highlight w:val="none"/>
                <w:vertAlign w:val="superscript"/>
                <w:lang w:val="en-US" w:eastAsia="zh-CN"/>
              </w:rPr>
              <w:t>2</w:t>
            </w:r>
            <w:r>
              <w:rPr>
                <w:rFonts w:hint="default" w:ascii="Times New Roman" w:hAnsi="Times New Roman" w:eastAsia="宋体" w:cs="Times New Roman"/>
                <w:b/>
                <w:bCs/>
                <w:color w:val="auto"/>
                <w:kern w:val="2"/>
                <w:sz w:val="21"/>
                <w:szCs w:val="21"/>
                <w:highlight w:val="none"/>
                <w:lang w:val="en-US" w:eastAsia="zh-CN"/>
              </w:rPr>
              <w:t>×400=12.56m</w:t>
            </w:r>
            <w:r>
              <w:rPr>
                <w:rFonts w:hint="default" w:ascii="Times New Roman" w:hAnsi="Times New Roman" w:eastAsia="宋体" w:cs="Times New Roman"/>
                <w:b/>
                <w:bCs/>
                <w:color w:val="auto"/>
                <w:kern w:val="2"/>
                <w:sz w:val="21"/>
                <w:szCs w:val="21"/>
                <w:highlight w:val="none"/>
                <w:vertAlign w:val="superscript"/>
                <w:lang w:val="en-US" w:eastAsia="zh-CN"/>
              </w:rPr>
              <w:t>3</w:t>
            </w:r>
            <w:r>
              <w:rPr>
                <w:rFonts w:hint="default" w:ascii="Times New Roman" w:hAnsi="Times New Roman" w:eastAsia="宋体" w:cs="Times New Roman"/>
                <w:b/>
                <w:bCs/>
                <w:color w:val="auto"/>
                <w:kern w:val="2"/>
                <w:sz w:val="21"/>
                <w:szCs w:val="21"/>
                <w:highlight w:val="none"/>
                <w:lang w:val="en-US" w:eastAsia="zh-CN"/>
              </w:rPr>
              <w:t>，天然气密度为0.7174kg/m</w:t>
            </w:r>
            <w:r>
              <w:rPr>
                <w:rFonts w:hint="default" w:ascii="Times New Roman" w:hAnsi="Times New Roman" w:eastAsia="宋体" w:cs="Times New Roman"/>
                <w:b/>
                <w:bCs/>
                <w:color w:val="auto"/>
                <w:kern w:val="2"/>
                <w:sz w:val="21"/>
                <w:szCs w:val="21"/>
                <w:highlight w:val="none"/>
                <w:vertAlign w:val="superscript"/>
                <w:lang w:val="en-US" w:eastAsia="zh-CN"/>
              </w:rPr>
              <w:t>3</w:t>
            </w:r>
            <w:r>
              <w:rPr>
                <w:rFonts w:hint="default" w:ascii="Times New Roman" w:hAnsi="Times New Roman" w:eastAsia="宋体" w:cs="Times New Roman"/>
                <w:b/>
                <w:bCs/>
                <w:color w:val="auto"/>
                <w:kern w:val="2"/>
                <w:sz w:val="21"/>
                <w:szCs w:val="21"/>
                <w:highlight w:val="none"/>
                <w:lang w:val="en-US" w:eastAsia="zh-CN"/>
              </w:rPr>
              <w:t>，则计算出其在线储存量约为0.009吨</w:t>
            </w:r>
            <w:r>
              <w:rPr>
                <w:rFonts w:hint="default" w:ascii="Times New Roman" w:hAnsi="Times New Roman" w:eastAsia="宋体" w:cs="Times New Roman"/>
                <w:b/>
                <w:bCs/>
                <w:color w:val="auto"/>
                <w:kern w:val="2"/>
                <w:sz w:val="21"/>
                <w:szCs w:val="21"/>
                <w:highlight w:val="none"/>
              </w:rPr>
              <w:t>。</w:t>
            </w:r>
          </w:p>
          <w:p w14:paraId="66D351F5">
            <w:pPr>
              <w:pStyle w:val="43"/>
              <w:keepNext w:val="0"/>
              <w:keepLines w:val="0"/>
              <w:pageBreakBefore w:val="0"/>
              <w:widowControl w:val="0"/>
              <w:kinsoku/>
              <w:wordWrap/>
              <w:overflowPunct/>
              <w:topLinePunct w:val="0"/>
              <w:autoSpaceDE w:val="0"/>
              <w:autoSpaceDN w:val="0"/>
              <w:bidi w:val="0"/>
              <w:adjustRightInd w:val="0"/>
              <w:snapToGrid w:val="0"/>
              <w:textAlignment w:val="baseline"/>
              <w:rPr>
                <w:rFonts w:hint="default" w:ascii="Times New Roman" w:hAnsi="Times New Roman" w:cs="Times New Roman"/>
                <w:color w:val="auto"/>
                <w:highlight w:val="none"/>
                <w:lang w:val="en-US" w:eastAsia="zh-CN"/>
              </w:rPr>
            </w:pPr>
          </w:p>
          <w:p w14:paraId="75A029BA">
            <w:pPr>
              <w:keepNext w:val="0"/>
              <w:keepLines w:val="0"/>
              <w:pageBreakBefore w:val="0"/>
              <w:widowControl w:val="0"/>
              <w:kinsoku/>
              <w:wordWrap/>
              <w:overflowPunct/>
              <w:topLinePunct w:val="0"/>
              <w:autoSpaceDE/>
              <w:autoSpaceDN/>
              <w:bidi w:val="0"/>
              <w:adjustRightInd w:val="0"/>
              <w:snapToGrid w:val="0"/>
              <w:spacing w:line="240" w:lineRule="auto"/>
              <w:ind w:firstLine="422" w:firstLineChars="200"/>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表</w:t>
            </w:r>
            <w:r>
              <w:rPr>
                <w:rFonts w:hint="default" w:ascii="Times New Roman" w:hAnsi="Times New Roman" w:cs="Times New Roman"/>
                <w:b/>
                <w:color w:val="auto"/>
                <w:szCs w:val="21"/>
                <w:highlight w:val="none"/>
                <w:lang w:val="en-US" w:eastAsia="zh-CN"/>
              </w:rPr>
              <w:t>2-7</w:t>
            </w:r>
            <w:r>
              <w:rPr>
                <w:rFonts w:hint="default" w:ascii="Times New Roman" w:hAnsi="Times New Roman" w:cs="Times New Roman"/>
                <w:b/>
                <w:color w:val="auto"/>
                <w:szCs w:val="21"/>
                <w:highlight w:val="none"/>
              </w:rPr>
              <w:t>项目主要原辅材料理化性质一览表</w:t>
            </w:r>
          </w:p>
          <w:tbl>
            <w:tblPr>
              <w:tblStyle w:val="34"/>
              <w:tblW w:w="9078" w:type="dxa"/>
              <w:tblInd w:w="-8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8"/>
              <w:gridCol w:w="884"/>
              <w:gridCol w:w="512"/>
              <w:gridCol w:w="757"/>
              <w:gridCol w:w="6557"/>
            </w:tblGrid>
            <w:tr w14:paraId="1AAB5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8" w:type="dxa"/>
                  <w:noWrap w:val="0"/>
                  <w:vAlign w:val="center"/>
                </w:tcPr>
                <w:p w14:paraId="4D97C01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序号</w:t>
                  </w:r>
                </w:p>
              </w:tc>
              <w:tc>
                <w:tcPr>
                  <w:tcW w:w="884" w:type="dxa"/>
                  <w:noWrap w:val="0"/>
                  <w:vAlign w:val="center"/>
                </w:tcPr>
                <w:p w14:paraId="7485ACD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原辅材料</w:t>
                  </w:r>
                </w:p>
              </w:tc>
              <w:tc>
                <w:tcPr>
                  <w:tcW w:w="512" w:type="dxa"/>
                  <w:noWrap w:val="0"/>
                  <w:vAlign w:val="center"/>
                </w:tcPr>
                <w:p w14:paraId="6E5CD2F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形态</w:t>
                  </w:r>
                </w:p>
              </w:tc>
              <w:tc>
                <w:tcPr>
                  <w:tcW w:w="757" w:type="dxa"/>
                  <w:noWrap w:val="0"/>
                  <w:vAlign w:val="center"/>
                </w:tcPr>
                <w:p w14:paraId="3B318BD2">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危险特性</w:t>
                  </w:r>
                </w:p>
              </w:tc>
              <w:tc>
                <w:tcPr>
                  <w:tcW w:w="6557" w:type="dxa"/>
                  <w:noWrap w:val="0"/>
                  <w:vAlign w:val="center"/>
                </w:tcPr>
                <w:p w14:paraId="6788DE2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理化性质</w:t>
                  </w:r>
                </w:p>
              </w:tc>
            </w:tr>
            <w:tr w14:paraId="48E47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368" w:type="dxa"/>
                  <w:noWrap w:val="0"/>
                  <w:vAlign w:val="center"/>
                </w:tcPr>
                <w:p w14:paraId="32B0BF7E">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c>
                <w:tcPr>
                  <w:tcW w:w="884" w:type="dxa"/>
                  <w:noWrap w:val="0"/>
                  <w:vAlign w:val="center"/>
                </w:tcPr>
                <w:p w14:paraId="15D19D39">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eastAsia="zh-CN"/>
                    </w:rPr>
                    <w:t>水泥</w:t>
                  </w:r>
                </w:p>
              </w:tc>
              <w:tc>
                <w:tcPr>
                  <w:tcW w:w="512" w:type="dxa"/>
                  <w:noWrap w:val="0"/>
                  <w:vAlign w:val="center"/>
                </w:tcPr>
                <w:p w14:paraId="56AD0028">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粉状</w:t>
                  </w:r>
                </w:p>
              </w:tc>
              <w:tc>
                <w:tcPr>
                  <w:tcW w:w="757" w:type="dxa"/>
                  <w:noWrap w:val="0"/>
                  <w:vAlign w:val="center"/>
                </w:tcPr>
                <w:p w14:paraId="0D40720C">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eastAsia="zh-CN"/>
                    </w:rPr>
                    <w:t>非危险品</w:t>
                  </w:r>
                </w:p>
              </w:tc>
              <w:tc>
                <w:tcPr>
                  <w:tcW w:w="6557" w:type="dxa"/>
                  <w:noWrap w:val="0"/>
                  <w:vAlign w:val="center"/>
                </w:tcPr>
                <w:p w14:paraId="0FBDE87E">
                  <w:pPr>
                    <w:pStyle w:val="61"/>
                    <w:keepNext w:val="0"/>
                    <w:keepLines w:val="0"/>
                    <w:pageBreakBefore w:val="0"/>
                    <w:widowControl w:val="0"/>
                    <w:kinsoku/>
                    <w:wordWrap/>
                    <w:overflowPunct/>
                    <w:topLinePunct w:val="0"/>
                    <w:autoSpaceDE/>
                    <w:autoSpaceDN/>
                    <w:bidi w:val="0"/>
                    <w:adjustRightInd w:val="0"/>
                    <w:snapToGrid w:val="0"/>
                    <w:spacing w:before="0" w:line="240" w:lineRule="auto"/>
                    <w:ind w:left="0" w:right="0" w:firstLine="0" w:firstLineChars="0"/>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pacing w:val="-6"/>
                      <w:sz w:val="21"/>
                      <w:szCs w:val="21"/>
                      <w:highlight w:val="none"/>
                      <w:lang w:eastAsia="zh-CN"/>
                    </w:rPr>
                    <w:t>粉状水硬性无机胶凝材料。加水搅拌后成浆体，能在空气中硬化或者在水中更好的硬化，并能把砂、石等材料牢固地胶结在一起。</w:t>
                  </w:r>
                </w:p>
              </w:tc>
            </w:tr>
            <w:tr w14:paraId="7C331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368" w:type="dxa"/>
                  <w:noWrap w:val="0"/>
                  <w:vAlign w:val="center"/>
                </w:tcPr>
                <w:p w14:paraId="592EC471">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w:t>
                  </w:r>
                </w:p>
              </w:tc>
              <w:tc>
                <w:tcPr>
                  <w:tcW w:w="884" w:type="dxa"/>
                  <w:noWrap w:val="0"/>
                  <w:vAlign w:val="center"/>
                </w:tcPr>
                <w:p w14:paraId="3FC82FAA">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 w:val="21"/>
                      <w:szCs w:val="21"/>
                      <w:highlight w:val="none"/>
                      <w:lang w:eastAsia="zh-CN"/>
                    </w:rPr>
                    <w:t>粉煤灰</w:t>
                  </w:r>
                </w:p>
              </w:tc>
              <w:tc>
                <w:tcPr>
                  <w:tcW w:w="512" w:type="dxa"/>
                  <w:noWrap w:val="0"/>
                  <w:vAlign w:val="center"/>
                </w:tcPr>
                <w:p w14:paraId="3B4A7D7C">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cs="Times New Roman"/>
                      <w:color w:val="auto"/>
                      <w:szCs w:val="21"/>
                      <w:highlight w:val="none"/>
                      <w:lang w:val="en-US" w:eastAsia="zh-CN"/>
                    </w:rPr>
                    <w:t>粉状</w:t>
                  </w:r>
                </w:p>
              </w:tc>
              <w:tc>
                <w:tcPr>
                  <w:tcW w:w="757" w:type="dxa"/>
                  <w:noWrap w:val="0"/>
                  <w:vAlign w:val="center"/>
                </w:tcPr>
                <w:p w14:paraId="70ED1A5D">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cs="Times New Roman"/>
                      <w:color w:val="auto"/>
                      <w:szCs w:val="21"/>
                      <w:highlight w:val="none"/>
                      <w:lang w:eastAsia="zh-CN"/>
                    </w:rPr>
                    <w:t>非危险品</w:t>
                  </w:r>
                </w:p>
              </w:tc>
              <w:tc>
                <w:tcPr>
                  <w:tcW w:w="6557" w:type="dxa"/>
                  <w:noWrap w:val="0"/>
                  <w:vAlign w:val="center"/>
                </w:tcPr>
                <w:p w14:paraId="27398292">
                  <w:pPr>
                    <w:pStyle w:val="61"/>
                    <w:keepNext w:val="0"/>
                    <w:keepLines w:val="0"/>
                    <w:pageBreakBefore w:val="0"/>
                    <w:widowControl w:val="0"/>
                    <w:kinsoku/>
                    <w:wordWrap/>
                    <w:overflowPunct/>
                    <w:topLinePunct w:val="0"/>
                    <w:autoSpaceDE/>
                    <w:autoSpaceDN/>
                    <w:bidi w:val="0"/>
                    <w:adjustRightInd w:val="0"/>
                    <w:snapToGrid w:val="0"/>
                    <w:spacing w:before="0" w:line="240" w:lineRule="auto"/>
                    <w:ind w:left="0" w:right="0" w:firstLine="0" w:firstLineChars="0"/>
                    <w:textAlignment w:val="auto"/>
                    <w:rPr>
                      <w:rFonts w:hint="default" w:ascii="Times New Roman" w:hAnsi="Times New Roman" w:cs="Times New Roman"/>
                      <w:bCs/>
                      <w:color w:val="auto"/>
                      <w:szCs w:val="21"/>
                      <w:highlight w:val="none"/>
                      <w:lang w:eastAsia="zh-CN"/>
                    </w:rPr>
                  </w:pPr>
                  <w:r>
                    <w:rPr>
                      <w:rFonts w:hint="default" w:ascii="Times New Roman" w:hAnsi="Times New Roman" w:eastAsia="宋体" w:cs="Times New Roman"/>
                      <w:color w:val="auto"/>
                      <w:spacing w:val="-6"/>
                      <w:sz w:val="21"/>
                      <w:szCs w:val="21"/>
                      <w:highlight w:val="none"/>
                      <w:lang w:eastAsia="zh-CN"/>
                    </w:rPr>
                    <w:t>是从煤燃烧后的烟气中收捕下来的细灰，粉煤灰是燃煤电厂排出的主要固体废物。我国火电厂粉煤灰的主要氧化物组成为：</w:t>
                  </w:r>
                  <w:r>
                    <w:rPr>
                      <w:rFonts w:hint="default" w:ascii="Times New Roman" w:hAnsi="Times New Roman" w:eastAsia="宋体" w:cs="Times New Roman"/>
                      <w:color w:val="auto"/>
                      <w:spacing w:val="-6"/>
                      <w:sz w:val="21"/>
                      <w:szCs w:val="21"/>
                      <w:highlight w:val="none"/>
                      <w:lang w:val="en-US" w:eastAsia="zh-CN"/>
                    </w:rPr>
                    <w:t>SiO</w:t>
                  </w:r>
                  <w:r>
                    <w:rPr>
                      <w:rFonts w:hint="default" w:ascii="Times New Roman" w:hAnsi="Times New Roman" w:eastAsia="宋体" w:cs="Times New Roman"/>
                      <w:color w:val="auto"/>
                      <w:spacing w:val="-6"/>
                      <w:sz w:val="21"/>
                      <w:szCs w:val="21"/>
                      <w:highlight w:val="none"/>
                      <w:vertAlign w:val="subscript"/>
                      <w:lang w:val="en-US" w:eastAsia="zh-CN"/>
                    </w:rPr>
                    <w:t>2</w:t>
                  </w:r>
                  <w:r>
                    <w:rPr>
                      <w:rFonts w:hint="default" w:ascii="Times New Roman" w:hAnsi="Times New Roman" w:eastAsia="宋体" w:cs="Times New Roman"/>
                      <w:color w:val="auto"/>
                      <w:spacing w:val="-6"/>
                      <w:sz w:val="21"/>
                      <w:szCs w:val="21"/>
                      <w:highlight w:val="none"/>
                      <w:lang w:val="en-US" w:eastAsia="zh-CN"/>
                    </w:rPr>
                    <w:t>、Al</w:t>
                  </w:r>
                  <w:r>
                    <w:rPr>
                      <w:rFonts w:hint="default" w:ascii="Times New Roman" w:hAnsi="Times New Roman" w:eastAsia="宋体" w:cs="Times New Roman"/>
                      <w:color w:val="auto"/>
                      <w:spacing w:val="-6"/>
                      <w:sz w:val="21"/>
                      <w:szCs w:val="21"/>
                      <w:highlight w:val="none"/>
                      <w:vertAlign w:val="subscript"/>
                      <w:lang w:val="en-US" w:eastAsia="zh-CN"/>
                    </w:rPr>
                    <w:t>2</w:t>
                  </w:r>
                  <w:r>
                    <w:rPr>
                      <w:rFonts w:hint="default" w:ascii="Times New Roman" w:hAnsi="Times New Roman" w:eastAsia="宋体" w:cs="Times New Roman"/>
                      <w:color w:val="auto"/>
                      <w:spacing w:val="-6"/>
                      <w:sz w:val="21"/>
                      <w:szCs w:val="21"/>
                      <w:highlight w:val="none"/>
                      <w:lang w:val="en-US" w:eastAsia="zh-CN"/>
                    </w:rPr>
                    <w:t>O</w:t>
                  </w:r>
                  <w:r>
                    <w:rPr>
                      <w:rFonts w:hint="default" w:ascii="Times New Roman" w:hAnsi="Times New Roman" w:eastAsia="宋体" w:cs="Times New Roman"/>
                      <w:color w:val="auto"/>
                      <w:spacing w:val="-6"/>
                      <w:sz w:val="21"/>
                      <w:szCs w:val="21"/>
                      <w:highlight w:val="none"/>
                      <w:vertAlign w:val="subscript"/>
                      <w:lang w:val="en-US" w:eastAsia="zh-CN"/>
                    </w:rPr>
                    <w:t>3</w:t>
                  </w:r>
                  <w:r>
                    <w:rPr>
                      <w:rFonts w:hint="default" w:ascii="Times New Roman" w:hAnsi="Times New Roman" w:eastAsia="宋体" w:cs="Times New Roman"/>
                      <w:color w:val="auto"/>
                      <w:spacing w:val="-6"/>
                      <w:sz w:val="21"/>
                      <w:szCs w:val="21"/>
                      <w:highlight w:val="none"/>
                      <w:lang w:val="en-US" w:eastAsia="zh-CN"/>
                    </w:rPr>
                    <w:t>、FeO、Fe</w:t>
                  </w:r>
                  <w:r>
                    <w:rPr>
                      <w:rFonts w:hint="default" w:ascii="Times New Roman" w:hAnsi="Times New Roman" w:eastAsia="宋体" w:cs="Times New Roman"/>
                      <w:color w:val="auto"/>
                      <w:spacing w:val="-6"/>
                      <w:sz w:val="21"/>
                      <w:szCs w:val="21"/>
                      <w:highlight w:val="none"/>
                      <w:vertAlign w:val="subscript"/>
                      <w:lang w:val="en-US" w:eastAsia="zh-CN"/>
                    </w:rPr>
                    <w:t>2</w:t>
                  </w:r>
                  <w:r>
                    <w:rPr>
                      <w:rFonts w:hint="default" w:ascii="Times New Roman" w:hAnsi="Times New Roman" w:eastAsia="宋体" w:cs="Times New Roman"/>
                      <w:color w:val="auto"/>
                      <w:spacing w:val="-6"/>
                      <w:sz w:val="21"/>
                      <w:szCs w:val="21"/>
                      <w:highlight w:val="none"/>
                      <w:lang w:val="en-US" w:eastAsia="zh-CN"/>
                    </w:rPr>
                    <w:t>O</w:t>
                  </w:r>
                  <w:r>
                    <w:rPr>
                      <w:rFonts w:hint="default" w:ascii="Times New Roman" w:hAnsi="Times New Roman" w:eastAsia="宋体" w:cs="Times New Roman"/>
                      <w:color w:val="auto"/>
                      <w:spacing w:val="-6"/>
                      <w:sz w:val="21"/>
                      <w:szCs w:val="21"/>
                      <w:highlight w:val="none"/>
                      <w:vertAlign w:val="subscript"/>
                      <w:lang w:val="en-US" w:eastAsia="zh-CN"/>
                    </w:rPr>
                    <w:t>3</w:t>
                  </w:r>
                  <w:r>
                    <w:rPr>
                      <w:rFonts w:hint="default" w:ascii="Times New Roman" w:hAnsi="Times New Roman" w:eastAsia="宋体" w:cs="Times New Roman"/>
                      <w:color w:val="auto"/>
                      <w:spacing w:val="-6"/>
                      <w:sz w:val="21"/>
                      <w:szCs w:val="21"/>
                      <w:highlight w:val="none"/>
                      <w:lang w:val="en-US" w:eastAsia="zh-CN"/>
                    </w:rPr>
                    <w:t>、CaO、TiO</w:t>
                  </w:r>
                  <w:r>
                    <w:rPr>
                      <w:rFonts w:hint="default" w:ascii="Times New Roman" w:hAnsi="Times New Roman" w:eastAsia="宋体" w:cs="Times New Roman"/>
                      <w:color w:val="auto"/>
                      <w:spacing w:val="-6"/>
                      <w:sz w:val="21"/>
                      <w:szCs w:val="21"/>
                      <w:highlight w:val="none"/>
                      <w:vertAlign w:val="subscript"/>
                      <w:lang w:val="en-US" w:eastAsia="zh-CN"/>
                    </w:rPr>
                    <w:t>2</w:t>
                  </w:r>
                  <w:r>
                    <w:rPr>
                      <w:rFonts w:hint="default" w:ascii="Times New Roman" w:hAnsi="Times New Roman" w:eastAsia="宋体" w:cs="Times New Roman"/>
                      <w:color w:val="auto"/>
                      <w:spacing w:val="-6"/>
                      <w:sz w:val="21"/>
                      <w:szCs w:val="21"/>
                      <w:highlight w:val="none"/>
                      <w:lang w:val="en-US" w:eastAsia="zh-CN"/>
                    </w:rPr>
                    <w:t>等，孔隙率为50%—80%。</w:t>
                  </w:r>
                </w:p>
              </w:tc>
            </w:tr>
            <w:tr w14:paraId="54B86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8" w:type="dxa"/>
                  <w:noWrap w:val="0"/>
                  <w:vAlign w:val="center"/>
                </w:tcPr>
                <w:p w14:paraId="461EBEC9">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3</w:t>
                  </w:r>
                </w:p>
              </w:tc>
              <w:tc>
                <w:tcPr>
                  <w:tcW w:w="884" w:type="dxa"/>
                  <w:noWrap w:val="0"/>
                  <w:vAlign w:val="center"/>
                </w:tcPr>
                <w:p w14:paraId="36393D98">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减水剂</w:t>
                  </w:r>
                </w:p>
              </w:tc>
              <w:tc>
                <w:tcPr>
                  <w:tcW w:w="512" w:type="dxa"/>
                  <w:noWrap w:val="0"/>
                  <w:vAlign w:val="center"/>
                </w:tcPr>
                <w:p w14:paraId="02BF5E77">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液态</w:t>
                  </w:r>
                </w:p>
              </w:tc>
              <w:tc>
                <w:tcPr>
                  <w:tcW w:w="757" w:type="dxa"/>
                  <w:noWrap w:val="0"/>
                  <w:vAlign w:val="center"/>
                </w:tcPr>
                <w:p w14:paraId="73A7E8D4">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非危险品</w:t>
                  </w:r>
                </w:p>
              </w:tc>
              <w:tc>
                <w:tcPr>
                  <w:tcW w:w="6557" w:type="dxa"/>
                  <w:noWrap w:val="0"/>
                  <w:vAlign w:val="center"/>
                </w:tcPr>
                <w:p w14:paraId="5E43B82D">
                  <w:pPr>
                    <w:keepNext w:val="0"/>
                    <w:keepLines w:val="0"/>
                    <w:pageBreakBefore w:val="0"/>
                    <w:widowControl/>
                    <w:suppressLineNumbers w:val="0"/>
                    <w:kinsoku/>
                    <w:wordWrap/>
                    <w:overflowPunct/>
                    <w:topLinePunct w:val="0"/>
                    <w:autoSpaceDE/>
                    <w:autoSpaceDN/>
                    <w:bidi w:val="0"/>
                    <w:adjustRightInd w:val="0"/>
                    <w:snapToGrid w:val="0"/>
                    <w:jc w:val="left"/>
                    <w:textAlignment w:val="auto"/>
                    <w:rPr>
                      <w:rFonts w:hint="default" w:ascii="Times New Roman" w:hAnsi="Times New Roman" w:eastAsia="宋体" w:cs="Times New Roman"/>
                      <w:bCs/>
                      <w:color w:val="auto"/>
                      <w:szCs w:val="21"/>
                      <w:highlight w:val="none"/>
                      <w:lang w:val="en-US" w:eastAsia="zh-CN"/>
                    </w:rPr>
                  </w:pPr>
                  <w:r>
                    <w:rPr>
                      <w:rFonts w:hint="default" w:ascii="Times New Roman" w:hAnsi="Times New Roman" w:cs="Times New Roman"/>
                      <w:color w:val="auto"/>
                      <w:spacing w:val="-6"/>
                      <w:szCs w:val="21"/>
                      <w:highlight w:val="none"/>
                      <w:lang w:val="en-US" w:eastAsia="zh-CN"/>
                    </w:rPr>
                    <w:t>主</w:t>
                  </w:r>
                  <w:r>
                    <w:rPr>
                      <w:rFonts w:hint="default" w:ascii="Times New Roman" w:hAnsi="Times New Roman" w:cs="Times New Roman"/>
                      <w:color w:val="auto"/>
                      <w:spacing w:val="-6"/>
                      <w:szCs w:val="21"/>
                      <w:highlight w:val="none"/>
                      <w:lang w:eastAsia="zh-CN"/>
                    </w:rPr>
                    <w:t>要成分为</w:t>
                  </w:r>
                  <w:r>
                    <w:rPr>
                      <w:rFonts w:hint="eastAsia" w:ascii="Times New Roman" w:hAnsi="Times New Roman" w:eastAsia="宋体" w:cs="Times New Roman"/>
                      <w:color w:val="auto"/>
                      <w:kern w:val="2"/>
                      <w:sz w:val="21"/>
                      <w:szCs w:val="21"/>
                      <w:highlight w:val="none"/>
                      <w:lang w:val="en-US" w:eastAsia="zh-CN"/>
                    </w:rPr>
                    <w:t>40%的</w:t>
                  </w:r>
                  <w:r>
                    <w:rPr>
                      <w:rFonts w:hint="default" w:ascii="Times New Roman" w:hAnsi="Times New Roman" w:cs="Times New Roman"/>
                      <w:color w:val="auto"/>
                      <w:spacing w:val="-6"/>
                      <w:szCs w:val="21"/>
                      <w:highlight w:val="none"/>
                      <w:lang w:eastAsia="zh-CN"/>
                    </w:rPr>
                    <w:t>聚氧乙烯醚与丙烯酸</w:t>
                  </w:r>
                  <w:r>
                    <w:rPr>
                      <w:rFonts w:hint="default" w:ascii="Times New Roman" w:hAnsi="Times New Roman" w:eastAsia="宋体" w:cs="Times New Roman"/>
                      <w:color w:val="auto"/>
                      <w:kern w:val="2"/>
                      <w:sz w:val="21"/>
                      <w:szCs w:val="21"/>
                      <w:highlight w:val="none"/>
                      <w:lang w:val="en-US" w:eastAsia="zh-CN"/>
                    </w:rPr>
                    <w:t>共聚物及</w:t>
                  </w:r>
                  <w:r>
                    <w:rPr>
                      <w:rFonts w:hint="eastAsia" w:ascii="Times New Roman" w:hAnsi="Times New Roman" w:eastAsia="宋体" w:cs="Times New Roman"/>
                      <w:color w:val="auto"/>
                      <w:kern w:val="2"/>
                      <w:sz w:val="21"/>
                      <w:szCs w:val="21"/>
                      <w:highlight w:val="none"/>
                      <w:lang w:val="en-US" w:eastAsia="zh-CN"/>
                    </w:rPr>
                    <w:t>60%的</w:t>
                  </w:r>
                  <w:r>
                    <w:rPr>
                      <w:rFonts w:hint="default" w:ascii="Times New Roman" w:hAnsi="Times New Roman" w:eastAsia="宋体" w:cs="Times New Roman"/>
                      <w:color w:val="auto"/>
                      <w:kern w:val="2"/>
                      <w:sz w:val="21"/>
                      <w:szCs w:val="21"/>
                      <w:highlight w:val="none"/>
                      <w:lang w:val="en-US" w:eastAsia="zh-CN"/>
                    </w:rPr>
                    <w:t>水，形状及颜色：无色或淡黄色液体；气味：稍具气味；pH值：</w:t>
                  </w:r>
                  <w:r>
                    <w:rPr>
                      <w:rFonts w:hint="eastAsia" w:ascii="Times New Roman" w:hAnsi="Times New Roman" w:eastAsia="宋体" w:cs="Times New Roman"/>
                      <w:color w:val="auto"/>
                      <w:kern w:val="2"/>
                      <w:sz w:val="21"/>
                      <w:szCs w:val="21"/>
                      <w:highlight w:val="none"/>
                      <w:lang w:val="en-US" w:eastAsia="zh-CN"/>
                    </w:rPr>
                    <w:t>6±2</w:t>
                  </w:r>
                  <w:r>
                    <w:rPr>
                      <w:rFonts w:hint="default" w:ascii="Times New Roman" w:hAnsi="Times New Roman" w:eastAsia="宋体" w:cs="Times New Roman"/>
                      <w:color w:val="auto"/>
                      <w:kern w:val="2"/>
                      <w:sz w:val="21"/>
                      <w:szCs w:val="21"/>
                      <w:highlight w:val="none"/>
                      <w:lang w:val="en-US" w:eastAsia="zh-CN"/>
                    </w:rPr>
                    <w:t>；初始沸点、沸点范围：&gt;100℃，闪点&gt;93℃；</w:t>
                  </w:r>
                  <w:r>
                    <w:rPr>
                      <w:rFonts w:hint="eastAsia" w:ascii="Times New Roman" w:hAnsi="Times New Roman" w:eastAsia="宋体" w:cs="Times New Roman"/>
                      <w:color w:val="auto"/>
                      <w:kern w:val="2"/>
                      <w:sz w:val="21"/>
                      <w:szCs w:val="21"/>
                      <w:highlight w:val="none"/>
                      <w:lang w:val="en-US" w:eastAsia="zh-CN"/>
                    </w:rPr>
                    <w:t>相对</w:t>
                  </w:r>
                  <w:r>
                    <w:rPr>
                      <w:rFonts w:hint="default" w:ascii="Times New Roman" w:hAnsi="Times New Roman" w:eastAsia="宋体" w:cs="Times New Roman"/>
                      <w:color w:val="auto"/>
                      <w:kern w:val="2"/>
                      <w:sz w:val="21"/>
                      <w:szCs w:val="21"/>
                      <w:highlight w:val="none"/>
                      <w:lang w:val="en-US" w:eastAsia="zh-CN"/>
                    </w:rPr>
                    <w:t>密度：1.0</w:t>
                  </w:r>
                  <w:r>
                    <w:rPr>
                      <w:rFonts w:hint="eastAsia" w:ascii="Times New Roman" w:hAnsi="Times New Roman" w:eastAsia="宋体" w:cs="Times New Roman"/>
                      <w:color w:val="auto"/>
                      <w:kern w:val="2"/>
                      <w:sz w:val="21"/>
                      <w:szCs w:val="21"/>
                      <w:highlight w:val="none"/>
                      <w:lang w:val="en-US" w:eastAsia="zh-CN"/>
                    </w:rPr>
                    <w:t>80±0.02</w:t>
                  </w:r>
                  <w:r>
                    <w:rPr>
                      <w:rFonts w:hint="default" w:ascii="Times New Roman" w:hAnsi="Times New Roman" w:eastAsia="宋体" w:cs="Times New Roman"/>
                      <w:color w:val="auto"/>
                      <w:kern w:val="2"/>
                      <w:sz w:val="21"/>
                      <w:szCs w:val="21"/>
                      <w:highlight w:val="none"/>
                      <w:lang w:val="en-US" w:eastAsia="zh-CN"/>
                    </w:rPr>
                    <w:t>。爆炸的危险性：该产品不是爆炸物，氧化性：该产品不属于氧化性产品。</w:t>
                  </w:r>
                  <w:r>
                    <w:rPr>
                      <w:rFonts w:hint="eastAsia" w:ascii="Times New Roman" w:hAnsi="Times New Roman" w:eastAsia="宋体" w:cs="Times New Roman"/>
                      <w:color w:val="auto"/>
                      <w:kern w:val="2"/>
                      <w:sz w:val="21"/>
                      <w:szCs w:val="21"/>
                      <w:highlight w:val="none"/>
                      <w:lang w:val="en-US" w:eastAsia="zh-CN"/>
                    </w:rPr>
                    <w:t>MSDS见附件6。</w:t>
                  </w:r>
                </w:p>
              </w:tc>
            </w:tr>
            <w:tr w14:paraId="20A04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8" w:type="dxa"/>
                  <w:noWrap w:val="0"/>
                  <w:vAlign w:val="center"/>
                </w:tcPr>
                <w:p w14:paraId="2EA0FE9F">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4</w:t>
                  </w:r>
                </w:p>
              </w:tc>
              <w:tc>
                <w:tcPr>
                  <w:tcW w:w="884" w:type="dxa"/>
                  <w:noWrap w:val="0"/>
                  <w:vAlign w:val="center"/>
                </w:tcPr>
                <w:p w14:paraId="6C5E9F7C">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脱模剂</w:t>
                  </w:r>
                </w:p>
              </w:tc>
              <w:tc>
                <w:tcPr>
                  <w:tcW w:w="512" w:type="dxa"/>
                  <w:noWrap w:val="0"/>
                  <w:vAlign w:val="center"/>
                </w:tcPr>
                <w:p w14:paraId="187C3352">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液态</w:t>
                  </w:r>
                </w:p>
              </w:tc>
              <w:tc>
                <w:tcPr>
                  <w:tcW w:w="757" w:type="dxa"/>
                  <w:noWrap w:val="0"/>
                  <w:vAlign w:val="center"/>
                </w:tcPr>
                <w:p w14:paraId="50972709">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lang w:eastAsia="zh-CN"/>
                    </w:rPr>
                    <w:t>非危险品</w:t>
                  </w:r>
                </w:p>
              </w:tc>
              <w:tc>
                <w:tcPr>
                  <w:tcW w:w="6557" w:type="dxa"/>
                  <w:noWrap w:val="0"/>
                  <w:vAlign w:val="center"/>
                </w:tcPr>
                <w:p w14:paraId="1BB57E1E">
                  <w:pPr>
                    <w:keepNext w:val="0"/>
                    <w:keepLines w:val="0"/>
                    <w:pageBreakBefore w:val="0"/>
                    <w:widowControl/>
                    <w:suppressLineNumbers w:val="0"/>
                    <w:kinsoku/>
                    <w:wordWrap/>
                    <w:overflowPunct/>
                    <w:topLinePunct w:val="0"/>
                    <w:autoSpaceDE/>
                    <w:autoSpaceDN/>
                    <w:bidi w:val="0"/>
                    <w:adjustRightInd w:val="0"/>
                    <w:snapToGrid w:val="0"/>
                    <w:jc w:val="left"/>
                    <w:textAlignment w:val="auto"/>
                    <w:rPr>
                      <w:rFonts w:hint="default" w:ascii="Times New Roman" w:hAnsi="Times New Roman" w:cs="Times New Roman" w:eastAsiaTheme="minorEastAsia"/>
                      <w:bCs/>
                      <w:color w:val="auto"/>
                      <w:szCs w:val="21"/>
                      <w:highlight w:val="none"/>
                      <w:lang w:val="en-US" w:eastAsia="zh-CN"/>
                    </w:rPr>
                  </w:pPr>
                  <w:r>
                    <w:rPr>
                      <w:rFonts w:hint="default" w:ascii="Times New Roman" w:hAnsi="Times New Roman" w:cs="Times New Roman"/>
                      <w:color w:val="auto"/>
                      <w:szCs w:val="21"/>
                      <w:highlight w:val="none"/>
                      <w:lang w:eastAsia="zh-CN"/>
                    </w:rPr>
                    <w:t>隔离</w:t>
                  </w:r>
                  <w:r>
                    <w:rPr>
                      <w:rFonts w:hint="default" w:ascii="Times New Roman" w:hAnsi="Times New Roman" w:cs="Times New Roman"/>
                      <w:color w:val="auto"/>
                      <w:szCs w:val="21"/>
                      <w:highlight w:val="none"/>
                    </w:rPr>
                    <w:t>型脱模剂，为浅色乳状液体，主要由</w:t>
                  </w:r>
                  <w:r>
                    <w:rPr>
                      <w:rFonts w:hint="default" w:ascii="Times New Roman" w:hAnsi="Times New Roman" w:cs="Times New Roman"/>
                      <w:color w:val="auto"/>
                      <w:szCs w:val="21"/>
                      <w:highlight w:val="none"/>
                      <w:lang w:eastAsia="zh-CN"/>
                    </w:rPr>
                    <w:t>菜籽油</w:t>
                  </w:r>
                  <w:r>
                    <w:rPr>
                      <w:rFonts w:hint="default" w:ascii="Times New Roman" w:hAnsi="Times New Roman" w:cs="Times New Roman"/>
                      <w:color w:val="auto"/>
                      <w:szCs w:val="21"/>
                      <w:highlight w:val="none"/>
                      <w:lang w:val="en-US" w:eastAsia="zh-CN"/>
                    </w:rPr>
                    <w:t>45%</w:t>
                  </w:r>
                  <w:r>
                    <w:rPr>
                      <w:rFonts w:hint="default" w:ascii="Times New Roman" w:hAnsi="Times New Roman" w:cs="Times New Roman"/>
                      <w:color w:val="auto"/>
                      <w:szCs w:val="21"/>
                      <w:highlight w:val="none"/>
                      <w:lang w:eastAsia="zh-CN"/>
                    </w:rPr>
                    <w:t>、吐温</w:t>
                  </w:r>
                  <w:r>
                    <w:rPr>
                      <w:rFonts w:hint="default" w:ascii="Times New Roman" w:hAnsi="Times New Roman" w:cs="Times New Roman"/>
                      <w:color w:val="auto"/>
                      <w:szCs w:val="21"/>
                      <w:highlight w:val="none"/>
                      <w:lang w:val="en-US" w:eastAsia="zh-CN"/>
                    </w:rPr>
                    <w:t>60为8%、司盘7%、防腐剂1%</w:t>
                  </w:r>
                  <w:r>
                    <w:rPr>
                      <w:rFonts w:hint="default" w:ascii="Times New Roman" w:hAnsi="Times New Roman" w:cs="Times New Roman"/>
                      <w:color w:val="auto"/>
                      <w:szCs w:val="21"/>
                      <w:highlight w:val="none"/>
                      <w:lang w:eastAsia="zh-CN"/>
                    </w:rPr>
                    <w:t>及</w:t>
                  </w:r>
                  <w:r>
                    <w:rPr>
                      <w:rFonts w:hint="default" w:ascii="Times New Roman" w:hAnsi="Times New Roman" w:cs="Times New Roman"/>
                      <w:color w:val="auto"/>
                      <w:szCs w:val="21"/>
                      <w:highlight w:val="none"/>
                    </w:rPr>
                    <w:t>水</w:t>
                  </w:r>
                  <w:r>
                    <w:rPr>
                      <w:rFonts w:hint="default" w:ascii="Times New Roman" w:hAnsi="Times New Roman" w:cs="Times New Roman"/>
                      <w:color w:val="auto"/>
                      <w:szCs w:val="21"/>
                      <w:highlight w:val="none"/>
                      <w:lang w:val="en-US" w:eastAsia="zh-CN"/>
                    </w:rPr>
                    <w:t>39%</w:t>
                  </w:r>
                  <w:r>
                    <w:rPr>
                      <w:rFonts w:hint="default" w:ascii="Times New Roman" w:hAnsi="Times New Roman" w:cs="Times New Roman"/>
                      <w:color w:val="auto"/>
                      <w:szCs w:val="21"/>
                      <w:highlight w:val="none"/>
                    </w:rPr>
                    <w:t>组成，是一种介于</w:t>
                  </w:r>
                  <w:r>
                    <w:rPr>
                      <w:rFonts w:hint="default" w:ascii="Times New Roman" w:hAnsi="Times New Roman" w:cs="Times New Roman"/>
                      <w:color w:val="auto"/>
                      <w:szCs w:val="21"/>
                      <w:highlight w:val="none"/>
                    </w:rPr>
                    <w:fldChar w:fldCharType="begin"/>
                  </w:r>
                  <w:r>
                    <w:rPr>
                      <w:rFonts w:hint="default" w:ascii="Times New Roman" w:hAnsi="Times New Roman" w:cs="Times New Roman"/>
                      <w:color w:val="auto"/>
                      <w:szCs w:val="21"/>
                      <w:highlight w:val="none"/>
                    </w:rPr>
                    <w:instrText xml:space="preserve"> HYPERLINK "https://baike.baidu.com/item/%E6%A8%A1%E5%85%B7/371134" \t "https://baike.baidu.com/item/%E8%84%B1%E6%A8%A1%E5%89%82/_blank" </w:instrText>
                  </w:r>
                  <w:r>
                    <w:rPr>
                      <w:rFonts w:hint="default" w:ascii="Times New Roman" w:hAnsi="Times New Roman" w:cs="Times New Roman"/>
                      <w:color w:val="auto"/>
                      <w:szCs w:val="21"/>
                      <w:highlight w:val="none"/>
                    </w:rPr>
                    <w:fldChar w:fldCharType="separate"/>
                  </w:r>
                  <w:r>
                    <w:rPr>
                      <w:rFonts w:hint="default" w:ascii="Times New Roman" w:hAnsi="Times New Roman" w:cs="Times New Roman"/>
                      <w:color w:val="auto"/>
                      <w:szCs w:val="21"/>
                      <w:highlight w:val="none"/>
                    </w:rPr>
                    <w:t>模具</w:t>
                  </w:r>
                  <w:r>
                    <w:rPr>
                      <w:rFonts w:hint="default" w:ascii="Times New Roman" w:hAnsi="Times New Roman" w:cs="Times New Roman"/>
                      <w:color w:val="auto"/>
                      <w:szCs w:val="21"/>
                      <w:highlight w:val="none"/>
                    </w:rPr>
                    <w:fldChar w:fldCharType="end"/>
                  </w:r>
                  <w:r>
                    <w:rPr>
                      <w:rFonts w:hint="default" w:ascii="Times New Roman" w:hAnsi="Times New Roman" w:cs="Times New Roman"/>
                      <w:color w:val="auto"/>
                      <w:szCs w:val="21"/>
                      <w:highlight w:val="none"/>
                    </w:rPr>
                    <w:t>和成品之间的功能性物质，</w:t>
                  </w:r>
                  <w:r>
                    <w:rPr>
                      <w:rFonts w:hint="default" w:ascii="Times New Roman" w:hAnsi="Times New Roman" w:cs="Times New Roman"/>
                      <w:color w:val="auto"/>
                      <w:highlight w:val="none"/>
                    </w:rPr>
                    <w:t>为防止成型的制品在模具上粘着，而在制品与模具之间施加一类隔离膜，以便制品很容易从模具中脱出，同时保证制品表面质量和模具完好无损</w:t>
                  </w:r>
                  <w:r>
                    <w:rPr>
                      <w:rFonts w:hint="default" w:ascii="Times New Roman" w:hAnsi="Times New Roman" w:cs="Times New Roman"/>
                      <w:color w:val="auto"/>
                      <w:szCs w:val="21"/>
                      <w:highlight w:val="none"/>
                    </w:rPr>
                    <w:t>，脱模剂具有耐热及应力性能，不易分解或磨损。</w:t>
                  </w:r>
                  <w:r>
                    <w:rPr>
                      <w:rFonts w:hint="eastAsia" w:ascii="Times New Roman" w:hAnsi="Times New Roman" w:cs="Times New Roman"/>
                      <w:color w:val="auto"/>
                      <w:szCs w:val="21"/>
                      <w:highlight w:val="none"/>
                      <w:lang w:val="en-US" w:eastAsia="zh-CN"/>
                    </w:rPr>
                    <w:t>项目脱模剂可直接使用，无需在厂区内调配。</w:t>
                  </w:r>
                </w:p>
              </w:tc>
            </w:tr>
            <w:tr w14:paraId="317FE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8" w:type="dxa"/>
                  <w:noWrap w:val="0"/>
                  <w:vAlign w:val="center"/>
                </w:tcPr>
                <w:p w14:paraId="22B16FDC">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5</w:t>
                  </w:r>
                </w:p>
              </w:tc>
              <w:tc>
                <w:tcPr>
                  <w:tcW w:w="884" w:type="dxa"/>
                  <w:noWrap w:val="0"/>
                  <w:vAlign w:val="center"/>
                </w:tcPr>
                <w:p w14:paraId="702FDED2">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无铅实心焊丝</w:t>
                  </w:r>
                </w:p>
              </w:tc>
              <w:tc>
                <w:tcPr>
                  <w:tcW w:w="512" w:type="dxa"/>
                  <w:noWrap w:val="0"/>
                  <w:vAlign w:val="center"/>
                </w:tcPr>
                <w:p w14:paraId="76170BA2">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固态</w:t>
                  </w:r>
                </w:p>
              </w:tc>
              <w:tc>
                <w:tcPr>
                  <w:tcW w:w="757" w:type="dxa"/>
                  <w:noWrap w:val="0"/>
                  <w:vAlign w:val="center"/>
                </w:tcPr>
                <w:p w14:paraId="713C371E">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cs="Times New Roman"/>
                      <w:color w:val="auto"/>
                      <w:szCs w:val="21"/>
                      <w:highlight w:val="none"/>
                      <w:lang w:eastAsia="zh-CN"/>
                    </w:rPr>
                    <w:t>非危险品</w:t>
                  </w:r>
                </w:p>
              </w:tc>
              <w:tc>
                <w:tcPr>
                  <w:tcW w:w="6557" w:type="dxa"/>
                  <w:noWrap w:val="0"/>
                  <w:vAlign w:val="center"/>
                </w:tcPr>
                <w:p w14:paraId="515D25A5">
                  <w:pPr>
                    <w:keepNext w:val="0"/>
                    <w:keepLines w:val="0"/>
                    <w:pageBreakBefore w:val="0"/>
                    <w:widowControl/>
                    <w:suppressLineNumbers w:val="0"/>
                    <w:kinsoku/>
                    <w:wordWrap/>
                    <w:overflowPunct/>
                    <w:topLinePunct w:val="0"/>
                    <w:autoSpaceDE/>
                    <w:autoSpaceDN/>
                    <w:bidi w:val="0"/>
                    <w:adjustRightInd w:val="0"/>
                    <w:snapToGrid w:val="0"/>
                    <w:jc w:val="left"/>
                    <w:textAlignment w:val="auto"/>
                    <w:rPr>
                      <w:rFonts w:hint="default" w:ascii="Times New Roman" w:hAnsi="Times New Roman" w:cs="Times New Roman"/>
                      <w:color w:val="auto"/>
                      <w:szCs w:val="21"/>
                      <w:highlight w:val="none"/>
                      <w:lang w:eastAsia="zh-CN"/>
                    </w:rPr>
                  </w:pPr>
                  <w:r>
                    <w:rPr>
                      <w:rFonts w:hint="default" w:ascii="Times New Roman" w:hAnsi="Times New Roman" w:eastAsia="宋体" w:cs="Times New Roman"/>
                      <w:color w:val="auto"/>
                      <w:szCs w:val="21"/>
                      <w:highlight w:val="none"/>
                      <w:lang w:val="en-US" w:eastAsia="zh-CN"/>
                    </w:rPr>
                    <w:t>为</w:t>
                  </w:r>
                  <w:r>
                    <w:rPr>
                      <w:rFonts w:hint="eastAsia" w:ascii="Times New Roman" w:hAnsi="Times New Roman" w:eastAsia="宋体" w:cs="Times New Roman"/>
                      <w:color w:val="auto"/>
                      <w:szCs w:val="21"/>
                      <w:highlight w:val="none"/>
                      <w:lang w:val="en-US" w:eastAsia="zh-CN"/>
                    </w:rPr>
                    <w:t>无铅实心焊丝</w:t>
                  </w:r>
                  <w:r>
                    <w:rPr>
                      <w:rFonts w:hint="default" w:ascii="Times New Roman" w:hAnsi="Times New Roman" w:eastAsia="宋体" w:cs="Times New Roman"/>
                      <w:color w:val="auto"/>
                      <w:szCs w:val="21"/>
                      <w:highlight w:val="none"/>
                      <w:lang w:val="en-US" w:eastAsia="zh-CN"/>
                    </w:rPr>
                    <w:t>，主要成分为MnO、SiO</w:t>
                  </w:r>
                  <w:r>
                    <w:rPr>
                      <w:rFonts w:hint="default" w:ascii="Times New Roman" w:hAnsi="Times New Roman" w:eastAsia="宋体" w:cs="Times New Roman"/>
                      <w:color w:val="auto"/>
                      <w:szCs w:val="21"/>
                      <w:highlight w:val="none"/>
                      <w:vertAlign w:val="subscript"/>
                      <w:lang w:val="en-US" w:eastAsia="zh-CN"/>
                    </w:rPr>
                    <w:t>2</w:t>
                  </w:r>
                  <w:r>
                    <w:rPr>
                      <w:rFonts w:hint="default" w:ascii="Times New Roman" w:hAnsi="Times New Roman" w:eastAsia="宋体" w:cs="Times New Roman"/>
                      <w:color w:val="auto"/>
                      <w:szCs w:val="21"/>
                      <w:highlight w:val="none"/>
                      <w:lang w:val="en-US" w:eastAsia="zh-CN"/>
                    </w:rPr>
                    <w:t>等金属及非金属氧化物，不含锡。既可用惰性气体保护焊，也可用于埋弧焊。银灰色金属固体，无味，湿润性、流动性好，熔化后出渣量比普通焊丝少，且具有优良的抗氧化性能。</w:t>
                  </w:r>
                </w:p>
              </w:tc>
            </w:tr>
            <w:tr w14:paraId="49630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8" w:type="dxa"/>
                  <w:noWrap w:val="0"/>
                  <w:vAlign w:val="center"/>
                </w:tcPr>
                <w:p w14:paraId="4DEAFB0D">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6</w:t>
                  </w:r>
                </w:p>
              </w:tc>
              <w:tc>
                <w:tcPr>
                  <w:tcW w:w="884" w:type="dxa"/>
                  <w:noWrap w:val="0"/>
                  <w:vAlign w:val="center"/>
                </w:tcPr>
                <w:p w14:paraId="3C0E0C4B">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管道天然气</w:t>
                  </w:r>
                </w:p>
              </w:tc>
              <w:tc>
                <w:tcPr>
                  <w:tcW w:w="512" w:type="dxa"/>
                  <w:noWrap w:val="0"/>
                  <w:vAlign w:val="center"/>
                </w:tcPr>
                <w:p w14:paraId="2E4EF304">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气态</w:t>
                  </w:r>
                </w:p>
              </w:tc>
              <w:tc>
                <w:tcPr>
                  <w:tcW w:w="757" w:type="dxa"/>
                  <w:noWrap w:val="0"/>
                  <w:vAlign w:val="center"/>
                </w:tcPr>
                <w:p w14:paraId="19E48467">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cs="Times New Roman"/>
                      <w:color w:val="auto"/>
                      <w:szCs w:val="21"/>
                      <w:highlight w:val="none"/>
                      <w:lang w:val="en-US" w:eastAsia="zh-CN"/>
                    </w:rPr>
                    <w:t>危险品</w:t>
                  </w:r>
                </w:p>
              </w:tc>
              <w:tc>
                <w:tcPr>
                  <w:tcW w:w="6557" w:type="dxa"/>
                  <w:noWrap w:val="0"/>
                  <w:vAlign w:val="center"/>
                </w:tcPr>
                <w:p w14:paraId="61924D2E">
                  <w:pPr>
                    <w:keepNext w:val="0"/>
                    <w:keepLines w:val="0"/>
                    <w:pageBreakBefore w:val="0"/>
                    <w:widowControl/>
                    <w:suppressLineNumbers w:val="0"/>
                    <w:kinsoku/>
                    <w:wordWrap/>
                    <w:overflowPunct/>
                    <w:topLinePunct w:val="0"/>
                    <w:autoSpaceDE/>
                    <w:autoSpaceDN/>
                    <w:bidi w:val="0"/>
                    <w:adjustRightInd w:val="0"/>
                    <w:snapToGrid w:val="0"/>
                    <w:jc w:val="left"/>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kern w:val="2"/>
                      <w:sz w:val="21"/>
                      <w:szCs w:val="21"/>
                      <w:highlight w:val="none"/>
                    </w:rPr>
                    <w:t>外观与性状：无色无味气体</w:t>
                  </w:r>
                  <w:r>
                    <w:rPr>
                      <w:rFonts w:hint="default" w:ascii="Times New Roman" w:hAnsi="Times New Roman" w:eastAsia="宋体" w:cs="Times New Roman"/>
                      <w:color w:val="auto"/>
                      <w:kern w:val="2"/>
                      <w:sz w:val="21"/>
                      <w:szCs w:val="21"/>
                      <w:highlight w:val="none"/>
                      <w:lang w:eastAsia="zh-CN"/>
                    </w:rPr>
                    <w:t>，</w:t>
                  </w:r>
                  <w:r>
                    <w:rPr>
                      <w:rFonts w:hint="default" w:ascii="Times New Roman" w:hAnsi="Times New Roman" w:eastAsia="宋体" w:cs="Times New Roman"/>
                      <w:color w:val="auto"/>
                      <w:kern w:val="2"/>
                      <w:sz w:val="21"/>
                      <w:szCs w:val="21"/>
                      <w:highlight w:val="none"/>
                    </w:rPr>
                    <w:t>相对蒸汽密度：0.6</w:t>
                  </w:r>
                  <w:r>
                    <w:rPr>
                      <w:rFonts w:hint="default" w:ascii="Times New Roman" w:hAnsi="Times New Roman" w:eastAsia="宋体" w:cs="Times New Roman"/>
                      <w:color w:val="auto"/>
                      <w:kern w:val="2"/>
                      <w:sz w:val="21"/>
                      <w:szCs w:val="21"/>
                      <w:highlight w:val="none"/>
                      <w:lang w:eastAsia="zh-CN"/>
                    </w:rPr>
                    <w:t>，</w:t>
                  </w:r>
                  <w:r>
                    <w:rPr>
                      <w:rFonts w:hint="default" w:ascii="Times New Roman" w:hAnsi="Times New Roman" w:eastAsia="宋体" w:cs="Times New Roman"/>
                      <w:color w:val="auto"/>
                      <w:kern w:val="2"/>
                      <w:sz w:val="21"/>
                      <w:szCs w:val="21"/>
                      <w:highlight w:val="none"/>
                    </w:rPr>
                    <w:t>热值：</w:t>
                  </w:r>
                  <w:r>
                    <w:rPr>
                      <w:rFonts w:hint="default" w:ascii="Times New Roman" w:hAnsi="Times New Roman" w:eastAsia="宋体" w:cs="Times New Roman"/>
                      <w:color w:val="auto"/>
                      <w:kern w:val="2"/>
                      <w:sz w:val="21"/>
                      <w:szCs w:val="21"/>
                      <w:highlight w:val="none"/>
                      <w:lang w:val="en-US" w:eastAsia="zh-CN"/>
                    </w:rPr>
                    <w:t>8500</w:t>
                  </w:r>
                  <w:r>
                    <w:rPr>
                      <w:rFonts w:hint="default" w:ascii="Times New Roman" w:hAnsi="Times New Roman" w:eastAsia="宋体" w:cs="Times New Roman"/>
                      <w:color w:val="auto"/>
                      <w:kern w:val="2"/>
                      <w:sz w:val="21"/>
                      <w:szCs w:val="21"/>
                      <w:highlight w:val="none"/>
                    </w:rPr>
                    <w:t>千卡每立方米</w:t>
                  </w:r>
                  <w:r>
                    <w:rPr>
                      <w:rFonts w:hint="default" w:ascii="Times New Roman" w:hAnsi="Times New Roman" w:eastAsia="宋体" w:cs="Times New Roman"/>
                      <w:color w:val="auto"/>
                      <w:kern w:val="2"/>
                      <w:sz w:val="21"/>
                      <w:szCs w:val="21"/>
                      <w:highlight w:val="none"/>
                      <w:lang w:eastAsia="zh-CN"/>
                    </w:rPr>
                    <w:t>，</w:t>
                  </w:r>
                  <w:r>
                    <w:rPr>
                      <w:rFonts w:hint="default" w:ascii="Times New Roman" w:hAnsi="Times New Roman" w:eastAsia="宋体" w:cs="Times New Roman"/>
                      <w:color w:val="auto"/>
                      <w:kern w:val="2"/>
                      <w:sz w:val="21"/>
                      <w:szCs w:val="21"/>
                      <w:highlight w:val="none"/>
                    </w:rPr>
                    <w:t>临界压力：4.59兆帕</w:t>
                  </w:r>
                  <w:r>
                    <w:rPr>
                      <w:rFonts w:hint="default" w:ascii="Times New Roman" w:hAnsi="Times New Roman" w:eastAsia="宋体" w:cs="Times New Roman"/>
                      <w:color w:val="auto"/>
                      <w:kern w:val="2"/>
                      <w:sz w:val="21"/>
                      <w:szCs w:val="21"/>
                      <w:highlight w:val="none"/>
                      <w:lang w:eastAsia="zh-CN"/>
                    </w:rPr>
                    <w:t>，</w:t>
                  </w:r>
                  <w:r>
                    <w:rPr>
                      <w:rFonts w:hint="default" w:ascii="Times New Roman" w:hAnsi="Times New Roman" w:eastAsia="宋体" w:cs="Times New Roman"/>
                      <w:color w:val="auto"/>
                      <w:kern w:val="2"/>
                      <w:sz w:val="21"/>
                      <w:szCs w:val="21"/>
                      <w:highlight w:val="none"/>
                    </w:rPr>
                    <w:t>闪点：</w:t>
                  </w:r>
                  <w:r>
                    <w:rPr>
                      <w:rFonts w:hint="default" w:ascii="Times New Roman" w:hAnsi="Times New Roman" w:eastAsia="宋体" w:cs="Times New Roman"/>
                      <w:color w:val="auto"/>
                      <w:kern w:val="2"/>
                      <w:sz w:val="21"/>
                      <w:szCs w:val="21"/>
                      <w:highlight w:val="none"/>
                      <w:lang w:val="en-US" w:eastAsia="zh-CN"/>
                    </w:rPr>
                    <w:t>-</w:t>
                  </w:r>
                  <w:r>
                    <w:rPr>
                      <w:rFonts w:hint="default" w:ascii="Times New Roman" w:hAnsi="Times New Roman" w:eastAsia="宋体" w:cs="Times New Roman"/>
                      <w:color w:val="auto"/>
                      <w:kern w:val="2"/>
                      <w:sz w:val="21"/>
                      <w:szCs w:val="21"/>
                      <w:highlight w:val="none"/>
                    </w:rPr>
                    <w:t>218℃</w:t>
                  </w:r>
                  <w:r>
                    <w:rPr>
                      <w:rFonts w:hint="default" w:ascii="Times New Roman" w:hAnsi="Times New Roman" w:eastAsia="宋体" w:cs="Times New Roman"/>
                      <w:color w:val="auto"/>
                      <w:kern w:val="2"/>
                      <w:sz w:val="21"/>
                      <w:szCs w:val="21"/>
                      <w:highlight w:val="none"/>
                      <w:lang w:eastAsia="zh-CN"/>
                    </w:rPr>
                    <w:t>，</w:t>
                  </w:r>
                  <w:r>
                    <w:rPr>
                      <w:rFonts w:hint="default" w:ascii="Times New Roman" w:hAnsi="Times New Roman" w:eastAsia="宋体" w:cs="Times New Roman"/>
                      <w:color w:val="auto"/>
                      <w:kern w:val="2"/>
                      <w:sz w:val="21"/>
                      <w:szCs w:val="21"/>
                      <w:highlight w:val="none"/>
                    </w:rPr>
                    <w:t>熔点：-182℃</w:t>
                  </w:r>
                  <w:r>
                    <w:rPr>
                      <w:rFonts w:hint="default" w:ascii="Times New Roman" w:hAnsi="Times New Roman" w:eastAsia="宋体" w:cs="Times New Roman"/>
                      <w:color w:val="auto"/>
                      <w:kern w:val="2"/>
                      <w:sz w:val="21"/>
                      <w:szCs w:val="21"/>
                      <w:highlight w:val="none"/>
                      <w:lang w:eastAsia="zh-CN"/>
                    </w:rPr>
                    <w:t>，</w:t>
                  </w:r>
                  <w:r>
                    <w:rPr>
                      <w:rFonts w:hint="default" w:ascii="Times New Roman" w:hAnsi="Times New Roman" w:eastAsia="宋体" w:cs="Times New Roman"/>
                      <w:color w:val="auto"/>
                      <w:kern w:val="2"/>
                      <w:sz w:val="21"/>
                      <w:szCs w:val="21"/>
                      <w:highlight w:val="none"/>
                    </w:rPr>
                    <w:t>相对密度：-164℃下为0.426，常温</w:t>
                  </w:r>
                  <w:r>
                    <w:rPr>
                      <w:rFonts w:hint="default" w:ascii="Times New Roman" w:hAnsi="Times New Roman" w:eastAsia="宋体" w:cs="Times New Roman"/>
                      <w:color w:val="auto"/>
                      <w:kern w:val="2"/>
                      <w:sz w:val="21"/>
                      <w:szCs w:val="21"/>
                      <w:highlight w:val="none"/>
                      <w:lang w:val="en-US" w:eastAsia="zh-CN"/>
                    </w:rPr>
                    <w:t>状态下为0.7174kg/m</w:t>
                  </w:r>
                  <w:r>
                    <w:rPr>
                      <w:rFonts w:hint="default" w:ascii="Times New Roman" w:hAnsi="Times New Roman" w:eastAsia="宋体" w:cs="Times New Roman"/>
                      <w:color w:val="auto"/>
                      <w:kern w:val="2"/>
                      <w:sz w:val="21"/>
                      <w:szCs w:val="21"/>
                      <w:highlight w:val="none"/>
                      <w:vertAlign w:val="superscript"/>
                      <w:lang w:val="en-US" w:eastAsia="zh-CN"/>
                    </w:rPr>
                    <w:t>3</w:t>
                  </w:r>
                  <w:r>
                    <w:rPr>
                      <w:rFonts w:hint="default" w:ascii="Times New Roman" w:hAnsi="Times New Roman" w:eastAsia="宋体" w:cs="Times New Roman"/>
                      <w:color w:val="auto"/>
                      <w:kern w:val="2"/>
                      <w:sz w:val="21"/>
                      <w:szCs w:val="21"/>
                      <w:highlight w:val="none"/>
                      <w:lang w:eastAsia="zh-CN"/>
                    </w:rPr>
                    <w:t>，</w:t>
                  </w:r>
                  <w:r>
                    <w:rPr>
                      <w:rFonts w:hint="default" w:ascii="Times New Roman" w:hAnsi="Times New Roman" w:eastAsia="宋体" w:cs="Times New Roman"/>
                      <w:color w:val="auto"/>
                      <w:kern w:val="2"/>
                      <w:sz w:val="21"/>
                      <w:szCs w:val="21"/>
                      <w:highlight w:val="none"/>
                    </w:rPr>
                    <w:t>沸点：-161.4℃</w:t>
                  </w:r>
                  <w:r>
                    <w:rPr>
                      <w:rFonts w:hint="default" w:ascii="Times New Roman" w:hAnsi="Times New Roman" w:eastAsia="宋体" w:cs="Times New Roman"/>
                      <w:color w:val="auto"/>
                      <w:kern w:val="2"/>
                      <w:sz w:val="21"/>
                      <w:szCs w:val="21"/>
                      <w:highlight w:val="none"/>
                      <w:lang w:eastAsia="zh-CN"/>
                    </w:rPr>
                    <w:t>，</w:t>
                  </w:r>
                  <w:r>
                    <w:rPr>
                      <w:rFonts w:hint="default" w:ascii="Times New Roman" w:hAnsi="Times New Roman" w:eastAsia="宋体" w:cs="Times New Roman"/>
                      <w:color w:val="auto"/>
                      <w:kern w:val="2"/>
                      <w:sz w:val="21"/>
                      <w:szCs w:val="21"/>
                      <w:highlight w:val="none"/>
                    </w:rPr>
                    <w:t>饱和蒸</w:t>
                  </w:r>
                  <w:r>
                    <w:rPr>
                      <w:rFonts w:hint="default" w:ascii="Times New Roman" w:hAnsi="Times New Roman" w:eastAsia="宋体" w:cs="Times New Roman"/>
                      <w:color w:val="auto"/>
                      <w:kern w:val="2"/>
                      <w:sz w:val="21"/>
                      <w:szCs w:val="21"/>
                      <w:highlight w:val="none"/>
                      <w:lang w:eastAsia="zh-CN"/>
                    </w:rPr>
                    <w:t>气压</w:t>
                  </w:r>
                  <w:r>
                    <w:rPr>
                      <w:rFonts w:hint="default" w:ascii="Times New Roman" w:hAnsi="Times New Roman" w:eastAsia="宋体" w:cs="Times New Roman"/>
                      <w:color w:val="auto"/>
                      <w:kern w:val="2"/>
                      <w:sz w:val="21"/>
                      <w:szCs w:val="21"/>
                      <w:highlight w:val="none"/>
                    </w:rPr>
                    <w:t>：53.32千帕</w:t>
                  </w:r>
                  <w:r>
                    <w:rPr>
                      <w:rFonts w:hint="default" w:ascii="Times New Roman" w:hAnsi="Times New Roman" w:eastAsia="宋体" w:cs="Times New Roman"/>
                      <w:color w:val="auto"/>
                      <w:kern w:val="2"/>
                      <w:sz w:val="21"/>
                      <w:szCs w:val="21"/>
                      <w:highlight w:val="none"/>
                      <w:lang w:eastAsia="zh-CN"/>
                    </w:rPr>
                    <w:t>，</w:t>
                  </w:r>
                  <w:r>
                    <w:rPr>
                      <w:rFonts w:hint="default" w:ascii="Times New Roman" w:hAnsi="Times New Roman" w:eastAsia="宋体" w:cs="Times New Roman"/>
                      <w:color w:val="auto"/>
                      <w:kern w:val="2"/>
                      <w:sz w:val="21"/>
                      <w:szCs w:val="21"/>
                      <w:highlight w:val="none"/>
                    </w:rPr>
                    <w:t>临界温度：-82.25℃</w:t>
                  </w:r>
                  <w:r>
                    <w:rPr>
                      <w:rFonts w:hint="default" w:ascii="Times New Roman" w:hAnsi="Times New Roman" w:eastAsia="宋体" w:cs="Times New Roman"/>
                      <w:color w:val="auto"/>
                      <w:kern w:val="2"/>
                      <w:sz w:val="21"/>
                      <w:szCs w:val="21"/>
                      <w:highlight w:val="none"/>
                      <w:lang w:eastAsia="zh-CN"/>
                    </w:rPr>
                    <w:t>，</w:t>
                  </w:r>
                  <w:r>
                    <w:rPr>
                      <w:rFonts w:hint="default" w:ascii="Times New Roman" w:hAnsi="Times New Roman" w:eastAsia="宋体" w:cs="Times New Roman"/>
                      <w:color w:val="auto"/>
                      <w:kern w:val="2"/>
                      <w:sz w:val="21"/>
                      <w:szCs w:val="21"/>
                      <w:highlight w:val="none"/>
                    </w:rPr>
                    <w:t>引燃温度：537℃</w:t>
                  </w:r>
                  <w:r>
                    <w:rPr>
                      <w:rFonts w:hint="default" w:ascii="Times New Roman" w:hAnsi="Times New Roman" w:eastAsia="宋体" w:cs="Times New Roman"/>
                      <w:color w:val="auto"/>
                      <w:kern w:val="2"/>
                      <w:sz w:val="21"/>
                      <w:szCs w:val="21"/>
                      <w:highlight w:val="none"/>
                      <w:lang w:eastAsia="zh-CN"/>
                    </w:rPr>
                    <w:t>，</w:t>
                  </w:r>
                  <w:r>
                    <w:rPr>
                      <w:rFonts w:hint="default" w:ascii="Times New Roman" w:hAnsi="Times New Roman" w:eastAsia="宋体" w:cs="Times New Roman"/>
                      <w:color w:val="auto"/>
                      <w:kern w:val="2"/>
                      <w:sz w:val="21"/>
                      <w:szCs w:val="21"/>
                      <w:highlight w:val="none"/>
                    </w:rPr>
                    <w:t>爆炸下限：5%</w:t>
                  </w:r>
                  <w:r>
                    <w:rPr>
                      <w:rFonts w:hint="default" w:ascii="Times New Roman" w:hAnsi="Times New Roman" w:eastAsia="宋体" w:cs="Times New Roman"/>
                      <w:color w:val="auto"/>
                      <w:kern w:val="2"/>
                      <w:sz w:val="21"/>
                      <w:szCs w:val="21"/>
                      <w:highlight w:val="none"/>
                      <w:lang w:eastAsia="zh-CN"/>
                    </w:rPr>
                    <w:t>，</w:t>
                  </w:r>
                  <w:r>
                    <w:rPr>
                      <w:rFonts w:hint="default" w:ascii="Times New Roman" w:hAnsi="Times New Roman" w:eastAsia="宋体" w:cs="Times New Roman"/>
                      <w:color w:val="auto"/>
                      <w:kern w:val="2"/>
                      <w:sz w:val="21"/>
                      <w:szCs w:val="21"/>
                      <w:highlight w:val="none"/>
                    </w:rPr>
                    <w:t>爆炸上限：15%</w:t>
                  </w:r>
                  <w:r>
                    <w:rPr>
                      <w:rFonts w:hint="default" w:ascii="Times New Roman" w:hAnsi="Times New Roman" w:eastAsia="宋体" w:cs="Times New Roman"/>
                      <w:color w:val="auto"/>
                      <w:kern w:val="2"/>
                      <w:sz w:val="21"/>
                      <w:szCs w:val="21"/>
                      <w:highlight w:val="none"/>
                      <w:lang w:eastAsia="zh-CN"/>
                    </w:rPr>
                    <w:t>，</w:t>
                  </w:r>
                  <w:r>
                    <w:rPr>
                      <w:rFonts w:hint="default" w:ascii="Times New Roman" w:hAnsi="Times New Roman" w:eastAsia="宋体" w:cs="Times New Roman"/>
                      <w:color w:val="auto"/>
                      <w:kern w:val="2"/>
                      <w:sz w:val="21"/>
                      <w:szCs w:val="21"/>
                      <w:highlight w:val="none"/>
                    </w:rPr>
                    <w:t>溶解性：微溶于水，溶于醇，乙醚。</w:t>
                  </w:r>
                </w:p>
              </w:tc>
            </w:tr>
            <w:tr w14:paraId="4C6B1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368" w:type="dxa"/>
                  <w:noWrap w:val="0"/>
                  <w:vAlign w:val="center"/>
                </w:tcPr>
                <w:p w14:paraId="31391939">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7</w:t>
                  </w:r>
                </w:p>
              </w:tc>
              <w:tc>
                <w:tcPr>
                  <w:tcW w:w="884" w:type="dxa"/>
                  <w:noWrap w:val="0"/>
                  <w:vAlign w:val="center"/>
                </w:tcPr>
                <w:p w14:paraId="57F13022">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机油</w:t>
                  </w:r>
                </w:p>
              </w:tc>
              <w:tc>
                <w:tcPr>
                  <w:tcW w:w="512" w:type="dxa"/>
                  <w:noWrap w:val="0"/>
                  <w:vAlign w:val="center"/>
                </w:tcPr>
                <w:p w14:paraId="293BDB96">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液态</w:t>
                  </w:r>
                </w:p>
              </w:tc>
              <w:tc>
                <w:tcPr>
                  <w:tcW w:w="757" w:type="dxa"/>
                  <w:noWrap w:val="0"/>
                  <w:vAlign w:val="center"/>
                </w:tcPr>
                <w:p w14:paraId="094D0A4E">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危险品</w:t>
                  </w:r>
                </w:p>
              </w:tc>
              <w:tc>
                <w:tcPr>
                  <w:tcW w:w="6557" w:type="dxa"/>
                  <w:noWrap w:val="0"/>
                  <w:vAlign w:val="center"/>
                </w:tcPr>
                <w:p w14:paraId="47B2DF5E">
                  <w:pPr>
                    <w:keepNext w:val="0"/>
                    <w:keepLines w:val="0"/>
                    <w:pageBreakBefore w:val="0"/>
                    <w:kinsoku/>
                    <w:wordWrap/>
                    <w:overflowPunct/>
                    <w:topLinePunct w:val="0"/>
                    <w:autoSpaceDE/>
                    <w:autoSpaceDN/>
                    <w:bidi w:val="0"/>
                    <w:adjustRightInd w:val="0"/>
                    <w:snapToGrid w:val="0"/>
                    <w:textAlignment w:val="auto"/>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油状液体，淡黄色至褐色，无气味或略带异味，不溶于水。闪点76摄氏度，引燃温度284℃，遇明火、高热可燃。</w:t>
                  </w:r>
                </w:p>
              </w:tc>
            </w:tr>
          </w:tbl>
          <w:p w14:paraId="3DE6C0C8">
            <w:pPr>
              <w:adjustRightInd w:val="0"/>
              <w:snapToGrid w:val="0"/>
              <w:spacing w:line="360" w:lineRule="auto"/>
              <w:ind w:firstLine="482" w:firstLineChars="200"/>
              <w:rPr>
                <w:rFonts w:hint="default" w:ascii="Times New Roman" w:hAnsi="Times New Roman" w:cs="Times New Roman"/>
                <w:b/>
                <w:color w:val="auto"/>
                <w:sz w:val="24"/>
                <w:szCs w:val="21"/>
                <w:highlight w:val="none"/>
                <w:lang w:eastAsia="zh-CN"/>
              </w:rPr>
            </w:pPr>
            <w:r>
              <w:rPr>
                <w:rFonts w:hint="default" w:ascii="Times New Roman" w:hAnsi="Times New Roman" w:cs="Times New Roman"/>
                <w:b/>
                <w:color w:val="auto"/>
                <w:sz w:val="24"/>
                <w:szCs w:val="21"/>
                <w:highlight w:val="none"/>
              </w:rPr>
              <w:t>2</w:t>
            </w:r>
            <w:r>
              <w:rPr>
                <w:rFonts w:hint="default" w:ascii="Times New Roman" w:hAnsi="Times New Roman" w:cs="Times New Roman"/>
                <w:b/>
                <w:color w:val="auto"/>
                <w:sz w:val="24"/>
                <w:szCs w:val="21"/>
                <w:highlight w:val="none"/>
                <w:lang w:val="en-US" w:eastAsia="zh-CN"/>
              </w:rPr>
              <w:t>.4</w:t>
            </w:r>
            <w:r>
              <w:rPr>
                <w:rFonts w:hint="default" w:ascii="Times New Roman" w:hAnsi="Times New Roman" w:cs="Times New Roman"/>
                <w:b/>
                <w:color w:val="auto"/>
                <w:sz w:val="24"/>
                <w:szCs w:val="21"/>
                <w:highlight w:val="none"/>
              </w:rPr>
              <w:t>、主要</w:t>
            </w:r>
            <w:r>
              <w:rPr>
                <w:rFonts w:hint="default" w:ascii="Times New Roman" w:hAnsi="Times New Roman" w:cs="Times New Roman"/>
                <w:b/>
                <w:color w:val="auto"/>
                <w:sz w:val="24"/>
                <w:szCs w:val="21"/>
                <w:highlight w:val="none"/>
                <w:lang w:eastAsia="zh-CN"/>
              </w:rPr>
              <w:t>生产设备</w:t>
            </w:r>
          </w:p>
          <w:p w14:paraId="2ABC3CF6">
            <w:pPr>
              <w:adjustRightInd w:val="0"/>
              <w:snapToGrid w:val="0"/>
              <w:ind w:firstLine="422" w:firstLineChars="200"/>
              <w:jc w:val="center"/>
              <w:rPr>
                <w:rFonts w:hint="default" w:ascii="Times New Roman" w:hAnsi="Times New Roman" w:eastAsia="宋体" w:cs="Times New Roman"/>
                <w:b/>
                <w:color w:val="auto"/>
                <w:szCs w:val="21"/>
                <w:highlight w:val="none"/>
                <w:lang w:eastAsia="zh-CN"/>
              </w:rPr>
            </w:pPr>
            <w:r>
              <w:rPr>
                <w:rFonts w:hint="default" w:ascii="Times New Roman" w:hAnsi="Times New Roman" w:cs="Times New Roman"/>
                <w:b/>
                <w:color w:val="auto"/>
                <w:szCs w:val="21"/>
                <w:highlight w:val="none"/>
              </w:rPr>
              <w:t>表2</w:t>
            </w:r>
            <w:r>
              <w:rPr>
                <w:rFonts w:hint="default" w:ascii="Times New Roman" w:hAnsi="Times New Roman" w:cs="Times New Roman"/>
                <w:b/>
                <w:color w:val="auto"/>
                <w:szCs w:val="21"/>
                <w:highlight w:val="none"/>
                <w:lang w:val="en-US" w:eastAsia="zh-CN"/>
              </w:rPr>
              <w:t xml:space="preserve">-8 </w:t>
            </w:r>
            <w:r>
              <w:rPr>
                <w:rFonts w:hint="default" w:ascii="Times New Roman" w:hAnsi="Times New Roman" w:cs="Times New Roman"/>
                <w:b/>
                <w:color w:val="auto"/>
                <w:szCs w:val="21"/>
                <w:highlight w:val="none"/>
                <w:lang w:eastAsia="zh-CN"/>
              </w:rPr>
              <w:t>项目生产设备一览表</w:t>
            </w:r>
          </w:p>
          <w:tbl>
            <w:tblPr>
              <w:tblStyle w:val="34"/>
              <w:tblpPr w:leftFromText="180" w:rightFromText="180" w:vertAnchor="text" w:tblpXSpec="center" w:tblpY="1"/>
              <w:tblOverlap w:val="never"/>
              <w:tblW w:w="90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1"/>
              <w:gridCol w:w="990"/>
              <w:gridCol w:w="2131"/>
              <w:gridCol w:w="2594"/>
              <w:gridCol w:w="750"/>
              <w:gridCol w:w="811"/>
              <w:gridCol w:w="876"/>
            </w:tblGrid>
            <w:tr w14:paraId="4A65B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941" w:type="dxa"/>
                  <w:noWrap w:val="0"/>
                  <w:vAlign w:val="center"/>
                </w:tcPr>
                <w:p w14:paraId="29BF4AD3">
                  <w:pPr>
                    <w:keepNext w:val="0"/>
                    <w:keepLines w:val="0"/>
                    <w:pageBreakBefore w:val="0"/>
                    <w:widowControl w:val="0"/>
                    <w:kinsoku/>
                    <w:wordWrap/>
                    <w:overflowPunct/>
                    <w:topLinePunct w:val="0"/>
                    <w:autoSpaceDE/>
                    <w:autoSpaceDN/>
                    <w:bidi w:val="0"/>
                    <w:adjustRightInd w:val="0"/>
                    <w:snapToGrid w:val="0"/>
                    <w:ind w:right="0"/>
                    <w:jc w:val="center"/>
                    <w:textAlignment w:val="auto"/>
                    <w:rPr>
                      <w:rFonts w:hint="default" w:ascii="Times New Roman" w:hAnsi="Times New Roman" w:cs="Times New Roman"/>
                      <w:b/>
                      <w:bCs w:val="0"/>
                      <w:color w:val="auto"/>
                      <w:spacing w:val="4"/>
                      <w:szCs w:val="21"/>
                      <w:highlight w:val="none"/>
                    </w:rPr>
                  </w:pPr>
                  <w:r>
                    <w:rPr>
                      <w:rFonts w:hint="default" w:ascii="Times New Roman" w:hAnsi="Times New Roman" w:cs="Times New Roman"/>
                      <w:b/>
                      <w:bCs w:val="0"/>
                      <w:color w:val="auto"/>
                      <w:spacing w:val="4"/>
                      <w:szCs w:val="21"/>
                      <w:highlight w:val="none"/>
                    </w:rPr>
                    <w:t>主要生产单元</w:t>
                  </w:r>
                </w:p>
              </w:tc>
              <w:tc>
                <w:tcPr>
                  <w:tcW w:w="990" w:type="dxa"/>
                  <w:noWrap w:val="0"/>
                  <w:vAlign w:val="center"/>
                </w:tcPr>
                <w:p w14:paraId="1D07D9FD">
                  <w:pPr>
                    <w:keepNext w:val="0"/>
                    <w:keepLines w:val="0"/>
                    <w:pageBreakBefore w:val="0"/>
                    <w:widowControl w:val="0"/>
                    <w:kinsoku/>
                    <w:wordWrap/>
                    <w:overflowPunct/>
                    <w:topLinePunct w:val="0"/>
                    <w:autoSpaceDE/>
                    <w:autoSpaceDN/>
                    <w:bidi w:val="0"/>
                    <w:adjustRightInd w:val="0"/>
                    <w:snapToGrid w:val="0"/>
                    <w:ind w:right="0"/>
                    <w:jc w:val="center"/>
                    <w:textAlignment w:val="auto"/>
                    <w:rPr>
                      <w:rFonts w:hint="default" w:ascii="Times New Roman" w:hAnsi="Times New Roman" w:cs="Times New Roman"/>
                      <w:b/>
                      <w:bCs w:val="0"/>
                      <w:color w:val="auto"/>
                      <w:spacing w:val="4"/>
                      <w:szCs w:val="21"/>
                      <w:highlight w:val="none"/>
                    </w:rPr>
                  </w:pPr>
                  <w:r>
                    <w:rPr>
                      <w:rFonts w:hint="default" w:ascii="Times New Roman" w:hAnsi="Times New Roman" w:cs="Times New Roman"/>
                      <w:b/>
                      <w:bCs w:val="0"/>
                      <w:color w:val="auto"/>
                      <w:spacing w:val="4"/>
                      <w:szCs w:val="21"/>
                      <w:highlight w:val="none"/>
                    </w:rPr>
                    <w:t>主要工艺名称</w:t>
                  </w:r>
                </w:p>
              </w:tc>
              <w:tc>
                <w:tcPr>
                  <w:tcW w:w="2131" w:type="dxa"/>
                  <w:noWrap w:val="0"/>
                  <w:vAlign w:val="center"/>
                </w:tcPr>
                <w:p w14:paraId="59FC0329">
                  <w:pPr>
                    <w:keepNext w:val="0"/>
                    <w:keepLines w:val="0"/>
                    <w:pageBreakBefore w:val="0"/>
                    <w:kinsoku/>
                    <w:wordWrap/>
                    <w:overflowPunct/>
                    <w:topLinePunct w:val="0"/>
                    <w:autoSpaceDE/>
                    <w:autoSpaceDN/>
                    <w:bidi w:val="0"/>
                    <w:adjustRightInd w:val="0"/>
                    <w:snapToGrid w:val="0"/>
                    <w:ind w:right="0"/>
                    <w:jc w:val="center"/>
                    <w:textAlignment w:val="auto"/>
                    <w:rPr>
                      <w:rFonts w:hint="default" w:ascii="Times New Roman" w:hAnsi="Times New Roman" w:cs="Times New Roman"/>
                      <w:b/>
                      <w:bCs w:val="0"/>
                      <w:color w:val="auto"/>
                      <w:spacing w:val="4"/>
                      <w:szCs w:val="21"/>
                      <w:highlight w:val="none"/>
                    </w:rPr>
                  </w:pPr>
                  <w:r>
                    <w:rPr>
                      <w:rFonts w:hint="default" w:ascii="Times New Roman" w:hAnsi="Times New Roman" w:cs="Times New Roman"/>
                      <w:b/>
                      <w:bCs w:val="0"/>
                      <w:color w:val="auto"/>
                      <w:spacing w:val="4"/>
                      <w:szCs w:val="21"/>
                      <w:highlight w:val="none"/>
                    </w:rPr>
                    <w:t>生产设施名称</w:t>
                  </w:r>
                </w:p>
              </w:tc>
              <w:tc>
                <w:tcPr>
                  <w:tcW w:w="2594" w:type="dxa"/>
                  <w:noWrap w:val="0"/>
                  <w:vAlign w:val="center"/>
                </w:tcPr>
                <w:p w14:paraId="3D3C9318">
                  <w:pPr>
                    <w:keepNext w:val="0"/>
                    <w:keepLines w:val="0"/>
                    <w:pageBreakBefore w:val="0"/>
                    <w:kinsoku/>
                    <w:wordWrap/>
                    <w:overflowPunct/>
                    <w:topLinePunct w:val="0"/>
                    <w:autoSpaceDE/>
                    <w:autoSpaceDN/>
                    <w:bidi w:val="0"/>
                    <w:adjustRightInd w:val="0"/>
                    <w:snapToGrid w:val="0"/>
                    <w:ind w:right="0"/>
                    <w:jc w:val="center"/>
                    <w:textAlignment w:val="auto"/>
                    <w:rPr>
                      <w:rFonts w:hint="default" w:ascii="Times New Roman" w:hAnsi="Times New Roman" w:eastAsia="宋体" w:cs="Times New Roman"/>
                      <w:b/>
                      <w:bCs w:val="0"/>
                      <w:color w:val="auto"/>
                      <w:spacing w:val="4"/>
                      <w:szCs w:val="21"/>
                      <w:highlight w:val="none"/>
                      <w:lang w:val="en-US" w:eastAsia="zh-CN"/>
                    </w:rPr>
                  </w:pPr>
                  <w:r>
                    <w:rPr>
                      <w:rFonts w:hint="default" w:ascii="Times New Roman" w:hAnsi="Times New Roman" w:cs="Times New Roman"/>
                      <w:b/>
                      <w:bCs w:val="0"/>
                      <w:color w:val="auto"/>
                      <w:spacing w:val="4"/>
                      <w:szCs w:val="21"/>
                      <w:highlight w:val="none"/>
                      <w:lang w:val="en-US" w:eastAsia="zh-CN"/>
                    </w:rPr>
                    <w:t>设施参数</w:t>
                  </w:r>
                </w:p>
              </w:tc>
              <w:tc>
                <w:tcPr>
                  <w:tcW w:w="750" w:type="dxa"/>
                  <w:noWrap w:val="0"/>
                  <w:vAlign w:val="center"/>
                </w:tcPr>
                <w:p w14:paraId="092B22BA">
                  <w:pPr>
                    <w:keepNext w:val="0"/>
                    <w:keepLines w:val="0"/>
                    <w:pageBreakBefore w:val="0"/>
                    <w:kinsoku/>
                    <w:wordWrap/>
                    <w:overflowPunct/>
                    <w:topLinePunct w:val="0"/>
                    <w:autoSpaceDE/>
                    <w:autoSpaceDN/>
                    <w:bidi w:val="0"/>
                    <w:adjustRightInd w:val="0"/>
                    <w:snapToGrid w:val="0"/>
                    <w:ind w:right="0"/>
                    <w:jc w:val="center"/>
                    <w:textAlignment w:val="auto"/>
                    <w:rPr>
                      <w:rFonts w:hint="default" w:ascii="Times New Roman" w:hAnsi="Times New Roman" w:cs="Times New Roman"/>
                      <w:b/>
                      <w:bCs w:val="0"/>
                      <w:color w:val="auto"/>
                      <w:spacing w:val="4"/>
                      <w:szCs w:val="21"/>
                      <w:highlight w:val="none"/>
                    </w:rPr>
                  </w:pPr>
                  <w:r>
                    <w:rPr>
                      <w:rFonts w:hint="default" w:ascii="Times New Roman" w:hAnsi="Times New Roman" w:cs="Times New Roman"/>
                      <w:b/>
                      <w:bCs w:val="0"/>
                      <w:color w:val="auto"/>
                      <w:spacing w:val="4"/>
                      <w:szCs w:val="21"/>
                      <w:highlight w:val="none"/>
                    </w:rPr>
                    <w:t>数量</w:t>
                  </w:r>
                </w:p>
              </w:tc>
              <w:tc>
                <w:tcPr>
                  <w:tcW w:w="811" w:type="dxa"/>
                  <w:noWrap w:val="0"/>
                  <w:vAlign w:val="center"/>
                </w:tcPr>
                <w:p w14:paraId="4545CA6E">
                  <w:pPr>
                    <w:keepNext w:val="0"/>
                    <w:keepLines w:val="0"/>
                    <w:pageBreakBefore w:val="0"/>
                    <w:kinsoku/>
                    <w:wordWrap/>
                    <w:overflowPunct/>
                    <w:topLinePunct w:val="0"/>
                    <w:autoSpaceDE/>
                    <w:autoSpaceDN/>
                    <w:bidi w:val="0"/>
                    <w:adjustRightInd w:val="0"/>
                    <w:snapToGrid w:val="0"/>
                    <w:ind w:right="0"/>
                    <w:jc w:val="center"/>
                    <w:textAlignment w:val="auto"/>
                    <w:rPr>
                      <w:rFonts w:hint="default" w:ascii="Times New Roman" w:hAnsi="Times New Roman" w:cs="Times New Roman"/>
                      <w:b/>
                      <w:bCs w:val="0"/>
                      <w:color w:val="auto"/>
                      <w:spacing w:val="4"/>
                      <w:szCs w:val="21"/>
                      <w:highlight w:val="none"/>
                      <w:lang w:val="en-US" w:eastAsia="zh-CN"/>
                    </w:rPr>
                  </w:pPr>
                  <w:r>
                    <w:rPr>
                      <w:rFonts w:hint="default" w:ascii="Times New Roman" w:hAnsi="Times New Roman" w:cs="Times New Roman"/>
                      <w:b/>
                      <w:bCs w:val="0"/>
                      <w:color w:val="auto"/>
                      <w:spacing w:val="4"/>
                      <w:szCs w:val="21"/>
                      <w:highlight w:val="none"/>
                      <w:lang w:val="en-US" w:eastAsia="zh-CN"/>
                    </w:rPr>
                    <w:t>工作时间</w:t>
                  </w:r>
                </w:p>
              </w:tc>
              <w:tc>
                <w:tcPr>
                  <w:tcW w:w="876" w:type="dxa"/>
                  <w:noWrap w:val="0"/>
                  <w:vAlign w:val="center"/>
                </w:tcPr>
                <w:p w14:paraId="3F9AA1F4">
                  <w:pPr>
                    <w:keepNext w:val="0"/>
                    <w:keepLines w:val="0"/>
                    <w:pageBreakBefore w:val="0"/>
                    <w:kinsoku/>
                    <w:wordWrap/>
                    <w:overflowPunct/>
                    <w:topLinePunct w:val="0"/>
                    <w:autoSpaceDE/>
                    <w:autoSpaceDN/>
                    <w:bidi w:val="0"/>
                    <w:adjustRightInd w:val="0"/>
                    <w:snapToGrid w:val="0"/>
                    <w:ind w:right="0"/>
                    <w:jc w:val="center"/>
                    <w:textAlignment w:val="auto"/>
                    <w:rPr>
                      <w:rFonts w:hint="default" w:ascii="Times New Roman" w:hAnsi="Times New Roman" w:eastAsia="宋体" w:cs="Times New Roman"/>
                      <w:b/>
                      <w:bCs w:val="0"/>
                      <w:color w:val="auto"/>
                      <w:spacing w:val="4"/>
                      <w:szCs w:val="21"/>
                      <w:highlight w:val="none"/>
                      <w:lang w:val="en-US" w:eastAsia="zh-CN"/>
                    </w:rPr>
                  </w:pPr>
                  <w:r>
                    <w:rPr>
                      <w:rFonts w:hint="default" w:ascii="Times New Roman" w:hAnsi="Times New Roman" w:cs="Times New Roman"/>
                      <w:b/>
                      <w:bCs w:val="0"/>
                      <w:color w:val="auto"/>
                      <w:spacing w:val="4"/>
                      <w:szCs w:val="21"/>
                      <w:highlight w:val="none"/>
                      <w:lang w:val="en-US" w:eastAsia="zh-CN"/>
                    </w:rPr>
                    <w:t>位置</w:t>
                  </w:r>
                </w:p>
              </w:tc>
            </w:tr>
            <w:tr w14:paraId="1561B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941" w:type="dxa"/>
                  <w:vMerge w:val="restart"/>
                  <w:noWrap w:val="0"/>
                  <w:vAlign w:val="center"/>
                </w:tcPr>
                <w:p w14:paraId="0FC9B8EF">
                  <w:pPr>
                    <w:keepNext w:val="0"/>
                    <w:keepLines w:val="0"/>
                    <w:pageBreakBefore w:val="0"/>
                    <w:kinsoku/>
                    <w:wordWrap/>
                    <w:overflowPunct/>
                    <w:topLinePunct w:val="0"/>
                    <w:autoSpaceDE/>
                    <w:autoSpaceDN/>
                    <w:bidi w:val="0"/>
                    <w:ind w:right="0" w:right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钢筋加工</w:t>
                  </w:r>
                </w:p>
              </w:tc>
              <w:tc>
                <w:tcPr>
                  <w:tcW w:w="990" w:type="dxa"/>
                  <w:vMerge w:val="restart"/>
                  <w:noWrap w:val="0"/>
                  <w:vAlign w:val="center"/>
                </w:tcPr>
                <w:p w14:paraId="1A21D64F">
                  <w:pPr>
                    <w:keepNext w:val="0"/>
                    <w:keepLines w:val="0"/>
                    <w:pageBreakBefore w:val="0"/>
                    <w:kinsoku/>
                    <w:wordWrap/>
                    <w:overflowPunct/>
                    <w:topLinePunct w:val="0"/>
                    <w:autoSpaceDE/>
                    <w:autoSpaceDN/>
                    <w:bidi w:val="0"/>
                    <w:ind w:right="0" w:right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钢筋加工</w:t>
                  </w:r>
                </w:p>
              </w:tc>
              <w:tc>
                <w:tcPr>
                  <w:tcW w:w="2131" w:type="dxa"/>
                  <w:noWrap w:val="0"/>
                  <w:vAlign w:val="center"/>
                </w:tcPr>
                <w:p w14:paraId="1D6FBA12">
                  <w:pPr>
                    <w:widowControl w:val="0"/>
                    <w:tabs>
                      <w:tab w:val="left" w:pos="1081"/>
                    </w:tabs>
                    <w:adjustRightInd/>
                    <w:snapToGrid/>
                    <w:spacing w:after="0"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液压钢筋弯箍机</w:t>
                  </w:r>
                </w:p>
              </w:tc>
              <w:tc>
                <w:tcPr>
                  <w:tcW w:w="2594" w:type="dxa"/>
                  <w:noWrap w:val="0"/>
                  <w:vAlign w:val="center"/>
                </w:tcPr>
                <w:p w14:paraId="41FFE83B">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功率：7.5kw</w:t>
                  </w:r>
                </w:p>
              </w:tc>
              <w:tc>
                <w:tcPr>
                  <w:tcW w:w="750" w:type="dxa"/>
                  <w:noWrap w:val="0"/>
                  <w:vAlign w:val="center"/>
                </w:tcPr>
                <w:p w14:paraId="0C87947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811" w:type="dxa"/>
                  <w:noWrap w:val="0"/>
                  <w:vAlign w:val="center"/>
                </w:tcPr>
                <w:p w14:paraId="1AE22D41">
                  <w:pPr>
                    <w:pStyle w:val="16"/>
                    <w:keepNext w:val="0"/>
                    <w:keepLines w:val="0"/>
                    <w:pageBreakBefore w:val="0"/>
                    <w:kinsoku/>
                    <w:wordWrap/>
                    <w:overflowPunct/>
                    <w:topLinePunct w:val="0"/>
                    <w:autoSpaceDE/>
                    <w:autoSpaceDN/>
                    <w:bidi w:val="0"/>
                    <w:spacing w:before="0" w:after="0" w:line="240" w:lineRule="auto"/>
                    <w:ind w:right="0"/>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3600h</w:t>
                  </w:r>
                </w:p>
              </w:tc>
              <w:tc>
                <w:tcPr>
                  <w:tcW w:w="876" w:type="dxa"/>
                  <w:vMerge w:val="restart"/>
                  <w:noWrap w:val="0"/>
                  <w:vAlign w:val="center"/>
                </w:tcPr>
                <w:p w14:paraId="7AEE369B">
                  <w:pPr>
                    <w:pStyle w:val="16"/>
                    <w:keepNext w:val="0"/>
                    <w:keepLines w:val="0"/>
                    <w:pageBreakBefore w:val="0"/>
                    <w:kinsoku/>
                    <w:wordWrap/>
                    <w:overflowPunct/>
                    <w:topLinePunct w:val="0"/>
                    <w:autoSpaceDE/>
                    <w:autoSpaceDN/>
                    <w:bidi w:val="0"/>
                    <w:spacing w:before="0" w:after="0" w:line="240" w:lineRule="auto"/>
                    <w:ind w:right="0"/>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钢筋加工车间</w:t>
                  </w:r>
                </w:p>
              </w:tc>
            </w:tr>
            <w:tr w14:paraId="0518D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941" w:type="dxa"/>
                  <w:vMerge w:val="continue"/>
                  <w:noWrap w:val="0"/>
                  <w:vAlign w:val="center"/>
                </w:tcPr>
                <w:p w14:paraId="60A46FAE">
                  <w:pPr>
                    <w:keepNext w:val="0"/>
                    <w:keepLines w:val="0"/>
                    <w:pageBreakBefore w:val="0"/>
                    <w:kinsoku/>
                    <w:wordWrap/>
                    <w:overflowPunct/>
                    <w:topLinePunct w:val="0"/>
                    <w:autoSpaceDE/>
                    <w:autoSpaceDN/>
                    <w:bidi w:val="0"/>
                    <w:ind w:right="0" w:rightChars="0"/>
                    <w:jc w:val="center"/>
                    <w:textAlignment w:val="auto"/>
                    <w:rPr>
                      <w:rFonts w:hint="default" w:ascii="Times New Roman" w:hAnsi="Times New Roman" w:eastAsia="宋体" w:cs="Times New Roman"/>
                      <w:color w:val="auto"/>
                      <w:szCs w:val="21"/>
                      <w:highlight w:val="none"/>
                      <w:lang w:val="en-US" w:eastAsia="zh-CN"/>
                    </w:rPr>
                  </w:pPr>
                </w:p>
              </w:tc>
              <w:tc>
                <w:tcPr>
                  <w:tcW w:w="990" w:type="dxa"/>
                  <w:vMerge w:val="continue"/>
                  <w:noWrap w:val="0"/>
                  <w:vAlign w:val="center"/>
                </w:tcPr>
                <w:p w14:paraId="25D8D30E">
                  <w:pPr>
                    <w:keepNext w:val="0"/>
                    <w:keepLines w:val="0"/>
                    <w:pageBreakBefore w:val="0"/>
                    <w:kinsoku/>
                    <w:wordWrap/>
                    <w:overflowPunct/>
                    <w:topLinePunct w:val="0"/>
                    <w:autoSpaceDE/>
                    <w:autoSpaceDN/>
                    <w:bidi w:val="0"/>
                    <w:ind w:right="0"/>
                    <w:jc w:val="center"/>
                    <w:textAlignment w:val="auto"/>
                    <w:rPr>
                      <w:rFonts w:hint="default" w:ascii="Times New Roman" w:hAnsi="Times New Roman" w:eastAsia="宋体" w:cs="Times New Roman"/>
                      <w:color w:val="auto"/>
                      <w:szCs w:val="21"/>
                      <w:highlight w:val="none"/>
                      <w:lang w:val="en-US" w:eastAsia="zh-CN"/>
                    </w:rPr>
                  </w:pPr>
                </w:p>
              </w:tc>
              <w:tc>
                <w:tcPr>
                  <w:tcW w:w="2131" w:type="dxa"/>
                  <w:noWrap w:val="0"/>
                  <w:vAlign w:val="center"/>
                </w:tcPr>
                <w:p w14:paraId="4674B419">
                  <w:pPr>
                    <w:widowControl w:val="0"/>
                    <w:tabs>
                      <w:tab w:val="left" w:pos="1081"/>
                    </w:tabs>
                    <w:adjustRightInd/>
                    <w:snapToGrid/>
                    <w:spacing w:after="0"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液压钢筋墩头机</w:t>
                  </w:r>
                </w:p>
              </w:tc>
              <w:tc>
                <w:tcPr>
                  <w:tcW w:w="2594" w:type="dxa"/>
                  <w:noWrap w:val="0"/>
                  <w:vAlign w:val="center"/>
                </w:tcPr>
                <w:p w14:paraId="0F5D6FCE">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功率：7.5kw</w:t>
                  </w:r>
                </w:p>
              </w:tc>
              <w:tc>
                <w:tcPr>
                  <w:tcW w:w="750" w:type="dxa"/>
                  <w:noWrap w:val="0"/>
                  <w:vAlign w:val="center"/>
                </w:tcPr>
                <w:p w14:paraId="4B853C7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2台</w:t>
                  </w:r>
                </w:p>
              </w:tc>
              <w:tc>
                <w:tcPr>
                  <w:tcW w:w="811" w:type="dxa"/>
                  <w:noWrap w:val="0"/>
                  <w:vAlign w:val="center"/>
                </w:tcPr>
                <w:p w14:paraId="76B61B05">
                  <w:pPr>
                    <w:pStyle w:val="16"/>
                    <w:keepNext w:val="0"/>
                    <w:keepLines w:val="0"/>
                    <w:pageBreakBefore w:val="0"/>
                    <w:kinsoku/>
                    <w:wordWrap/>
                    <w:overflowPunct/>
                    <w:topLinePunct w:val="0"/>
                    <w:autoSpaceDE/>
                    <w:autoSpaceDN/>
                    <w:bidi w:val="0"/>
                    <w:spacing w:before="0" w:after="0" w:line="240" w:lineRule="auto"/>
                    <w:ind w:right="0" w:rightChars="0"/>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3600h</w:t>
                  </w:r>
                </w:p>
              </w:tc>
              <w:tc>
                <w:tcPr>
                  <w:tcW w:w="876" w:type="dxa"/>
                  <w:vMerge w:val="continue"/>
                  <w:noWrap w:val="0"/>
                  <w:vAlign w:val="center"/>
                </w:tcPr>
                <w:p w14:paraId="372498EF">
                  <w:pPr>
                    <w:pStyle w:val="16"/>
                    <w:keepNext w:val="0"/>
                    <w:keepLines w:val="0"/>
                    <w:pageBreakBefore w:val="0"/>
                    <w:kinsoku/>
                    <w:wordWrap/>
                    <w:overflowPunct/>
                    <w:topLinePunct w:val="0"/>
                    <w:autoSpaceDE/>
                    <w:autoSpaceDN/>
                    <w:bidi w:val="0"/>
                    <w:spacing w:before="0" w:after="0" w:line="240" w:lineRule="auto"/>
                    <w:ind w:right="0"/>
                    <w:jc w:val="center"/>
                    <w:textAlignment w:val="auto"/>
                    <w:rPr>
                      <w:rFonts w:hint="default" w:ascii="Times New Roman" w:hAnsi="Times New Roman" w:cs="Times New Roman"/>
                      <w:color w:val="auto"/>
                      <w:kern w:val="2"/>
                      <w:sz w:val="21"/>
                      <w:szCs w:val="21"/>
                      <w:highlight w:val="none"/>
                      <w:lang w:val="en-US" w:eastAsia="zh-CN" w:bidi="ar-SA"/>
                    </w:rPr>
                  </w:pPr>
                </w:p>
              </w:tc>
            </w:tr>
            <w:tr w14:paraId="7B1F1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941" w:type="dxa"/>
                  <w:vMerge w:val="continue"/>
                  <w:noWrap w:val="0"/>
                  <w:vAlign w:val="center"/>
                </w:tcPr>
                <w:p w14:paraId="6AE1812B">
                  <w:pPr>
                    <w:keepNext w:val="0"/>
                    <w:keepLines w:val="0"/>
                    <w:pageBreakBefore w:val="0"/>
                    <w:kinsoku/>
                    <w:wordWrap/>
                    <w:overflowPunct/>
                    <w:topLinePunct w:val="0"/>
                    <w:autoSpaceDE/>
                    <w:autoSpaceDN/>
                    <w:bidi w:val="0"/>
                    <w:ind w:right="0" w:rightChars="0"/>
                    <w:jc w:val="center"/>
                    <w:textAlignment w:val="auto"/>
                    <w:rPr>
                      <w:rFonts w:hint="default" w:ascii="Times New Roman" w:hAnsi="Times New Roman" w:eastAsia="宋体" w:cs="Times New Roman"/>
                      <w:color w:val="auto"/>
                      <w:szCs w:val="21"/>
                      <w:highlight w:val="none"/>
                      <w:lang w:val="en-US" w:eastAsia="zh-CN"/>
                    </w:rPr>
                  </w:pPr>
                </w:p>
              </w:tc>
              <w:tc>
                <w:tcPr>
                  <w:tcW w:w="990" w:type="dxa"/>
                  <w:vMerge w:val="continue"/>
                  <w:noWrap w:val="0"/>
                  <w:vAlign w:val="center"/>
                </w:tcPr>
                <w:p w14:paraId="3B9657B7">
                  <w:pPr>
                    <w:keepNext w:val="0"/>
                    <w:keepLines w:val="0"/>
                    <w:pageBreakBefore w:val="0"/>
                    <w:kinsoku/>
                    <w:wordWrap/>
                    <w:overflowPunct/>
                    <w:topLinePunct w:val="0"/>
                    <w:autoSpaceDE/>
                    <w:autoSpaceDN/>
                    <w:bidi w:val="0"/>
                    <w:ind w:right="0"/>
                    <w:jc w:val="center"/>
                    <w:textAlignment w:val="auto"/>
                    <w:rPr>
                      <w:rFonts w:hint="default" w:ascii="Times New Roman" w:hAnsi="Times New Roman" w:eastAsia="宋体" w:cs="Times New Roman"/>
                      <w:color w:val="auto"/>
                      <w:szCs w:val="21"/>
                      <w:highlight w:val="none"/>
                      <w:lang w:val="en-US" w:eastAsia="zh-CN"/>
                    </w:rPr>
                  </w:pPr>
                </w:p>
              </w:tc>
              <w:tc>
                <w:tcPr>
                  <w:tcW w:w="2131" w:type="dxa"/>
                  <w:noWrap w:val="0"/>
                  <w:vAlign w:val="center"/>
                </w:tcPr>
                <w:p w14:paraId="6329B9EE">
                  <w:pPr>
                    <w:widowControl w:val="0"/>
                    <w:tabs>
                      <w:tab w:val="left" w:pos="1081"/>
                    </w:tabs>
                    <w:adjustRightInd/>
                    <w:snapToGrid/>
                    <w:spacing w:after="0"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钢筋切断机</w:t>
                  </w:r>
                </w:p>
              </w:tc>
              <w:tc>
                <w:tcPr>
                  <w:tcW w:w="2594" w:type="dxa"/>
                  <w:noWrap w:val="0"/>
                  <w:vAlign w:val="center"/>
                </w:tcPr>
                <w:p w14:paraId="77EB969C">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功率：5.5kw</w:t>
                  </w:r>
                </w:p>
              </w:tc>
              <w:tc>
                <w:tcPr>
                  <w:tcW w:w="750" w:type="dxa"/>
                  <w:noWrap w:val="0"/>
                  <w:vAlign w:val="center"/>
                </w:tcPr>
                <w:p w14:paraId="253755A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811" w:type="dxa"/>
                  <w:noWrap w:val="0"/>
                  <w:vAlign w:val="center"/>
                </w:tcPr>
                <w:p w14:paraId="33E2901F">
                  <w:pPr>
                    <w:pStyle w:val="16"/>
                    <w:keepNext w:val="0"/>
                    <w:keepLines w:val="0"/>
                    <w:pageBreakBefore w:val="0"/>
                    <w:kinsoku/>
                    <w:wordWrap/>
                    <w:overflowPunct/>
                    <w:topLinePunct w:val="0"/>
                    <w:autoSpaceDE/>
                    <w:autoSpaceDN/>
                    <w:bidi w:val="0"/>
                    <w:spacing w:before="0" w:after="0" w:line="240" w:lineRule="auto"/>
                    <w:ind w:right="0" w:rightChars="0"/>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3600h</w:t>
                  </w:r>
                </w:p>
              </w:tc>
              <w:tc>
                <w:tcPr>
                  <w:tcW w:w="876" w:type="dxa"/>
                  <w:vMerge w:val="continue"/>
                  <w:noWrap w:val="0"/>
                  <w:vAlign w:val="center"/>
                </w:tcPr>
                <w:p w14:paraId="0DC4CCBA">
                  <w:pPr>
                    <w:pStyle w:val="16"/>
                    <w:keepNext w:val="0"/>
                    <w:keepLines w:val="0"/>
                    <w:pageBreakBefore w:val="0"/>
                    <w:kinsoku/>
                    <w:wordWrap/>
                    <w:overflowPunct/>
                    <w:topLinePunct w:val="0"/>
                    <w:autoSpaceDE/>
                    <w:autoSpaceDN/>
                    <w:bidi w:val="0"/>
                    <w:spacing w:before="0" w:after="0" w:line="240" w:lineRule="auto"/>
                    <w:ind w:right="0"/>
                    <w:jc w:val="center"/>
                    <w:textAlignment w:val="auto"/>
                    <w:rPr>
                      <w:rFonts w:hint="default" w:ascii="Times New Roman" w:hAnsi="Times New Roman" w:cs="Times New Roman"/>
                      <w:color w:val="auto"/>
                      <w:kern w:val="2"/>
                      <w:sz w:val="21"/>
                      <w:szCs w:val="21"/>
                      <w:highlight w:val="none"/>
                      <w:lang w:val="en-US" w:eastAsia="zh-CN" w:bidi="ar-SA"/>
                    </w:rPr>
                  </w:pPr>
                </w:p>
              </w:tc>
            </w:tr>
            <w:tr w14:paraId="60C22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941" w:type="dxa"/>
                  <w:vMerge w:val="continue"/>
                  <w:noWrap w:val="0"/>
                  <w:vAlign w:val="center"/>
                </w:tcPr>
                <w:p w14:paraId="24CC9D63">
                  <w:pPr>
                    <w:keepNext w:val="0"/>
                    <w:keepLines w:val="0"/>
                    <w:pageBreakBefore w:val="0"/>
                    <w:kinsoku/>
                    <w:wordWrap/>
                    <w:overflowPunct/>
                    <w:topLinePunct w:val="0"/>
                    <w:autoSpaceDE/>
                    <w:autoSpaceDN/>
                    <w:bidi w:val="0"/>
                    <w:ind w:right="0" w:rightChars="0"/>
                    <w:jc w:val="center"/>
                    <w:textAlignment w:val="auto"/>
                    <w:rPr>
                      <w:rFonts w:hint="default" w:ascii="Times New Roman" w:hAnsi="Times New Roman" w:eastAsia="宋体" w:cs="Times New Roman"/>
                      <w:color w:val="auto"/>
                      <w:szCs w:val="21"/>
                      <w:highlight w:val="none"/>
                      <w:lang w:val="en-US" w:eastAsia="zh-CN"/>
                    </w:rPr>
                  </w:pPr>
                </w:p>
              </w:tc>
              <w:tc>
                <w:tcPr>
                  <w:tcW w:w="990" w:type="dxa"/>
                  <w:vMerge w:val="continue"/>
                  <w:noWrap w:val="0"/>
                  <w:vAlign w:val="center"/>
                </w:tcPr>
                <w:p w14:paraId="5F9E638E">
                  <w:pPr>
                    <w:keepNext w:val="0"/>
                    <w:keepLines w:val="0"/>
                    <w:pageBreakBefore w:val="0"/>
                    <w:kinsoku/>
                    <w:wordWrap/>
                    <w:overflowPunct/>
                    <w:topLinePunct w:val="0"/>
                    <w:autoSpaceDE/>
                    <w:autoSpaceDN/>
                    <w:bidi w:val="0"/>
                    <w:ind w:right="0"/>
                    <w:jc w:val="center"/>
                    <w:textAlignment w:val="auto"/>
                    <w:rPr>
                      <w:rFonts w:hint="default" w:ascii="Times New Roman" w:hAnsi="Times New Roman" w:eastAsia="宋体" w:cs="Times New Roman"/>
                      <w:color w:val="auto"/>
                      <w:szCs w:val="21"/>
                      <w:highlight w:val="none"/>
                      <w:lang w:val="en-US" w:eastAsia="zh-CN"/>
                    </w:rPr>
                  </w:pPr>
                </w:p>
              </w:tc>
              <w:tc>
                <w:tcPr>
                  <w:tcW w:w="2131" w:type="dxa"/>
                  <w:noWrap w:val="0"/>
                  <w:vAlign w:val="center"/>
                </w:tcPr>
                <w:p w14:paraId="33871610">
                  <w:pPr>
                    <w:widowControl w:val="0"/>
                    <w:tabs>
                      <w:tab w:val="left" w:pos="1081"/>
                    </w:tabs>
                    <w:adjustRightInd/>
                    <w:snapToGrid/>
                    <w:spacing w:after="0"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弯曲机</w:t>
                  </w:r>
                </w:p>
              </w:tc>
              <w:tc>
                <w:tcPr>
                  <w:tcW w:w="2594" w:type="dxa"/>
                  <w:noWrap w:val="0"/>
                  <w:vAlign w:val="center"/>
                </w:tcPr>
                <w:p w14:paraId="17D052C5">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功率：5.5kw</w:t>
                  </w:r>
                </w:p>
              </w:tc>
              <w:tc>
                <w:tcPr>
                  <w:tcW w:w="750" w:type="dxa"/>
                  <w:noWrap w:val="0"/>
                  <w:vAlign w:val="center"/>
                </w:tcPr>
                <w:p w14:paraId="15E1E07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2台</w:t>
                  </w:r>
                </w:p>
              </w:tc>
              <w:tc>
                <w:tcPr>
                  <w:tcW w:w="811" w:type="dxa"/>
                  <w:noWrap w:val="0"/>
                  <w:vAlign w:val="center"/>
                </w:tcPr>
                <w:p w14:paraId="546F27C6">
                  <w:pPr>
                    <w:pStyle w:val="16"/>
                    <w:keepNext w:val="0"/>
                    <w:keepLines w:val="0"/>
                    <w:pageBreakBefore w:val="0"/>
                    <w:kinsoku/>
                    <w:wordWrap/>
                    <w:overflowPunct/>
                    <w:topLinePunct w:val="0"/>
                    <w:autoSpaceDE/>
                    <w:autoSpaceDN/>
                    <w:bidi w:val="0"/>
                    <w:spacing w:before="0" w:after="0" w:line="240" w:lineRule="auto"/>
                    <w:ind w:right="0" w:rightChars="0"/>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3600h</w:t>
                  </w:r>
                </w:p>
              </w:tc>
              <w:tc>
                <w:tcPr>
                  <w:tcW w:w="876" w:type="dxa"/>
                  <w:vMerge w:val="continue"/>
                  <w:noWrap w:val="0"/>
                  <w:vAlign w:val="center"/>
                </w:tcPr>
                <w:p w14:paraId="3511C83A">
                  <w:pPr>
                    <w:pStyle w:val="16"/>
                    <w:keepNext w:val="0"/>
                    <w:keepLines w:val="0"/>
                    <w:pageBreakBefore w:val="0"/>
                    <w:kinsoku/>
                    <w:wordWrap/>
                    <w:overflowPunct/>
                    <w:topLinePunct w:val="0"/>
                    <w:autoSpaceDE/>
                    <w:autoSpaceDN/>
                    <w:bidi w:val="0"/>
                    <w:spacing w:before="0" w:after="0" w:line="240" w:lineRule="auto"/>
                    <w:ind w:right="0"/>
                    <w:jc w:val="center"/>
                    <w:textAlignment w:val="auto"/>
                    <w:rPr>
                      <w:rFonts w:hint="default" w:ascii="Times New Roman" w:hAnsi="Times New Roman" w:cs="Times New Roman"/>
                      <w:color w:val="auto"/>
                      <w:kern w:val="2"/>
                      <w:sz w:val="21"/>
                      <w:szCs w:val="21"/>
                      <w:highlight w:val="none"/>
                      <w:lang w:val="en-US" w:eastAsia="zh-CN" w:bidi="ar-SA"/>
                    </w:rPr>
                  </w:pPr>
                </w:p>
              </w:tc>
            </w:tr>
            <w:tr w14:paraId="5D01F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941" w:type="dxa"/>
                  <w:vMerge w:val="continue"/>
                  <w:noWrap w:val="0"/>
                  <w:vAlign w:val="center"/>
                </w:tcPr>
                <w:p w14:paraId="033A69A0">
                  <w:pPr>
                    <w:keepNext w:val="0"/>
                    <w:keepLines w:val="0"/>
                    <w:pageBreakBefore w:val="0"/>
                    <w:kinsoku/>
                    <w:wordWrap/>
                    <w:overflowPunct/>
                    <w:topLinePunct w:val="0"/>
                    <w:autoSpaceDE/>
                    <w:autoSpaceDN/>
                    <w:bidi w:val="0"/>
                    <w:ind w:right="0" w:rightChars="0"/>
                    <w:jc w:val="center"/>
                    <w:textAlignment w:val="auto"/>
                    <w:rPr>
                      <w:rFonts w:hint="default" w:ascii="Times New Roman" w:hAnsi="Times New Roman" w:eastAsia="宋体" w:cs="Times New Roman"/>
                      <w:color w:val="auto"/>
                      <w:szCs w:val="21"/>
                      <w:highlight w:val="none"/>
                      <w:lang w:val="en-US" w:eastAsia="zh-CN"/>
                    </w:rPr>
                  </w:pPr>
                </w:p>
              </w:tc>
              <w:tc>
                <w:tcPr>
                  <w:tcW w:w="990" w:type="dxa"/>
                  <w:vMerge w:val="continue"/>
                  <w:noWrap w:val="0"/>
                  <w:vAlign w:val="center"/>
                </w:tcPr>
                <w:p w14:paraId="03AA64F6">
                  <w:pPr>
                    <w:keepNext w:val="0"/>
                    <w:keepLines w:val="0"/>
                    <w:pageBreakBefore w:val="0"/>
                    <w:kinsoku/>
                    <w:wordWrap/>
                    <w:overflowPunct/>
                    <w:topLinePunct w:val="0"/>
                    <w:autoSpaceDE/>
                    <w:autoSpaceDN/>
                    <w:bidi w:val="0"/>
                    <w:ind w:right="0"/>
                    <w:jc w:val="center"/>
                    <w:textAlignment w:val="auto"/>
                    <w:rPr>
                      <w:rFonts w:hint="default" w:ascii="Times New Roman" w:hAnsi="Times New Roman" w:eastAsia="宋体" w:cs="Times New Roman"/>
                      <w:color w:val="auto"/>
                      <w:szCs w:val="21"/>
                      <w:highlight w:val="none"/>
                      <w:lang w:val="en-US" w:eastAsia="zh-CN"/>
                    </w:rPr>
                  </w:pPr>
                </w:p>
              </w:tc>
              <w:tc>
                <w:tcPr>
                  <w:tcW w:w="2131" w:type="dxa"/>
                  <w:noWrap w:val="0"/>
                  <w:vAlign w:val="center"/>
                </w:tcPr>
                <w:p w14:paraId="7703EDF2">
                  <w:pPr>
                    <w:widowControl w:val="0"/>
                    <w:tabs>
                      <w:tab w:val="left" w:pos="1081"/>
                    </w:tabs>
                    <w:adjustRightInd/>
                    <w:snapToGrid/>
                    <w:spacing w:after="0"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自动调直切断机</w:t>
                  </w:r>
                </w:p>
              </w:tc>
              <w:tc>
                <w:tcPr>
                  <w:tcW w:w="2594" w:type="dxa"/>
                  <w:noWrap w:val="0"/>
                  <w:vAlign w:val="center"/>
                </w:tcPr>
                <w:p w14:paraId="0EBE4559">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功率：5.5kw</w:t>
                  </w:r>
                </w:p>
              </w:tc>
              <w:tc>
                <w:tcPr>
                  <w:tcW w:w="750" w:type="dxa"/>
                  <w:noWrap w:val="0"/>
                  <w:vAlign w:val="center"/>
                </w:tcPr>
                <w:p w14:paraId="1E5DC23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811" w:type="dxa"/>
                  <w:noWrap w:val="0"/>
                  <w:vAlign w:val="center"/>
                </w:tcPr>
                <w:p w14:paraId="7CC38130">
                  <w:pPr>
                    <w:pStyle w:val="16"/>
                    <w:keepNext w:val="0"/>
                    <w:keepLines w:val="0"/>
                    <w:pageBreakBefore w:val="0"/>
                    <w:kinsoku/>
                    <w:wordWrap/>
                    <w:overflowPunct/>
                    <w:topLinePunct w:val="0"/>
                    <w:autoSpaceDE/>
                    <w:autoSpaceDN/>
                    <w:bidi w:val="0"/>
                    <w:spacing w:before="0" w:after="0" w:line="240" w:lineRule="auto"/>
                    <w:ind w:right="0" w:rightChars="0"/>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3600h</w:t>
                  </w:r>
                </w:p>
              </w:tc>
              <w:tc>
                <w:tcPr>
                  <w:tcW w:w="876" w:type="dxa"/>
                  <w:vMerge w:val="continue"/>
                  <w:noWrap w:val="0"/>
                  <w:vAlign w:val="center"/>
                </w:tcPr>
                <w:p w14:paraId="5F7B5E4D">
                  <w:pPr>
                    <w:pStyle w:val="16"/>
                    <w:keepNext w:val="0"/>
                    <w:keepLines w:val="0"/>
                    <w:pageBreakBefore w:val="0"/>
                    <w:kinsoku/>
                    <w:wordWrap/>
                    <w:overflowPunct/>
                    <w:topLinePunct w:val="0"/>
                    <w:autoSpaceDE/>
                    <w:autoSpaceDN/>
                    <w:bidi w:val="0"/>
                    <w:spacing w:before="0" w:after="0" w:line="240" w:lineRule="auto"/>
                    <w:ind w:right="0"/>
                    <w:jc w:val="center"/>
                    <w:textAlignment w:val="auto"/>
                    <w:rPr>
                      <w:rFonts w:hint="default" w:ascii="Times New Roman" w:hAnsi="Times New Roman" w:cs="Times New Roman"/>
                      <w:color w:val="auto"/>
                      <w:kern w:val="2"/>
                      <w:sz w:val="21"/>
                      <w:szCs w:val="21"/>
                      <w:highlight w:val="none"/>
                      <w:lang w:val="en-US" w:eastAsia="zh-CN" w:bidi="ar-SA"/>
                    </w:rPr>
                  </w:pPr>
                </w:p>
              </w:tc>
            </w:tr>
            <w:tr w14:paraId="3D182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941" w:type="dxa"/>
                  <w:vMerge w:val="continue"/>
                  <w:noWrap w:val="0"/>
                  <w:vAlign w:val="center"/>
                </w:tcPr>
                <w:p w14:paraId="64ACC167">
                  <w:pPr>
                    <w:keepNext w:val="0"/>
                    <w:keepLines w:val="0"/>
                    <w:pageBreakBefore w:val="0"/>
                    <w:kinsoku/>
                    <w:wordWrap/>
                    <w:overflowPunct/>
                    <w:topLinePunct w:val="0"/>
                    <w:autoSpaceDE/>
                    <w:autoSpaceDN/>
                    <w:bidi w:val="0"/>
                    <w:ind w:right="0" w:rightChars="0"/>
                    <w:jc w:val="center"/>
                    <w:textAlignment w:val="auto"/>
                    <w:rPr>
                      <w:rFonts w:hint="default" w:ascii="Times New Roman" w:hAnsi="Times New Roman" w:eastAsia="宋体" w:cs="Times New Roman"/>
                      <w:color w:val="auto"/>
                      <w:szCs w:val="21"/>
                      <w:highlight w:val="none"/>
                      <w:lang w:val="en-US" w:eastAsia="zh-CN"/>
                    </w:rPr>
                  </w:pPr>
                </w:p>
              </w:tc>
              <w:tc>
                <w:tcPr>
                  <w:tcW w:w="990" w:type="dxa"/>
                  <w:vMerge w:val="continue"/>
                  <w:noWrap w:val="0"/>
                  <w:vAlign w:val="center"/>
                </w:tcPr>
                <w:p w14:paraId="4416DCEE">
                  <w:pPr>
                    <w:keepNext w:val="0"/>
                    <w:keepLines w:val="0"/>
                    <w:pageBreakBefore w:val="0"/>
                    <w:kinsoku/>
                    <w:wordWrap/>
                    <w:overflowPunct/>
                    <w:topLinePunct w:val="0"/>
                    <w:autoSpaceDE/>
                    <w:autoSpaceDN/>
                    <w:bidi w:val="0"/>
                    <w:ind w:right="0"/>
                    <w:jc w:val="center"/>
                    <w:textAlignment w:val="auto"/>
                    <w:rPr>
                      <w:rFonts w:hint="default" w:ascii="Times New Roman" w:hAnsi="Times New Roman" w:eastAsia="宋体" w:cs="Times New Roman"/>
                      <w:color w:val="auto"/>
                      <w:szCs w:val="21"/>
                      <w:highlight w:val="none"/>
                      <w:lang w:val="en-US" w:eastAsia="zh-CN"/>
                    </w:rPr>
                  </w:pPr>
                </w:p>
              </w:tc>
              <w:tc>
                <w:tcPr>
                  <w:tcW w:w="2131" w:type="dxa"/>
                  <w:noWrap w:val="0"/>
                  <w:vAlign w:val="center"/>
                </w:tcPr>
                <w:p w14:paraId="4281E445">
                  <w:pPr>
                    <w:widowControl w:val="0"/>
                    <w:tabs>
                      <w:tab w:val="left" w:pos="1081"/>
                    </w:tabs>
                    <w:adjustRightInd/>
                    <w:snapToGrid/>
                    <w:spacing w:after="0"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张拉系</w:t>
                  </w:r>
                  <w:r>
                    <w:rPr>
                      <w:rFonts w:hint="default" w:ascii="Times New Roman" w:hAnsi="Times New Roman" w:eastAsia="宋体" w:cs="Times New Roman"/>
                      <w:color w:val="auto"/>
                      <w:sz w:val="21"/>
                      <w:szCs w:val="21"/>
                      <w:highlight w:val="none"/>
                      <w:lang w:val="en-US" w:eastAsia="zh-CN"/>
                    </w:rPr>
                    <w:t>统</w:t>
                  </w:r>
                </w:p>
              </w:tc>
              <w:tc>
                <w:tcPr>
                  <w:tcW w:w="2594" w:type="dxa"/>
                  <w:noWrap w:val="0"/>
                  <w:vAlign w:val="center"/>
                </w:tcPr>
                <w:p w14:paraId="50AB16A0">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750" w:type="dxa"/>
                  <w:noWrap w:val="0"/>
                  <w:vAlign w:val="center"/>
                </w:tcPr>
                <w:p w14:paraId="0EF513E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1套</w:t>
                  </w:r>
                </w:p>
              </w:tc>
              <w:tc>
                <w:tcPr>
                  <w:tcW w:w="811" w:type="dxa"/>
                  <w:noWrap w:val="0"/>
                  <w:vAlign w:val="center"/>
                </w:tcPr>
                <w:p w14:paraId="629312A6">
                  <w:pPr>
                    <w:pStyle w:val="16"/>
                    <w:keepNext w:val="0"/>
                    <w:keepLines w:val="0"/>
                    <w:pageBreakBefore w:val="0"/>
                    <w:kinsoku/>
                    <w:wordWrap/>
                    <w:overflowPunct/>
                    <w:topLinePunct w:val="0"/>
                    <w:autoSpaceDE/>
                    <w:autoSpaceDN/>
                    <w:bidi w:val="0"/>
                    <w:spacing w:before="0" w:after="0" w:line="240" w:lineRule="auto"/>
                    <w:ind w:right="0" w:rightChars="0"/>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3600h</w:t>
                  </w:r>
                </w:p>
              </w:tc>
              <w:tc>
                <w:tcPr>
                  <w:tcW w:w="876" w:type="dxa"/>
                  <w:vMerge w:val="continue"/>
                  <w:noWrap w:val="0"/>
                  <w:vAlign w:val="center"/>
                </w:tcPr>
                <w:p w14:paraId="031A73DE">
                  <w:pPr>
                    <w:pStyle w:val="16"/>
                    <w:keepNext w:val="0"/>
                    <w:keepLines w:val="0"/>
                    <w:pageBreakBefore w:val="0"/>
                    <w:kinsoku/>
                    <w:wordWrap/>
                    <w:overflowPunct/>
                    <w:topLinePunct w:val="0"/>
                    <w:autoSpaceDE/>
                    <w:autoSpaceDN/>
                    <w:bidi w:val="0"/>
                    <w:spacing w:before="0" w:after="0" w:line="240" w:lineRule="auto"/>
                    <w:ind w:right="0"/>
                    <w:jc w:val="center"/>
                    <w:textAlignment w:val="auto"/>
                    <w:rPr>
                      <w:rFonts w:hint="default" w:ascii="Times New Roman" w:hAnsi="Times New Roman" w:cs="Times New Roman"/>
                      <w:color w:val="auto"/>
                      <w:kern w:val="2"/>
                      <w:sz w:val="21"/>
                      <w:szCs w:val="21"/>
                      <w:highlight w:val="none"/>
                      <w:lang w:val="en-US" w:eastAsia="zh-CN" w:bidi="ar-SA"/>
                    </w:rPr>
                  </w:pPr>
                </w:p>
              </w:tc>
            </w:tr>
            <w:tr w14:paraId="28418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941" w:type="dxa"/>
                  <w:vMerge w:val="continue"/>
                  <w:noWrap w:val="0"/>
                  <w:vAlign w:val="center"/>
                </w:tcPr>
                <w:p w14:paraId="038DB87D">
                  <w:pPr>
                    <w:keepNext w:val="0"/>
                    <w:keepLines w:val="0"/>
                    <w:pageBreakBefore w:val="0"/>
                    <w:kinsoku/>
                    <w:wordWrap/>
                    <w:overflowPunct/>
                    <w:topLinePunct w:val="0"/>
                    <w:autoSpaceDE/>
                    <w:autoSpaceDN/>
                    <w:bidi w:val="0"/>
                    <w:ind w:right="0" w:rightChars="0"/>
                    <w:jc w:val="center"/>
                    <w:textAlignment w:val="auto"/>
                    <w:rPr>
                      <w:rFonts w:hint="default" w:ascii="Times New Roman" w:hAnsi="Times New Roman" w:eastAsia="宋体" w:cs="Times New Roman"/>
                      <w:color w:val="auto"/>
                      <w:szCs w:val="21"/>
                      <w:highlight w:val="none"/>
                      <w:lang w:val="en-US" w:eastAsia="zh-CN"/>
                    </w:rPr>
                  </w:pPr>
                </w:p>
              </w:tc>
              <w:tc>
                <w:tcPr>
                  <w:tcW w:w="990" w:type="dxa"/>
                  <w:vMerge w:val="continue"/>
                  <w:noWrap w:val="0"/>
                  <w:vAlign w:val="center"/>
                </w:tcPr>
                <w:p w14:paraId="3D65576B">
                  <w:pPr>
                    <w:keepNext w:val="0"/>
                    <w:keepLines w:val="0"/>
                    <w:pageBreakBefore w:val="0"/>
                    <w:kinsoku/>
                    <w:wordWrap/>
                    <w:overflowPunct/>
                    <w:topLinePunct w:val="0"/>
                    <w:autoSpaceDE/>
                    <w:autoSpaceDN/>
                    <w:bidi w:val="0"/>
                    <w:ind w:right="0"/>
                    <w:jc w:val="center"/>
                    <w:textAlignment w:val="auto"/>
                    <w:rPr>
                      <w:rFonts w:hint="default" w:ascii="Times New Roman" w:hAnsi="Times New Roman" w:eastAsia="宋体" w:cs="Times New Roman"/>
                      <w:color w:val="auto"/>
                      <w:szCs w:val="21"/>
                      <w:highlight w:val="none"/>
                      <w:lang w:val="en-US" w:eastAsia="zh-CN"/>
                    </w:rPr>
                  </w:pPr>
                </w:p>
              </w:tc>
              <w:tc>
                <w:tcPr>
                  <w:tcW w:w="2131" w:type="dxa"/>
                  <w:noWrap w:val="0"/>
                  <w:vAlign w:val="center"/>
                </w:tcPr>
                <w:p w14:paraId="4449D55B">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电焊机</w:t>
                  </w:r>
                </w:p>
              </w:tc>
              <w:tc>
                <w:tcPr>
                  <w:tcW w:w="2594" w:type="dxa"/>
                  <w:noWrap w:val="0"/>
                  <w:vAlign w:val="center"/>
                </w:tcPr>
                <w:p w14:paraId="6BD9B12D">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功率：9kw</w:t>
                  </w:r>
                </w:p>
              </w:tc>
              <w:tc>
                <w:tcPr>
                  <w:tcW w:w="750" w:type="dxa"/>
                  <w:noWrap w:val="0"/>
                  <w:vAlign w:val="center"/>
                </w:tcPr>
                <w:p w14:paraId="4152B70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2台</w:t>
                  </w:r>
                </w:p>
              </w:tc>
              <w:tc>
                <w:tcPr>
                  <w:tcW w:w="811" w:type="dxa"/>
                  <w:noWrap w:val="0"/>
                  <w:vAlign w:val="center"/>
                </w:tcPr>
                <w:p w14:paraId="0064F40E">
                  <w:pPr>
                    <w:pStyle w:val="16"/>
                    <w:keepNext w:val="0"/>
                    <w:keepLines w:val="0"/>
                    <w:pageBreakBefore w:val="0"/>
                    <w:kinsoku/>
                    <w:wordWrap/>
                    <w:overflowPunct/>
                    <w:topLinePunct w:val="0"/>
                    <w:autoSpaceDE/>
                    <w:autoSpaceDN/>
                    <w:bidi w:val="0"/>
                    <w:spacing w:before="0" w:after="0" w:line="240" w:lineRule="auto"/>
                    <w:ind w:right="0" w:rightChars="0"/>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3600h</w:t>
                  </w:r>
                </w:p>
              </w:tc>
              <w:tc>
                <w:tcPr>
                  <w:tcW w:w="876" w:type="dxa"/>
                  <w:vMerge w:val="continue"/>
                  <w:noWrap w:val="0"/>
                  <w:vAlign w:val="center"/>
                </w:tcPr>
                <w:p w14:paraId="51795121">
                  <w:pPr>
                    <w:pStyle w:val="16"/>
                    <w:keepNext w:val="0"/>
                    <w:keepLines w:val="0"/>
                    <w:pageBreakBefore w:val="0"/>
                    <w:kinsoku/>
                    <w:wordWrap/>
                    <w:overflowPunct/>
                    <w:topLinePunct w:val="0"/>
                    <w:autoSpaceDE/>
                    <w:autoSpaceDN/>
                    <w:bidi w:val="0"/>
                    <w:spacing w:before="0" w:after="0" w:line="240" w:lineRule="auto"/>
                    <w:ind w:right="0"/>
                    <w:jc w:val="center"/>
                    <w:textAlignment w:val="auto"/>
                    <w:rPr>
                      <w:rFonts w:hint="default" w:ascii="Times New Roman" w:hAnsi="Times New Roman" w:cs="Times New Roman"/>
                      <w:color w:val="auto"/>
                      <w:kern w:val="2"/>
                      <w:sz w:val="21"/>
                      <w:szCs w:val="21"/>
                      <w:highlight w:val="none"/>
                      <w:lang w:val="en-US" w:eastAsia="zh-CN" w:bidi="ar-SA"/>
                    </w:rPr>
                  </w:pPr>
                </w:p>
              </w:tc>
            </w:tr>
            <w:tr w14:paraId="1971B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941" w:type="dxa"/>
                  <w:vMerge w:val="continue"/>
                  <w:noWrap w:val="0"/>
                  <w:vAlign w:val="center"/>
                </w:tcPr>
                <w:p w14:paraId="4A624CCE">
                  <w:pPr>
                    <w:keepNext w:val="0"/>
                    <w:keepLines w:val="0"/>
                    <w:pageBreakBefore w:val="0"/>
                    <w:kinsoku/>
                    <w:wordWrap/>
                    <w:overflowPunct/>
                    <w:topLinePunct w:val="0"/>
                    <w:autoSpaceDE/>
                    <w:autoSpaceDN/>
                    <w:bidi w:val="0"/>
                    <w:ind w:right="0" w:rightChars="0"/>
                    <w:jc w:val="center"/>
                    <w:textAlignment w:val="auto"/>
                    <w:rPr>
                      <w:rFonts w:hint="default" w:ascii="Times New Roman" w:hAnsi="Times New Roman" w:eastAsia="宋体" w:cs="Times New Roman"/>
                      <w:color w:val="auto"/>
                      <w:szCs w:val="21"/>
                      <w:highlight w:val="none"/>
                      <w:lang w:val="en-US" w:eastAsia="zh-CN"/>
                    </w:rPr>
                  </w:pPr>
                </w:p>
              </w:tc>
              <w:tc>
                <w:tcPr>
                  <w:tcW w:w="990" w:type="dxa"/>
                  <w:vMerge w:val="continue"/>
                  <w:noWrap w:val="0"/>
                  <w:vAlign w:val="center"/>
                </w:tcPr>
                <w:p w14:paraId="26720EC3">
                  <w:pPr>
                    <w:keepNext w:val="0"/>
                    <w:keepLines w:val="0"/>
                    <w:pageBreakBefore w:val="0"/>
                    <w:kinsoku/>
                    <w:wordWrap/>
                    <w:overflowPunct/>
                    <w:topLinePunct w:val="0"/>
                    <w:autoSpaceDE/>
                    <w:autoSpaceDN/>
                    <w:bidi w:val="0"/>
                    <w:ind w:right="0"/>
                    <w:jc w:val="center"/>
                    <w:textAlignment w:val="auto"/>
                    <w:rPr>
                      <w:rFonts w:hint="default" w:ascii="Times New Roman" w:hAnsi="Times New Roman" w:eastAsia="宋体" w:cs="Times New Roman"/>
                      <w:color w:val="auto"/>
                      <w:szCs w:val="21"/>
                      <w:highlight w:val="none"/>
                      <w:lang w:val="en-US" w:eastAsia="zh-CN"/>
                    </w:rPr>
                  </w:pPr>
                </w:p>
              </w:tc>
              <w:tc>
                <w:tcPr>
                  <w:tcW w:w="2131" w:type="dxa"/>
                  <w:noWrap w:val="0"/>
                  <w:vAlign w:val="center"/>
                </w:tcPr>
                <w:p w14:paraId="4DD13692">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CO</w:t>
                  </w:r>
                  <w:r>
                    <w:rPr>
                      <w:rFonts w:hint="default" w:ascii="Times New Roman" w:hAnsi="Times New Roman" w:eastAsia="宋体" w:cs="Times New Roman"/>
                      <w:color w:val="auto"/>
                      <w:kern w:val="2"/>
                      <w:sz w:val="21"/>
                      <w:szCs w:val="21"/>
                      <w:highlight w:val="none"/>
                      <w:vertAlign w:val="subscript"/>
                      <w:lang w:val="en-US" w:eastAsia="zh-CN" w:bidi="ar-SA"/>
                    </w:rPr>
                    <w:t>2</w:t>
                  </w:r>
                  <w:r>
                    <w:rPr>
                      <w:rFonts w:hint="default" w:ascii="Times New Roman" w:hAnsi="Times New Roman" w:eastAsia="宋体" w:cs="Times New Roman"/>
                      <w:color w:val="auto"/>
                      <w:kern w:val="2"/>
                      <w:sz w:val="21"/>
                      <w:szCs w:val="21"/>
                      <w:highlight w:val="none"/>
                      <w:lang w:val="en-US" w:eastAsia="zh-CN" w:bidi="ar-SA"/>
                    </w:rPr>
                    <w:t>气体保护焊</w:t>
                  </w:r>
                </w:p>
              </w:tc>
              <w:tc>
                <w:tcPr>
                  <w:tcW w:w="2594" w:type="dxa"/>
                  <w:noWrap w:val="0"/>
                  <w:vAlign w:val="center"/>
                </w:tcPr>
                <w:p w14:paraId="26E4BF95">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功率：11kw</w:t>
                  </w:r>
                </w:p>
              </w:tc>
              <w:tc>
                <w:tcPr>
                  <w:tcW w:w="750" w:type="dxa"/>
                  <w:noWrap w:val="0"/>
                  <w:vAlign w:val="center"/>
                </w:tcPr>
                <w:p w14:paraId="40B31530">
                  <w:pPr>
                    <w:pStyle w:val="16"/>
                    <w:keepNext w:val="0"/>
                    <w:keepLines w:val="0"/>
                    <w:pageBreakBefore w:val="0"/>
                    <w:kinsoku/>
                    <w:wordWrap/>
                    <w:overflowPunct/>
                    <w:topLinePunct w:val="0"/>
                    <w:autoSpaceDE/>
                    <w:autoSpaceDN/>
                    <w:bidi w:val="0"/>
                    <w:spacing w:before="0" w:after="0" w:line="240" w:lineRule="auto"/>
                    <w:ind w:right="0"/>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5</w:t>
                  </w:r>
                  <w:r>
                    <w:rPr>
                      <w:rFonts w:hint="default" w:ascii="Times New Roman" w:hAnsi="Times New Roman" w:eastAsia="宋体" w:cs="Times New Roman"/>
                      <w:i w:val="0"/>
                      <w:iCs w:val="0"/>
                      <w:color w:val="auto"/>
                      <w:kern w:val="0"/>
                      <w:sz w:val="21"/>
                      <w:szCs w:val="21"/>
                      <w:highlight w:val="none"/>
                      <w:u w:val="none"/>
                      <w:lang w:val="en-US" w:eastAsia="zh-CN" w:bidi="ar"/>
                    </w:rPr>
                    <w:t>台</w:t>
                  </w:r>
                </w:p>
              </w:tc>
              <w:tc>
                <w:tcPr>
                  <w:tcW w:w="811" w:type="dxa"/>
                  <w:noWrap w:val="0"/>
                  <w:vAlign w:val="center"/>
                </w:tcPr>
                <w:p w14:paraId="62601308">
                  <w:pPr>
                    <w:pStyle w:val="16"/>
                    <w:keepNext w:val="0"/>
                    <w:keepLines w:val="0"/>
                    <w:pageBreakBefore w:val="0"/>
                    <w:kinsoku/>
                    <w:wordWrap/>
                    <w:overflowPunct/>
                    <w:topLinePunct w:val="0"/>
                    <w:autoSpaceDE/>
                    <w:autoSpaceDN/>
                    <w:bidi w:val="0"/>
                    <w:spacing w:before="0" w:after="0" w:line="240" w:lineRule="auto"/>
                    <w:ind w:right="0" w:rightChars="0"/>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3600h</w:t>
                  </w:r>
                </w:p>
              </w:tc>
              <w:tc>
                <w:tcPr>
                  <w:tcW w:w="876" w:type="dxa"/>
                  <w:vMerge w:val="continue"/>
                  <w:noWrap w:val="0"/>
                  <w:vAlign w:val="center"/>
                </w:tcPr>
                <w:p w14:paraId="6F38EAD2">
                  <w:pPr>
                    <w:pStyle w:val="16"/>
                    <w:keepNext w:val="0"/>
                    <w:keepLines w:val="0"/>
                    <w:pageBreakBefore w:val="0"/>
                    <w:kinsoku/>
                    <w:wordWrap/>
                    <w:overflowPunct/>
                    <w:topLinePunct w:val="0"/>
                    <w:autoSpaceDE/>
                    <w:autoSpaceDN/>
                    <w:bidi w:val="0"/>
                    <w:spacing w:before="0" w:after="0" w:line="240" w:lineRule="auto"/>
                    <w:ind w:right="0"/>
                    <w:jc w:val="center"/>
                    <w:textAlignment w:val="auto"/>
                    <w:rPr>
                      <w:rFonts w:hint="default" w:ascii="Times New Roman" w:hAnsi="Times New Roman" w:cs="Times New Roman"/>
                      <w:color w:val="auto"/>
                      <w:kern w:val="2"/>
                      <w:sz w:val="21"/>
                      <w:szCs w:val="21"/>
                      <w:highlight w:val="none"/>
                      <w:lang w:val="en-US" w:eastAsia="zh-CN" w:bidi="ar-SA"/>
                    </w:rPr>
                  </w:pPr>
                </w:p>
              </w:tc>
            </w:tr>
            <w:tr w14:paraId="7CE7B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941" w:type="dxa"/>
                  <w:vMerge w:val="restart"/>
                  <w:noWrap w:val="0"/>
                  <w:vAlign w:val="center"/>
                </w:tcPr>
                <w:p w14:paraId="1F99F8F9">
                  <w:pPr>
                    <w:keepNext w:val="0"/>
                    <w:keepLines w:val="0"/>
                    <w:pageBreakBefore w:val="0"/>
                    <w:kinsoku/>
                    <w:wordWrap/>
                    <w:overflowPunct/>
                    <w:topLinePunct w:val="0"/>
                    <w:autoSpaceDE/>
                    <w:autoSpaceDN/>
                    <w:bidi w:val="0"/>
                    <w:ind w:right="0" w:right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混凝土搅拌系统</w:t>
                  </w:r>
                </w:p>
              </w:tc>
              <w:tc>
                <w:tcPr>
                  <w:tcW w:w="990" w:type="dxa"/>
                  <w:vMerge w:val="restart"/>
                  <w:noWrap w:val="0"/>
                  <w:vAlign w:val="center"/>
                </w:tcPr>
                <w:p w14:paraId="798697AD">
                  <w:pPr>
                    <w:keepNext w:val="0"/>
                    <w:keepLines w:val="0"/>
                    <w:pageBreakBefore w:val="0"/>
                    <w:kinsoku/>
                    <w:wordWrap/>
                    <w:overflowPunct/>
                    <w:topLinePunct w:val="0"/>
                    <w:autoSpaceDE/>
                    <w:autoSpaceDN/>
                    <w:bidi w:val="0"/>
                    <w:ind w:right="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物料存放</w:t>
                  </w:r>
                </w:p>
              </w:tc>
              <w:tc>
                <w:tcPr>
                  <w:tcW w:w="2131" w:type="dxa"/>
                  <w:noWrap w:val="0"/>
                  <w:vAlign w:val="center"/>
                </w:tcPr>
                <w:p w14:paraId="69A4A58C">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水泥筒仓</w:t>
                  </w:r>
                </w:p>
              </w:tc>
              <w:tc>
                <w:tcPr>
                  <w:tcW w:w="2594" w:type="dxa"/>
                  <w:noWrap w:val="0"/>
                  <w:vAlign w:val="center"/>
                </w:tcPr>
                <w:p w14:paraId="36EA816E">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lang w:val="en-US" w:eastAsia="zh-CN"/>
                    </w:rPr>
                    <w:t>单个</w:t>
                  </w:r>
                  <w:r>
                    <w:rPr>
                      <w:rFonts w:hint="default" w:ascii="Times New Roman" w:hAnsi="Times New Roman" w:eastAsia="宋体" w:cs="Times New Roman"/>
                      <w:color w:val="auto"/>
                      <w:kern w:val="2"/>
                      <w:sz w:val="21"/>
                      <w:szCs w:val="21"/>
                      <w:highlight w:val="none"/>
                      <w:lang w:val="en-US" w:eastAsia="zh-CN" w:bidi="ar-SA"/>
                    </w:rPr>
                    <w:t>储存量：120t，总存储量480t</w:t>
                  </w:r>
                </w:p>
              </w:tc>
              <w:tc>
                <w:tcPr>
                  <w:tcW w:w="750" w:type="dxa"/>
                  <w:noWrap w:val="0"/>
                  <w:vAlign w:val="center"/>
                </w:tcPr>
                <w:p w14:paraId="1B10AA2D">
                  <w:pPr>
                    <w:pStyle w:val="16"/>
                    <w:keepNext w:val="0"/>
                    <w:keepLines w:val="0"/>
                    <w:pageBreakBefore w:val="0"/>
                    <w:kinsoku/>
                    <w:wordWrap/>
                    <w:overflowPunct/>
                    <w:topLinePunct w:val="0"/>
                    <w:autoSpaceDE/>
                    <w:autoSpaceDN/>
                    <w:bidi w:val="0"/>
                    <w:spacing w:before="0" w:after="0" w:line="240" w:lineRule="auto"/>
                    <w:ind w:right="0"/>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4</w:t>
                  </w:r>
                  <w:r>
                    <w:rPr>
                      <w:rFonts w:hint="default" w:ascii="Times New Roman" w:hAnsi="Times New Roman" w:cs="Times New Roman"/>
                      <w:color w:val="auto"/>
                      <w:sz w:val="21"/>
                      <w:szCs w:val="21"/>
                      <w:highlight w:val="none"/>
                      <w:lang w:val="en-US" w:eastAsia="zh-CN"/>
                    </w:rPr>
                    <w:t>个</w:t>
                  </w:r>
                </w:p>
              </w:tc>
              <w:tc>
                <w:tcPr>
                  <w:tcW w:w="811" w:type="dxa"/>
                  <w:noWrap w:val="0"/>
                  <w:vAlign w:val="center"/>
                </w:tcPr>
                <w:p w14:paraId="5AE8BC01">
                  <w:pPr>
                    <w:pStyle w:val="16"/>
                    <w:keepNext w:val="0"/>
                    <w:keepLines w:val="0"/>
                    <w:pageBreakBefore w:val="0"/>
                    <w:kinsoku/>
                    <w:wordWrap/>
                    <w:overflowPunct/>
                    <w:topLinePunct w:val="0"/>
                    <w:autoSpaceDE/>
                    <w:autoSpaceDN/>
                    <w:bidi w:val="0"/>
                    <w:spacing w:before="0" w:after="0" w:line="240" w:lineRule="auto"/>
                    <w:ind w:right="0"/>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7200h</w:t>
                  </w:r>
                </w:p>
              </w:tc>
              <w:tc>
                <w:tcPr>
                  <w:tcW w:w="876" w:type="dxa"/>
                  <w:vMerge w:val="restart"/>
                  <w:noWrap w:val="0"/>
                  <w:vAlign w:val="center"/>
                </w:tcPr>
                <w:p w14:paraId="59A6E80D">
                  <w:pPr>
                    <w:pStyle w:val="16"/>
                    <w:keepNext w:val="0"/>
                    <w:keepLines w:val="0"/>
                    <w:pageBreakBefore w:val="0"/>
                    <w:kinsoku/>
                    <w:wordWrap/>
                    <w:overflowPunct/>
                    <w:topLinePunct w:val="0"/>
                    <w:autoSpaceDE/>
                    <w:autoSpaceDN/>
                    <w:bidi w:val="0"/>
                    <w:spacing w:before="0" w:after="0" w:line="240" w:lineRule="auto"/>
                    <w:ind w:right="0"/>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筒仓区及砂石料仓</w:t>
                  </w:r>
                </w:p>
              </w:tc>
            </w:tr>
            <w:tr w14:paraId="14DD8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941" w:type="dxa"/>
                  <w:vMerge w:val="continue"/>
                  <w:noWrap w:val="0"/>
                  <w:vAlign w:val="center"/>
                </w:tcPr>
                <w:p w14:paraId="732E2A81">
                  <w:pPr>
                    <w:keepNext w:val="0"/>
                    <w:keepLines w:val="0"/>
                    <w:pageBreakBefore w:val="0"/>
                    <w:kinsoku/>
                    <w:wordWrap/>
                    <w:overflowPunct/>
                    <w:topLinePunct w:val="0"/>
                    <w:autoSpaceDE/>
                    <w:autoSpaceDN/>
                    <w:bidi w:val="0"/>
                    <w:ind w:right="0" w:rightChars="0"/>
                    <w:jc w:val="center"/>
                    <w:textAlignment w:val="auto"/>
                    <w:rPr>
                      <w:rFonts w:hint="default" w:ascii="Times New Roman" w:hAnsi="Times New Roman" w:eastAsia="宋体" w:cs="Times New Roman"/>
                      <w:color w:val="auto"/>
                      <w:szCs w:val="21"/>
                      <w:highlight w:val="none"/>
                      <w:lang w:val="en-US" w:eastAsia="zh-CN"/>
                    </w:rPr>
                  </w:pPr>
                </w:p>
              </w:tc>
              <w:tc>
                <w:tcPr>
                  <w:tcW w:w="990" w:type="dxa"/>
                  <w:vMerge w:val="continue"/>
                  <w:noWrap w:val="0"/>
                  <w:vAlign w:val="center"/>
                </w:tcPr>
                <w:p w14:paraId="208FA84D">
                  <w:pPr>
                    <w:keepNext w:val="0"/>
                    <w:keepLines w:val="0"/>
                    <w:pageBreakBefore w:val="0"/>
                    <w:kinsoku/>
                    <w:wordWrap/>
                    <w:overflowPunct/>
                    <w:topLinePunct w:val="0"/>
                    <w:autoSpaceDE/>
                    <w:autoSpaceDN/>
                    <w:bidi w:val="0"/>
                    <w:ind w:right="0"/>
                    <w:jc w:val="center"/>
                    <w:textAlignment w:val="auto"/>
                    <w:rPr>
                      <w:rFonts w:hint="default" w:ascii="Times New Roman" w:hAnsi="Times New Roman" w:eastAsia="宋体" w:cs="Times New Roman"/>
                      <w:color w:val="auto"/>
                      <w:szCs w:val="21"/>
                      <w:highlight w:val="none"/>
                      <w:lang w:val="en-US" w:eastAsia="zh-CN"/>
                    </w:rPr>
                  </w:pPr>
                </w:p>
              </w:tc>
              <w:tc>
                <w:tcPr>
                  <w:tcW w:w="2131" w:type="dxa"/>
                  <w:noWrap w:val="0"/>
                  <w:vAlign w:val="center"/>
                </w:tcPr>
                <w:p w14:paraId="61E2DBD9">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粉煤灰筒仓</w:t>
                  </w:r>
                </w:p>
              </w:tc>
              <w:tc>
                <w:tcPr>
                  <w:tcW w:w="2594" w:type="dxa"/>
                  <w:noWrap w:val="0"/>
                  <w:vAlign w:val="center"/>
                </w:tcPr>
                <w:p w14:paraId="4EAB9C0C">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lang w:val="en-US" w:eastAsia="zh-CN"/>
                    </w:rPr>
                    <w:t>单个</w:t>
                  </w:r>
                  <w:r>
                    <w:rPr>
                      <w:rFonts w:hint="default" w:ascii="Times New Roman" w:hAnsi="Times New Roman" w:eastAsia="宋体" w:cs="Times New Roman"/>
                      <w:color w:val="auto"/>
                      <w:kern w:val="2"/>
                      <w:sz w:val="21"/>
                      <w:szCs w:val="21"/>
                      <w:highlight w:val="none"/>
                      <w:lang w:val="en-US" w:eastAsia="zh-CN" w:bidi="ar-SA"/>
                    </w:rPr>
                    <w:t>储存量：40t，总存储量</w:t>
                  </w:r>
                  <w:r>
                    <w:rPr>
                      <w:rFonts w:hint="eastAsia" w:ascii="Times New Roman" w:hAnsi="Times New Roman" w:eastAsia="宋体" w:cs="Times New Roman"/>
                      <w:color w:val="auto"/>
                      <w:kern w:val="2"/>
                      <w:sz w:val="21"/>
                      <w:szCs w:val="21"/>
                      <w:highlight w:val="none"/>
                      <w:lang w:val="en-US" w:eastAsia="zh-CN" w:bidi="ar-SA"/>
                    </w:rPr>
                    <w:t>8</w:t>
                  </w:r>
                  <w:r>
                    <w:rPr>
                      <w:rFonts w:hint="default" w:ascii="Times New Roman" w:hAnsi="Times New Roman" w:eastAsia="宋体" w:cs="Times New Roman"/>
                      <w:color w:val="auto"/>
                      <w:kern w:val="2"/>
                      <w:sz w:val="21"/>
                      <w:szCs w:val="21"/>
                      <w:highlight w:val="none"/>
                      <w:lang w:val="en-US" w:eastAsia="zh-CN" w:bidi="ar-SA"/>
                    </w:rPr>
                    <w:t>0t</w:t>
                  </w:r>
                </w:p>
              </w:tc>
              <w:tc>
                <w:tcPr>
                  <w:tcW w:w="750" w:type="dxa"/>
                  <w:noWrap w:val="0"/>
                  <w:vAlign w:val="center"/>
                </w:tcPr>
                <w:p w14:paraId="4A33241E">
                  <w:pPr>
                    <w:pStyle w:val="16"/>
                    <w:keepNext w:val="0"/>
                    <w:keepLines w:val="0"/>
                    <w:pageBreakBefore w:val="0"/>
                    <w:kinsoku/>
                    <w:wordWrap/>
                    <w:overflowPunct/>
                    <w:topLinePunct w:val="0"/>
                    <w:autoSpaceDE/>
                    <w:autoSpaceDN/>
                    <w:bidi w:val="0"/>
                    <w:spacing w:before="0" w:after="0" w:line="240" w:lineRule="auto"/>
                    <w:ind w:right="0"/>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2</w:t>
                  </w:r>
                  <w:r>
                    <w:rPr>
                      <w:rFonts w:hint="default" w:ascii="Times New Roman" w:hAnsi="Times New Roman" w:cs="Times New Roman"/>
                      <w:color w:val="auto"/>
                      <w:sz w:val="21"/>
                      <w:szCs w:val="21"/>
                      <w:highlight w:val="none"/>
                      <w:lang w:val="en-US" w:eastAsia="zh-CN"/>
                    </w:rPr>
                    <w:t>个</w:t>
                  </w:r>
                </w:p>
              </w:tc>
              <w:tc>
                <w:tcPr>
                  <w:tcW w:w="811" w:type="dxa"/>
                  <w:noWrap w:val="0"/>
                  <w:vAlign w:val="center"/>
                </w:tcPr>
                <w:p w14:paraId="7798C880">
                  <w:pPr>
                    <w:keepNext w:val="0"/>
                    <w:keepLines w:val="0"/>
                    <w:pageBreakBefore w:val="0"/>
                    <w:kinsoku/>
                    <w:wordWrap/>
                    <w:overflowPunct/>
                    <w:topLinePunct w:val="0"/>
                    <w:autoSpaceDE/>
                    <w:autoSpaceDN/>
                    <w:bidi w:val="0"/>
                    <w:spacing w:before="0" w:after="0" w:line="240" w:lineRule="auto"/>
                    <w:ind w:right="0"/>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7200h</w:t>
                  </w:r>
                </w:p>
              </w:tc>
              <w:tc>
                <w:tcPr>
                  <w:tcW w:w="876" w:type="dxa"/>
                  <w:vMerge w:val="continue"/>
                  <w:noWrap w:val="0"/>
                  <w:vAlign w:val="center"/>
                </w:tcPr>
                <w:p w14:paraId="3F0BB3AC">
                  <w:pPr>
                    <w:pStyle w:val="16"/>
                    <w:keepNext w:val="0"/>
                    <w:keepLines w:val="0"/>
                    <w:pageBreakBefore w:val="0"/>
                    <w:kinsoku/>
                    <w:wordWrap/>
                    <w:overflowPunct/>
                    <w:topLinePunct w:val="0"/>
                    <w:autoSpaceDE/>
                    <w:autoSpaceDN/>
                    <w:bidi w:val="0"/>
                    <w:spacing w:before="0" w:after="0" w:line="240" w:lineRule="auto"/>
                    <w:ind w:right="0"/>
                    <w:jc w:val="center"/>
                    <w:textAlignment w:val="auto"/>
                    <w:rPr>
                      <w:rFonts w:hint="default" w:ascii="Times New Roman" w:hAnsi="Times New Roman" w:cs="Times New Roman"/>
                      <w:color w:val="auto"/>
                      <w:kern w:val="2"/>
                      <w:sz w:val="21"/>
                      <w:szCs w:val="21"/>
                      <w:highlight w:val="none"/>
                      <w:lang w:val="en-US" w:eastAsia="zh-CN" w:bidi="ar-SA"/>
                    </w:rPr>
                  </w:pPr>
                </w:p>
              </w:tc>
            </w:tr>
            <w:tr w14:paraId="16BE7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41" w:type="dxa"/>
                  <w:vMerge w:val="continue"/>
                  <w:noWrap w:val="0"/>
                  <w:vAlign w:val="center"/>
                </w:tcPr>
                <w:p w14:paraId="0FA19DF5">
                  <w:pPr>
                    <w:keepNext w:val="0"/>
                    <w:keepLines w:val="0"/>
                    <w:pageBreakBefore w:val="0"/>
                    <w:kinsoku/>
                    <w:wordWrap/>
                    <w:overflowPunct/>
                    <w:topLinePunct w:val="0"/>
                    <w:autoSpaceDE/>
                    <w:autoSpaceDN/>
                    <w:bidi w:val="0"/>
                    <w:ind w:right="0" w:rightChars="0"/>
                    <w:jc w:val="center"/>
                    <w:textAlignment w:val="auto"/>
                    <w:rPr>
                      <w:rFonts w:hint="default" w:ascii="Times New Roman" w:hAnsi="Times New Roman" w:eastAsia="宋体" w:cs="Times New Roman"/>
                      <w:color w:val="auto"/>
                      <w:szCs w:val="21"/>
                      <w:highlight w:val="none"/>
                      <w:lang w:val="en-US" w:eastAsia="zh-CN"/>
                    </w:rPr>
                  </w:pPr>
                </w:p>
              </w:tc>
              <w:tc>
                <w:tcPr>
                  <w:tcW w:w="990" w:type="dxa"/>
                  <w:vMerge w:val="continue"/>
                  <w:noWrap w:val="0"/>
                  <w:vAlign w:val="center"/>
                </w:tcPr>
                <w:p w14:paraId="3BFAFE9F">
                  <w:pPr>
                    <w:keepNext w:val="0"/>
                    <w:keepLines w:val="0"/>
                    <w:pageBreakBefore w:val="0"/>
                    <w:kinsoku/>
                    <w:wordWrap/>
                    <w:overflowPunct/>
                    <w:topLinePunct w:val="0"/>
                    <w:autoSpaceDE/>
                    <w:autoSpaceDN/>
                    <w:bidi w:val="0"/>
                    <w:ind w:right="0"/>
                    <w:jc w:val="center"/>
                    <w:textAlignment w:val="auto"/>
                    <w:rPr>
                      <w:rFonts w:hint="default" w:ascii="Times New Roman" w:hAnsi="Times New Roman" w:eastAsia="宋体" w:cs="Times New Roman"/>
                      <w:color w:val="auto"/>
                      <w:szCs w:val="21"/>
                      <w:highlight w:val="none"/>
                      <w:lang w:val="en-US" w:eastAsia="zh-CN"/>
                    </w:rPr>
                  </w:pPr>
                </w:p>
              </w:tc>
              <w:tc>
                <w:tcPr>
                  <w:tcW w:w="2131" w:type="dxa"/>
                  <w:noWrap w:val="0"/>
                  <w:vAlign w:val="center"/>
                </w:tcPr>
                <w:p w14:paraId="4285FFF2">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减水剂罐</w:t>
                  </w:r>
                </w:p>
              </w:tc>
              <w:tc>
                <w:tcPr>
                  <w:tcW w:w="2594" w:type="dxa"/>
                  <w:noWrap w:val="0"/>
                  <w:vAlign w:val="center"/>
                </w:tcPr>
                <w:p w14:paraId="07912782">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lang w:val="en-US" w:eastAsia="zh-CN"/>
                    </w:rPr>
                    <w:t>单个</w:t>
                  </w:r>
                  <w:r>
                    <w:rPr>
                      <w:rFonts w:hint="default" w:ascii="Times New Roman" w:hAnsi="Times New Roman" w:eastAsia="宋体" w:cs="Times New Roman"/>
                      <w:color w:val="auto"/>
                      <w:kern w:val="2"/>
                      <w:sz w:val="21"/>
                      <w:szCs w:val="21"/>
                      <w:highlight w:val="none"/>
                      <w:lang w:val="en-US" w:eastAsia="zh-CN" w:bidi="ar-SA"/>
                    </w:rPr>
                    <w:t>储存量：20t，总存储量40t</w:t>
                  </w:r>
                </w:p>
              </w:tc>
              <w:tc>
                <w:tcPr>
                  <w:tcW w:w="750" w:type="dxa"/>
                  <w:noWrap w:val="0"/>
                  <w:vAlign w:val="center"/>
                </w:tcPr>
                <w:p w14:paraId="31A83237">
                  <w:pPr>
                    <w:pStyle w:val="16"/>
                    <w:keepNext w:val="0"/>
                    <w:keepLines w:val="0"/>
                    <w:pageBreakBefore w:val="0"/>
                    <w:kinsoku/>
                    <w:wordWrap/>
                    <w:overflowPunct/>
                    <w:topLinePunct w:val="0"/>
                    <w:autoSpaceDE/>
                    <w:autoSpaceDN/>
                    <w:bidi w:val="0"/>
                    <w:spacing w:before="0" w:after="0" w:line="240" w:lineRule="auto"/>
                    <w:ind w:right="0"/>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2</w:t>
                  </w:r>
                  <w:r>
                    <w:rPr>
                      <w:rFonts w:hint="default" w:ascii="Times New Roman" w:hAnsi="Times New Roman" w:cs="Times New Roman"/>
                      <w:color w:val="auto"/>
                      <w:sz w:val="21"/>
                      <w:szCs w:val="21"/>
                      <w:highlight w:val="none"/>
                      <w:lang w:val="en-US" w:eastAsia="zh-CN"/>
                    </w:rPr>
                    <w:t>个</w:t>
                  </w:r>
                </w:p>
              </w:tc>
              <w:tc>
                <w:tcPr>
                  <w:tcW w:w="811" w:type="dxa"/>
                  <w:noWrap w:val="0"/>
                  <w:vAlign w:val="center"/>
                </w:tcPr>
                <w:p w14:paraId="4A1794AA">
                  <w:pPr>
                    <w:keepNext w:val="0"/>
                    <w:keepLines w:val="0"/>
                    <w:pageBreakBefore w:val="0"/>
                    <w:kinsoku/>
                    <w:wordWrap/>
                    <w:overflowPunct/>
                    <w:topLinePunct w:val="0"/>
                    <w:autoSpaceDE/>
                    <w:autoSpaceDN/>
                    <w:bidi w:val="0"/>
                    <w:spacing w:before="0" w:after="0" w:line="240" w:lineRule="auto"/>
                    <w:ind w:right="0"/>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7200h</w:t>
                  </w:r>
                </w:p>
              </w:tc>
              <w:tc>
                <w:tcPr>
                  <w:tcW w:w="876" w:type="dxa"/>
                  <w:vMerge w:val="continue"/>
                  <w:noWrap w:val="0"/>
                  <w:vAlign w:val="center"/>
                </w:tcPr>
                <w:p w14:paraId="16AE682D">
                  <w:pPr>
                    <w:pStyle w:val="16"/>
                    <w:keepNext w:val="0"/>
                    <w:keepLines w:val="0"/>
                    <w:pageBreakBefore w:val="0"/>
                    <w:kinsoku/>
                    <w:wordWrap/>
                    <w:overflowPunct/>
                    <w:topLinePunct w:val="0"/>
                    <w:autoSpaceDE/>
                    <w:autoSpaceDN/>
                    <w:bidi w:val="0"/>
                    <w:spacing w:before="0" w:after="0" w:line="240" w:lineRule="auto"/>
                    <w:ind w:right="0"/>
                    <w:jc w:val="center"/>
                    <w:textAlignment w:val="auto"/>
                    <w:rPr>
                      <w:rFonts w:hint="default" w:ascii="Times New Roman" w:hAnsi="Times New Roman" w:cs="Times New Roman"/>
                      <w:color w:val="auto"/>
                      <w:kern w:val="2"/>
                      <w:sz w:val="21"/>
                      <w:szCs w:val="21"/>
                      <w:highlight w:val="none"/>
                      <w:lang w:val="en-US" w:eastAsia="zh-CN" w:bidi="ar-SA"/>
                    </w:rPr>
                  </w:pPr>
                </w:p>
              </w:tc>
            </w:tr>
            <w:tr w14:paraId="08A31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941" w:type="dxa"/>
                  <w:vMerge w:val="continue"/>
                  <w:noWrap w:val="0"/>
                  <w:vAlign w:val="center"/>
                </w:tcPr>
                <w:p w14:paraId="247D7E9C">
                  <w:pPr>
                    <w:keepNext w:val="0"/>
                    <w:keepLines w:val="0"/>
                    <w:pageBreakBefore w:val="0"/>
                    <w:kinsoku/>
                    <w:wordWrap/>
                    <w:overflowPunct/>
                    <w:topLinePunct w:val="0"/>
                    <w:autoSpaceDE/>
                    <w:autoSpaceDN/>
                    <w:bidi w:val="0"/>
                    <w:ind w:right="0" w:rightChars="0"/>
                    <w:jc w:val="center"/>
                    <w:textAlignment w:val="auto"/>
                    <w:rPr>
                      <w:rFonts w:hint="default" w:ascii="Times New Roman" w:hAnsi="Times New Roman" w:eastAsia="宋体" w:cs="Times New Roman"/>
                      <w:color w:val="auto"/>
                      <w:szCs w:val="21"/>
                      <w:highlight w:val="none"/>
                      <w:lang w:val="en-US" w:eastAsia="zh-CN"/>
                    </w:rPr>
                  </w:pPr>
                </w:p>
              </w:tc>
              <w:tc>
                <w:tcPr>
                  <w:tcW w:w="990" w:type="dxa"/>
                  <w:vMerge w:val="continue"/>
                  <w:noWrap w:val="0"/>
                  <w:vAlign w:val="center"/>
                </w:tcPr>
                <w:p w14:paraId="23150C31">
                  <w:pPr>
                    <w:keepNext w:val="0"/>
                    <w:keepLines w:val="0"/>
                    <w:pageBreakBefore w:val="0"/>
                    <w:kinsoku/>
                    <w:wordWrap/>
                    <w:overflowPunct/>
                    <w:topLinePunct w:val="0"/>
                    <w:autoSpaceDE/>
                    <w:autoSpaceDN/>
                    <w:bidi w:val="0"/>
                    <w:ind w:right="0"/>
                    <w:jc w:val="center"/>
                    <w:textAlignment w:val="auto"/>
                    <w:rPr>
                      <w:rFonts w:hint="default" w:ascii="Times New Roman" w:hAnsi="Times New Roman" w:eastAsia="宋体" w:cs="Times New Roman"/>
                      <w:color w:val="auto"/>
                      <w:szCs w:val="21"/>
                      <w:highlight w:val="none"/>
                      <w:lang w:val="en-US" w:eastAsia="zh-CN"/>
                    </w:rPr>
                  </w:pPr>
                </w:p>
              </w:tc>
              <w:tc>
                <w:tcPr>
                  <w:tcW w:w="2131" w:type="dxa"/>
                  <w:noWrap w:val="0"/>
                  <w:vAlign w:val="center"/>
                </w:tcPr>
                <w:p w14:paraId="14A2711E">
                  <w:pPr>
                    <w:keepNext w:val="0"/>
                    <w:keepLines w:val="0"/>
                    <w:pageBreakBefore w:val="0"/>
                    <w:widowControl w:val="0"/>
                    <w:kinsoku/>
                    <w:wordWrap/>
                    <w:overflowPunct/>
                    <w:topLinePunct w:val="0"/>
                    <w:autoSpaceDE/>
                    <w:autoSpaceDN/>
                    <w:bidi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eastAsia="zh-CN"/>
                    </w:rPr>
                    <w:t>砂料仓</w:t>
                  </w:r>
                </w:p>
              </w:tc>
              <w:tc>
                <w:tcPr>
                  <w:tcW w:w="2594" w:type="dxa"/>
                  <w:noWrap w:val="0"/>
                  <w:vAlign w:val="center"/>
                </w:tcPr>
                <w:p w14:paraId="70CE1994">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存储量2000t</w:t>
                  </w:r>
                </w:p>
              </w:tc>
              <w:tc>
                <w:tcPr>
                  <w:tcW w:w="750" w:type="dxa"/>
                  <w:noWrap w:val="0"/>
                  <w:vAlign w:val="center"/>
                </w:tcPr>
                <w:p w14:paraId="49D012C0">
                  <w:pPr>
                    <w:pStyle w:val="16"/>
                    <w:keepNext w:val="0"/>
                    <w:keepLines w:val="0"/>
                    <w:pageBreakBefore w:val="0"/>
                    <w:kinsoku/>
                    <w:wordWrap/>
                    <w:overflowPunct/>
                    <w:topLinePunct w:val="0"/>
                    <w:autoSpaceDE/>
                    <w:autoSpaceDN/>
                    <w:bidi w:val="0"/>
                    <w:spacing w:before="0" w:after="0" w:line="240" w:lineRule="auto"/>
                    <w:ind w:right="0" w:rightChars="0"/>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1</w:t>
                  </w:r>
                  <w:r>
                    <w:rPr>
                      <w:rFonts w:hint="default" w:ascii="Times New Roman" w:hAnsi="Times New Roman" w:cs="Times New Roman"/>
                      <w:color w:val="auto"/>
                      <w:sz w:val="21"/>
                      <w:szCs w:val="21"/>
                      <w:highlight w:val="none"/>
                      <w:lang w:val="en-US" w:eastAsia="zh-CN"/>
                    </w:rPr>
                    <w:t>个</w:t>
                  </w:r>
                </w:p>
              </w:tc>
              <w:tc>
                <w:tcPr>
                  <w:tcW w:w="811" w:type="dxa"/>
                  <w:noWrap w:val="0"/>
                  <w:vAlign w:val="center"/>
                </w:tcPr>
                <w:p w14:paraId="65925844">
                  <w:pPr>
                    <w:keepNext w:val="0"/>
                    <w:keepLines w:val="0"/>
                    <w:pageBreakBefore w:val="0"/>
                    <w:kinsoku/>
                    <w:wordWrap/>
                    <w:overflowPunct/>
                    <w:topLinePunct w:val="0"/>
                    <w:autoSpaceDE/>
                    <w:autoSpaceDN/>
                    <w:bidi w:val="0"/>
                    <w:spacing w:before="0" w:after="0" w:line="240" w:lineRule="auto"/>
                    <w:ind w:right="0" w:rightChars="0"/>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7200h</w:t>
                  </w:r>
                </w:p>
              </w:tc>
              <w:tc>
                <w:tcPr>
                  <w:tcW w:w="876" w:type="dxa"/>
                  <w:vMerge w:val="restart"/>
                  <w:noWrap w:val="0"/>
                  <w:vAlign w:val="center"/>
                </w:tcPr>
                <w:p w14:paraId="3ACD854D">
                  <w:pPr>
                    <w:pStyle w:val="16"/>
                    <w:keepNext w:val="0"/>
                    <w:keepLines w:val="0"/>
                    <w:pageBreakBefore w:val="0"/>
                    <w:kinsoku/>
                    <w:wordWrap/>
                    <w:overflowPunct/>
                    <w:topLinePunct w:val="0"/>
                    <w:autoSpaceDE/>
                    <w:autoSpaceDN/>
                    <w:bidi w:val="0"/>
                    <w:spacing w:before="0" w:after="0" w:line="240" w:lineRule="auto"/>
                    <w:ind w:right="0"/>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料仓区</w:t>
                  </w:r>
                </w:p>
              </w:tc>
            </w:tr>
            <w:tr w14:paraId="7B336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941" w:type="dxa"/>
                  <w:vMerge w:val="continue"/>
                  <w:noWrap w:val="0"/>
                  <w:vAlign w:val="center"/>
                </w:tcPr>
                <w:p w14:paraId="26613500">
                  <w:pPr>
                    <w:keepNext w:val="0"/>
                    <w:keepLines w:val="0"/>
                    <w:pageBreakBefore w:val="0"/>
                    <w:kinsoku/>
                    <w:wordWrap/>
                    <w:overflowPunct/>
                    <w:topLinePunct w:val="0"/>
                    <w:autoSpaceDE/>
                    <w:autoSpaceDN/>
                    <w:bidi w:val="0"/>
                    <w:ind w:right="0" w:rightChars="0"/>
                    <w:jc w:val="center"/>
                    <w:textAlignment w:val="auto"/>
                    <w:rPr>
                      <w:rFonts w:hint="default" w:ascii="Times New Roman" w:hAnsi="Times New Roman" w:eastAsia="宋体" w:cs="Times New Roman"/>
                      <w:color w:val="auto"/>
                      <w:szCs w:val="21"/>
                      <w:highlight w:val="none"/>
                      <w:lang w:val="en-US" w:eastAsia="zh-CN"/>
                    </w:rPr>
                  </w:pPr>
                </w:p>
              </w:tc>
              <w:tc>
                <w:tcPr>
                  <w:tcW w:w="990" w:type="dxa"/>
                  <w:vMerge w:val="continue"/>
                  <w:noWrap w:val="0"/>
                  <w:vAlign w:val="center"/>
                </w:tcPr>
                <w:p w14:paraId="091CC92B">
                  <w:pPr>
                    <w:keepNext w:val="0"/>
                    <w:keepLines w:val="0"/>
                    <w:pageBreakBefore w:val="0"/>
                    <w:kinsoku/>
                    <w:wordWrap/>
                    <w:overflowPunct/>
                    <w:topLinePunct w:val="0"/>
                    <w:autoSpaceDE/>
                    <w:autoSpaceDN/>
                    <w:bidi w:val="0"/>
                    <w:ind w:right="0"/>
                    <w:jc w:val="center"/>
                    <w:textAlignment w:val="auto"/>
                    <w:rPr>
                      <w:rFonts w:hint="default" w:ascii="Times New Roman" w:hAnsi="Times New Roman" w:eastAsia="宋体" w:cs="Times New Roman"/>
                      <w:color w:val="auto"/>
                      <w:szCs w:val="21"/>
                      <w:highlight w:val="none"/>
                      <w:lang w:val="en-US" w:eastAsia="zh-CN"/>
                    </w:rPr>
                  </w:pPr>
                </w:p>
              </w:tc>
              <w:tc>
                <w:tcPr>
                  <w:tcW w:w="2131" w:type="dxa"/>
                  <w:noWrap w:val="0"/>
                  <w:vAlign w:val="center"/>
                </w:tcPr>
                <w:p w14:paraId="1D4438A7">
                  <w:pPr>
                    <w:keepNext w:val="0"/>
                    <w:keepLines w:val="0"/>
                    <w:pageBreakBefore w:val="0"/>
                    <w:widowControl w:val="0"/>
                    <w:kinsoku/>
                    <w:wordWrap/>
                    <w:overflowPunct/>
                    <w:topLinePunct w:val="0"/>
                    <w:autoSpaceDE/>
                    <w:autoSpaceDN/>
                    <w:bidi w:val="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碎石</w:t>
                  </w:r>
                  <w:r>
                    <w:rPr>
                      <w:rFonts w:hint="default" w:ascii="Times New Roman" w:hAnsi="Times New Roman" w:cs="Times New Roman"/>
                      <w:color w:val="auto"/>
                      <w:szCs w:val="21"/>
                      <w:highlight w:val="none"/>
                      <w:lang w:val="en-US" w:eastAsia="zh-CN"/>
                    </w:rPr>
                    <w:t>料</w:t>
                  </w:r>
                  <w:r>
                    <w:rPr>
                      <w:rFonts w:hint="default" w:ascii="Times New Roman" w:hAnsi="Times New Roman" w:cs="Times New Roman"/>
                      <w:color w:val="auto"/>
                      <w:szCs w:val="21"/>
                      <w:highlight w:val="none"/>
                      <w:lang w:eastAsia="zh-CN"/>
                    </w:rPr>
                    <w:t>仓</w:t>
                  </w:r>
                </w:p>
              </w:tc>
              <w:tc>
                <w:tcPr>
                  <w:tcW w:w="2594" w:type="dxa"/>
                  <w:shd w:val="clear" w:color="auto" w:fill="auto"/>
                  <w:noWrap w:val="0"/>
                  <w:vAlign w:val="center"/>
                </w:tcPr>
                <w:p w14:paraId="7AA01751">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存储量3000t</w:t>
                  </w:r>
                </w:p>
              </w:tc>
              <w:tc>
                <w:tcPr>
                  <w:tcW w:w="750" w:type="dxa"/>
                  <w:noWrap w:val="0"/>
                  <w:vAlign w:val="center"/>
                </w:tcPr>
                <w:p w14:paraId="02A3A612">
                  <w:pPr>
                    <w:pStyle w:val="16"/>
                    <w:keepNext w:val="0"/>
                    <w:keepLines w:val="0"/>
                    <w:pageBreakBefore w:val="0"/>
                    <w:kinsoku/>
                    <w:wordWrap/>
                    <w:overflowPunct/>
                    <w:topLinePunct w:val="0"/>
                    <w:autoSpaceDE/>
                    <w:autoSpaceDN/>
                    <w:bidi w:val="0"/>
                    <w:spacing w:before="0" w:after="0" w:line="240" w:lineRule="auto"/>
                    <w:ind w:right="0"/>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1</w:t>
                  </w:r>
                  <w:r>
                    <w:rPr>
                      <w:rFonts w:hint="default" w:ascii="Times New Roman" w:hAnsi="Times New Roman" w:cs="Times New Roman"/>
                      <w:color w:val="auto"/>
                      <w:sz w:val="21"/>
                      <w:szCs w:val="21"/>
                      <w:highlight w:val="none"/>
                      <w:lang w:val="en-US" w:eastAsia="zh-CN"/>
                    </w:rPr>
                    <w:t>个</w:t>
                  </w:r>
                </w:p>
              </w:tc>
              <w:tc>
                <w:tcPr>
                  <w:tcW w:w="811" w:type="dxa"/>
                  <w:noWrap w:val="0"/>
                  <w:vAlign w:val="center"/>
                </w:tcPr>
                <w:p w14:paraId="72948634">
                  <w:pPr>
                    <w:keepNext w:val="0"/>
                    <w:keepLines w:val="0"/>
                    <w:pageBreakBefore w:val="0"/>
                    <w:kinsoku/>
                    <w:wordWrap/>
                    <w:overflowPunct/>
                    <w:topLinePunct w:val="0"/>
                    <w:autoSpaceDE/>
                    <w:autoSpaceDN/>
                    <w:bidi w:val="0"/>
                    <w:spacing w:before="0" w:after="0" w:line="240" w:lineRule="auto"/>
                    <w:ind w:right="0"/>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7200h</w:t>
                  </w:r>
                </w:p>
              </w:tc>
              <w:tc>
                <w:tcPr>
                  <w:tcW w:w="876" w:type="dxa"/>
                  <w:vMerge w:val="continue"/>
                  <w:noWrap w:val="0"/>
                  <w:vAlign w:val="center"/>
                </w:tcPr>
                <w:p w14:paraId="53977F61">
                  <w:pPr>
                    <w:pStyle w:val="16"/>
                    <w:keepNext w:val="0"/>
                    <w:keepLines w:val="0"/>
                    <w:pageBreakBefore w:val="0"/>
                    <w:kinsoku/>
                    <w:wordWrap/>
                    <w:overflowPunct/>
                    <w:topLinePunct w:val="0"/>
                    <w:autoSpaceDE/>
                    <w:autoSpaceDN/>
                    <w:bidi w:val="0"/>
                    <w:spacing w:before="0" w:after="0" w:line="240" w:lineRule="auto"/>
                    <w:ind w:right="0"/>
                    <w:jc w:val="center"/>
                    <w:textAlignment w:val="auto"/>
                    <w:rPr>
                      <w:rFonts w:hint="default" w:ascii="Times New Roman" w:hAnsi="Times New Roman" w:cs="Times New Roman"/>
                      <w:color w:val="auto"/>
                      <w:kern w:val="2"/>
                      <w:sz w:val="21"/>
                      <w:szCs w:val="21"/>
                      <w:highlight w:val="none"/>
                      <w:lang w:val="en-US" w:eastAsia="zh-CN" w:bidi="ar-SA"/>
                    </w:rPr>
                  </w:pPr>
                </w:p>
              </w:tc>
            </w:tr>
            <w:tr w14:paraId="45FEE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941" w:type="dxa"/>
                  <w:vMerge w:val="continue"/>
                  <w:noWrap w:val="0"/>
                  <w:vAlign w:val="center"/>
                </w:tcPr>
                <w:p w14:paraId="7FA0F259">
                  <w:pPr>
                    <w:keepNext w:val="0"/>
                    <w:keepLines w:val="0"/>
                    <w:pageBreakBefore w:val="0"/>
                    <w:kinsoku/>
                    <w:wordWrap/>
                    <w:overflowPunct/>
                    <w:topLinePunct w:val="0"/>
                    <w:autoSpaceDE/>
                    <w:autoSpaceDN/>
                    <w:bidi w:val="0"/>
                    <w:ind w:right="0" w:rightChars="0"/>
                    <w:jc w:val="center"/>
                    <w:textAlignment w:val="auto"/>
                    <w:rPr>
                      <w:rFonts w:hint="default" w:ascii="Times New Roman" w:hAnsi="Times New Roman" w:eastAsia="宋体" w:cs="Times New Roman"/>
                      <w:color w:val="auto"/>
                      <w:szCs w:val="21"/>
                      <w:highlight w:val="none"/>
                      <w:lang w:val="en-US" w:eastAsia="zh-CN"/>
                    </w:rPr>
                  </w:pPr>
                </w:p>
              </w:tc>
              <w:tc>
                <w:tcPr>
                  <w:tcW w:w="990" w:type="dxa"/>
                  <w:noWrap w:val="0"/>
                  <w:vAlign w:val="center"/>
                </w:tcPr>
                <w:p w14:paraId="1B7E585D">
                  <w:pPr>
                    <w:keepNext w:val="0"/>
                    <w:keepLines w:val="0"/>
                    <w:pageBreakBefore w:val="0"/>
                    <w:kinsoku/>
                    <w:wordWrap/>
                    <w:overflowPunct/>
                    <w:topLinePunct w:val="0"/>
                    <w:autoSpaceDE/>
                    <w:autoSpaceDN/>
                    <w:bidi w:val="0"/>
                    <w:ind w:right="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砂石输送</w:t>
                  </w:r>
                </w:p>
              </w:tc>
              <w:tc>
                <w:tcPr>
                  <w:tcW w:w="2131" w:type="dxa"/>
                  <w:noWrap w:val="0"/>
                  <w:vAlign w:val="center"/>
                </w:tcPr>
                <w:p w14:paraId="20731D07">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密闭砂石输送带</w:t>
                  </w:r>
                </w:p>
              </w:tc>
              <w:tc>
                <w:tcPr>
                  <w:tcW w:w="2594" w:type="dxa"/>
                  <w:noWrap w:val="0"/>
                  <w:vAlign w:val="center"/>
                </w:tcPr>
                <w:p w14:paraId="60331AB5">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输送能力</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100</w:t>
                  </w:r>
                  <w:r>
                    <w:rPr>
                      <w:rFonts w:hint="default" w:ascii="Times New Roman" w:hAnsi="Times New Roman" w:cs="Times New Roman"/>
                      <w:color w:val="auto"/>
                      <w:szCs w:val="21"/>
                      <w:highlight w:val="none"/>
                    </w:rPr>
                    <w:t>t/h</w:t>
                  </w:r>
                </w:p>
              </w:tc>
              <w:tc>
                <w:tcPr>
                  <w:tcW w:w="750" w:type="dxa"/>
                  <w:noWrap w:val="0"/>
                  <w:vAlign w:val="center"/>
                </w:tcPr>
                <w:p w14:paraId="5D547517">
                  <w:pPr>
                    <w:pStyle w:val="16"/>
                    <w:keepNext w:val="0"/>
                    <w:keepLines w:val="0"/>
                    <w:pageBreakBefore w:val="0"/>
                    <w:kinsoku/>
                    <w:wordWrap/>
                    <w:overflowPunct/>
                    <w:topLinePunct w:val="0"/>
                    <w:autoSpaceDE/>
                    <w:autoSpaceDN/>
                    <w:bidi w:val="0"/>
                    <w:spacing w:before="0" w:after="0" w:line="240" w:lineRule="auto"/>
                    <w:ind w:right="0"/>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2</w:t>
                  </w:r>
                  <w:r>
                    <w:rPr>
                      <w:rFonts w:hint="default" w:ascii="Times New Roman" w:hAnsi="Times New Roman" w:eastAsia="宋体" w:cs="Times New Roman"/>
                      <w:i w:val="0"/>
                      <w:iCs w:val="0"/>
                      <w:color w:val="auto"/>
                      <w:kern w:val="0"/>
                      <w:sz w:val="21"/>
                      <w:szCs w:val="21"/>
                      <w:highlight w:val="none"/>
                      <w:u w:val="none"/>
                      <w:lang w:val="en-US" w:eastAsia="zh-CN" w:bidi="ar"/>
                    </w:rPr>
                    <w:t>条</w:t>
                  </w:r>
                </w:p>
              </w:tc>
              <w:tc>
                <w:tcPr>
                  <w:tcW w:w="811" w:type="dxa"/>
                  <w:noWrap w:val="0"/>
                  <w:vAlign w:val="center"/>
                </w:tcPr>
                <w:p w14:paraId="6475B2D4">
                  <w:pPr>
                    <w:pStyle w:val="16"/>
                    <w:keepNext w:val="0"/>
                    <w:keepLines w:val="0"/>
                    <w:pageBreakBefore w:val="0"/>
                    <w:kinsoku/>
                    <w:wordWrap/>
                    <w:overflowPunct/>
                    <w:topLinePunct w:val="0"/>
                    <w:autoSpaceDE/>
                    <w:autoSpaceDN/>
                    <w:bidi w:val="0"/>
                    <w:spacing w:before="0" w:after="0" w:line="240" w:lineRule="auto"/>
                    <w:ind w:right="0"/>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0"/>
                      <w:sz w:val="21"/>
                      <w:szCs w:val="21"/>
                      <w:highlight w:val="none"/>
                      <w:lang w:val="en-US" w:eastAsia="zh-CN"/>
                    </w:rPr>
                    <w:t>3600h</w:t>
                  </w:r>
                </w:p>
              </w:tc>
              <w:tc>
                <w:tcPr>
                  <w:tcW w:w="876" w:type="dxa"/>
                  <w:vMerge w:val="restart"/>
                  <w:noWrap w:val="0"/>
                  <w:vAlign w:val="center"/>
                </w:tcPr>
                <w:p w14:paraId="611E51C4">
                  <w:pPr>
                    <w:pStyle w:val="16"/>
                    <w:keepNext w:val="0"/>
                    <w:keepLines w:val="0"/>
                    <w:pageBreakBefore w:val="0"/>
                    <w:kinsoku/>
                    <w:wordWrap/>
                    <w:overflowPunct/>
                    <w:topLinePunct w:val="0"/>
                    <w:autoSpaceDE/>
                    <w:autoSpaceDN/>
                    <w:bidi w:val="0"/>
                    <w:spacing w:before="0" w:after="0" w:line="240" w:lineRule="auto"/>
                    <w:ind w:right="0"/>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搅拌及筒仓区</w:t>
                  </w:r>
                </w:p>
              </w:tc>
            </w:tr>
            <w:tr w14:paraId="0480A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41" w:type="dxa"/>
                  <w:vMerge w:val="continue"/>
                  <w:noWrap w:val="0"/>
                  <w:vAlign w:val="center"/>
                </w:tcPr>
                <w:p w14:paraId="0ADCD54E">
                  <w:pPr>
                    <w:keepNext w:val="0"/>
                    <w:keepLines w:val="0"/>
                    <w:pageBreakBefore w:val="0"/>
                    <w:kinsoku/>
                    <w:wordWrap/>
                    <w:overflowPunct/>
                    <w:topLinePunct w:val="0"/>
                    <w:autoSpaceDE/>
                    <w:autoSpaceDN/>
                    <w:bidi w:val="0"/>
                    <w:ind w:right="0" w:rightChars="0"/>
                    <w:jc w:val="center"/>
                    <w:textAlignment w:val="auto"/>
                    <w:rPr>
                      <w:rFonts w:hint="default" w:ascii="Times New Roman" w:hAnsi="Times New Roman" w:eastAsia="宋体" w:cs="Times New Roman"/>
                      <w:color w:val="auto"/>
                      <w:szCs w:val="21"/>
                      <w:highlight w:val="none"/>
                      <w:lang w:val="en-US" w:eastAsia="zh-CN"/>
                    </w:rPr>
                  </w:pPr>
                </w:p>
              </w:tc>
              <w:tc>
                <w:tcPr>
                  <w:tcW w:w="990" w:type="dxa"/>
                  <w:vMerge w:val="restart"/>
                  <w:noWrap w:val="0"/>
                  <w:vAlign w:val="center"/>
                </w:tcPr>
                <w:p w14:paraId="220DB33B">
                  <w:pPr>
                    <w:keepNext w:val="0"/>
                    <w:keepLines w:val="0"/>
                    <w:pageBreakBefore w:val="0"/>
                    <w:kinsoku/>
                    <w:wordWrap/>
                    <w:overflowPunct/>
                    <w:topLinePunct w:val="0"/>
                    <w:autoSpaceDE/>
                    <w:autoSpaceDN/>
                    <w:bidi w:val="0"/>
                    <w:ind w:right="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搅拌</w:t>
                  </w:r>
                </w:p>
              </w:tc>
              <w:tc>
                <w:tcPr>
                  <w:tcW w:w="2131" w:type="dxa"/>
                  <w:noWrap w:val="0"/>
                  <w:vAlign w:val="center"/>
                </w:tcPr>
                <w:p w14:paraId="1B05FB4D">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搅拌机</w:t>
                  </w:r>
                </w:p>
              </w:tc>
              <w:tc>
                <w:tcPr>
                  <w:tcW w:w="2594" w:type="dxa"/>
                  <w:noWrap w:val="0"/>
                  <w:vAlign w:val="center"/>
                </w:tcPr>
                <w:p w14:paraId="0B79EC9A">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单台容积2m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，有效搅拌容积1.6m</w:t>
                  </w:r>
                  <w:r>
                    <w:rPr>
                      <w:rFonts w:hint="default" w:ascii="Times New Roman" w:hAnsi="Times New Roman" w:eastAsia="宋体" w:cs="Times New Roman"/>
                      <w:color w:val="auto"/>
                      <w:kern w:val="2"/>
                      <w:sz w:val="21"/>
                      <w:szCs w:val="21"/>
                      <w:highlight w:val="none"/>
                      <w:vertAlign w:val="superscript"/>
                      <w:lang w:val="en-US" w:eastAsia="zh-CN" w:bidi="ar-SA"/>
                    </w:rPr>
                    <w:t>3</w:t>
                  </w:r>
                </w:p>
              </w:tc>
              <w:tc>
                <w:tcPr>
                  <w:tcW w:w="750" w:type="dxa"/>
                  <w:noWrap w:val="0"/>
                  <w:vAlign w:val="center"/>
                </w:tcPr>
                <w:p w14:paraId="20BEF312">
                  <w:pPr>
                    <w:pStyle w:val="16"/>
                    <w:keepNext w:val="0"/>
                    <w:keepLines w:val="0"/>
                    <w:pageBreakBefore w:val="0"/>
                    <w:kinsoku/>
                    <w:wordWrap/>
                    <w:overflowPunct/>
                    <w:topLinePunct w:val="0"/>
                    <w:autoSpaceDE/>
                    <w:autoSpaceDN/>
                    <w:bidi w:val="0"/>
                    <w:spacing w:before="0" w:after="0" w:line="240" w:lineRule="auto"/>
                    <w:ind w:right="0"/>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2</w:t>
                  </w:r>
                  <w:r>
                    <w:rPr>
                      <w:rFonts w:hint="default" w:ascii="Times New Roman" w:hAnsi="Times New Roman" w:eastAsia="宋体" w:cs="Times New Roman"/>
                      <w:i w:val="0"/>
                      <w:iCs w:val="0"/>
                      <w:color w:val="auto"/>
                      <w:kern w:val="0"/>
                      <w:sz w:val="21"/>
                      <w:szCs w:val="21"/>
                      <w:highlight w:val="none"/>
                      <w:u w:val="none"/>
                      <w:lang w:val="en-US" w:eastAsia="zh-CN" w:bidi="ar"/>
                    </w:rPr>
                    <w:t>台</w:t>
                  </w:r>
                </w:p>
              </w:tc>
              <w:tc>
                <w:tcPr>
                  <w:tcW w:w="811" w:type="dxa"/>
                  <w:noWrap w:val="0"/>
                  <w:vAlign w:val="center"/>
                </w:tcPr>
                <w:p w14:paraId="4F8FF65E">
                  <w:pPr>
                    <w:pStyle w:val="16"/>
                    <w:keepNext w:val="0"/>
                    <w:keepLines w:val="0"/>
                    <w:pageBreakBefore w:val="0"/>
                    <w:kinsoku/>
                    <w:wordWrap/>
                    <w:overflowPunct/>
                    <w:topLinePunct w:val="0"/>
                    <w:autoSpaceDE/>
                    <w:autoSpaceDN/>
                    <w:bidi w:val="0"/>
                    <w:spacing w:before="0" w:after="0" w:line="240" w:lineRule="auto"/>
                    <w:ind w:right="0"/>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0"/>
                      <w:sz w:val="21"/>
                      <w:szCs w:val="21"/>
                      <w:highlight w:val="none"/>
                      <w:lang w:val="en-US" w:eastAsia="zh-CN"/>
                    </w:rPr>
                    <w:t>3600h</w:t>
                  </w:r>
                </w:p>
              </w:tc>
              <w:tc>
                <w:tcPr>
                  <w:tcW w:w="876" w:type="dxa"/>
                  <w:vMerge w:val="continue"/>
                  <w:noWrap w:val="0"/>
                  <w:vAlign w:val="center"/>
                </w:tcPr>
                <w:p w14:paraId="3A77F3DB">
                  <w:pPr>
                    <w:pStyle w:val="16"/>
                    <w:keepNext w:val="0"/>
                    <w:keepLines w:val="0"/>
                    <w:pageBreakBefore w:val="0"/>
                    <w:kinsoku/>
                    <w:wordWrap/>
                    <w:overflowPunct/>
                    <w:topLinePunct w:val="0"/>
                    <w:autoSpaceDE/>
                    <w:autoSpaceDN/>
                    <w:bidi w:val="0"/>
                    <w:spacing w:before="0" w:after="0" w:line="240" w:lineRule="auto"/>
                    <w:ind w:right="0"/>
                    <w:jc w:val="center"/>
                    <w:textAlignment w:val="auto"/>
                    <w:rPr>
                      <w:rFonts w:hint="default" w:ascii="Times New Roman" w:hAnsi="Times New Roman" w:cs="Times New Roman"/>
                      <w:color w:val="auto"/>
                      <w:kern w:val="2"/>
                      <w:sz w:val="21"/>
                      <w:szCs w:val="21"/>
                      <w:highlight w:val="none"/>
                      <w:lang w:val="en-US" w:eastAsia="zh-CN" w:bidi="ar-SA"/>
                    </w:rPr>
                  </w:pPr>
                </w:p>
              </w:tc>
            </w:tr>
            <w:tr w14:paraId="3DF94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941" w:type="dxa"/>
                  <w:vMerge w:val="continue"/>
                  <w:noWrap w:val="0"/>
                  <w:vAlign w:val="center"/>
                </w:tcPr>
                <w:p w14:paraId="2F9EB22A">
                  <w:pPr>
                    <w:keepNext w:val="0"/>
                    <w:keepLines w:val="0"/>
                    <w:pageBreakBefore w:val="0"/>
                    <w:kinsoku/>
                    <w:wordWrap/>
                    <w:overflowPunct/>
                    <w:topLinePunct w:val="0"/>
                    <w:autoSpaceDE/>
                    <w:autoSpaceDN/>
                    <w:bidi w:val="0"/>
                    <w:ind w:right="0" w:rightChars="0"/>
                    <w:jc w:val="center"/>
                    <w:textAlignment w:val="auto"/>
                    <w:rPr>
                      <w:rFonts w:hint="default" w:ascii="Times New Roman" w:hAnsi="Times New Roman" w:eastAsia="宋体" w:cs="Times New Roman"/>
                      <w:color w:val="auto"/>
                      <w:szCs w:val="21"/>
                      <w:highlight w:val="none"/>
                      <w:lang w:val="en-US" w:eastAsia="zh-CN"/>
                    </w:rPr>
                  </w:pPr>
                </w:p>
              </w:tc>
              <w:tc>
                <w:tcPr>
                  <w:tcW w:w="990" w:type="dxa"/>
                  <w:vMerge w:val="continue"/>
                  <w:noWrap w:val="0"/>
                  <w:vAlign w:val="center"/>
                </w:tcPr>
                <w:p w14:paraId="5C74B59F">
                  <w:pPr>
                    <w:keepNext w:val="0"/>
                    <w:keepLines w:val="0"/>
                    <w:pageBreakBefore w:val="0"/>
                    <w:kinsoku/>
                    <w:wordWrap/>
                    <w:overflowPunct/>
                    <w:topLinePunct w:val="0"/>
                    <w:autoSpaceDE/>
                    <w:autoSpaceDN/>
                    <w:bidi w:val="0"/>
                    <w:ind w:right="0"/>
                    <w:jc w:val="center"/>
                    <w:textAlignment w:val="auto"/>
                    <w:rPr>
                      <w:rFonts w:hint="default" w:ascii="Times New Roman" w:hAnsi="Times New Roman" w:eastAsia="宋体" w:cs="Times New Roman"/>
                      <w:color w:val="auto"/>
                      <w:szCs w:val="21"/>
                      <w:highlight w:val="none"/>
                      <w:lang w:val="en-US" w:eastAsia="zh-CN"/>
                    </w:rPr>
                  </w:pPr>
                </w:p>
              </w:tc>
              <w:tc>
                <w:tcPr>
                  <w:tcW w:w="2131" w:type="dxa"/>
                  <w:noWrap w:val="0"/>
                  <w:vAlign w:val="center"/>
                </w:tcPr>
                <w:p w14:paraId="09B27907">
                  <w:pPr>
                    <w:keepNext w:val="0"/>
                    <w:keepLines w:val="0"/>
                    <w:pageBreakBefore w:val="0"/>
                    <w:widowControl w:val="0"/>
                    <w:kinsoku/>
                    <w:wordWrap/>
                    <w:overflowPunct/>
                    <w:topLinePunct w:val="0"/>
                    <w:autoSpaceDE/>
                    <w:autoSpaceDN/>
                    <w:bidi w:val="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lang w:val="en-US" w:eastAsia="zh-CN"/>
                    </w:rPr>
                    <w:t>骨料仓（中间料仓）</w:t>
                  </w:r>
                </w:p>
              </w:tc>
              <w:tc>
                <w:tcPr>
                  <w:tcW w:w="2594" w:type="dxa"/>
                  <w:noWrap w:val="0"/>
                  <w:vAlign w:val="center"/>
                </w:tcPr>
                <w:p w14:paraId="6FE8A40D">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lang w:val="en-US" w:eastAsia="zh-CN"/>
                    </w:rPr>
                    <w:t>单个</w:t>
                  </w:r>
                  <w:r>
                    <w:rPr>
                      <w:rFonts w:hint="default" w:ascii="Times New Roman" w:hAnsi="Times New Roman" w:eastAsia="宋体" w:cs="Times New Roman"/>
                      <w:color w:val="auto"/>
                      <w:kern w:val="2"/>
                      <w:sz w:val="21"/>
                      <w:szCs w:val="21"/>
                      <w:highlight w:val="none"/>
                      <w:lang w:val="en-US" w:eastAsia="zh-CN" w:bidi="ar-SA"/>
                    </w:rPr>
                    <w:t>储存量：</w:t>
                  </w:r>
                  <w:r>
                    <w:rPr>
                      <w:rFonts w:hint="default" w:ascii="Times New Roman" w:hAnsi="Times New Roman" w:cs="Times New Roman"/>
                      <w:color w:val="auto"/>
                      <w:szCs w:val="21"/>
                      <w:highlight w:val="none"/>
                      <w:lang w:val="en-US" w:eastAsia="zh-CN"/>
                    </w:rPr>
                    <w:t>2t</w:t>
                  </w:r>
                  <w:r>
                    <w:rPr>
                      <w:rFonts w:hint="default" w:ascii="Times New Roman" w:hAnsi="Times New Roman" w:eastAsia="宋体" w:cs="Times New Roman"/>
                      <w:color w:val="auto"/>
                      <w:kern w:val="2"/>
                      <w:sz w:val="21"/>
                      <w:szCs w:val="21"/>
                      <w:highlight w:val="none"/>
                      <w:lang w:val="en-US" w:eastAsia="zh-CN" w:bidi="ar-SA"/>
                    </w:rPr>
                    <w:t>，总存储量8t</w:t>
                  </w:r>
                </w:p>
              </w:tc>
              <w:tc>
                <w:tcPr>
                  <w:tcW w:w="750" w:type="dxa"/>
                  <w:noWrap w:val="0"/>
                  <w:vAlign w:val="center"/>
                </w:tcPr>
                <w:p w14:paraId="29CBCB10">
                  <w:pPr>
                    <w:pStyle w:val="16"/>
                    <w:keepNext w:val="0"/>
                    <w:keepLines w:val="0"/>
                    <w:pageBreakBefore w:val="0"/>
                    <w:kinsoku/>
                    <w:wordWrap/>
                    <w:overflowPunct/>
                    <w:topLinePunct w:val="0"/>
                    <w:autoSpaceDE/>
                    <w:autoSpaceDN/>
                    <w:bidi w:val="0"/>
                    <w:spacing w:before="0" w:after="0" w:line="240" w:lineRule="auto"/>
                    <w:ind w:right="0" w:rightChars="0"/>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4</w:t>
                  </w:r>
                  <w:r>
                    <w:rPr>
                      <w:rFonts w:hint="default" w:ascii="Times New Roman" w:hAnsi="Times New Roman" w:cs="Times New Roman"/>
                      <w:color w:val="auto"/>
                      <w:sz w:val="21"/>
                      <w:szCs w:val="21"/>
                      <w:highlight w:val="none"/>
                      <w:lang w:val="en-US" w:eastAsia="zh-CN"/>
                    </w:rPr>
                    <w:t>个</w:t>
                  </w:r>
                </w:p>
              </w:tc>
              <w:tc>
                <w:tcPr>
                  <w:tcW w:w="811" w:type="dxa"/>
                  <w:noWrap w:val="0"/>
                  <w:vAlign w:val="center"/>
                </w:tcPr>
                <w:p w14:paraId="04B730A1">
                  <w:pPr>
                    <w:keepNext w:val="0"/>
                    <w:keepLines w:val="0"/>
                    <w:pageBreakBefore w:val="0"/>
                    <w:kinsoku/>
                    <w:wordWrap/>
                    <w:overflowPunct/>
                    <w:topLinePunct w:val="0"/>
                    <w:autoSpaceDE/>
                    <w:autoSpaceDN/>
                    <w:bidi w:val="0"/>
                    <w:spacing w:before="0" w:after="0" w:line="240" w:lineRule="auto"/>
                    <w:ind w:right="0" w:rightChars="0"/>
                    <w:jc w:val="center"/>
                    <w:textAlignment w:val="auto"/>
                    <w:rPr>
                      <w:rFonts w:hint="default" w:ascii="Times New Roman" w:hAnsi="Times New Roman" w:cs="Times New Roman"/>
                      <w:color w:val="auto"/>
                      <w:kern w:val="0"/>
                      <w:sz w:val="21"/>
                      <w:szCs w:val="21"/>
                      <w:highlight w:val="none"/>
                      <w:lang w:val="en-US" w:eastAsia="zh-CN"/>
                    </w:rPr>
                  </w:pPr>
                  <w:r>
                    <w:rPr>
                      <w:rFonts w:hint="default" w:ascii="Times New Roman" w:hAnsi="Times New Roman" w:cs="Times New Roman"/>
                      <w:color w:val="auto"/>
                      <w:kern w:val="2"/>
                      <w:sz w:val="21"/>
                      <w:szCs w:val="21"/>
                      <w:highlight w:val="none"/>
                      <w:lang w:val="en-US" w:eastAsia="zh-CN" w:bidi="ar-SA"/>
                    </w:rPr>
                    <w:t>7200h</w:t>
                  </w:r>
                </w:p>
              </w:tc>
              <w:tc>
                <w:tcPr>
                  <w:tcW w:w="876" w:type="dxa"/>
                  <w:noWrap w:val="0"/>
                  <w:vAlign w:val="center"/>
                </w:tcPr>
                <w:p w14:paraId="58E5F3BB">
                  <w:pPr>
                    <w:pStyle w:val="16"/>
                    <w:keepNext w:val="0"/>
                    <w:keepLines w:val="0"/>
                    <w:pageBreakBefore w:val="0"/>
                    <w:kinsoku/>
                    <w:wordWrap/>
                    <w:overflowPunct/>
                    <w:topLinePunct w:val="0"/>
                    <w:autoSpaceDE/>
                    <w:autoSpaceDN/>
                    <w:bidi w:val="0"/>
                    <w:spacing w:before="0" w:after="0" w:line="240" w:lineRule="auto"/>
                    <w:ind w:right="0"/>
                    <w:jc w:val="center"/>
                    <w:textAlignment w:val="auto"/>
                    <w:rPr>
                      <w:rFonts w:hint="default" w:ascii="Times New Roman" w:hAnsi="Times New Roman" w:cs="Times New Roman"/>
                      <w:color w:val="auto"/>
                      <w:kern w:val="2"/>
                      <w:sz w:val="21"/>
                      <w:szCs w:val="21"/>
                      <w:highlight w:val="none"/>
                      <w:lang w:val="en-US" w:eastAsia="zh-CN" w:bidi="ar-SA"/>
                    </w:rPr>
                  </w:pPr>
                </w:p>
              </w:tc>
            </w:tr>
            <w:tr w14:paraId="19E30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941" w:type="dxa"/>
                  <w:vMerge w:val="restart"/>
                  <w:noWrap w:val="0"/>
                  <w:vAlign w:val="center"/>
                </w:tcPr>
                <w:p w14:paraId="3DAC9194">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产品生产单元</w:t>
                  </w:r>
                </w:p>
              </w:tc>
              <w:tc>
                <w:tcPr>
                  <w:tcW w:w="990" w:type="dxa"/>
                  <w:vMerge w:val="restart"/>
                  <w:noWrap w:val="0"/>
                  <w:vAlign w:val="center"/>
                </w:tcPr>
                <w:p w14:paraId="53A49688">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生产系统</w:t>
                  </w:r>
                </w:p>
              </w:tc>
              <w:tc>
                <w:tcPr>
                  <w:tcW w:w="2131" w:type="dxa"/>
                  <w:noWrap w:val="0"/>
                  <w:vAlign w:val="center"/>
                </w:tcPr>
                <w:p w14:paraId="07D680F2">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滚道</w:t>
                  </w:r>
                </w:p>
              </w:tc>
              <w:tc>
                <w:tcPr>
                  <w:tcW w:w="2594" w:type="dxa"/>
                  <w:noWrap w:val="0"/>
                  <w:vAlign w:val="center"/>
                </w:tcPr>
                <w:p w14:paraId="25DCEEEF">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0"/>
                      <w:szCs w:val="21"/>
                      <w:highlight w:val="none"/>
                      <w:lang w:val="en-US" w:eastAsia="zh-CN" w:bidi="ar"/>
                    </w:rPr>
                    <w:t>60</w:t>
                  </w:r>
                  <w:r>
                    <w:rPr>
                      <w:rFonts w:hint="default" w:ascii="Times New Roman" w:hAnsi="Times New Roman" w:cs="Times New Roman"/>
                      <w:color w:val="auto"/>
                      <w:kern w:val="0"/>
                      <w:szCs w:val="21"/>
                      <w:highlight w:val="none"/>
                      <w:lang w:bidi="ar"/>
                    </w:rPr>
                    <w:t>m</w:t>
                  </w:r>
                </w:p>
              </w:tc>
              <w:tc>
                <w:tcPr>
                  <w:tcW w:w="750" w:type="dxa"/>
                  <w:noWrap w:val="0"/>
                  <w:vAlign w:val="center"/>
                </w:tcPr>
                <w:p w14:paraId="0BA088B4">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9</w:t>
                  </w:r>
                  <w:r>
                    <w:rPr>
                      <w:rFonts w:hint="default" w:ascii="Times New Roman" w:hAnsi="Times New Roman" w:eastAsia="宋体" w:cs="Times New Roman"/>
                      <w:i w:val="0"/>
                      <w:iCs w:val="0"/>
                      <w:color w:val="auto"/>
                      <w:kern w:val="0"/>
                      <w:sz w:val="21"/>
                      <w:szCs w:val="21"/>
                      <w:highlight w:val="none"/>
                      <w:u w:val="none"/>
                      <w:lang w:val="en-US" w:eastAsia="zh-CN" w:bidi="ar"/>
                    </w:rPr>
                    <w:t>组</w:t>
                  </w:r>
                </w:p>
              </w:tc>
              <w:tc>
                <w:tcPr>
                  <w:tcW w:w="811" w:type="dxa"/>
                  <w:noWrap w:val="0"/>
                  <w:vAlign w:val="center"/>
                </w:tcPr>
                <w:p w14:paraId="114AE4EE">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3600h</w:t>
                  </w:r>
                </w:p>
              </w:tc>
              <w:tc>
                <w:tcPr>
                  <w:tcW w:w="876" w:type="dxa"/>
                  <w:vMerge w:val="restart"/>
                  <w:noWrap w:val="0"/>
                  <w:vAlign w:val="center"/>
                </w:tcPr>
                <w:p w14:paraId="4CD6B5F7">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生产厂房</w:t>
                  </w:r>
                </w:p>
              </w:tc>
            </w:tr>
            <w:tr w14:paraId="59F26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941" w:type="dxa"/>
                  <w:vMerge w:val="continue"/>
                  <w:noWrap w:val="0"/>
                  <w:vAlign w:val="center"/>
                </w:tcPr>
                <w:p w14:paraId="55AD8098">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1AA81AB4">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338A1592">
                  <w:pPr>
                    <w:adjustRightInd w:val="0"/>
                    <w:snapToGrid w:val="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浇筑振捣机</w:t>
                  </w:r>
                </w:p>
              </w:tc>
              <w:tc>
                <w:tcPr>
                  <w:tcW w:w="2594" w:type="dxa"/>
                  <w:noWrap w:val="0"/>
                  <w:vAlign w:val="center"/>
                </w:tcPr>
                <w:p w14:paraId="065B899B">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额定功率</w:t>
                  </w:r>
                  <w:r>
                    <w:rPr>
                      <w:rFonts w:hint="default" w:ascii="Times New Roman" w:hAnsi="Times New Roman" w:cs="Times New Roman"/>
                      <w:color w:val="auto"/>
                      <w:szCs w:val="21"/>
                      <w:highlight w:val="none"/>
                      <w:lang w:val="en-US" w:eastAsia="zh-CN"/>
                    </w:rPr>
                    <w:t>3</w:t>
                  </w:r>
                  <w:r>
                    <w:rPr>
                      <w:rFonts w:hint="default" w:ascii="Times New Roman" w:hAnsi="Times New Roman" w:cs="Times New Roman"/>
                      <w:color w:val="auto"/>
                      <w:szCs w:val="21"/>
                      <w:highlight w:val="none"/>
                    </w:rPr>
                    <w:t>0kw</w:t>
                  </w:r>
                </w:p>
              </w:tc>
              <w:tc>
                <w:tcPr>
                  <w:tcW w:w="750" w:type="dxa"/>
                  <w:noWrap w:val="0"/>
                  <w:vAlign w:val="center"/>
                </w:tcPr>
                <w:p w14:paraId="439C2CD2">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2</w:t>
                  </w:r>
                  <w:r>
                    <w:rPr>
                      <w:rFonts w:hint="default" w:ascii="Times New Roman" w:hAnsi="Times New Roman" w:eastAsia="宋体" w:cs="Times New Roman"/>
                      <w:i w:val="0"/>
                      <w:iCs w:val="0"/>
                      <w:color w:val="auto"/>
                      <w:kern w:val="0"/>
                      <w:sz w:val="21"/>
                      <w:szCs w:val="21"/>
                      <w:highlight w:val="none"/>
                      <w:u w:val="none"/>
                      <w:lang w:val="en-US" w:eastAsia="zh-CN" w:bidi="ar"/>
                    </w:rPr>
                    <w:t>台</w:t>
                  </w:r>
                </w:p>
              </w:tc>
              <w:tc>
                <w:tcPr>
                  <w:tcW w:w="811" w:type="dxa"/>
                  <w:noWrap w:val="0"/>
                  <w:vAlign w:val="center"/>
                </w:tcPr>
                <w:p w14:paraId="26DFF5A7">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3600h</w:t>
                  </w:r>
                </w:p>
              </w:tc>
              <w:tc>
                <w:tcPr>
                  <w:tcW w:w="876" w:type="dxa"/>
                  <w:vMerge w:val="continue"/>
                  <w:noWrap w:val="0"/>
                  <w:vAlign w:val="center"/>
                </w:tcPr>
                <w:p w14:paraId="33EE1F9D">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p>
              </w:tc>
            </w:tr>
            <w:tr w14:paraId="5D9C1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941" w:type="dxa"/>
                  <w:vMerge w:val="restart"/>
                  <w:noWrap w:val="0"/>
                  <w:vAlign w:val="center"/>
                </w:tcPr>
                <w:p w14:paraId="72155911">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辅助设施</w:t>
                  </w:r>
                </w:p>
              </w:tc>
              <w:tc>
                <w:tcPr>
                  <w:tcW w:w="990" w:type="dxa"/>
                  <w:vMerge w:val="restart"/>
                  <w:noWrap w:val="0"/>
                  <w:vAlign w:val="center"/>
                </w:tcPr>
                <w:p w14:paraId="2E00514D">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输送系统</w:t>
                  </w:r>
                </w:p>
              </w:tc>
              <w:tc>
                <w:tcPr>
                  <w:tcW w:w="2131" w:type="dxa"/>
                  <w:noWrap w:val="0"/>
                  <w:vAlign w:val="center"/>
                </w:tcPr>
                <w:p w14:paraId="7D2E9628">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叉车</w:t>
                  </w:r>
                </w:p>
              </w:tc>
              <w:tc>
                <w:tcPr>
                  <w:tcW w:w="2594" w:type="dxa"/>
                  <w:noWrap w:val="0"/>
                  <w:vAlign w:val="center"/>
                </w:tcPr>
                <w:p w14:paraId="0352F759">
                  <w:pPr>
                    <w:keepNext w:val="0"/>
                    <w:keepLines w:val="0"/>
                    <w:pageBreakBefore w:val="0"/>
                    <w:kinsoku/>
                    <w:wordWrap/>
                    <w:overflowPunct/>
                    <w:topLinePunct w:val="0"/>
                    <w:autoSpaceDE/>
                    <w:autoSpaceDN/>
                    <w:bidi w:val="0"/>
                    <w:adjustRightInd w:val="0"/>
                    <w:snapToGrid w:val="0"/>
                    <w:ind w:right="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输送能力</w:t>
                  </w:r>
                  <w:r>
                    <w:rPr>
                      <w:rFonts w:hint="default" w:ascii="Times New Roman" w:hAnsi="Times New Roman" w:cs="Times New Roman"/>
                      <w:color w:val="auto"/>
                      <w:szCs w:val="21"/>
                      <w:highlight w:val="none"/>
                      <w:lang w:val="en-US" w:eastAsia="zh-CN"/>
                    </w:rPr>
                    <w:t>150</w:t>
                  </w:r>
                  <w:r>
                    <w:rPr>
                      <w:rFonts w:hint="default" w:ascii="Times New Roman" w:hAnsi="Times New Roman" w:cs="Times New Roman"/>
                      <w:color w:val="auto"/>
                      <w:szCs w:val="21"/>
                      <w:highlight w:val="none"/>
                    </w:rPr>
                    <w:t>t/h</w:t>
                  </w:r>
                </w:p>
              </w:tc>
              <w:tc>
                <w:tcPr>
                  <w:tcW w:w="750" w:type="dxa"/>
                  <w:noWrap w:val="0"/>
                  <w:vAlign w:val="center"/>
                </w:tcPr>
                <w:p w14:paraId="73997CC6">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2</w:t>
                  </w:r>
                  <w:r>
                    <w:rPr>
                      <w:rFonts w:hint="default" w:ascii="Times New Roman" w:hAnsi="Times New Roman" w:eastAsia="宋体" w:cs="Times New Roman"/>
                      <w:i w:val="0"/>
                      <w:iCs w:val="0"/>
                      <w:color w:val="auto"/>
                      <w:kern w:val="0"/>
                      <w:sz w:val="21"/>
                      <w:szCs w:val="21"/>
                      <w:highlight w:val="none"/>
                      <w:u w:val="none"/>
                      <w:lang w:val="en-US" w:eastAsia="zh-CN" w:bidi="ar"/>
                    </w:rPr>
                    <w:t>台</w:t>
                  </w:r>
                </w:p>
              </w:tc>
              <w:tc>
                <w:tcPr>
                  <w:tcW w:w="811" w:type="dxa"/>
                  <w:noWrap w:val="0"/>
                  <w:vAlign w:val="center"/>
                </w:tcPr>
                <w:p w14:paraId="356E7941">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3600h</w:t>
                  </w:r>
                </w:p>
              </w:tc>
              <w:tc>
                <w:tcPr>
                  <w:tcW w:w="876" w:type="dxa"/>
                  <w:vMerge w:val="restart"/>
                  <w:noWrap w:val="0"/>
                  <w:vAlign w:val="center"/>
                </w:tcPr>
                <w:p w14:paraId="057CC44F">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生产厂房及厂区</w:t>
                  </w:r>
                </w:p>
              </w:tc>
            </w:tr>
            <w:tr w14:paraId="10A04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941" w:type="dxa"/>
                  <w:vMerge w:val="continue"/>
                  <w:noWrap w:val="0"/>
                  <w:vAlign w:val="center"/>
                </w:tcPr>
                <w:p w14:paraId="70878F5E">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4992BB60">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2E4CE0C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铲车</w:t>
                  </w:r>
                </w:p>
              </w:tc>
              <w:tc>
                <w:tcPr>
                  <w:tcW w:w="2594" w:type="dxa"/>
                  <w:noWrap w:val="0"/>
                  <w:vAlign w:val="center"/>
                </w:tcPr>
                <w:p w14:paraId="058D9E95">
                  <w:pPr>
                    <w:keepNext w:val="0"/>
                    <w:keepLines w:val="0"/>
                    <w:pageBreakBefore w:val="0"/>
                    <w:kinsoku/>
                    <w:wordWrap/>
                    <w:overflowPunct/>
                    <w:topLinePunct w:val="0"/>
                    <w:autoSpaceDE/>
                    <w:autoSpaceDN/>
                    <w:bidi w:val="0"/>
                    <w:adjustRightInd w:val="0"/>
                    <w:snapToGrid w:val="0"/>
                    <w:ind w:right="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输送能力</w:t>
                  </w:r>
                  <w:r>
                    <w:rPr>
                      <w:rFonts w:hint="default" w:ascii="Times New Roman" w:hAnsi="Times New Roman" w:cs="Times New Roman"/>
                      <w:color w:val="auto"/>
                      <w:szCs w:val="21"/>
                      <w:highlight w:val="none"/>
                      <w:lang w:val="en-US" w:eastAsia="zh-CN"/>
                    </w:rPr>
                    <w:t>150</w:t>
                  </w:r>
                  <w:r>
                    <w:rPr>
                      <w:rFonts w:hint="default" w:ascii="Times New Roman" w:hAnsi="Times New Roman" w:cs="Times New Roman"/>
                      <w:color w:val="auto"/>
                      <w:szCs w:val="21"/>
                      <w:highlight w:val="none"/>
                    </w:rPr>
                    <w:t>t/h</w:t>
                  </w:r>
                </w:p>
              </w:tc>
              <w:tc>
                <w:tcPr>
                  <w:tcW w:w="750" w:type="dxa"/>
                  <w:noWrap w:val="0"/>
                  <w:vAlign w:val="center"/>
                </w:tcPr>
                <w:p w14:paraId="6D4A41A1">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2</w:t>
                  </w:r>
                  <w:r>
                    <w:rPr>
                      <w:rFonts w:hint="default" w:ascii="Times New Roman" w:hAnsi="Times New Roman" w:eastAsia="宋体" w:cs="Times New Roman"/>
                      <w:i w:val="0"/>
                      <w:iCs w:val="0"/>
                      <w:color w:val="auto"/>
                      <w:kern w:val="0"/>
                      <w:sz w:val="21"/>
                      <w:szCs w:val="21"/>
                      <w:highlight w:val="none"/>
                      <w:u w:val="none"/>
                      <w:lang w:val="en-US" w:eastAsia="zh-CN" w:bidi="ar"/>
                    </w:rPr>
                    <w:t>台</w:t>
                  </w:r>
                </w:p>
              </w:tc>
              <w:tc>
                <w:tcPr>
                  <w:tcW w:w="811" w:type="dxa"/>
                  <w:noWrap w:val="0"/>
                  <w:vAlign w:val="center"/>
                </w:tcPr>
                <w:p w14:paraId="2AB25643">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3600h</w:t>
                  </w:r>
                </w:p>
              </w:tc>
              <w:tc>
                <w:tcPr>
                  <w:tcW w:w="876" w:type="dxa"/>
                  <w:vMerge w:val="continue"/>
                  <w:noWrap w:val="0"/>
                  <w:vAlign w:val="center"/>
                </w:tcPr>
                <w:p w14:paraId="0618ADAF">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p>
              </w:tc>
            </w:tr>
            <w:tr w14:paraId="40F15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941" w:type="dxa"/>
                  <w:vMerge w:val="continue"/>
                  <w:noWrap w:val="0"/>
                  <w:vAlign w:val="center"/>
                </w:tcPr>
                <w:p w14:paraId="17214F70">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226754A6">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5D2CA27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行吊（脱模及成品运输）</w:t>
                  </w:r>
                </w:p>
              </w:tc>
              <w:tc>
                <w:tcPr>
                  <w:tcW w:w="2594" w:type="dxa"/>
                  <w:noWrap w:val="0"/>
                  <w:vAlign w:val="center"/>
                </w:tcPr>
                <w:p w14:paraId="79BDEDE9">
                  <w:pPr>
                    <w:keepNext w:val="0"/>
                    <w:keepLines w:val="0"/>
                    <w:pageBreakBefore w:val="0"/>
                    <w:kinsoku/>
                    <w:wordWrap/>
                    <w:overflowPunct/>
                    <w:topLinePunct w:val="0"/>
                    <w:autoSpaceDE/>
                    <w:autoSpaceDN/>
                    <w:bidi w:val="0"/>
                    <w:adjustRightInd w:val="0"/>
                    <w:snapToGrid w:val="0"/>
                    <w:ind w:right="0"/>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lang w:val="en-US" w:eastAsia="zh-CN"/>
                    </w:rPr>
                    <w:t>/</w:t>
                  </w:r>
                </w:p>
              </w:tc>
              <w:tc>
                <w:tcPr>
                  <w:tcW w:w="750" w:type="dxa"/>
                  <w:noWrap w:val="0"/>
                  <w:vAlign w:val="center"/>
                </w:tcPr>
                <w:p w14:paraId="4A7F4E69">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13台</w:t>
                  </w:r>
                </w:p>
              </w:tc>
              <w:tc>
                <w:tcPr>
                  <w:tcW w:w="811" w:type="dxa"/>
                  <w:shd w:val="clear" w:color="auto" w:fill="auto"/>
                  <w:noWrap w:val="0"/>
                  <w:vAlign w:val="center"/>
                </w:tcPr>
                <w:p w14:paraId="2BA1FF0E">
                  <w:pPr>
                    <w:keepNext w:val="0"/>
                    <w:keepLines w:val="0"/>
                    <w:pageBreakBefore w:val="0"/>
                    <w:widowControl/>
                    <w:kinsoku/>
                    <w:wordWrap/>
                    <w:overflowPunct/>
                    <w:topLinePunct w:val="0"/>
                    <w:autoSpaceDE/>
                    <w:autoSpaceDN/>
                    <w:bidi w:val="0"/>
                    <w:ind w:right="0" w:rightChars="0"/>
                    <w:jc w:val="center"/>
                    <w:textAlignment w:val="auto"/>
                    <w:rPr>
                      <w:rFonts w:hint="default" w:ascii="Times New Roman" w:hAnsi="Times New Roman" w:cs="Times New Roman" w:eastAsiaTheme="minorEastAsia"/>
                      <w:color w:val="auto"/>
                      <w:kern w:val="0"/>
                      <w:sz w:val="21"/>
                      <w:szCs w:val="21"/>
                      <w:highlight w:val="none"/>
                      <w:lang w:val="en-US" w:eastAsia="zh-CN" w:bidi="ar-SA"/>
                    </w:rPr>
                  </w:pPr>
                  <w:r>
                    <w:rPr>
                      <w:rFonts w:hint="default" w:ascii="Times New Roman" w:hAnsi="Times New Roman" w:cs="Times New Roman"/>
                      <w:color w:val="auto"/>
                      <w:kern w:val="0"/>
                      <w:szCs w:val="21"/>
                      <w:highlight w:val="none"/>
                      <w:lang w:val="en-US" w:eastAsia="zh-CN"/>
                    </w:rPr>
                    <w:t>3600h</w:t>
                  </w:r>
                </w:p>
              </w:tc>
              <w:tc>
                <w:tcPr>
                  <w:tcW w:w="876" w:type="dxa"/>
                  <w:vMerge w:val="continue"/>
                  <w:noWrap w:val="0"/>
                  <w:vAlign w:val="center"/>
                </w:tcPr>
                <w:p w14:paraId="06EB6C4C">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p>
              </w:tc>
            </w:tr>
            <w:tr w14:paraId="71F3E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941" w:type="dxa"/>
                  <w:vMerge w:val="continue"/>
                  <w:noWrap w:val="0"/>
                  <w:vAlign w:val="center"/>
                </w:tcPr>
                <w:p w14:paraId="4B3FD32F">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restart"/>
                  <w:noWrap w:val="0"/>
                  <w:vAlign w:val="center"/>
                </w:tcPr>
                <w:p w14:paraId="2A7847DA">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养护系统</w:t>
                  </w:r>
                </w:p>
              </w:tc>
              <w:tc>
                <w:tcPr>
                  <w:tcW w:w="2131" w:type="dxa"/>
                  <w:noWrap w:val="0"/>
                  <w:vAlign w:val="center"/>
                </w:tcPr>
                <w:p w14:paraId="720EBE1D">
                  <w:pPr>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燃天然气蒸汽锅炉</w:t>
                  </w:r>
                </w:p>
              </w:tc>
              <w:tc>
                <w:tcPr>
                  <w:tcW w:w="2594" w:type="dxa"/>
                  <w:noWrap w:val="0"/>
                  <w:vAlign w:val="center"/>
                </w:tcPr>
                <w:p w14:paraId="4E7C2B41">
                  <w:pPr>
                    <w:keepNext w:val="0"/>
                    <w:keepLines w:val="0"/>
                    <w:pageBreakBefore w:val="0"/>
                    <w:kinsoku/>
                    <w:wordWrap/>
                    <w:overflowPunct/>
                    <w:topLinePunct w:val="0"/>
                    <w:autoSpaceDE/>
                    <w:autoSpaceDN/>
                    <w:bidi w:val="0"/>
                    <w:adjustRightInd w:val="0"/>
                    <w:snapToGrid w:val="0"/>
                    <w:ind w:right="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1t/h</w:t>
                  </w:r>
                  <w:r>
                    <w:rPr>
                      <w:rFonts w:hint="eastAsia" w:ascii="Times New Roman" w:hAnsi="Times New Roman" w:eastAsia="宋体" w:cs="Times New Roman"/>
                      <w:color w:val="auto"/>
                      <w:kern w:val="2"/>
                      <w:sz w:val="21"/>
                      <w:szCs w:val="21"/>
                      <w:highlight w:val="none"/>
                      <w:lang w:val="en-US" w:eastAsia="zh-CN" w:bidi="ar-SA"/>
                    </w:rPr>
                    <w:t>，软水制备率90%</w:t>
                  </w:r>
                </w:p>
              </w:tc>
              <w:tc>
                <w:tcPr>
                  <w:tcW w:w="750" w:type="dxa"/>
                  <w:noWrap w:val="0"/>
                  <w:vAlign w:val="center"/>
                </w:tcPr>
                <w:p w14:paraId="1CABCD4C">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2</w:t>
                  </w:r>
                  <w:r>
                    <w:rPr>
                      <w:rFonts w:hint="default" w:ascii="Times New Roman" w:hAnsi="Times New Roman" w:eastAsia="宋体" w:cs="Times New Roman"/>
                      <w:i w:val="0"/>
                      <w:iCs w:val="0"/>
                      <w:color w:val="auto"/>
                      <w:kern w:val="0"/>
                      <w:sz w:val="21"/>
                      <w:szCs w:val="21"/>
                      <w:highlight w:val="none"/>
                      <w:u w:val="none"/>
                      <w:lang w:val="en-US" w:eastAsia="zh-CN" w:bidi="ar"/>
                    </w:rPr>
                    <w:t>台</w:t>
                  </w:r>
                </w:p>
              </w:tc>
              <w:tc>
                <w:tcPr>
                  <w:tcW w:w="811" w:type="dxa"/>
                  <w:noWrap w:val="0"/>
                  <w:vAlign w:val="center"/>
                </w:tcPr>
                <w:p w14:paraId="75748601">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1200h</w:t>
                  </w:r>
                </w:p>
              </w:tc>
              <w:tc>
                <w:tcPr>
                  <w:tcW w:w="876" w:type="dxa"/>
                  <w:noWrap w:val="0"/>
                  <w:vAlign w:val="center"/>
                </w:tcPr>
                <w:p w14:paraId="457B8BDC">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锅炉房</w:t>
                  </w:r>
                </w:p>
              </w:tc>
            </w:tr>
            <w:tr w14:paraId="146DC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941" w:type="dxa"/>
                  <w:vMerge w:val="continue"/>
                  <w:noWrap w:val="0"/>
                  <w:vAlign w:val="center"/>
                </w:tcPr>
                <w:p w14:paraId="1CED1F6B">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2391B9F3">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0DE89D49">
                  <w:pPr>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水养池</w:t>
                  </w:r>
                </w:p>
              </w:tc>
              <w:tc>
                <w:tcPr>
                  <w:tcW w:w="2594" w:type="dxa"/>
                  <w:noWrap w:val="0"/>
                  <w:vAlign w:val="center"/>
                </w:tcPr>
                <w:p w14:paraId="0FA3558E">
                  <w:pPr>
                    <w:keepNext w:val="0"/>
                    <w:keepLines w:val="0"/>
                    <w:pageBreakBefore w:val="0"/>
                    <w:kinsoku/>
                    <w:wordWrap/>
                    <w:overflowPunct/>
                    <w:topLinePunct w:val="0"/>
                    <w:autoSpaceDE/>
                    <w:autoSpaceDN/>
                    <w:bidi w:val="0"/>
                    <w:adjustRightInd w:val="0"/>
                    <w:snapToGrid w:val="0"/>
                    <w:ind w:right="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长32m*宽20m*高2.5m</w:t>
                  </w:r>
                </w:p>
              </w:tc>
              <w:tc>
                <w:tcPr>
                  <w:tcW w:w="750" w:type="dxa"/>
                  <w:noWrap w:val="0"/>
                  <w:vAlign w:val="center"/>
                </w:tcPr>
                <w:p w14:paraId="542D80F9">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6个</w:t>
                  </w:r>
                </w:p>
              </w:tc>
              <w:tc>
                <w:tcPr>
                  <w:tcW w:w="811" w:type="dxa"/>
                  <w:noWrap w:val="0"/>
                  <w:vAlign w:val="center"/>
                </w:tcPr>
                <w:p w14:paraId="1918D4D6">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3600h</w:t>
                  </w:r>
                </w:p>
              </w:tc>
              <w:tc>
                <w:tcPr>
                  <w:tcW w:w="876" w:type="dxa"/>
                  <w:noWrap w:val="0"/>
                  <w:vAlign w:val="center"/>
                </w:tcPr>
                <w:p w14:paraId="754CCB91">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水养区</w:t>
                  </w:r>
                </w:p>
              </w:tc>
            </w:tr>
            <w:tr w14:paraId="2B66E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941" w:type="dxa"/>
                  <w:vMerge w:val="restart"/>
                  <w:noWrap w:val="0"/>
                  <w:vAlign w:val="center"/>
                </w:tcPr>
                <w:p w14:paraId="50992954">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实验设备</w:t>
                  </w:r>
                </w:p>
              </w:tc>
              <w:tc>
                <w:tcPr>
                  <w:tcW w:w="990" w:type="dxa"/>
                  <w:vMerge w:val="restart"/>
                  <w:noWrap w:val="0"/>
                  <w:vAlign w:val="center"/>
                </w:tcPr>
                <w:p w14:paraId="6BD152BA">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实验室</w:t>
                  </w:r>
                </w:p>
              </w:tc>
              <w:tc>
                <w:tcPr>
                  <w:tcW w:w="2131" w:type="dxa"/>
                  <w:noWrap w:val="0"/>
                  <w:vAlign w:val="center"/>
                </w:tcPr>
                <w:p w14:paraId="5518F75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万能材料试验机</w:t>
                  </w:r>
                </w:p>
              </w:tc>
              <w:tc>
                <w:tcPr>
                  <w:tcW w:w="2594" w:type="dxa"/>
                  <w:noWrap w:val="0"/>
                  <w:vAlign w:val="center"/>
                </w:tcPr>
                <w:p w14:paraId="5BE4C56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测量范围或精度</w:t>
                  </w:r>
                </w:p>
              </w:tc>
              <w:tc>
                <w:tcPr>
                  <w:tcW w:w="750" w:type="dxa"/>
                  <w:noWrap w:val="0"/>
                  <w:vAlign w:val="center"/>
                </w:tcPr>
                <w:p w14:paraId="5B0AA65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811" w:type="dxa"/>
                  <w:noWrap w:val="0"/>
                  <w:vAlign w:val="center"/>
                </w:tcPr>
                <w:p w14:paraId="40335C92">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600h</w:t>
                  </w:r>
                </w:p>
              </w:tc>
              <w:tc>
                <w:tcPr>
                  <w:tcW w:w="876" w:type="dxa"/>
                  <w:vMerge w:val="restart"/>
                  <w:noWrap w:val="0"/>
                  <w:vAlign w:val="center"/>
                </w:tcPr>
                <w:p w14:paraId="7950260E">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实验室</w:t>
                  </w:r>
                </w:p>
              </w:tc>
            </w:tr>
            <w:tr w14:paraId="45F6B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941" w:type="dxa"/>
                  <w:vMerge w:val="continue"/>
                  <w:noWrap w:val="0"/>
                  <w:vAlign w:val="center"/>
                </w:tcPr>
                <w:p w14:paraId="2D37E29B">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3A0BA9E8">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2B17B08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反复弯曲试验机</w:t>
                  </w:r>
                </w:p>
              </w:tc>
              <w:tc>
                <w:tcPr>
                  <w:tcW w:w="2594" w:type="dxa"/>
                  <w:noWrap w:val="0"/>
                  <w:vAlign w:val="center"/>
                </w:tcPr>
                <w:p w14:paraId="1D29DFA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300kN，精度：±1%</w:t>
                  </w:r>
                </w:p>
              </w:tc>
              <w:tc>
                <w:tcPr>
                  <w:tcW w:w="750" w:type="dxa"/>
                  <w:noWrap w:val="0"/>
                  <w:vAlign w:val="center"/>
                </w:tcPr>
                <w:p w14:paraId="1DB73FA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811" w:type="dxa"/>
                  <w:noWrap w:val="0"/>
                  <w:vAlign w:val="center"/>
                </w:tcPr>
                <w:p w14:paraId="456564F0">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600h</w:t>
                  </w:r>
                </w:p>
              </w:tc>
              <w:tc>
                <w:tcPr>
                  <w:tcW w:w="876" w:type="dxa"/>
                  <w:vMerge w:val="continue"/>
                  <w:noWrap w:val="0"/>
                  <w:vAlign w:val="center"/>
                </w:tcPr>
                <w:p w14:paraId="6D8BC61F">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p>
              </w:tc>
            </w:tr>
            <w:tr w14:paraId="1798F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1" w:type="dxa"/>
                  <w:vMerge w:val="continue"/>
                  <w:noWrap w:val="0"/>
                  <w:vAlign w:val="center"/>
                </w:tcPr>
                <w:p w14:paraId="2A337A40">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38520F46">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062E3BE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引伸计</w:t>
                  </w:r>
                </w:p>
              </w:tc>
              <w:tc>
                <w:tcPr>
                  <w:tcW w:w="2594" w:type="dxa"/>
                  <w:noWrap w:val="0"/>
                  <w:vAlign w:val="center"/>
                </w:tcPr>
                <w:p w14:paraId="43ADDCC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满足所用钢筋反复弯曲试验要求</w:t>
                  </w:r>
                </w:p>
              </w:tc>
              <w:tc>
                <w:tcPr>
                  <w:tcW w:w="750" w:type="dxa"/>
                  <w:noWrap w:val="0"/>
                  <w:vAlign w:val="center"/>
                </w:tcPr>
                <w:p w14:paraId="16FBDB0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2副</w:t>
                  </w:r>
                </w:p>
              </w:tc>
              <w:tc>
                <w:tcPr>
                  <w:tcW w:w="811" w:type="dxa"/>
                  <w:noWrap w:val="0"/>
                  <w:vAlign w:val="center"/>
                </w:tcPr>
                <w:p w14:paraId="2093F0C2">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600h</w:t>
                  </w:r>
                </w:p>
              </w:tc>
              <w:tc>
                <w:tcPr>
                  <w:tcW w:w="876" w:type="dxa"/>
                  <w:vMerge w:val="continue"/>
                  <w:noWrap w:val="0"/>
                  <w:vAlign w:val="center"/>
                </w:tcPr>
                <w:p w14:paraId="2FD6FF84">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p>
              </w:tc>
            </w:tr>
            <w:tr w14:paraId="78BDF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1" w:type="dxa"/>
                  <w:vMerge w:val="continue"/>
                  <w:noWrap w:val="0"/>
                  <w:vAlign w:val="center"/>
                </w:tcPr>
                <w:p w14:paraId="779D6C37">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457E28C3">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541B683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快速养护箱</w:t>
                  </w:r>
                </w:p>
              </w:tc>
              <w:tc>
                <w:tcPr>
                  <w:tcW w:w="2594" w:type="dxa"/>
                  <w:noWrap w:val="0"/>
                  <w:vAlign w:val="center"/>
                </w:tcPr>
                <w:p w14:paraId="16029EE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满足预应力钢筋弹性模量试验要求，精度：±0.01mm</w:t>
                  </w:r>
                </w:p>
              </w:tc>
              <w:tc>
                <w:tcPr>
                  <w:tcW w:w="750" w:type="dxa"/>
                  <w:noWrap w:val="0"/>
                  <w:vAlign w:val="center"/>
                </w:tcPr>
                <w:p w14:paraId="621DF3E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811" w:type="dxa"/>
                  <w:noWrap w:val="0"/>
                  <w:vAlign w:val="center"/>
                </w:tcPr>
                <w:p w14:paraId="52833D68">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600h</w:t>
                  </w:r>
                </w:p>
              </w:tc>
              <w:tc>
                <w:tcPr>
                  <w:tcW w:w="876" w:type="dxa"/>
                  <w:vMerge w:val="continue"/>
                  <w:noWrap w:val="0"/>
                  <w:vAlign w:val="center"/>
                </w:tcPr>
                <w:p w14:paraId="1E047311">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p>
              </w:tc>
            </w:tr>
            <w:tr w14:paraId="3FD18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941" w:type="dxa"/>
                  <w:vMerge w:val="continue"/>
                  <w:noWrap w:val="0"/>
                  <w:vAlign w:val="center"/>
                </w:tcPr>
                <w:p w14:paraId="2F5C354B">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589EFE24">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5BFD7FE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比表面积测定仪</w:t>
                  </w:r>
                </w:p>
              </w:tc>
              <w:tc>
                <w:tcPr>
                  <w:tcW w:w="2594" w:type="dxa"/>
                  <w:noWrap w:val="0"/>
                  <w:vAlign w:val="center"/>
                </w:tcPr>
                <w:p w14:paraId="597F868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750" w:type="dxa"/>
                  <w:noWrap w:val="0"/>
                  <w:vAlign w:val="center"/>
                </w:tcPr>
                <w:p w14:paraId="5473035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811" w:type="dxa"/>
                  <w:noWrap w:val="0"/>
                  <w:vAlign w:val="center"/>
                </w:tcPr>
                <w:p w14:paraId="60FD11D0">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600h</w:t>
                  </w:r>
                </w:p>
              </w:tc>
              <w:tc>
                <w:tcPr>
                  <w:tcW w:w="876" w:type="dxa"/>
                  <w:vMerge w:val="continue"/>
                  <w:noWrap w:val="0"/>
                  <w:vAlign w:val="center"/>
                </w:tcPr>
                <w:p w14:paraId="5807DE54">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p>
              </w:tc>
            </w:tr>
            <w:tr w14:paraId="080AF6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941" w:type="dxa"/>
                  <w:vMerge w:val="continue"/>
                  <w:noWrap w:val="0"/>
                  <w:vAlign w:val="center"/>
                </w:tcPr>
                <w:p w14:paraId="73E73C97">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3482C8B9">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0AB48F9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雷氏夹膨胀值测定仪</w:t>
                  </w:r>
                </w:p>
              </w:tc>
              <w:tc>
                <w:tcPr>
                  <w:tcW w:w="2594" w:type="dxa"/>
                  <w:noWrap w:val="0"/>
                  <w:vAlign w:val="center"/>
                </w:tcPr>
                <w:p w14:paraId="21215D5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温度：（110±5）℃</w:t>
                  </w:r>
                </w:p>
              </w:tc>
              <w:tc>
                <w:tcPr>
                  <w:tcW w:w="750" w:type="dxa"/>
                  <w:noWrap w:val="0"/>
                  <w:vAlign w:val="center"/>
                </w:tcPr>
                <w:p w14:paraId="4755E70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811" w:type="dxa"/>
                  <w:noWrap w:val="0"/>
                  <w:vAlign w:val="center"/>
                </w:tcPr>
                <w:p w14:paraId="546DD538">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600h</w:t>
                  </w:r>
                </w:p>
              </w:tc>
              <w:tc>
                <w:tcPr>
                  <w:tcW w:w="876" w:type="dxa"/>
                  <w:vMerge w:val="continue"/>
                  <w:noWrap w:val="0"/>
                  <w:vAlign w:val="center"/>
                </w:tcPr>
                <w:p w14:paraId="2975A933">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p>
              </w:tc>
            </w:tr>
            <w:tr w14:paraId="513E4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941" w:type="dxa"/>
                  <w:vMerge w:val="continue"/>
                  <w:noWrap w:val="0"/>
                  <w:vAlign w:val="center"/>
                </w:tcPr>
                <w:p w14:paraId="37B9C458">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10D9BF4E">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73D0FFF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压力试验机</w:t>
                  </w:r>
                </w:p>
              </w:tc>
              <w:tc>
                <w:tcPr>
                  <w:tcW w:w="2594" w:type="dxa"/>
                  <w:noWrap w:val="0"/>
                  <w:vAlign w:val="center"/>
                </w:tcPr>
                <w:p w14:paraId="00E4B15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750" w:type="dxa"/>
                  <w:noWrap w:val="0"/>
                  <w:vAlign w:val="center"/>
                </w:tcPr>
                <w:p w14:paraId="6DB175D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811" w:type="dxa"/>
                  <w:noWrap w:val="0"/>
                  <w:vAlign w:val="center"/>
                </w:tcPr>
                <w:p w14:paraId="4D98ABC1">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600h</w:t>
                  </w:r>
                </w:p>
              </w:tc>
              <w:tc>
                <w:tcPr>
                  <w:tcW w:w="876" w:type="dxa"/>
                  <w:vMerge w:val="continue"/>
                  <w:noWrap w:val="0"/>
                  <w:vAlign w:val="center"/>
                </w:tcPr>
                <w:p w14:paraId="1A2F7AA8">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p>
              </w:tc>
            </w:tr>
            <w:tr w14:paraId="1A4DC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941" w:type="dxa"/>
                  <w:vMerge w:val="continue"/>
                  <w:noWrap w:val="0"/>
                  <w:vAlign w:val="center"/>
                </w:tcPr>
                <w:p w14:paraId="4F009500">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6340393F">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3755AE6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恒应力压力试验机</w:t>
                  </w:r>
                </w:p>
              </w:tc>
              <w:tc>
                <w:tcPr>
                  <w:tcW w:w="2594" w:type="dxa"/>
                  <w:noWrap w:val="0"/>
                  <w:vAlign w:val="center"/>
                </w:tcPr>
                <w:p w14:paraId="230CE81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量程：≥2000kN，精度：±1%</w:t>
                  </w:r>
                </w:p>
              </w:tc>
              <w:tc>
                <w:tcPr>
                  <w:tcW w:w="750" w:type="dxa"/>
                  <w:noWrap w:val="0"/>
                  <w:vAlign w:val="center"/>
                </w:tcPr>
                <w:p w14:paraId="0D73E30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811" w:type="dxa"/>
                  <w:noWrap w:val="0"/>
                  <w:vAlign w:val="center"/>
                </w:tcPr>
                <w:p w14:paraId="3C203F39">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600h</w:t>
                  </w:r>
                </w:p>
              </w:tc>
              <w:tc>
                <w:tcPr>
                  <w:tcW w:w="876" w:type="dxa"/>
                  <w:vMerge w:val="continue"/>
                  <w:noWrap w:val="0"/>
                  <w:vAlign w:val="center"/>
                </w:tcPr>
                <w:p w14:paraId="06E4C719">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p>
              </w:tc>
            </w:tr>
            <w:tr w14:paraId="7C4CF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941" w:type="dxa"/>
                  <w:vMerge w:val="continue"/>
                  <w:noWrap w:val="0"/>
                  <w:vAlign w:val="center"/>
                </w:tcPr>
                <w:p w14:paraId="52D23B43">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277987BE">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5E16670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标准法维卡仪</w:t>
                  </w:r>
                </w:p>
              </w:tc>
              <w:tc>
                <w:tcPr>
                  <w:tcW w:w="2594" w:type="dxa"/>
                  <w:noWrap w:val="0"/>
                  <w:vAlign w:val="center"/>
                </w:tcPr>
                <w:p w14:paraId="3294032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精度：±1%，且符合GB/T 17671-2021《水泥胶砂强度检验方法(ISO)法》要求，满足抗压强度、抗折强度试验要求</w:t>
                  </w:r>
                </w:p>
              </w:tc>
              <w:tc>
                <w:tcPr>
                  <w:tcW w:w="750" w:type="dxa"/>
                  <w:noWrap w:val="0"/>
                  <w:vAlign w:val="center"/>
                </w:tcPr>
                <w:p w14:paraId="589F2AA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1套</w:t>
                  </w:r>
                </w:p>
              </w:tc>
              <w:tc>
                <w:tcPr>
                  <w:tcW w:w="811" w:type="dxa"/>
                  <w:noWrap w:val="0"/>
                  <w:vAlign w:val="center"/>
                </w:tcPr>
                <w:p w14:paraId="6B0AA3FF">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600h</w:t>
                  </w:r>
                </w:p>
              </w:tc>
              <w:tc>
                <w:tcPr>
                  <w:tcW w:w="876" w:type="dxa"/>
                  <w:vMerge w:val="continue"/>
                  <w:noWrap w:val="0"/>
                  <w:vAlign w:val="center"/>
                </w:tcPr>
                <w:p w14:paraId="32A29691">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p>
              </w:tc>
            </w:tr>
            <w:tr w14:paraId="1DE2B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941" w:type="dxa"/>
                  <w:vMerge w:val="continue"/>
                  <w:noWrap w:val="0"/>
                  <w:vAlign w:val="center"/>
                </w:tcPr>
                <w:p w14:paraId="780EA284">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2AE32610">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13944EE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标准养护控制仪</w:t>
                  </w:r>
                </w:p>
              </w:tc>
              <w:tc>
                <w:tcPr>
                  <w:tcW w:w="2594" w:type="dxa"/>
                  <w:noWrap w:val="0"/>
                  <w:vAlign w:val="center"/>
                </w:tcPr>
                <w:p w14:paraId="10E71D0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750" w:type="dxa"/>
                  <w:noWrap w:val="0"/>
                  <w:vAlign w:val="center"/>
                </w:tcPr>
                <w:p w14:paraId="49B9713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1套</w:t>
                  </w:r>
                </w:p>
              </w:tc>
              <w:tc>
                <w:tcPr>
                  <w:tcW w:w="811" w:type="dxa"/>
                  <w:noWrap w:val="0"/>
                  <w:vAlign w:val="center"/>
                </w:tcPr>
                <w:p w14:paraId="6DDA1E32">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600h</w:t>
                  </w:r>
                </w:p>
              </w:tc>
              <w:tc>
                <w:tcPr>
                  <w:tcW w:w="876" w:type="dxa"/>
                  <w:vMerge w:val="continue"/>
                  <w:noWrap w:val="0"/>
                  <w:vAlign w:val="center"/>
                </w:tcPr>
                <w:p w14:paraId="30753DF3">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p>
              </w:tc>
            </w:tr>
            <w:tr w14:paraId="1F4DD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941" w:type="dxa"/>
                  <w:vMerge w:val="continue"/>
                  <w:noWrap w:val="0"/>
                  <w:vAlign w:val="center"/>
                </w:tcPr>
                <w:p w14:paraId="291EEB1C">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6D31378B">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2914543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负压筛析仪</w:t>
                  </w:r>
                </w:p>
              </w:tc>
              <w:tc>
                <w:tcPr>
                  <w:tcW w:w="2594" w:type="dxa"/>
                  <w:noWrap w:val="0"/>
                  <w:vAlign w:val="center"/>
                </w:tcPr>
                <w:p w14:paraId="1CE37E4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温度：（20±1）℃，相对湿度：≥90%</w:t>
                  </w:r>
                </w:p>
              </w:tc>
              <w:tc>
                <w:tcPr>
                  <w:tcW w:w="750" w:type="dxa"/>
                  <w:noWrap w:val="0"/>
                  <w:vAlign w:val="center"/>
                </w:tcPr>
                <w:p w14:paraId="7A282AF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811" w:type="dxa"/>
                  <w:noWrap w:val="0"/>
                  <w:vAlign w:val="center"/>
                </w:tcPr>
                <w:p w14:paraId="71C8E039">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600h</w:t>
                  </w:r>
                </w:p>
              </w:tc>
              <w:tc>
                <w:tcPr>
                  <w:tcW w:w="876" w:type="dxa"/>
                  <w:vMerge w:val="continue"/>
                  <w:noWrap w:val="0"/>
                  <w:vAlign w:val="center"/>
                </w:tcPr>
                <w:p w14:paraId="0BA31340">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p>
              </w:tc>
            </w:tr>
            <w:tr w14:paraId="49CE6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941" w:type="dxa"/>
                  <w:vMerge w:val="continue"/>
                  <w:noWrap w:val="0"/>
                  <w:vAlign w:val="center"/>
                </w:tcPr>
                <w:p w14:paraId="7F74C2D1">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0D1DE110">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6768089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流动度跳桌仪</w:t>
                  </w:r>
                </w:p>
              </w:tc>
              <w:tc>
                <w:tcPr>
                  <w:tcW w:w="2594" w:type="dxa"/>
                  <w:noWrap w:val="0"/>
                  <w:vAlign w:val="center"/>
                </w:tcPr>
                <w:p w14:paraId="1422623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45μm方孔</w:t>
                  </w:r>
                </w:p>
              </w:tc>
              <w:tc>
                <w:tcPr>
                  <w:tcW w:w="750" w:type="dxa"/>
                  <w:noWrap w:val="0"/>
                  <w:vAlign w:val="center"/>
                </w:tcPr>
                <w:p w14:paraId="027DC37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2台</w:t>
                  </w:r>
                </w:p>
              </w:tc>
              <w:tc>
                <w:tcPr>
                  <w:tcW w:w="811" w:type="dxa"/>
                  <w:noWrap w:val="0"/>
                  <w:vAlign w:val="center"/>
                </w:tcPr>
                <w:p w14:paraId="4843A873">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600h</w:t>
                  </w:r>
                </w:p>
              </w:tc>
              <w:tc>
                <w:tcPr>
                  <w:tcW w:w="876" w:type="dxa"/>
                  <w:vMerge w:val="continue"/>
                  <w:noWrap w:val="0"/>
                  <w:vAlign w:val="center"/>
                </w:tcPr>
                <w:p w14:paraId="280C7C57">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p>
              </w:tc>
            </w:tr>
            <w:tr w14:paraId="3511B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941" w:type="dxa"/>
                  <w:vMerge w:val="continue"/>
                  <w:noWrap w:val="0"/>
                  <w:vAlign w:val="center"/>
                </w:tcPr>
                <w:p w14:paraId="39CACF23">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33D6A03B">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583A605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含气量测定仪</w:t>
                  </w:r>
                </w:p>
              </w:tc>
              <w:tc>
                <w:tcPr>
                  <w:tcW w:w="2594" w:type="dxa"/>
                  <w:noWrap w:val="0"/>
                  <w:vAlign w:val="center"/>
                </w:tcPr>
                <w:p w14:paraId="4D6001F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符合JG/T 245-2009《混凝土试验用振动台》要求</w:t>
                  </w:r>
                </w:p>
              </w:tc>
              <w:tc>
                <w:tcPr>
                  <w:tcW w:w="750" w:type="dxa"/>
                  <w:noWrap w:val="0"/>
                  <w:vAlign w:val="center"/>
                </w:tcPr>
                <w:p w14:paraId="2967F27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811" w:type="dxa"/>
                  <w:noWrap w:val="0"/>
                  <w:vAlign w:val="center"/>
                </w:tcPr>
                <w:p w14:paraId="1C4424C9">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600h</w:t>
                  </w:r>
                </w:p>
              </w:tc>
              <w:tc>
                <w:tcPr>
                  <w:tcW w:w="876" w:type="dxa"/>
                  <w:vMerge w:val="continue"/>
                  <w:noWrap w:val="0"/>
                  <w:vAlign w:val="center"/>
                </w:tcPr>
                <w:p w14:paraId="35E06EB1">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p>
              </w:tc>
            </w:tr>
            <w:tr w14:paraId="5598D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941" w:type="dxa"/>
                  <w:vMerge w:val="continue"/>
                  <w:noWrap w:val="0"/>
                  <w:vAlign w:val="center"/>
                </w:tcPr>
                <w:p w14:paraId="6EB74ED3">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6A96A7A8">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3131D6A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增实仪</w:t>
                  </w:r>
                </w:p>
              </w:tc>
              <w:tc>
                <w:tcPr>
                  <w:tcW w:w="2594" w:type="dxa"/>
                  <w:noWrap w:val="0"/>
                  <w:vAlign w:val="center"/>
                </w:tcPr>
                <w:p w14:paraId="0FF9647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直读式</w:t>
                  </w:r>
                </w:p>
              </w:tc>
              <w:tc>
                <w:tcPr>
                  <w:tcW w:w="750" w:type="dxa"/>
                  <w:noWrap w:val="0"/>
                  <w:vAlign w:val="center"/>
                </w:tcPr>
                <w:p w14:paraId="0F2700E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2台</w:t>
                  </w:r>
                </w:p>
              </w:tc>
              <w:tc>
                <w:tcPr>
                  <w:tcW w:w="811" w:type="dxa"/>
                  <w:noWrap w:val="0"/>
                  <w:vAlign w:val="center"/>
                </w:tcPr>
                <w:p w14:paraId="1C47CDA3">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600h</w:t>
                  </w:r>
                </w:p>
              </w:tc>
              <w:tc>
                <w:tcPr>
                  <w:tcW w:w="876" w:type="dxa"/>
                  <w:vMerge w:val="continue"/>
                  <w:noWrap w:val="0"/>
                  <w:vAlign w:val="center"/>
                </w:tcPr>
                <w:p w14:paraId="12175493">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p>
              </w:tc>
            </w:tr>
            <w:tr w14:paraId="4649B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941" w:type="dxa"/>
                  <w:vMerge w:val="continue"/>
                  <w:noWrap w:val="0"/>
                  <w:vAlign w:val="center"/>
                </w:tcPr>
                <w:p w14:paraId="0579B3F3">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58459B69">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2A204F9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混凝土坍落度仪</w:t>
                  </w:r>
                </w:p>
              </w:tc>
              <w:tc>
                <w:tcPr>
                  <w:tcW w:w="2594" w:type="dxa"/>
                  <w:noWrap w:val="0"/>
                  <w:vAlign w:val="center"/>
                </w:tcPr>
                <w:p w14:paraId="72F19C0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符合TB/T 3275-2018《铁路混凝土》</w:t>
                  </w:r>
                </w:p>
              </w:tc>
              <w:tc>
                <w:tcPr>
                  <w:tcW w:w="750" w:type="dxa"/>
                  <w:noWrap w:val="0"/>
                  <w:vAlign w:val="center"/>
                </w:tcPr>
                <w:p w14:paraId="0BDD2BB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2台</w:t>
                  </w:r>
                </w:p>
              </w:tc>
              <w:tc>
                <w:tcPr>
                  <w:tcW w:w="811" w:type="dxa"/>
                  <w:noWrap w:val="0"/>
                  <w:vAlign w:val="center"/>
                </w:tcPr>
                <w:p w14:paraId="58855030">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600h</w:t>
                  </w:r>
                </w:p>
              </w:tc>
              <w:tc>
                <w:tcPr>
                  <w:tcW w:w="876" w:type="dxa"/>
                  <w:vMerge w:val="continue"/>
                  <w:noWrap w:val="0"/>
                  <w:vAlign w:val="center"/>
                </w:tcPr>
                <w:p w14:paraId="21F52D7E">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p>
              </w:tc>
            </w:tr>
            <w:tr w14:paraId="50853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1" w:type="dxa"/>
                  <w:vMerge w:val="continue"/>
                  <w:noWrap w:val="0"/>
                  <w:vAlign w:val="center"/>
                </w:tcPr>
                <w:p w14:paraId="10E35F84">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1A1385D0">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04AA558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混凝土弹性模量仪</w:t>
                  </w:r>
                </w:p>
              </w:tc>
              <w:tc>
                <w:tcPr>
                  <w:tcW w:w="2594" w:type="dxa"/>
                  <w:noWrap w:val="0"/>
                  <w:vAlign w:val="center"/>
                </w:tcPr>
                <w:p w14:paraId="0DF9017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GB/T 50080-2016《普通混凝土拌合物性能试验方法标准》要求</w:t>
                  </w:r>
                </w:p>
              </w:tc>
              <w:tc>
                <w:tcPr>
                  <w:tcW w:w="750" w:type="dxa"/>
                  <w:noWrap w:val="0"/>
                  <w:vAlign w:val="center"/>
                </w:tcPr>
                <w:p w14:paraId="59964E5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811" w:type="dxa"/>
                  <w:noWrap w:val="0"/>
                  <w:vAlign w:val="center"/>
                </w:tcPr>
                <w:p w14:paraId="6A30FF44">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600h</w:t>
                  </w:r>
                </w:p>
              </w:tc>
              <w:tc>
                <w:tcPr>
                  <w:tcW w:w="876" w:type="dxa"/>
                  <w:vMerge w:val="continue"/>
                  <w:noWrap w:val="0"/>
                  <w:vAlign w:val="center"/>
                </w:tcPr>
                <w:p w14:paraId="3E30CE1D">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p>
              </w:tc>
            </w:tr>
            <w:tr w14:paraId="72089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941" w:type="dxa"/>
                  <w:vMerge w:val="continue"/>
                  <w:noWrap w:val="0"/>
                  <w:vAlign w:val="center"/>
                </w:tcPr>
                <w:p w14:paraId="790397D0">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1601CF25">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1D6B018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压碎值测定仪</w:t>
                  </w:r>
                </w:p>
              </w:tc>
              <w:tc>
                <w:tcPr>
                  <w:tcW w:w="2594" w:type="dxa"/>
                  <w:noWrap w:val="0"/>
                  <w:vAlign w:val="center"/>
                </w:tcPr>
                <w:p w14:paraId="42A02A2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精度：±0.001mm</w:t>
                  </w:r>
                </w:p>
              </w:tc>
              <w:tc>
                <w:tcPr>
                  <w:tcW w:w="750" w:type="dxa"/>
                  <w:noWrap w:val="0"/>
                  <w:vAlign w:val="center"/>
                </w:tcPr>
                <w:p w14:paraId="17CD747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811" w:type="dxa"/>
                  <w:noWrap w:val="0"/>
                  <w:vAlign w:val="center"/>
                </w:tcPr>
                <w:p w14:paraId="320E4BB0">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600h</w:t>
                  </w:r>
                </w:p>
              </w:tc>
              <w:tc>
                <w:tcPr>
                  <w:tcW w:w="876" w:type="dxa"/>
                  <w:vMerge w:val="continue"/>
                  <w:noWrap w:val="0"/>
                  <w:vAlign w:val="center"/>
                </w:tcPr>
                <w:p w14:paraId="4E0B0594">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p>
              </w:tc>
            </w:tr>
            <w:tr w14:paraId="120A8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941" w:type="dxa"/>
                  <w:vMerge w:val="continue"/>
                  <w:noWrap w:val="0"/>
                  <w:vAlign w:val="center"/>
                </w:tcPr>
                <w:p w14:paraId="4D177E0B">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5445EF59">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669C58D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回弹仪</w:t>
                  </w:r>
                </w:p>
              </w:tc>
              <w:tc>
                <w:tcPr>
                  <w:tcW w:w="2594" w:type="dxa"/>
                  <w:noWrap w:val="0"/>
                  <w:vAlign w:val="center"/>
                </w:tcPr>
                <w:p w14:paraId="58A8FBC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750" w:type="dxa"/>
                  <w:noWrap w:val="0"/>
                  <w:vAlign w:val="center"/>
                </w:tcPr>
                <w:p w14:paraId="3039484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811" w:type="dxa"/>
                  <w:noWrap w:val="0"/>
                  <w:vAlign w:val="center"/>
                </w:tcPr>
                <w:p w14:paraId="74B8B113">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600h</w:t>
                  </w:r>
                </w:p>
              </w:tc>
              <w:tc>
                <w:tcPr>
                  <w:tcW w:w="876" w:type="dxa"/>
                  <w:vMerge w:val="continue"/>
                  <w:noWrap w:val="0"/>
                  <w:vAlign w:val="center"/>
                </w:tcPr>
                <w:p w14:paraId="342A4142">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p>
              </w:tc>
            </w:tr>
            <w:tr w14:paraId="428FA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941" w:type="dxa"/>
                  <w:vMerge w:val="continue"/>
                  <w:noWrap w:val="0"/>
                  <w:vAlign w:val="center"/>
                </w:tcPr>
                <w:p w14:paraId="1449CBAC">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0930BA40">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3F72AC4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糖晶仪</w:t>
                  </w:r>
                </w:p>
              </w:tc>
              <w:tc>
                <w:tcPr>
                  <w:tcW w:w="2594" w:type="dxa"/>
                  <w:noWrap w:val="0"/>
                  <w:vAlign w:val="center"/>
                </w:tcPr>
                <w:p w14:paraId="4401653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C60高强测定仪</w:t>
                  </w:r>
                </w:p>
              </w:tc>
              <w:tc>
                <w:tcPr>
                  <w:tcW w:w="750" w:type="dxa"/>
                  <w:noWrap w:val="0"/>
                  <w:vAlign w:val="center"/>
                </w:tcPr>
                <w:p w14:paraId="5A711A5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811" w:type="dxa"/>
                  <w:noWrap w:val="0"/>
                  <w:vAlign w:val="center"/>
                </w:tcPr>
                <w:p w14:paraId="7F9C56B5">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600h</w:t>
                  </w:r>
                </w:p>
              </w:tc>
              <w:tc>
                <w:tcPr>
                  <w:tcW w:w="876" w:type="dxa"/>
                  <w:vMerge w:val="continue"/>
                  <w:noWrap w:val="0"/>
                  <w:vAlign w:val="center"/>
                </w:tcPr>
                <w:p w14:paraId="200248B4">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p>
              </w:tc>
            </w:tr>
            <w:tr w14:paraId="16297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941" w:type="dxa"/>
                  <w:vMerge w:val="continue"/>
                  <w:noWrap w:val="0"/>
                  <w:vAlign w:val="center"/>
                </w:tcPr>
                <w:p w14:paraId="5DD5ACFA">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543FDCAE">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7722BE5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砂方孔套筛</w:t>
                  </w:r>
                </w:p>
              </w:tc>
              <w:tc>
                <w:tcPr>
                  <w:tcW w:w="2594" w:type="dxa"/>
                  <w:noWrap w:val="0"/>
                  <w:vAlign w:val="center"/>
                </w:tcPr>
                <w:p w14:paraId="51C917B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符合GB/T 14685-2011《建筑用卵石、碎石》要求</w:t>
                  </w:r>
                </w:p>
              </w:tc>
              <w:tc>
                <w:tcPr>
                  <w:tcW w:w="750" w:type="dxa"/>
                  <w:noWrap w:val="0"/>
                  <w:vAlign w:val="center"/>
                </w:tcPr>
                <w:p w14:paraId="75E4B74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1套</w:t>
                  </w:r>
                </w:p>
              </w:tc>
              <w:tc>
                <w:tcPr>
                  <w:tcW w:w="811" w:type="dxa"/>
                  <w:noWrap w:val="0"/>
                  <w:vAlign w:val="center"/>
                </w:tcPr>
                <w:p w14:paraId="660D113C">
                  <w:pPr>
                    <w:keepNext w:val="0"/>
                    <w:keepLines w:val="0"/>
                    <w:pageBreakBefore w:val="0"/>
                    <w:widowControl/>
                    <w:kinsoku/>
                    <w:wordWrap/>
                    <w:overflowPunct/>
                    <w:topLinePunct w:val="0"/>
                    <w:autoSpaceDE/>
                    <w:autoSpaceDN/>
                    <w:bidi w:val="0"/>
                    <w:ind w:right="0" w:rightChars="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600h</w:t>
                  </w:r>
                </w:p>
              </w:tc>
              <w:tc>
                <w:tcPr>
                  <w:tcW w:w="876" w:type="dxa"/>
                  <w:vMerge w:val="continue"/>
                  <w:noWrap w:val="0"/>
                  <w:vAlign w:val="center"/>
                </w:tcPr>
                <w:p w14:paraId="19187604">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p>
              </w:tc>
            </w:tr>
            <w:tr w14:paraId="2077B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941" w:type="dxa"/>
                  <w:vMerge w:val="continue"/>
                  <w:noWrap w:val="0"/>
                  <w:vAlign w:val="center"/>
                </w:tcPr>
                <w:p w14:paraId="64A8403B">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7ABE5BBF">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643A99F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碎石方孔套筛</w:t>
                  </w:r>
                </w:p>
              </w:tc>
              <w:tc>
                <w:tcPr>
                  <w:tcW w:w="2594" w:type="dxa"/>
                  <w:noWrap w:val="0"/>
                  <w:vAlign w:val="center"/>
                </w:tcPr>
                <w:p w14:paraId="4227985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标准筛</w:t>
                  </w:r>
                </w:p>
              </w:tc>
              <w:tc>
                <w:tcPr>
                  <w:tcW w:w="750" w:type="dxa"/>
                  <w:noWrap w:val="0"/>
                  <w:vAlign w:val="center"/>
                </w:tcPr>
                <w:p w14:paraId="4518497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1套</w:t>
                  </w:r>
                </w:p>
              </w:tc>
              <w:tc>
                <w:tcPr>
                  <w:tcW w:w="811" w:type="dxa"/>
                  <w:noWrap w:val="0"/>
                  <w:vAlign w:val="center"/>
                </w:tcPr>
                <w:p w14:paraId="47247C60">
                  <w:pPr>
                    <w:keepNext w:val="0"/>
                    <w:keepLines w:val="0"/>
                    <w:pageBreakBefore w:val="0"/>
                    <w:widowControl/>
                    <w:kinsoku/>
                    <w:wordWrap/>
                    <w:overflowPunct/>
                    <w:topLinePunct w:val="0"/>
                    <w:autoSpaceDE/>
                    <w:autoSpaceDN/>
                    <w:bidi w:val="0"/>
                    <w:ind w:right="0" w:rightChars="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600h</w:t>
                  </w:r>
                </w:p>
              </w:tc>
              <w:tc>
                <w:tcPr>
                  <w:tcW w:w="876" w:type="dxa"/>
                  <w:vMerge w:val="continue"/>
                  <w:noWrap w:val="0"/>
                  <w:vAlign w:val="center"/>
                </w:tcPr>
                <w:p w14:paraId="5CB210DA">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p>
              </w:tc>
            </w:tr>
            <w:tr w14:paraId="19C02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941" w:type="dxa"/>
                  <w:vMerge w:val="continue"/>
                  <w:noWrap w:val="0"/>
                  <w:vAlign w:val="center"/>
                </w:tcPr>
                <w:p w14:paraId="4BE4065D">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34949EA7">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25056DA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李氏瓶</w:t>
                  </w:r>
                </w:p>
              </w:tc>
              <w:tc>
                <w:tcPr>
                  <w:tcW w:w="2594" w:type="dxa"/>
                  <w:noWrap w:val="0"/>
                  <w:vAlign w:val="center"/>
                </w:tcPr>
                <w:p w14:paraId="23F6D98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标准筛</w:t>
                  </w:r>
                </w:p>
              </w:tc>
              <w:tc>
                <w:tcPr>
                  <w:tcW w:w="750" w:type="dxa"/>
                  <w:noWrap w:val="0"/>
                  <w:vAlign w:val="center"/>
                </w:tcPr>
                <w:p w14:paraId="245208D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1箱</w:t>
                  </w:r>
                </w:p>
              </w:tc>
              <w:tc>
                <w:tcPr>
                  <w:tcW w:w="811" w:type="dxa"/>
                  <w:noWrap w:val="0"/>
                  <w:vAlign w:val="center"/>
                </w:tcPr>
                <w:p w14:paraId="1C3CE4FA">
                  <w:pPr>
                    <w:keepNext w:val="0"/>
                    <w:keepLines w:val="0"/>
                    <w:pageBreakBefore w:val="0"/>
                    <w:widowControl/>
                    <w:kinsoku/>
                    <w:wordWrap/>
                    <w:overflowPunct/>
                    <w:topLinePunct w:val="0"/>
                    <w:autoSpaceDE/>
                    <w:autoSpaceDN/>
                    <w:bidi w:val="0"/>
                    <w:ind w:right="0" w:rightChars="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600h</w:t>
                  </w:r>
                </w:p>
              </w:tc>
              <w:tc>
                <w:tcPr>
                  <w:tcW w:w="876" w:type="dxa"/>
                  <w:vMerge w:val="continue"/>
                  <w:noWrap w:val="0"/>
                  <w:vAlign w:val="center"/>
                </w:tcPr>
                <w:p w14:paraId="601CFF40">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p>
              </w:tc>
            </w:tr>
            <w:tr w14:paraId="11817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941" w:type="dxa"/>
                  <w:vMerge w:val="continue"/>
                  <w:noWrap w:val="0"/>
                  <w:vAlign w:val="center"/>
                </w:tcPr>
                <w:p w14:paraId="102F826F">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6BF398E3">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44DBBC3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专用底脚孔距测量器</w:t>
                  </w:r>
                </w:p>
              </w:tc>
              <w:tc>
                <w:tcPr>
                  <w:tcW w:w="2594" w:type="dxa"/>
                  <w:noWrap w:val="0"/>
                  <w:vAlign w:val="center"/>
                </w:tcPr>
                <w:p w14:paraId="3963D48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误差：≤0.05mL</w:t>
                  </w:r>
                </w:p>
              </w:tc>
              <w:tc>
                <w:tcPr>
                  <w:tcW w:w="750" w:type="dxa"/>
                  <w:noWrap w:val="0"/>
                  <w:vAlign w:val="center"/>
                </w:tcPr>
                <w:p w14:paraId="16ECB63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1套</w:t>
                  </w:r>
                </w:p>
              </w:tc>
              <w:tc>
                <w:tcPr>
                  <w:tcW w:w="811" w:type="dxa"/>
                  <w:noWrap w:val="0"/>
                  <w:vAlign w:val="center"/>
                </w:tcPr>
                <w:p w14:paraId="3405B508">
                  <w:pPr>
                    <w:keepNext w:val="0"/>
                    <w:keepLines w:val="0"/>
                    <w:pageBreakBefore w:val="0"/>
                    <w:widowControl/>
                    <w:kinsoku/>
                    <w:wordWrap/>
                    <w:overflowPunct/>
                    <w:topLinePunct w:val="0"/>
                    <w:autoSpaceDE/>
                    <w:autoSpaceDN/>
                    <w:bidi w:val="0"/>
                    <w:ind w:right="0" w:rightChars="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600h</w:t>
                  </w:r>
                </w:p>
              </w:tc>
              <w:tc>
                <w:tcPr>
                  <w:tcW w:w="876" w:type="dxa"/>
                  <w:vMerge w:val="continue"/>
                  <w:noWrap w:val="0"/>
                  <w:vAlign w:val="center"/>
                </w:tcPr>
                <w:p w14:paraId="171D6D20">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p>
              </w:tc>
            </w:tr>
            <w:tr w14:paraId="7FADC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941" w:type="dxa"/>
                  <w:vMerge w:val="continue"/>
                  <w:noWrap w:val="0"/>
                  <w:vAlign w:val="center"/>
                </w:tcPr>
                <w:p w14:paraId="2F22D9B5">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01C16CE2">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40CB18F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专用孔斜测量器</w:t>
                  </w:r>
                </w:p>
              </w:tc>
              <w:tc>
                <w:tcPr>
                  <w:tcW w:w="2594" w:type="dxa"/>
                  <w:noWrap w:val="0"/>
                  <w:vAlign w:val="center"/>
                </w:tcPr>
                <w:p w14:paraId="75F6662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量程满足所检产品需要，精度：±0.5mm</w:t>
                  </w:r>
                </w:p>
              </w:tc>
              <w:tc>
                <w:tcPr>
                  <w:tcW w:w="750" w:type="dxa"/>
                  <w:noWrap w:val="0"/>
                  <w:vAlign w:val="center"/>
                </w:tcPr>
                <w:p w14:paraId="397523C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1套</w:t>
                  </w:r>
                </w:p>
              </w:tc>
              <w:tc>
                <w:tcPr>
                  <w:tcW w:w="811" w:type="dxa"/>
                  <w:noWrap w:val="0"/>
                  <w:vAlign w:val="center"/>
                </w:tcPr>
                <w:p w14:paraId="6D892C65">
                  <w:pPr>
                    <w:keepNext w:val="0"/>
                    <w:keepLines w:val="0"/>
                    <w:pageBreakBefore w:val="0"/>
                    <w:widowControl/>
                    <w:kinsoku/>
                    <w:wordWrap/>
                    <w:overflowPunct/>
                    <w:topLinePunct w:val="0"/>
                    <w:autoSpaceDE/>
                    <w:autoSpaceDN/>
                    <w:bidi w:val="0"/>
                    <w:ind w:right="0" w:rightChars="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600h</w:t>
                  </w:r>
                </w:p>
              </w:tc>
              <w:tc>
                <w:tcPr>
                  <w:tcW w:w="876" w:type="dxa"/>
                  <w:vMerge w:val="continue"/>
                  <w:noWrap w:val="0"/>
                  <w:vAlign w:val="center"/>
                </w:tcPr>
                <w:p w14:paraId="2182DD3C">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p>
              </w:tc>
            </w:tr>
            <w:tr w14:paraId="43A44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jc w:val="center"/>
              </w:trPr>
              <w:tc>
                <w:tcPr>
                  <w:tcW w:w="941" w:type="dxa"/>
                  <w:vMerge w:val="continue"/>
                  <w:noWrap w:val="0"/>
                  <w:vAlign w:val="center"/>
                </w:tcPr>
                <w:p w14:paraId="636F9246">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4EA764FD">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1A14A66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专用坡度尺</w:t>
                  </w:r>
                </w:p>
              </w:tc>
              <w:tc>
                <w:tcPr>
                  <w:tcW w:w="2594" w:type="dxa"/>
                  <w:noWrap w:val="0"/>
                  <w:vAlign w:val="center"/>
                </w:tcPr>
                <w:p w14:paraId="0B5437B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量程满足所检产品需要，精度：±0.5mm</w:t>
                  </w:r>
                </w:p>
              </w:tc>
              <w:tc>
                <w:tcPr>
                  <w:tcW w:w="750" w:type="dxa"/>
                  <w:noWrap w:val="0"/>
                  <w:vAlign w:val="center"/>
                </w:tcPr>
                <w:p w14:paraId="2891385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1把</w:t>
                  </w:r>
                </w:p>
              </w:tc>
              <w:tc>
                <w:tcPr>
                  <w:tcW w:w="811" w:type="dxa"/>
                  <w:noWrap w:val="0"/>
                  <w:vAlign w:val="center"/>
                </w:tcPr>
                <w:p w14:paraId="19654C53">
                  <w:pPr>
                    <w:keepNext w:val="0"/>
                    <w:keepLines w:val="0"/>
                    <w:pageBreakBefore w:val="0"/>
                    <w:widowControl/>
                    <w:kinsoku/>
                    <w:wordWrap/>
                    <w:overflowPunct/>
                    <w:topLinePunct w:val="0"/>
                    <w:autoSpaceDE/>
                    <w:autoSpaceDN/>
                    <w:bidi w:val="0"/>
                    <w:ind w:right="0" w:rightChars="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600h</w:t>
                  </w:r>
                </w:p>
              </w:tc>
              <w:tc>
                <w:tcPr>
                  <w:tcW w:w="876" w:type="dxa"/>
                  <w:vMerge w:val="continue"/>
                  <w:noWrap w:val="0"/>
                  <w:vAlign w:val="center"/>
                </w:tcPr>
                <w:p w14:paraId="3311FABC">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p>
              </w:tc>
            </w:tr>
            <w:tr w14:paraId="0B4C8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941" w:type="dxa"/>
                  <w:vMerge w:val="continue"/>
                  <w:noWrap w:val="0"/>
                  <w:vAlign w:val="center"/>
                </w:tcPr>
                <w:p w14:paraId="0833DB37">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42523829">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611C8D1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预埋件抗拔仪</w:t>
                  </w:r>
                </w:p>
              </w:tc>
              <w:tc>
                <w:tcPr>
                  <w:tcW w:w="2594" w:type="dxa"/>
                  <w:noWrap w:val="0"/>
                  <w:vAlign w:val="center"/>
                </w:tcPr>
                <w:p w14:paraId="5F497B9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精度：±0.5mm</w:t>
                  </w:r>
                </w:p>
              </w:tc>
              <w:tc>
                <w:tcPr>
                  <w:tcW w:w="750" w:type="dxa"/>
                  <w:noWrap w:val="0"/>
                  <w:vAlign w:val="center"/>
                </w:tcPr>
                <w:p w14:paraId="292E816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811" w:type="dxa"/>
                  <w:noWrap w:val="0"/>
                  <w:vAlign w:val="center"/>
                </w:tcPr>
                <w:p w14:paraId="0D2269B1">
                  <w:pPr>
                    <w:keepNext w:val="0"/>
                    <w:keepLines w:val="0"/>
                    <w:pageBreakBefore w:val="0"/>
                    <w:widowControl/>
                    <w:kinsoku/>
                    <w:wordWrap/>
                    <w:overflowPunct/>
                    <w:topLinePunct w:val="0"/>
                    <w:autoSpaceDE/>
                    <w:autoSpaceDN/>
                    <w:bidi w:val="0"/>
                    <w:ind w:right="0" w:rightChars="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600h</w:t>
                  </w:r>
                </w:p>
              </w:tc>
              <w:tc>
                <w:tcPr>
                  <w:tcW w:w="876" w:type="dxa"/>
                  <w:vMerge w:val="continue"/>
                  <w:noWrap w:val="0"/>
                  <w:vAlign w:val="center"/>
                </w:tcPr>
                <w:p w14:paraId="67F7B4EC">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p>
              </w:tc>
            </w:tr>
            <w:tr w14:paraId="5CABC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jc w:val="center"/>
              </w:trPr>
              <w:tc>
                <w:tcPr>
                  <w:tcW w:w="941" w:type="dxa"/>
                  <w:vMerge w:val="continue"/>
                  <w:noWrap w:val="0"/>
                  <w:vAlign w:val="center"/>
                </w:tcPr>
                <w:p w14:paraId="3A0B1526">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5D9AE01E">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2E088ED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智能电桥测试仪</w:t>
                  </w:r>
                </w:p>
              </w:tc>
              <w:tc>
                <w:tcPr>
                  <w:tcW w:w="2594" w:type="dxa"/>
                  <w:noWrap w:val="0"/>
                  <w:vAlign w:val="center"/>
                </w:tcPr>
                <w:p w14:paraId="5C88AA3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最大量程：200kN，精度：±1%</w:t>
                  </w:r>
                </w:p>
              </w:tc>
              <w:tc>
                <w:tcPr>
                  <w:tcW w:w="750" w:type="dxa"/>
                  <w:noWrap w:val="0"/>
                  <w:vAlign w:val="center"/>
                </w:tcPr>
                <w:p w14:paraId="58B6D44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811" w:type="dxa"/>
                  <w:noWrap w:val="0"/>
                  <w:vAlign w:val="center"/>
                </w:tcPr>
                <w:p w14:paraId="7538DEAE">
                  <w:pPr>
                    <w:keepNext w:val="0"/>
                    <w:keepLines w:val="0"/>
                    <w:pageBreakBefore w:val="0"/>
                    <w:widowControl/>
                    <w:kinsoku/>
                    <w:wordWrap/>
                    <w:overflowPunct/>
                    <w:topLinePunct w:val="0"/>
                    <w:autoSpaceDE/>
                    <w:autoSpaceDN/>
                    <w:bidi w:val="0"/>
                    <w:ind w:right="0" w:rightChars="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600h</w:t>
                  </w:r>
                </w:p>
              </w:tc>
              <w:tc>
                <w:tcPr>
                  <w:tcW w:w="876" w:type="dxa"/>
                  <w:vMerge w:val="continue"/>
                  <w:noWrap w:val="0"/>
                  <w:vAlign w:val="center"/>
                </w:tcPr>
                <w:p w14:paraId="35867E18">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p>
              </w:tc>
            </w:tr>
            <w:tr w14:paraId="23711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941" w:type="dxa"/>
                  <w:vMerge w:val="continue"/>
                  <w:noWrap w:val="0"/>
                  <w:vAlign w:val="center"/>
                </w:tcPr>
                <w:p w14:paraId="0F9C3989">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227E0835">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030C5B8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轨距尺</w:t>
                  </w:r>
                </w:p>
              </w:tc>
              <w:tc>
                <w:tcPr>
                  <w:tcW w:w="2594" w:type="dxa"/>
                  <w:noWrap w:val="0"/>
                  <w:vAlign w:val="center"/>
                </w:tcPr>
                <w:p w14:paraId="6CF68CD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频率精度0.01%，分辨率R≥0.01mΩ、基本测量准确度0.05%</w:t>
                  </w:r>
                </w:p>
              </w:tc>
              <w:tc>
                <w:tcPr>
                  <w:tcW w:w="750" w:type="dxa"/>
                  <w:noWrap w:val="0"/>
                  <w:vAlign w:val="center"/>
                </w:tcPr>
                <w:p w14:paraId="076F3FF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2把</w:t>
                  </w:r>
                </w:p>
              </w:tc>
              <w:tc>
                <w:tcPr>
                  <w:tcW w:w="811" w:type="dxa"/>
                  <w:noWrap w:val="0"/>
                  <w:vAlign w:val="center"/>
                </w:tcPr>
                <w:p w14:paraId="4181B947">
                  <w:pPr>
                    <w:keepNext w:val="0"/>
                    <w:keepLines w:val="0"/>
                    <w:pageBreakBefore w:val="0"/>
                    <w:widowControl/>
                    <w:kinsoku/>
                    <w:wordWrap/>
                    <w:overflowPunct/>
                    <w:topLinePunct w:val="0"/>
                    <w:autoSpaceDE/>
                    <w:autoSpaceDN/>
                    <w:bidi w:val="0"/>
                    <w:ind w:right="0" w:rightChars="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600h</w:t>
                  </w:r>
                </w:p>
              </w:tc>
              <w:tc>
                <w:tcPr>
                  <w:tcW w:w="876" w:type="dxa"/>
                  <w:vMerge w:val="continue"/>
                  <w:noWrap w:val="0"/>
                  <w:vAlign w:val="center"/>
                </w:tcPr>
                <w:p w14:paraId="1D55D8E5">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p>
              </w:tc>
            </w:tr>
            <w:tr w14:paraId="7AD7D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941" w:type="dxa"/>
                  <w:vMerge w:val="continue"/>
                  <w:noWrap w:val="0"/>
                  <w:vAlign w:val="center"/>
                </w:tcPr>
                <w:p w14:paraId="0E75E8C3">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203536A2">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253C759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混凝土钢筋检测仪</w:t>
                  </w:r>
                </w:p>
              </w:tc>
              <w:tc>
                <w:tcPr>
                  <w:tcW w:w="2594" w:type="dxa"/>
                  <w:noWrap w:val="0"/>
                  <w:vAlign w:val="center"/>
                </w:tcPr>
                <w:p w14:paraId="5043895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精度：±1mm</w:t>
                  </w:r>
                </w:p>
              </w:tc>
              <w:tc>
                <w:tcPr>
                  <w:tcW w:w="750" w:type="dxa"/>
                  <w:noWrap w:val="0"/>
                  <w:vAlign w:val="center"/>
                </w:tcPr>
                <w:p w14:paraId="35CC4C1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811" w:type="dxa"/>
                  <w:noWrap w:val="0"/>
                  <w:vAlign w:val="center"/>
                </w:tcPr>
                <w:p w14:paraId="7A675EAA">
                  <w:pPr>
                    <w:keepNext w:val="0"/>
                    <w:keepLines w:val="0"/>
                    <w:pageBreakBefore w:val="0"/>
                    <w:widowControl/>
                    <w:kinsoku/>
                    <w:wordWrap/>
                    <w:overflowPunct/>
                    <w:topLinePunct w:val="0"/>
                    <w:autoSpaceDE/>
                    <w:autoSpaceDN/>
                    <w:bidi w:val="0"/>
                    <w:ind w:right="0" w:rightChars="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600h</w:t>
                  </w:r>
                </w:p>
              </w:tc>
              <w:tc>
                <w:tcPr>
                  <w:tcW w:w="876" w:type="dxa"/>
                  <w:vMerge w:val="continue"/>
                  <w:noWrap w:val="0"/>
                  <w:vAlign w:val="center"/>
                </w:tcPr>
                <w:p w14:paraId="0E727951">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p>
              </w:tc>
            </w:tr>
            <w:tr w14:paraId="0945B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941" w:type="dxa"/>
                  <w:vMerge w:val="continue"/>
                  <w:noWrap w:val="0"/>
                  <w:vAlign w:val="center"/>
                </w:tcPr>
                <w:p w14:paraId="48434B24">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1566A9CF">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3F3EC43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混凝土测温计</w:t>
                  </w:r>
                </w:p>
              </w:tc>
              <w:tc>
                <w:tcPr>
                  <w:tcW w:w="2594" w:type="dxa"/>
                  <w:noWrap w:val="0"/>
                  <w:vAlign w:val="center"/>
                </w:tcPr>
                <w:p w14:paraId="1AC443C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1.满足Φ6mm~Φ30mm钢筋保护层厚度的测量，精度：±1mm</w:t>
                  </w:r>
                </w:p>
              </w:tc>
              <w:tc>
                <w:tcPr>
                  <w:tcW w:w="750" w:type="dxa"/>
                  <w:noWrap w:val="0"/>
                  <w:vAlign w:val="center"/>
                </w:tcPr>
                <w:p w14:paraId="1F63062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1副</w:t>
                  </w:r>
                </w:p>
              </w:tc>
              <w:tc>
                <w:tcPr>
                  <w:tcW w:w="811" w:type="dxa"/>
                  <w:noWrap w:val="0"/>
                  <w:vAlign w:val="center"/>
                </w:tcPr>
                <w:p w14:paraId="590447C9">
                  <w:pPr>
                    <w:keepNext w:val="0"/>
                    <w:keepLines w:val="0"/>
                    <w:pageBreakBefore w:val="0"/>
                    <w:widowControl/>
                    <w:kinsoku/>
                    <w:wordWrap/>
                    <w:overflowPunct/>
                    <w:topLinePunct w:val="0"/>
                    <w:autoSpaceDE/>
                    <w:autoSpaceDN/>
                    <w:bidi w:val="0"/>
                    <w:ind w:right="0" w:rightChars="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600h</w:t>
                  </w:r>
                </w:p>
              </w:tc>
              <w:tc>
                <w:tcPr>
                  <w:tcW w:w="876" w:type="dxa"/>
                  <w:vMerge w:val="continue"/>
                  <w:noWrap w:val="0"/>
                  <w:vAlign w:val="center"/>
                </w:tcPr>
                <w:p w14:paraId="7A1ECD4B">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p>
              </w:tc>
            </w:tr>
            <w:tr w14:paraId="4AC1D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941" w:type="dxa"/>
                  <w:vMerge w:val="continue"/>
                  <w:noWrap w:val="0"/>
                  <w:vAlign w:val="center"/>
                </w:tcPr>
                <w:p w14:paraId="652450B4">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25853239">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783CF99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表面测温计</w:t>
                  </w:r>
                </w:p>
              </w:tc>
              <w:tc>
                <w:tcPr>
                  <w:tcW w:w="2594" w:type="dxa"/>
                  <w:noWrap w:val="0"/>
                  <w:vAlign w:val="center"/>
                </w:tcPr>
                <w:p w14:paraId="2C54AD4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数显插入式，精度：±0.1℃</w:t>
                  </w:r>
                </w:p>
              </w:tc>
              <w:tc>
                <w:tcPr>
                  <w:tcW w:w="750" w:type="dxa"/>
                  <w:noWrap w:val="0"/>
                  <w:vAlign w:val="center"/>
                </w:tcPr>
                <w:p w14:paraId="2BE92C5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1副</w:t>
                  </w:r>
                </w:p>
              </w:tc>
              <w:tc>
                <w:tcPr>
                  <w:tcW w:w="811" w:type="dxa"/>
                  <w:noWrap w:val="0"/>
                  <w:vAlign w:val="center"/>
                </w:tcPr>
                <w:p w14:paraId="247BF615">
                  <w:pPr>
                    <w:keepNext w:val="0"/>
                    <w:keepLines w:val="0"/>
                    <w:pageBreakBefore w:val="0"/>
                    <w:widowControl/>
                    <w:kinsoku/>
                    <w:wordWrap/>
                    <w:overflowPunct/>
                    <w:topLinePunct w:val="0"/>
                    <w:autoSpaceDE/>
                    <w:autoSpaceDN/>
                    <w:bidi w:val="0"/>
                    <w:ind w:right="0" w:rightChars="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600h</w:t>
                  </w:r>
                </w:p>
              </w:tc>
              <w:tc>
                <w:tcPr>
                  <w:tcW w:w="876" w:type="dxa"/>
                  <w:vMerge w:val="continue"/>
                  <w:noWrap w:val="0"/>
                  <w:vAlign w:val="center"/>
                </w:tcPr>
                <w:p w14:paraId="690B270F">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p>
              </w:tc>
            </w:tr>
            <w:tr w14:paraId="5DF6A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941" w:type="dxa"/>
                  <w:vMerge w:val="continue"/>
                  <w:noWrap w:val="0"/>
                  <w:vAlign w:val="center"/>
                </w:tcPr>
                <w:p w14:paraId="2A9A4ABC">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19A5070E">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230A0F7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芯部测温计</w:t>
                  </w:r>
                </w:p>
              </w:tc>
              <w:tc>
                <w:tcPr>
                  <w:tcW w:w="2594" w:type="dxa"/>
                  <w:noWrap w:val="0"/>
                  <w:vAlign w:val="center"/>
                </w:tcPr>
                <w:p w14:paraId="5214387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红外线式，精度：±0.1℃</w:t>
                  </w:r>
                </w:p>
              </w:tc>
              <w:tc>
                <w:tcPr>
                  <w:tcW w:w="750" w:type="dxa"/>
                  <w:noWrap w:val="0"/>
                  <w:vAlign w:val="center"/>
                </w:tcPr>
                <w:p w14:paraId="3ED6D65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10副</w:t>
                  </w:r>
                </w:p>
              </w:tc>
              <w:tc>
                <w:tcPr>
                  <w:tcW w:w="811" w:type="dxa"/>
                  <w:noWrap w:val="0"/>
                  <w:vAlign w:val="center"/>
                </w:tcPr>
                <w:p w14:paraId="55BE768E">
                  <w:pPr>
                    <w:keepNext w:val="0"/>
                    <w:keepLines w:val="0"/>
                    <w:pageBreakBefore w:val="0"/>
                    <w:widowControl/>
                    <w:kinsoku/>
                    <w:wordWrap/>
                    <w:overflowPunct/>
                    <w:topLinePunct w:val="0"/>
                    <w:autoSpaceDE/>
                    <w:autoSpaceDN/>
                    <w:bidi w:val="0"/>
                    <w:ind w:right="0" w:rightChars="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600h</w:t>
                  </w:r>
                </w:p>
              </w:tc>
              <w:tc>
                <w:tcPr>
                  <w:tcW w:w="876" w:type="dxa"/>
                  <w:vMerge w:val="continue"/>
                  <w:noWrap w:val="0"/>
                  <w:vAlign w:val="center"/>
                </w:tcPr>
                <w:p w14:paraId="50859EE5">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p>
              </w:tc>
            </w:tr>
            <w:tr w14:paraId="0BC49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941" w:type="dxa"/>
                  <w:vMerge w:val="continue"/>
                  <w:noWrap w:val="0"/>
                  <w:vAlign w:val="center"/>
                </w:tcPr>
                <w:p w14:paraId="3F59EC00">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58B9EA73">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3227FA1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排流电阻表</w:t>
                  </w:r>
                </w:p>
              </w:tc>
              <w:tc>
                <w:tcPr>
                  <w:tcW w:w="2594" w:type="dxa"/>
                  <w:noWrap w:val="0"/>
                  <w:vAlign w:val="center"/>
                </w:tcPr>
                <w:p w14:paraId="3933A63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埋入式，精度：±0.1℃</w:t>
                  </w:r>
                </w:p>
              </w:tc>
              <w:tc>
                <w:tcPr>
                  <w:tcW w:w="750" w:type="dxa"/>
                  <w:noWrap w:val="0"/>
                  <w:vAlign w:val="center"/>
                </w:tcPr>
                <w:p w14:paraId="1380DAF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1副</w:t>
                  </w:r>
                </w:p>
              </w:tc>
              <w:tc>
                <w:tcPr>
                  <w:tcW w:w="811" w:type="dxa"/>
                  <w:noWrap w:val="0"/>
                  <w:vAlign w:val="center"/>
                </w:tcPr>
                <w:p w14:paraId="3FC3D271">
                  <w:pPr>
                    <w:keepNext w:val="0"/>
                    <w:keepLines w:val="0"/>
                    <w:pageBreakBefore w:val="0"/>
                    <w:widowControl/>
                    <w:kinsoku/>
                    <w:wordWrap/>
                    <w:overflowPunct/>
                    <w:topLinePunct w:val="0"/>
                    <w:autoSpaceDE/>
                    <w:autoSpaceDN/>
                    <w:bidi w:val="0"/>
                    <w:ind w:right="0" w:rightChars="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600h</w:t>
                  </w:r>
                </w:p>
              </w:tc>
              <w:tc>
                <w:tcPr>
                  <w:tcW w:w="876" w:type="dxa"/>
                  <w:vMerge w:val="continue"/>
                  <w:noWrap w:val="0"/>
                  <w:vAlign w:val="center"/>
                </w:tcPr>
                <w:p w14:paraId="60FC0F6D">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p>
              </w:tc>
            </w:tr>
            <w:tr w14:paraId="07AA0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941" w:type="dxa"/>
                  <w:vMerge w:val="continue"/>
                  <w:noWrap w:val="0"/>
                  <w:vAlign w:val="center"/>
                </w:tcPr>
                <w:p w14:paraId="69700B34">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4B76364A">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70C9CD2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电阻表</w:t>
                  </w:r>
                </w:p>
              </w:tc>
              <w:tc>
                <w:tcPr>
                  <w:tcW w:w="2594" w:type="dxa"/>
                  <w:noWrap w:val="0"/>
                  <w:vAlign w:val="center"/>
                </w:tcPr>
                <w:p w14:paraId="5883A61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计量范围最小值不应大于1mΩ，分辨率应在1μΩ</w:t>
                  </w:r>
                </w:p>
              </w:tc>
              <w:tc>
                <w:tcPr>
                  <w:tcW w:w="750" w:type="dxa"/>
                  <w:noWrap w:val="0"/>
                  <w:vAlign w:val="center"/>
                </w:tcPr>
                <w:p w14:paraId="2B2843A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1副</w:t>
                  </w:r>
                </w:p>
              </w:tc>
              <w:tc>
                <w:tcPr>
                  <w:tcW w:w="811" w:type="dxa"/>
                  <w:noWrap w:val="0"/>
                  <w:vAlign w:val="center"/>
                </w:tcPr>
                <w:p w14:paraId="5CBB23D6">
                  <w:pPr>
                    <w:keepNext w:val="0"/>
                    <w:keepLines w:val="0"/>
                    <w:pageBreakBefore w:val="0"/>
                    <w:widowControl/>
                    <w:kinsoku/>
                    <w:wordWrap/>
                    <w:overflowPunct/>
                    <w:topLinePunct w:val="0"/>
                    <w:autoSpaceDE/>
                    <w:autoSpaceDN/>
                    <w:bidi w:val="0"/>
                    <w:ind w:right="0" w:rightChars="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600h</w:t>
                  </w:r>
                </w:p>
              </w:tc>
              <w:tc>
                <w:tcPr>
                  <w:tcW w:w="876" w:type="dxa"/>
                  <w:vMerge w:val="continue"/>
                  <w:noWrap w:val="0"/>
                  <w:vAlign w:val="center"/>
                </w:tcPr>
                <w:p w14:paraId="38A77F6C">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p>
              </w:tc>
            </w:tr>
            <w:tr w14:paraId="5D6D5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941" w:type="dxa"/>
                  <w:vMerge w:val="continue"/>
                  <w:noWrap w:val="0"/>
                  <w:vAlign w:val="center"/>
                </w:tcPr>
                <w:p w14:paraId="4514A945">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7089E24C">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4427175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分析天平</w:t>
                  </w:r>
                </w:p>
              </w:tc>
              <w:tc>
                <w:tcPr>
                  <w:tcW w:w="2594" w:type="dxa"/>
                  <w:noWrap w:val="0"/>
                  <w:vAlign w:val="center"/>
                </w:tcPr>
                <w:p w14:paraId="11DD71A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500V兆欧表</w:t>
                  </w:r>
                </w:p>
              </w:tc>
              <w:tc>
                <w:tcPr>
                  <w:tcW w:w="750" w:type="dxa"/>
                  <w:noWrap w:val="0"/>
                  <w:vAlign w:val="center"/>
                </w:tcPr>
                <w:p w14:paraId="3BBD871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811" w:type="dxa"/>
                  <w:noWrap w:val="0"/>
                  <w:vAlign w:val="center"/>
                </w:tcPr>
                <w:p w14:paraId="471905F3">
                  <w:pPr>
                    <w:keepNext w:val="0"/>
                    <w:keepLines w:val="0"/>
                    <w:pageBreakBefore w:val="0"/>
                    <w:widowControl/>
                    <w:kinsoku/>
                    <w:wordWrap/>
                    <w:overflowPunct/>
                    <w:topLinePunct w:val="0"/>
                    <w:autoSpaceDE/>
                    <w:autoSpaceDN/>
                    <w:bidi w:val="0"/>
                    <w:ind w:right="0" w:rightChars="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600h</w:t>
                  </w:r>
                </w:p>
              </w:tc>
              <w:tc>
                <w:tcPr>
                  <w:tcW w:w="876" w:type="dxa"/>
                  <w:vMerge w:val="continue"/>
                  <w:noWrap w:val="0"/>
                  <w:vAlign w:val="center"/>
                </w:tcPr>
                <w:p w14:paraId="53F88C48">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p>
              </w:tc>
            </w:tr>
            <w:tr w14:paraId="265CA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941" w:type="dxa"/>
                  <w:vMerge w:val="continue"/>
                  <w:noWrap w:val="0"/>
                  <w:vAlign w:val="center"/>
                </w:tcPr>
                <w:p w14:paraId="74B059ED">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517DE2E1">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4B58440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净水天平</w:t>
                  </w:r>
                </w:p>
              </w:tc>
              <w:tc>
                <w:tcPr>
                  <w:tcW w:w="2594" w:type="dxa"/>
                  <w:noWrap w:val="0"/>
                  <w:vAlign w:val="center"/>
                </w:tcPr>
                <w:p w14:paraId="4EF3375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感量：0.0001g</w:t>
                  </w:r>
                </w:p>
              </w:tc>
              <w:tc>
                <w:tcPr>
                  <w:tcW w:w="750" w:type="dxa"/>
                  <w:noWrap w:val="0"/>
                  <w:vAlign w:val="center"/>
                </w:tcPr>
                <w:p w14:paraId="3A06F23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811" w:type="dxa"/>
                  <w:noWrap w:val="0"/>
                  <w:vAlign w:val="center"/>
                </w:tcPr>
                <w:p w14:paraId="65BF9754">
                  <w:pPr>
                    <w:keepNext w:val="0"/>
                    <w:keepLines w:val="0"/>
                    <w:pageBreakBefore w:val="0"/>
                    <w:widowControl/>
                    <w:kinsoku/>
                    <w:wordWrap/>
                    <w:overflowPunct/>
                    <w:topLinePunct w:val="0"/>
                    <w:autoSpaceDE/>
                    <w:autoSpaceDN/>
                    <w:bidi w:val="0"/>
                    <w:ind w:right="0" w:rightChars="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600h</w:t>
                  </w:r>
                </w:p>
              </w:tc>
              <w:tc>
                <w:tcPr>
                  <w:tcW w:w="876" w:type="dxa"/>
                  <w:vMerge w:val="continue"/>
                  <w:noWrap w:val="0"/>
                  <w:vAlign w:val="center"/>
                </w:tcPr>
                <w:p w14:paraId="6A948CED">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p>
              </w:tc>
            </w:tr>
            <w:tr w14:paraId="2B50D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941" w:type="dxa"/>
                  <w:vMerge w:val="continue"/>
                  <w:noWrap w:val="0"/>
                  <w:vAlign w:val="center"/>
                </w:tcPr>
                <w:p w14:paraId="56894219">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6996C712">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558306A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电子天平</w:t>
                  </w:r>
                </w:p>
              </w:tc>
              <w:tc>
                <w:tcPr>
                  <w:tcW w:w="2594" w:type="dxa"/>
                  <w:noWrap w:val="0"/>
                  <w:vAlign w:val="center"/>
                </w:tcPr>
                <w:p w14:paraId="4F614DF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量程5000g、感量0.1g</w:t>
                  </w:r>
                </w:p>
              </w:tc>
              <w:tc>
                <w:tcPr>
                  <w:tcW w:w="750" w:type="dxa"/>
                  <w:noWrap w:val="0"/>
                  <w:vAlign w:val="center"/>
                </w:tcPr>
                <w:p w14:paraId="33DDC96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811" w:type="dxa"/>
                  <w:noWrap w:val="0"/>
                  <w:vAlign w:val="center"/>
                </w:tcPr>
                <w:p w14:paraId="5B2FD6A1">
                  <w:pPr>
                    <w:keepNext w:val="0"/>
                    <w:keepLines w:val="0"/>
                    <w:pageBreakBefore w:val="0"/>
                    <w:widowControl/>
                    <w:kinsoku/>
                    <w:wordWrap/>
                    <w:overflowPunct/>
                    <w:topLinePunct w:val="0"/>
                    <w:autoSpaceDE/>
                    <w:autoSpaceDN/>
                    <w:bidi w:val="0"/>
                    <w:ind w:right="0" w:rightChars="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600h</w:t>
                  </w:r>
                </w:p>
              </w:tc>
              <w:tc>
                <w:tcPr>
                  <w:tcW w:w="876" w:type="dxa"/>
                  <w:vMerge w:val="continue"/>
                  <w:noWrap w:val="0"/>
                  <w:vAlign w:val="center"/>
                </w:tcPr>
                <w:p w14:paraId="6449B096">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p>
              </w:tc>
            </w:tr>
            <w:tr w14:paraId="0584F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941" w:type="dxa"/>
                  <w:vMerge w:val="continue"/>
                  <w:noWrap w:val="0"/>
                  <w:vAlign w:val="center"/>
                </w:tcPr>
                <w:p w14:paraId="5F1E9BBA">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3E8BA0C9">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6A7328A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天平</w:t>
                  </w:r>
                </w:p>
              </w:tc>
              <w:tc>
                <w:tcPr>
                  <w:tcW w:w="2594" w:type="dxa"/>
                  <w:noWrap w:val="0"/>
                  <w:vAlign w:val="center"/>
                </w:tcPr>
                <w:p w14:paraId="4911296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量程100g、感量0.01g</w:t>
                  </w:r>
                </w:p>
              </w:tc>
              <w:tc>
                <w:tcPr>
                  <w:tcW w:w="750" w:type="dxa"/>
                  <w:noWrap w:val="0"/>
                  <w:vAlign w:val="center"/>
                </w:tcPr>
                <w:p w14:paraId="0A0159A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811" w:type="dxa"/>
                  <w:noWrap w:val="0"/>
                  <w:vAlign w:val="center"/>
                </w:tcPr>
                <w:p w14:paraId="3AC818CF">
                  <w:pPr>
                    <w:keepNext w:val="0"/>
                    <w:keepLines w:val="0"/>
                    <w:pageBreakBefore w:val="0"/>
                    <w:widowControl/>
                    <w:kinsoku/>
                    <w:wordWrap/>
                    <w:overflowPunct/>
                    <w:topLinePunct w:val="0"/>
                    <w:autoSpaceDE/>
                    <w:autoSpaceDN/>
                    <w:bidi w:val="0"/>
                    <w:ind w:right="0" w:rightChars="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600h</w:t>
                  </w:r>
                </w:p>
              </w:tc>
              <w:tc>
                <w:tcPr>
                  <w:tcW w:w="876" w:type="dxa"/>
                  <w:vMerge w:val="continue"/>
                  <w:noWrap w:val="0"/>
                  <w:vAlign w:val="center"/>
                </w:tcPr>
                <w:p w14:paraId="20572A81">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p>
              </w:tc>
            </w:tr>
            <w:tr w14:paraId="243CF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941" w:type="dxa"/>
                  <w:vMerge w:val="continue"/>
                  <w:noWrap w:val="0"/>
                  <w:vAlign w:val="center"/>
                </w:tcPr>
                <w:p w14:paraId="414DC3D5">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004199E7">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2131" w:type="dxa"/>
                  <w:noWrap w:val="0"/>
                  <w:vAlign w:val="center"/>
                </w:tcPr>
                <w:p w14:paraId="21C2657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专用游标卡尺</w:t>
                  </w:r>
                </w:p>
              </w:tc>
              <w:tc>
                <w:tcPr>
                  <w:tcW w:w="2594" w:type="dxa"/>
                  <w:noWrap w:val="0"/>
                  <w:vAlign w:val="center"/>
                </w:tcPr>
                <w:p w14:paraId="6280E7F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量程10kg、感量1g</w:t>
                  </w:r>
                </w:p>
              </w:tc>
              <w:tc>
                <w:tcPr>
                  <w:tcW w:w="750" w:type="dxa"/>
                  <w:noWrap w:val="0"/>
                  <w:vAlign w:val="center"/>
                </w:tcPr>
                <w:p w14:paraId="5265E4C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1把</w:t>
                  </w:r>
                </w:p>
              </w:tc>
              <w:tc>
                <w:tcPr>
                  <w:tcW w:w="811" w:type="dxa"/>
                  <w:noWrap w:val="0"/>
                  <w:vAlign w:val="center"/>
                </w:tcPr>
                <w:p w14:paraId="2F4A5EB0">
                  <w:pPr>
                    <w:keepNext w:val="0"/>
                    <w:keepLines w:val="0"/>
                    <w:pageBreakBefore w:val="0"/>
                    <w:widowControl/>
                    <w:kinsoku/>
                    <w:wordWrap/>
                    <w:overflowPunct/>
                    <w:topLinePunct w:val="0"/>
                    <w:autoSpaceDE/>
                    <w:autoSpaceDN/>
                    <w:bidi w:val="0"/>
                    <w:ind w:right="0" w:rightChars="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600h</w:t>
                  </w:r>
                </w:p>
              </w:tc>
              <w:tc>
                <w:tcPr>
                  <w:tcW w:w="876" w:type="dxa"/>
                  <w:vMerge w:val="continue"/>
                  <w:noWrap w:val="0"/>
                  <w:vAlign w:val="center"/>
                </w:tcPr>
                <w:p w14:paraId="4E0476EC">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p>
              </w:tc>
            </w:tr>
            <w:tr w14:paraId="2E824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 w:hRule="atLeast"/>
                <w:jc w:val="center"/>
              </w:trPr>
              <w:tc>
                <w:tcPr>
                  <w:tcW w:w="941" w:type="dxa"/>
                  <w:noWrap w:val="0"/>
                  <w:vAlign w:val="center"/>
                </w:tcPr>
                <w:p w14:paraId="707DB8BF">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辅助公共单元</w:t>
                  </w:r>
                </w:p>
              </w:tc>
              <w:tc>
                <w:tcPr>
                  <w:tcW w:w="990" w:type="dxa"/>
                  <w:noWrap w:val="0"/>
                  <w:vAlign w:val="center"/>
                </w:tcPr>
                <w:p w14:paraId="6690FEAC">
                  <w:pPr>
                    <w:keepNext w:val="0"/>
                    <w:keepLines w:val="0"/>
                    <w:pageBreakBefore w:val="0"/>
                    <w:kinsoku/>
                    <w:wordWrap/>
                    <w:overflowPunct/>
                    <w:topLinePunct w:val="0"/>
                    <w:autoSpaceDE/>
                    <w:autoSpaceDN/>
                    <w:bidi w:val="0"/>
                    <w:ind w:right="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设备动能</w:t>
                  </w:r>
                </w:p>
              </w:tc>
              <w:tc>
                <w:tcPr>
                  <w:tcW w:w="2131" w:type="dxa"/>
                  <w:noWrap w:val="0"/>
                  <w:vAlign w:val="center"/>
                </w:tcPr>
                <w:p w14:paraId="43C6D6A5">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空压机</w:t>
                  </w:r>
                </w:p>
              </w:tc>
              <w:tc>
                <w:tcPr>
                  <w:tcW w:w="2594" w:type="dxa"/>
                  <w:noWrap w:val="0"/>
                  <w:vAlign w:val="center"/>
                </w:tcPr>
                <w:p w14:paraId="01B6F7E4">
                  <w:pPr>
                    <w:adjustRightInd w:val="0"/>
                    <w:snapToGrid w:val="0"/>
                    <w:jc w:val="center"/>
                    <w:rPr>
                      <w:rFonts w:hint="default" w:ascii="Times New Roman" w:hAnsi="Times New Roman" w:eastAsia="宋体" w:cs="Times New Roman"/>
                      <w:bCs/>
                      <w:color w:val="auto"/>
                      <w:spacing w:val="4"/>
                      <w:szCs w:val="21"/>
                      <w:highlight w:val="none"/>
                      <w:lang w:val="en-US" w:eastAsia="zh-CN"/>
                    </w:rPr>
                  </w:pPr>
                  <w:r>
                    <w:rPr>
                      <w:rFonts w:hint="default" w:ascii="Times New Roman" w:hAnsi="Times New Roman" w:cs="Times New Roman"/>
                      <w:color w:val="auto"/>
                      <w:highlight w:val="none"/>
                    </w:rPr>
                    <w:t>功率</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37kw</w:t>
                  </w:r>
                </w:p>
              </w:tc>
              <w:tc>
                <w:tcPr>
                  <w:tcW w:w="750" w:type="dxa"/>
                  <w:noWrap w:val="0"/>
                  <w:vAlign w:val="center"/>
                </w:tcPr>
                <w:p w14:paraId="345F6BB1">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lang w:val="en-US" w:eastAsia="zh-CN"/>
                    </w:rPr>
                    <w:t>2</w:t>
                  </w:r>
                  <w:r>
                    <w:rPr>
                      <w:rFonts w:hint="default" w:ascii="Times New Roman" w:hAnsi="Times New Roman" w:cs="Times New Roman"/>
                      <w:color w:val="auto"/>
                      <w:kern w:val="0"/>
                      <w:szCs w:val="21"/>
                      <w:highlight w:val="none"/>
                    </w:rPr>
                    <w:t>台</w:t>
                  </w:r>
                </w:p>
              </w:tc>
              <w:tc>
                <w:tcPr>
                  <w:tcW w:w="811" w:type="dxa"/>
                  <w:noWrap w:val="0"/>
                  <w:vAlign w:val="center"/>
                </w:tcPr>
                <w:p w14:paraId="4B6DE1DF">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3600h</w:t>
                  </w:r>
                </w:p>
              </w:tc>
              <w:tc>
                <w:tcPr>
                  <w:tcW w:w="876" w:type="dxa"/>
                  <w:noWrap w:val="0"/>
                  <w:vAlign w:val="center"/>
                </w:tcPr>
                <w:p w14:paraId="45D26732">
                  <w:pPr>
                    <w:keepNext w:val="0"/>
                    <w:keepLines w:val="0"/>
                    <w:pageBreakBefore w:val="0"/>
                    <w:widowControl/>
                    <w:kinsoku/>
                    <w:wordWrap/>
                    <w:overflowPunct/>
                    <w:topLinePunct w:val="0"/>
                    <w:autoSpaceDE/>
                    <w:autoSpaceDN/>
                    <w:bidi w:val="0"/>
                    <w:ind w:right="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空压机房</w:t>
                  </w:r>
                </w:p>
              </w:tc>
            </w:tr>
            <w:tr w14:paraId="66358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1" w:type="dxa"/>
                  <w:vMerge w:val="restart"/>
                  <w:noWrap w:val="0"/>
                  <w:vAlign w:val="center"/>
                </w:tcPr>
                <w:p w14:paraId="585EDE36">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环保单元</w:t>
                  </w:r>
                </w:p>
              </w:tc>
              <w:tc>
                <w:tcPr>
                  <w:tcW w:w="990" w:type="dxa"/>
                  <w:vMerge w:val="restart"/>
                  <w:noWrap w:val="0"/>
                  <w:vAlign w:val="center"/>
                </w:tcPr>
                <w:p w14:paraId="136AFF7D">
                  <w:pPr>
                    <w:adjustRightInd w:val="0"/>
                    <w:snapToGrid w:val="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废水处理系统</w:t>
                  </w:r>
                </w:p>
              </w:tc>
              <w:tc>
                <w:tcPr>
                  <w:tcW w:w="2131" w:type="dxa"/>
                  <w:noWrap w:val="0"/>
                  <w:vAlign w:val="center"/>
                </w:tcPr>
                <w:p w14:paraId="42ED8D40">
                  <w:pPr>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初期雨水收集池</w:t>
                  </w:r>
                </w:p>
              </w:tc>
              <w:tc>
                <w:tcPr>
                  <w:tcW w:w="2594" w:type="dxa"/>
                  <w:noWrap w:val="0"/>
                  <w:vAlign w:val="center"/>
                </w:tcPr>
                <w:p w14:paraId="336C6F31">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L×B×H</w:t>
                  </w:r>
                  <w:r>
                    <w:rPr>
                      <w:rFonts w:hint="default" w:ascii="Times New Roman" w:hAnsi="Times New Roman" w:eastAsia="宋体" w:cs="Times New Roman"/>
                      <w:color w:val="auto"/>
                      <w:kern w:val="0"/>
                      <w:sz w:val="21"/>
                      <w:szCs w:val="21"/>
                      <w:highlight w:val="none"/>
                      <w:lang w:eastAsia="zh-CN"/>
                    </w:rPr>
                    <w:t>：</w:t>
                  </w:r>
                  <w:r>
                    <w:rPr>
                      <w:rFonts w:hint="default" w:ascii="Times New Roman" w:hAnsi="Times New Roman" w:cs="Times New Roman"/>
                      <w:color w:val="auto"/>
                      <w:kern w:val="0"/>
                      <w:sz w:val="21"/>
                      <w:szCs w:val="21"/>
                      <w:highlight w:val="none"/>
                      <w:lang w:val="en-US" w:eastAsia="zh-CN"/>
                    </w:rPr>
                    <w:t>25m</w:t>
                  </w:r>
                  <w:r>
                    <w:rPr>
                      <w:rFonts w:hint="default" w:ascii="Times New Roman" w:hAnsi="Times New Roman" w:cs="Times New Roman"/>
                      <w:color w:val="auto"/>
                      <w:kern w:val="0"/>
                      <w:sz w:val="21"/>
                      <w:szCs w:val="21"/>
                      <w:highlight w:val="none"/>
                    </w:rPr>
                    <w:t>×</w:t>
                  </w:r>
                  <w:r>
                    <w:rPr>
                      <w:rFonts w:hint="default" w:ascii="Times New Roman" w:hAnsi="Times New Roman" w:cs="Times New Roman"/>
                      <w:color w:val="auto"/>
                      <w:kern w:val="0"/>
                      <w:sz w:val="21"/>
                      <w:szCs w:val="21"/>
                      <w:highlight w:val="none"/>
                      <w:lang w:val="en-US" w:eastAsia="zh-CN"/>
                    </w:rPr>
                    <w:t>20m</w:t>
                  </w:r>
                  <w:r>
                    <w:rPr>
                      <w:rFonts w:hint="default" w:ascii="Times New Roman" w:hAnsi="Times New Roman" w:cs="Times New Roman"/>
                      <w:color w:val="auto"/>
                      <w:kern w:val="0"/>
                      <w:sz w:val="21"/>
                      <w:szCs w:val="21"/>
                      <w:highlight w:val="none"/>
                    </w:rPr>
                    <w:t>×</w:t>
                  </w:r>
                  <w:r>
                    <w:rPr>
                      <w:rFonts w:hint="default" w:ascii="Times New Roman" w:hAnsi="Times New Roman" w:cs="Times New Roman"/>
                      <w:color w:val="auto"/>
                      <w:kern w:val="0"/>
                      <w:sz w:val="21"/>
                      <w:szCs w:val="21"/>
                      <w:highlight w:val="none"/>
                      <w:lang w:val="en-US" w:eastAsia="zh-CN"/>
                    </w:rPr>
                    <w:t>2.4</w:t>
                  </w:r>
                  <w:r>
                    <w:rPr>
                      <w:rFonts w:hint="default" w:ascii="Times New Roman" w:hAnsi="Times New Roman" w:cs="Times New Roman"/>
                      <w:color w:val="auto"/>
                      <w:kern w:val="0"/>
                      <w:sz w:val="21"/>
                      <w:szCs w:val="21"/>
                      <w:highlight w:val="none"/>
                    </w:rPr>
                    <w:t>m</w:t>
                  </w:r>
                  <w:r>
                    <w:rPr>
                      <w:rFonts w:hint="default" w:ascii="Times New Roman" w:hAnsi="Times New Roman" w:cs="Times New Roman"/>
                      <w:color w:val="auto"/>
                      <w:kern w:val="0"/>
                      <w:sz w:val="21"/>
                      <w:szCs w:val="21"/>
                      <w:highlight w:val="none"/>
                      <w:lang w:eastAsia="zh-CN"/>
                    </w:rPr>
                    <w:t>；</w:t>
                  </w:r>
                  <w:r>
                    <w:rPr>
                      <w:rFonts w:hint="default" w:ascii="Times New Roman" w:hAnsi="Times New Roman" w:cs="Times New Roman"/>
                      <w:color w:val="auto"/>
                      <w:kern w:val="0"/>
                      <w:sz w:val="21"/>
                      <w:szCs w:val="21"/>
                      <w:highlight w:val="none"/>
                      <w:lang w:val="en-US" w:eastAsia="zh-CN"/>
                    </w:rPr>
                    <w:t>总容积：1200m</w:t>
                  </w:r>
                  <w:r>
                    <w:rPr>
                      <w:rFonts w:hint="default" w:ascii="Times New Roman" w:hAnsi="Times New Roman" w:cs="Times New Roman"/>
                      <w:color w:val="auto"/>
                      <w:kern w:val="0"/>
                      <w:sz w:val="21"/>
                      <w:szCs w:val="21"/>
                      <w:highlight w:val="none"/>
                      <w:vertAlign w:val="superscript"/>
                      <w:lang w:val="en-US" w:eastAsia="zh-CN"/>
                    </w:rPr>
                    <w:t>3</w:t>
                  </w:r>
                </w:p>
              </w:tc>
              <w:tc>
                <w:tcPr>
                  <w:tcW w:w="750" w:type="dxa"/>
                  <w:noWrap w:val="0"/>
                  <w:vAlign w:val="center"/>
                </w:tcPr>
                <w:p w14:paraId="699735D7">
                  <w:pPr>
                    <w:pStyle w:val="16"/>
                    <w:keepNext w:val="0"/>
                    <w:keepLines w:val="0"/>
                    <w:pageBreakBefore w:val="0"/>
                    <w:kinsoku/>
                    <w:wordWrap/>
                    <w:overflowPunct/>
                    <w:topLinePunct w:val="0"/>
                    <w:autoSpaceDE/>
                    <w:autoSpaceDN/>
                    <w:bidi w:val="0"/>
                    <w:spacing w:before="0" w:after="0" w:line="240" w:lineRule="auto"/>
                    <w:ind w:right="0" w:right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1个</w:t>
                  </w:r>
                </w:p>
              </w:tc>
              <w:tc>
                <w:tcPr>
                  <w:tcW w:w="811" w:type="dxa"/>
                  <w:noWrap w:val="0"/>
                  <w:vAlign w:val="center"/>
                </w:tcPr>
                <w:p w14:paraId="3A23DC1E">
                  <w:pPr>
                    <w:pStyle w:val="16"/>
                    <w:keepNext w:val="0"/>
                    <w:keepLines w:val="0"/>
                    <w:pageBreakBefore w:val="0"/>
                    <w:kinsoku/>
                    <w:wordWrap/>
                    <w:overflowPunct/>
                    <w:topLinePunct w:val="0"/>
                    <w:autoSpaceDE/>
                    <w:autoSpaceDN/>
                    <w:bidi w:val="0"/>
                    <w:spacing w:before="0" w:after="0" w:line="240" w:lineRule="auto"/>
                    <w:ind w:right="0" w:right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876" w:type="dxa"/>
                  <w:noWrap w:val="0"/>
                  <w:vAlign w:val="center"/>
                </w:tcPr>
                <w:p w14:paraId="18078A2D">
                  <w:pPr>
                    <w:pStyle w:val="16"/>
                    <w:keepNext w:val="0"/>
                    <w:keepLines w:val="0"/>
                    <w:pageBreakBefore w:val="0"/>
                    <w:kinsoku/>
                    <w:wordWrap/>
                    <w:overflowPunct/>
                    <w:topLinePunct w:val="0"/>
                    <w:autoSpaceDE/>
                    <w:autoSpaceDN/>
                    <w:bidi w:val="0"/>
                    <w:spacing w:before="0" w:after="0" w:line="240" w:lineRule="auto"/>
                    <w:ind w:right="0" w:right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碎石料仓南面</w:t>
                  </w:r>
                </w:p>
              </w:tc>
            </w:tr>
            <w:tr w14:paraId="1A803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941" w:type="dxa"/>
                  <w:vMerge w:val="continue"/>
                  <w:noWrap w:val="0"/>
                  <w:vAlign w:val="center"/>
                </w:tcPr>
                <w:p w14:paraId="1E3467CD">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52B9BEFF">
                  <w:pPr>
                    <w:adjustRightInd w:val="0"/>
                    <w:snapToGrid w:val="0"/>
                    <w:jc w:val="center"/>
                    <w:rPr>
                      <w:rFonts w:hint="default" w:ascii="Times New Roman" w:hAnsi="Times New Roman" w:eastAsia="宋体" w:cs="Times New Roman"/>
                      <w:bCs/>
                      <w:color w:val="auto"/>
                      <w:szCs w:val="21"/>
                      <w:highlight w:val="none"/>
                      <w:lang w:val="en-US" w:eastAsia="zh-CN"/>
                    </w:rPr>
                  </w:pPr>
                </w:p>
              </w:tc>
              <w:tc>
                <w:tcPr>
                  <w:tcW w:w="2131" w:type="dxa"/>
                  <w:noWrap w:val="0"/>
                  <w:vAlign w:val="center"/>
                </w:tcPr>
                <w:p w14:paraId="3F455E80">
                  <w:pPr>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调节混凝絮凝+三级沉淀池</w:t>
                  </w:r>
                </w:p>
              </w:tc>
              <w:tc>
                <w:tcPr>
                  <w:tcW w:w="2594" w:type="dxa"/>
                  <w:noWrap w:val="0"/>
                  <w:vAlign w:val="center"/>
                </w:tcPr>
                <w:p w14:paraId="0D1C8E90">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lang w:val="en-US" w:eastAsia="zh-CN"/>
                    </w:rPr>
                    <w:t>总</w:t>
                  </w:r>
                  <w:r>
                    <w:rPr>
                      <w:rFonts w:hint="default" w:ascii="Times New Roman" w:hAnsi="Times New Roman" w:eastAsia="宋体" w:cs="Times New Roman"/>
                      <w:color w:val="auto"/>
                      <w:kern w:val="0"/>
                      <w:sz w:val="21"/>
                      <w:szCs w:val="21"/>
                      <w:highlight w:val="none"/>
                    </w:rPr>
                    <w:t>L×B×H</w:t>
                  </w:r>
                  <w:r>
                    <w:rPr>
                      <w:rFonts w:hint="default" w:ascii="Times New Roman" w:hAnsi="Times New Roman" w:eastAsia="宋体" w:cs="Times New Roman"/>
                      <w:color w:val="auto"/>
                      <w:kern w:val="0"/>
                      <w:sz w:val="21"/>
                      <w:szCs w:val="21"/>
                      <w:highlight w:val="none"/>
                      <w:lang w:eastAsia="zh-CN"/>
                    </w:rPr>
                    <w:t>：</w:t>
                  </w:r>
                  <w:r>
                    <w:rPr>
                      <w:rFonts w:hint="default" w:ascii="Times New Roman" w:hAnsi="Times New Roman" w:cs="Times New Roman"/>
                      <w:color w:val="auto"/>
                      <w:kern w:val="0"/>
                      <w:sz w:val="21"/>
                      <w:szCs w:val="21"/>
                      <w:highlight w:val="none"/>
                      <w:lang w:val="en-US" w:eastAsia="zh-CN"/>
                    </w:rPr>
                    <w:t>4m</w:t>
                  </w:r>
                  <w:r>
                    <w:rPr>
                      <w:rFonts w:hint="default" w:ascii="Times New Roman" w:hAnsi="Times New Roman" w:cs="Times New Roman"/>
                      <w:color w:val="auto"/>
                      <w:kern w:val="0"/>
                      <w:sz w:val="21"/>
                      <w:szCs w:val="21"/>
                      <w:highlight w:val="none"/>
                    </w:rPr>
                    <w:t>×</w:t>
                  </w:r>
                  <w:r>
                    <w:rPr>
                      <w:rFonts w:hint="default" w:ascii="Times New Roman" w:hAnsi="Times New Roman" w:cs="Times New Roman"/>
                      <w:color w:val="auto"/>
                      <w:kern w:val="0"/>
                      <w:sz w:val="21"/>
                      <w:szCs w:val="21"/>
                      <w:highlight w:val="none"/>
                      <w:lang w:val="en-US" w:eastAsia="zh-CN"/>
                    </w:rPr>
                    <w:t>2m</w:t>
                  </w:r>
                  <w:r>
                    <w:rPr>
                      <w:rFonts w:hint="default" w:ascii="Times New Roman" w:hAnsi="Times New Roman" w:cs="Times New Roman"/>
                      <w:color w:val="auto"/>
                      <w:kern w:val="0"/>
                      <w:sz w:val="21"/>
                      <w:szCs w:val="21"/>
                      <w:highlight w:val="none"/>
                    </w:rPr>
                    <w:t>×</w:t>
                  </w:r>
                  <w:r>
                    <w:rPr>
                      <w:rFonts w:hint="default" w:ascii="Times New Roman" w:hAnsi="Times New Roman" w:cs="Times New Roman"/>
                      <w:color w:val="auto"/>
                      <w:kern w:val="0"/>
                      <w:sz w:val="21"/>
                      <w:szCs w:val="21"/>
                      <w:highlight w:val="none"/>
                      <w:lang w:val="en-US" w:eastAsia="zh-CN"/>
                    </w:rPr>
                    <w:t>2.2</w:t>
                  </w:r>
                  <w:r>
                    <w:rPr>
                      <w:rFonts w:hint="default" w:ascii="Times New Roman" w:hAnsi="Times New Roman" w:cs="Times New Roman"/>
                      <w:color w:val="auto"/>
                      <w:kern w:val="0"/>
                      <w:sz w:val="21"/>
                      <w:szCs w:val="21"/>
                      <w:highlight w:val="none"/>
                    </w:rPr>
                    <w:t>m</w:t>
                  </w:r>
                  <w:r>
                    <w:rPr>
                      <w:rFonts w:hint="default" w:ascii="Times New Roman" w:hAnsi="Times New Roman" w:cs="Times New Roman"/>
                      <w:color w:val="auto"/>
                      <w:kern w:val="0"/>
                      <w:sz w:val="21"/>
                      <w:szCs w:val="21"/>
                      <w:highlight w:val="none"/>
                      <w:lang w:eastAsia="zh-CN"/>
                    </w:rPr>
                    <w:t>；</w:t>
                  </w:r>
                  <w:r>
                    <w:rPr>
                      <w:rFonts w:hint="default" w:ascii="Times New Roman" w:hAnsi="Times New Roman" w:eastAsia="宋体" w:cs="Times New Roman"/>
                      <w:color w:val="auto"/>
                      <w:kern w:val="2"/>
                      <w:sz w:val="21"/>
                      <w:szCs w:val="21"/>
                      <w:highlight w:val="none"/>
                      <w:lang w:val="en-US" w:eastAsia="zh-CN" w:bidi="ar-SA"/>
                    </w:rPr>
                    <w:t>总有效容积</w:t>
                  </w:r>
                  <w:r>
                    <w:rPr>
                      <w:rFonts w:hint="default" w:ascii="Times New Roman" w:hAnsi="Times New Roman" w:cs="Times New Roman"/>
                      <w:color w:val="auto"/>
                      <w:kern w:val="0"/>
                      <w:sz w:val="21"/>
                      <w:szCs w:val="21"/>
                      <w:highlight w:val="none"/>
                      <w:lang w:val="en-US" w:eastAsia="zh-CN"/>
                    </w:rPr>
                    <w:t>6.5m</w:t>
                  </w:r>
                  <w:r>
                    <w:rPr>
                      <w:rFonts w:hint="default" w:ascii="Times New Roman" w:hAnsi="Times New Roman" w:cs="Times New Roman"/>
                      <w:color w:val="auto"/>
                      <w:kern w:val="0"/>
                      <w:sz w:val="21"/>
                      <w:szCs w:val="21"/>
                      <w:highlight w:val="none"/>
                      <w:vertAlign w:val="superscript"/>
                      <w:lang w:val="en-US" w:eastAsia="zh-CN"/>
                    </w:rPr>
                    <w:t>3</w:t>
                  </w:r>
                </w:p>
              </w:tc>
              <w:tc>
                <w:tcPr>
                  <w:tcW w:w="750" w:type="dxa"/>
                  <w:noWrap w:val="0"/>
                  <w:vAlign w:val="center"/>
                </w:tcPr>
                <w:p w14:paraId="39160350">
                  <w:pPr>
                    <w:pStyle w:val="16"/>
                    <w:keepNext w:val="0"/>
                    <w:keepLines w:val="0"/>
                    <w:pageBreakBefore w:val="0"/>
                    <w:kinsoku/>
                    <w:wordWrap/>
                    <w:overflowPunct/>
                    <w:topLinePunct w:val="0"/>
                    <w:autoSpaceDE/>
                    <w:autoSpaceDN/>
                    <w:bidi w:val="0"/>
                    <w:spacing w:before="0" w:after="0" w:line="240" w:lineRule="auto"/>
                    <w:ind w:right="0" w:right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1套</w:t>
                  </w:r>
                </w:p>
              </w:tc>
              <w:tc>
                <w:tcPr>
                  <w:tcW w:w="811" w:type="dxa"/>
                  <w:noWrap w:val="0"/>
                  <w:vAlign w:val="center"/>
                </w:tcPr>
                <w:p w14:paraId="02E50956">
                  <w:pPr>
                    <w:pStyle w:val="16"/>
                    <w:keepNext w:val="0"/>
                    <w:keepLines w:val="0"/>
                    <w:pageBreakBefore w:val="0"/>
                    <w:kinsoku/>
                    <w:wordWrap/>
                    <w:overflowPunct/>
                    <w:topLinePunct w:val="0"/>
                    <w:autoSpaceDE/>
                    <w:autoSpaceDN/>
                    <w:bidi w:val="0"/>
                    <w:spacing w:before="0" w:after="0" w:line="240" w:lineRule="auto"/>
                    <w:ind w:right="0" w:right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876" w:type="dxa"/>
                  <w:noWrap w:val="0"/>
                  <w:vAlign w:val="center"/>
                </w:tcPr>
                <w:p w14:paraId="0CAC07D1">
                  <w:pPr>
                    <w:keepNext w:val="0"/>
                    <w:keepLines w:val="0"/>
                    <w:pageBreakBefore w:val="0"/>
                    <w:kinsoku/>
                    <w:wordWrap/>
                    <w:overflowPunct/>
                    <w:topLinePunct w:val="0"/>
                    <w:autoSpaceDE/>
                    <w:autoSpaceDN/>
                    <w:bidi w:val="0"/>
                    <w:spacing w:before="0" w:after="0" w:line="240" w:lineRule="auto"/>
                    <w:ind w:right="0" w:right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搅拌楼东侧</w:t>
                  </w:r>
                </w:p>
              </w:tc>
            </w:tr>
            <w:tr w14:paraId="3B496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1" w:type="dxa"/>
                  <w:vMerge w:val="continue"/>
                  <w:noWrap w:val="0"/>
                  <w:vAlign w:val="center"/>
                </w:tcPr>
                <w:p w14:paraId="4D803F3A">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0F7E96BB">
                  <w:pPr>
                    <w:adjustRightInd w:val="0"/>
                    <w:snapToGrid w:val="0"/>
                    <w:jc w:val="center"/>
                    <w:rPr>
                      <w:rFonts w:hint="default" w:ascii="Times New Roman" w:hAnsi="Times New Roman" w:eastAsia="宋体" w:cs="Times New Roman"/>
                      <w:bCs/>
                      <w:color w:val="auto"/>
                      <w:szCs w:val="21"/>
                      <w:highlight w:val="none"/>
                      <w:lang w:val="en-US" w:eastAsia="zh-CN"/>
                    </w:rPr>
                  </w:pPr>
                </w:p>
              </w:tc>
              <w:tc>
                <w:tcPr>
                  <w:tcW w:w="2131" w:type="dxa"/>
                  <w:noWrap w:val="0"/>
                  <w:vAlign w:val="center"/>
                </w:tcPr>
                <w:p w14:paraId="24A74EC5">
                  <w:pPr>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回用水池</w:t>
                  </w:r>
                </w:p>
              </w:tc>
              <w:tc>
                <w:tcPr>
                  <w:tcW w:w="2594" w:type="dxa"/>
                  <w:noWrap w:val="0"/>
                  <w:vAlign w:val="center"/>
                </w:tcPr>
                <w:p w14:paraId="47C9D665">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L×B×H</w:t>
                  </w:r>
                  <w:r>
                    <w:rPr>
                      <w:rFonts w:hint="default" w:ascii="Times New Roman" w:hAnsi="Times New Roman" w:eastAsia="宋体" w:cs="Times New Roman"/>
                      <w:color w:val="auto"/>
                      <w:kern w:val="0"/>
                      <w:sz w:val="21"/>
                      <w:szCs w:val="21"/>
                      <w:highlight w:val="none"/>
                      <w:lang w:eastAsia="zh-CN"/>
                    </w:rPr>
                    <w:t>：</w:t>
                  </w:r>
                  <w:r>
                    <w:rPr>
                      <w:rFonts w:hint="default" w:ascii="Times New Roman" w:hAnsi="Times New Roman" w:cs="Times New Roman"/>
                      <w:color w:val="auto"/>
                      <w:kern w:val="0"/>
                      <w:szCs w:val="21"/>
                      <w:highlight w:val="none"/>
                      <w:lang w:val="en-US" w:eastAsia="zh-CN"/>
                    </w:rPr>
                    <w:t>2</w:t>
                  </w:r>
                  <w:r>
                    <w:rPr>
                      <w:rFonts w:hint="default" w:ascii="Times New Roman" w:hAnsi="Times New Roman" w:cs="Times New Roman"/>
                      <w:color w:val="auto"/>
                      <w:kern w:val="0"/>
                      <w:szCs w:val="21"/>
                      <w:highlight w:val="none"/>
                    </w:rPr>
                    <w:t>m×</w:t>
                  </w:r>
                  <w:r>
                    <w:rPr>
                      <w:rFonts w:hint="default" w:ascii="Times New Roman" w:hAnsi="Times New Roman" w:cs="Times New Roman"/>
                      <w:color w:val="auto"/>
                      <w:kern w:val="0"/>
                      <w:szCs w:val="21"/>
                      <w:highlight w:val="none"/>
                      <w:lang w:val="en-US" w:eastAsia="zh-CN"/>
                    </w:rPr>
                    <w:t>2</w:t>
                  </w:r>
                  <w:r>
                    <w:rPr>
                      <w:rFonts w:hint="default" w:ascii="Times New Roman" w:hAnsi="Times New Roman" w:cs="Times New Roman"/>
                      <w:color w:val="auto"/>
                      <w:kern w:val="0"/>
                      <w:szCs w:val="21"/>
                      <w:highlight w:val="none"/>
                    </w:rPr>
                    <w:t>m×</w:t>
                  </w:r>
                  <w:r>
                    <w:rPr>
                      <w:rFonts w:hint="default" w:ascii="Times New Roman" w:hAnsi="Times New Roman" w:cs="Times New Roman"/>
                      <w:color w:val="auto"/>
                      <w:kern w:val="0"/>
                      <w:szCs w:val="21"/>
                      <w:highlight w:val="none"/>
                      <w:lang w:val="en-US" w:eastAsia="zh-CN"/>
                    </w:rPr>
                    <w:t>2</w:t>
                  </w:r>
                  <w:r>
                    <w:rPr>
                      <w:rFonts w:hint="default" w:ascii="Times New Roman" w:hAnsi="Times New Roman" w:cs="Times New Roman"/>
                      <w:color w:val="auto"/>
                      <w:kern w:val="0"/>
                      <w:szCs w:val="21"/>
                      <w:highlight w:val="none"/>
                    </w:rPr>
                    <w:t>.</w:t>
                  </w:r>
                  <w:r>
                    <w:rPr>
                      <w:rFonts w:hint="default" w:ascii="Times New Roman" w:hAnsi="Times New Roman" w:cs="Times New Roman"/>
                      <w:color w:val="auto"/>
                      <w:kern w:val="0"/>
                      <w:szCs w:val="21"/>
                      <w:highlight w:val="none"/>
                      <w:lang w:val="en-US" w:eastAsia="zh-CN"/>
                    </w:rPr>
                    <w:t>2</w:t>
                  </w:r>
                  <w:r>
                    <w:rPr>
                      <w:rFonts w:hint="default" w:ascii="Times New Roman" w:hAnsi="Times New Roman" w:cs="Times New Roman"/>
                      <w:color w:val="auto"/>
                      <w:kern w:val="0"/>
                      <w:szCs w:val="21"/>
                      <w:highlight w:val="none"/>
                    </w:rPr>
                    <w:t>m</w:t>
                  </w:r>
                  <w:r>
                    <w:rPr>
                      <w:rFonts w:hint="default" w:ascii="Times New Roman" w:hAnsi="Times New Roman" w:cs="Times New Roman"/>
                      <w:color w:val="auto"/>
                      <w:kern w:val="0"/>
                      <w:sz w:val="21"/>
                      <w:szCs w:val="21"/>
                      <w:highlight w:val="none"/>
                      <w:lang w:eastAsia="zh-CN"/>
                    </w:rPr>
                    <w:t>；</w:t>
                  </w:r>
                  <w:r>
                    <w:rPr>
                      <w:rFonts w:hint="default" w:ascii="Times New Roman" w:hAnsi="Times New Roman" w:cs="Times New Roman"/>
                      <w:color w:val="auto"/>
                      <w:kern w:val="0"/>
                      <w:sz w:val="21"/>
                      <w:szCs w:val="21"/>
                      <w:highlight w:val="none"/>
                      <w:lang w:val="en-US" w:eastAsia="zh-CN"/>
                    </w:rPr>
                    <w:t>有效容积：8m</w:t>
                  </w:r>
                  <w:r>
                    <w:rPr>
                      <w:rFonts w:hint="default" w:ascii="Times New Roman" w:hAnsi="Times New Roman" w:cs="Times New Roman"/>
                      <w:color w:val="auto"/>
                      <w:kern w:val="0"/>
                      <w:sz w:val="21"/>
                      <w:szCs w:val="21"/>
                      <w:highlight w:val="none"/>
                      <w:vertAlign w:val="superscript"/>
                      <w:lang w:val="en-US" w:eastAsia="zh-CN"/>
                    </w:rPr>
                    <w:t>3</w:t>
                  </w:r>
                </w:p>
              </w:tc>
              <w:tc>
                <w:tcPr>
                  <w:tcW w:w="750" w:type="dxa"/>
                  <w:noWrap w:val="0"/>
                  <w:vAlign w:val="center"/>
                </w:tcPr>
                <w:p w14:paraId="73979F5A">
                  <w:pPr>
                    <w:pStyle w:val="16"/>
                    <w:keepNext w:val="0"/>
                    <w:keepLines w:val="0"/>
                    <w:pageBreakBefore w:val="0"/>
                    <w:kinsoku/>
                    <w:wordWrap/>
                    <w:overflowPunct/>
                    <w:topLinePunct w:val="0"/>
                    <w:autoSpaceDE/>
                    <w:autoSpaceDN/>
                    <w:bidi w:val="0"/>
                    <w:spacing w:before="0" w:after="0" w:line="240" w:lineRule="auto"/>
                    <w:ind w:right="0" w:right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1个</w:t>
                  </w:r>
                </w:p>
              </w:tc>
              <w:tc>
                <w:tcPr>
                  <w:tcW w:w="811" w:type="dxa"/>
                  <w:noWrap w:val="0"/>
                  <w:vAlign w:val="center"/>
                </w:tcPr>
                <w:p w14:paraId="4E6B948A">
                  <w:pPr>
                    <w:pStyle w:val="16"/>
                    <w:keepNext w:val="0"/>
                    <w:keepLines w:val="0"/>
                    <w:pageBreakBefore w:val="0"/>
                    <w:kinsoku/>
                    <w:wordWrap/>
                    <w:overflowPunct/>
                    <w:topLinePunct w:val="0"/>
                    <w:autoSpaceDE/>
                    <w:autoSpaceDN/>
                    <w:bidi w:val="0"/>
                    <w:spacing w:before="0" w:after="0" w:line="240" w:lineRule="auto"/>
                    <w:ind w:right="0" w:right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876" w:type="dxa"/>
                  <w:shd w:val="clear" w:color="auto" w:fill="auto"/>
                  <w:noWrap w:val="0"/>
                  <w:vAlign w:val="center"/>
                </w:tcPr>
                <w:p w14:paraId="78B39A26">
                  <w:pPr>
                    <w:keepNext w:val="0"/>
                    <w:keepLines w:val="0"/>
                    <w:pageBreakBefore w:val="0"/>
                    <w:kinsoku/>
                    <w:wordWrap/>
                    <w:overflowPunct/>
                    <w:topLinePunct w:val="0"/>
                    <w:autoSpaceDE/>
                    <w:autoSpaceDN/>
                    <w:bidi w:val="0"/>
                    <w:spacing w:before="0" w:after="0" w:line="240" w:lineRule="auto"/>
                    <w:ind w:right="0" w:rightChars="0"/>
                    <w:jc w:val="center"/>
                    <w:textAlignment w:val="auto"/>
                    <w:rPr>
                      <w:rFonts w:hint="default" w:ascii="Times New Roman" w:hAnsi="Times New Roman" w:cs="Times New Roman" w:eastAsiaTheme="minorEastAsia"/>
                      <w:color w:val="auto"/>
                      <w:kern w:val="0"/>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搅拌楼东侧</w:t>
                  </w:r>
                </w:p>
              </w:tc>
            </w:tr>
            <w:tr w14:paraId="27B49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941" w:type="dxa"/>
                  <w:vMerge w:val="continue"/>
                  <w:noWrap w:val="0"/>
                  <w:vAlign w:val="center"/>
                </w:tcPr>
                <w:p w14:paraId="2777BCC5">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restart"/>
                  <w:noWrap w:val="0"/>
                  <w:vAlign w:val="center"/>
                </w:tcPr>
                <w:p w14:paraId="38C3AFC7">
                  <w:pPr>
                    <w:adjustRightInd w:val="0"/>
                    <w:snapToGrid w:val="0"/>
                    <w:jc w:val="center"/>
                    <w:rPr>
                      <w:rFonts w:hint="default" w:ascii="Times New Roman" w:hAnsi="Times New Roman" w:cs="Times New Roman"/>
                      <w:bCs/>
                      <w:color w:val="auto"/>
                      <w:szCs w:val="21"/>
                      <w:highlight w:val="none"/>
                      <w:lang w:val="en-US" w:eastAsia="zh-CN"/>
                    </w:rPr>
                  </w:pPr>
                  <w:r>
                    <w:rPr>
                      <w:rFonts w:hint="default" w:ascii="Times New Roman" w:hAnsi="Times New Roman" w:cs="Times New Roman"/>
                      <w:bCs/>
                      <w:color w:val="auto"/>
                      <w:szCs w:val="21"/>
                      <w:highlight w:val="none"/>
                      <w:lang w:val="en-US" w:eastAsia="zh-CN"/>
                    </w:rPr>
                    <w:t>废气处理系统</w:t>
                  </w:r>
                </w:p>
              </w:tc>
              <w:tc>
                <w:tcPr>
                  <w:tcW w:w="2131" w:type="dxa"/>
                  <w:noWrap w:val="0"/>
                  <w:vAlign w:val="center"/>
                </w:tcPr>
                <w:p w14:paraId="5FC167E1">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脉冲布袋除尘器（搅拌设备自带）</w:t>
                  </w:r>
                </w:p>
              </w:tc>
              <w:tc>
                <w:tcPr>
                  <w:tcW w:w="2594" w:type="dxa"/>
                  <w:noWrap w:val="0"/>
                  <w:vAlign w:val="center"/>
                </w:tcPr>
                <w:p w14:paraId="3A0E64F9">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设计风量：2000</w:t>
                  </w:r>
                  <w:r>
                    <w:rPr>
                      <w:rFonts w:hint="default" w:ascii="Times New Roman" w:hAnsi="Times New Roman" w:cs="Times New Roman"/>
                      <w:color w:val="auto"/>
                      <w:kern w:val="0"/>
                      <w:sz w:val="21"/>
                      <w:szCs w:val="21"/>
                      <w:highlight w:val="none"/>
                      <w:lang w:val="en-US" w:eastAsia="zh-CN"/>
                    </w:rPr>
                    <w:t>m</w:t>
                  </w:r>
                  <w:r>
                    <w:rPr>
                      <w:rFonts w:hint="default" w:ascii="Times New Roman" w:hAnsi="Times New Roman" w:cs="Times New Roman"/>
                      <w:color w:val="auto"/>
                      <w:kern w:val="0"/>
                      <w:sz w:val="21"/>
                      <w:szCs w:val="21"/>
                      <w:highlight w:val="none"/>
                      <w:vertAlign w:val="superscript"/>
                      <w:lang w:val="en-US" w:eastAsia="zh-CN"/>
                    </w:rPr>
                    <w:t>3</w:t>
                  </w:r>
                  <w:r>
                    <w:rPr>
                      <w:rFonts w:hint="default" w:ascii="Times New Roman" w:hAnsi="Times New Roman" w:cs="Times New Roman"/>
                      <w:color w:val="auto"/>
                      <w:szCs w:val="21"/>
                      <w:highlight w:val="none"/>
                    </w:rPr>
                    <w:t>/h</w:t>
                  </w:r>
                </w:p>
              </w:tc>
              <w:tc>
                <w:tcPr>
                  <w:tcW w:w="750" w:type="dxa"/>
                  <w:noWrap w:val="0"/>
                  <w:vAlign w:val="center"/>
                </w:tcPr>
                <w:p w14:paraId="6E29C58F">
                  <w:pPr>
                    <w:pStyle w:val="16"/>
                    <w:keepNext w:val="0"/>
                    <w:keepLines w:val="0"/>
                    <w:pageBreakBefore w:val="0"/>
                    <w:kinsoku/>
                    <w:wordWrap/>
                    <w:overflowPunct/>
                    <w:topLinePunct w:val="0"/>
                    <w:autoSpaceDE/>
                    <w:autoSpaceDN/>
                    <w:bidi w:val="0"/>
                    <w:spacing w:before="0" w:after="0" w:line="240" w:lineRule="auto"/>
                    <w:ind w:right="0" w:right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4套</w:t>
                  </w:r>
                </w:p>
              </w:tc>
              <w:tc>
                <w:tcPr>
                  <w:tcW w:w="811" w:type="dxa"/>
                  <w:noWrap w:val="0"/>
                  <w:vAlign w:val="center"/>
                </w:tcPr>
                <w:p w14:paraId="1AB80AFB">
                  <w:pPr>
                    <w:keepNext w:val="0"/>
                    <w:keepLines w:val="0"/>
                    <w:pageBreakBefore w:val="0"/>
                    <w:widowControl/>
                    <w:kinsoku/>
                    <w:wordWrap/>
                    <w:overflowPunct/>
                    <w:topLinePunct w:val="0"/>
                    <w:autoSpaceDE/>
                    <w:autoSpaceDN/>
                    <w:bidi w:val="0"/>
                    <w:ind w:right="0" w:right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kern w:val="0"/>
                      <w:szCs w:val="21"/>
                      <w:highlight w:val="none"/>
                      <w:lang w:val="en-US" w:eastAsia="zh-CN"/>
                    </w:rPr>
                    <w:t>3600h</w:t>
                  </w:r>
                </w:p>
              </w:tc>
              <w:tc>
                <w:tcPr>
                  <w:tcW w:w="876" w:type="dxa"/>
                  <w:noWrap w:val="0"/>
                  <w:vAlign w:val="center"/>
                </w:tcPr>
                <w:p w14:paraId="12691EDE">
                  <w:pPr>
                    <w:pStyle w:val="16"/>
                    <w:keepNext w:val="0"/>
                    <w:keepLines w:val="0"/>
                    <w:pageBreakBefore w:val="0"/>
                    <w:kinsoku/>
                    <w:wordWrap/>
                    <w:overflowPunct/>
                    <w:topLinePunct w:val="0"/>
                    <w:autoSpaceDE/>
                    <w:autoSpaceDN/>
                    <w:bidi w:val="0"/>
                    <w:spacing w:before="0" w:after="0" w:line="240" w:lineRule="auto"/>
                    <w:ind w:right="0" w:right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r>
            <w:tr w14:paraId="59688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941" w:type="dxa"/>
                  <w:vMerge w:val="continue"/>
                  <w:noWrap w:val="0"/>
                  <w:vAlign w:val="center"/>
                </w:tcPr>
                <w:p w14:paraId="767E988E">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4F2B810A">
                  <w:pPr>
                    <w:adjustRightInd w:val="0"/>
                    <w:snapToGrid w:val="0"/>
                    <w:jc w:val="center"/>
                    <w:rPr>
                      <w:rFonts w:hint="default" w:ascii="Times New Roman" w:hAnsi="Times New Roman" w:cs="Times New Roman"/>
                      <w:bCs/>
                      <w:color w:val="auto"/>
                      <w:szCs w:val="21"/>
                      <w:highlight w:val="none"/>
                      <w:lang w:val="en-US" w:eastAsia="zh-CN"/>
                    </w:rPr>
                  </w:pPr>
                </w:p>
              </w:tc>
              <w:tc>
                <w:tcPr>
                  <w:tcW w:w="2131" w:type="dxa"/>
                  <w:noWrap w:val="0"/>
                  <w:vAlign w:val="center"/>
                </w:tcPr>
                <w:p w14:paraId="12BA68B5">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水泥筒自带</w:t>
                  </w:r>
                  <w:r>
                    <w:rPr>
                      <w:rFonts w:hint="default" w:ascii="Times New Roman" w:hAnsi="Times New Roman" w:eastAsia="宋体" w:cs="Times New Roman"/>
                      <w:color w:val="auto"/>
                      <w:kern w:val="2"/>
                      <w:sz w:val="21"/>
                      <w:szCs w:val="21"/>
                      <w:highlight w:val="none"/>
                      <w:lang w:val="en-US" w:eastAsia="zh-CN" w:bidi="ar-SA"/>
                    </w:rPr>
                    <w:t>脉冲布袋除尘器</w:t>
                  </w:r>
                </w:p>
              </w:tc>
              <w:tc>
                <w:tcPr>
                  <w:tcW w:w="2594" w:type="dxa"/>
                  <w:noWrap w:val="0"/>
                  <w:vAlign w:val="center"/>
                </w:tcPr>
                <w:p w14:paraId="619FC8BD">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w:t>
                  </w:r>
                </w:p>
              </w:tc>
              <w:tc>
                <w:tcPr>
                  <w:tcW w:w="750" w:type="dxa"/>
                  <w:noWrap w:val="0"/>
                  <w:vAlign w:val="center"/>
                </w:tcPr>
                <w:p w14:paraId="629B4B60">
                  <w:pPr>
                    <w:pStyle w:val="16"/>
                    <w:keepNext w:val="0"/>
                    <w:keepLines w:val="0"/>
                    <w:pageBreakBefore w:val="0"/>
                    <w:kinsoku/>
                    <w:wordWrap/>
                    <w:overflowPunct/>
                    <w:topLinePunct w:val="0"/>
                    <w:autoSpaceDE/>
                    <w:autoSpaceDN/>
                    <w:bidi w:val="0"/>
                    <w:spacing w:before="0" w:after="0" w:line="240" w:lineRule="auto"/>
                    <w:ind w:right="0" w:right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4套</w:t>
                  </w:r>
                </w:p>
              </w:tc>
              <w:tc>
                <w:tcPr>
                  <w:tcW w:w="811" w:type="dxa"/>
                  <w:noWrap w:val="0"/>
                  <w:vAlign w:val="center"/>
                </w:tcPr>
                <w:p w14:paraId="6EDB56D7">
                  <w:pPr>
                    <w:keepNext w:val="0"/>
                    <w:keepLines w:val="0"/>
                    <w:pageBreakBefore w:val="0"/>
                    <w:kinsoku/>
                    <w:wordWrap/>
                    <w:overflowPunct/>
                    <w:topLinePunct w:val="0"/>
                    <w:autoSpaceDE/>
                    <w:autoSpaceDN/>
                    <w:bidi w:val="0"/>
                    <w:spacing w:before="0" w:after="0" w:line="240" w:lineRule="auto"/>
                    <w:ind w:right="0" w:rightChars="0"/>
                    <w:jc w:val="center"/>
                    <w:textAlignment w:val="auto"/>
                    <w:rPr>
                      <w:rFonts w:hint="default" w:ascii="Times New Roman" w:hAnsi="Times New Roman"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en-US" w:eastAsia="zh-CN"/>
                    </w:rPr>
                    <w:t>1875</w:t>
                  </w:r>
                  <w:r>
                    <w:rPr>
                      <w:rFonts w:hint="default" w:ascii="Times New Roman" w:hAnsi="Times New Roman" w:cs="Times New Roman"/>
                      <w:color w:val="auto"/>
                      <w:kern w:val="0"/>
                      <w:szCs w:val="21"/>
                      <w:highlight w:val="none"/>
                      <w:lang w:val="en-US" w:eastAsia="zh-CN"/>
                    </w:rPr>
                    <w:t>h</w:t>
                  </w:r>
                </w:p>
              </w:tc>
              <w:tc>
                <w:tcPr>
                  <w:tcW w:w="876" w:type="dxa"/>
                  <w:noWrap w:val="0"/>
                  <w:vAlign w:val="center"/>
                </w:tcPr>
                <w:p w14:paraId="4A81A3D3">
                  <w:pPr>
                    <w:keepNext w:val="0"/>
                    <w:keepLines w:val="0"/>
                    <w:pageBreakBefore w:val="0"/>
                    <w:kinsoku/>
                    <w:wordWrap/>
                    <w:overflowPunct/>
                    <w:topLinePunct w:val="0"/>
                    <w:autoSpaceDE/>
                    <w:autoSpaceDN/>
                    <w:bidi w:val="0"/>
                    <w:spacing w:before="0" w:after="0" w:line="240" w:lineRule="auto"/>
                    <w:ind w:right="0" w:right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r>
            <w:tr w14:paraId="681AA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941" w:type="dxa"/>
                  <w:vMerge w:val="continue"/>
                  <w:noWrap w:val="0"/>
                  <w:vAlign w:val="center"/>
                </w:tcPr>
                <w:p w14:paraId="059D183D">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4D74265B">
                  <w:pPr>
                    <w:adjustRightInd w:val="0"/>
                    <w:snapToGrid w:val="0"/>
                    <w:jc w:val="center"/>
                    <w:rPr>
                      <w:rFonts w:hint="default" w:ascii="Times New Roman" w:hAnsi="Times New Roman" w:cs="Times New Roman"/>
                      <w:bCs/>
                      <w:color w:val="auto"/>
                      <w:szCs w:val="21"/>
                      <w:highlight w:val="none"/>
                      <w:lang w:val="en-US" w:eastAsia="zh-CN"/>
                    </w:rPr>
                  </w:pPr>
                </w:p>
              </w:tc>
              <w:tc>
                <w:tcPr>
                  <w:tcW w:w="2131" w:type="dxa"/>
                  <w:noWrap w:val="0"/>
                  <w:vAlign w:val="center"/>
                </w:tcPr>
                <w:p w14:paraId="5FC72C4E">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粉煤灰筒自带</w:t>
                  </w:r>
                  <w:r>
                    <w:rPr>
                      <w:rFonts w:hint="default" w:ascii="Times New Roman" w:hAnsi="Times New Roman" w:eastAsia="宋体" w:cs="Times New Roman"/>
                      <w:color w:val="auto"/>
                      <w:kern w:val="2"/>
                      <w:sz w:val="21"/>
                      <w:szCs w:val="21"/>
                      <w:highlight w:val="none"/>
                      <w:lang w:val="en-US" w:eastAsia="zh-CN" w:bidi="ar-SA"/>
                    </w:rPr>
                    <w:t>脉冲布袋除尘器</w:t>
                  </w:r>
                </w:p>
              </w:tc>
              <w:tc>
                <w:tcPr>
                  <w:tcW w:w="2594" w:type="dxa"/>
                  <w:noWrap w:val="0"/>
                  <w:vAlign w:val="center"/>
                </w:tcPr>
                <w:p w14:paraId="10E974C1">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w:t>
                  </w:r>
                </w:p>
              </w:tc>
              <w:tc>
                <w:tcPr>
                  <w:tcW w:w="750" w:type="dxa"/>
                  <w:shd w:val="clear" w:color="auto" w:fill="auto"/>
                  <w:noWrap w:val="0"/>
                  <w:vAlign w:val="center"/>
                </w:tcPr>
                <w:p w14:paraId="29140E3E">
                  <w:pPr>
                    <w:pStyle w:val="16"/>
                    <w:keepNext w:val="0"/>
                    <w:keepLines w:val="0"/>
                    <w:pageBreakBefore w:val="0"/>
                    <w:kinsoku/>
                    <w:wordWrap/>
                    <w:overflowPunct/>
                    <w:topLinePunct w:val="0"/>
                    <w:autoSpaceDE/>
                    <w:autoSpaceDN/>
                    <w:bidi w:val="0"/>
                    <w:spacing w:before="0" w:after="0" w:line="240" w:lineRule="auto"/>
                    <w:ind w:right="0" w:rightChars="0"/>
                    <w:jc w:val="center"/>
                    <w:textAlignment w:val="auto"/>
                    <w:rPr>
                      <w:rFonts w:hint="eastAsia" w:ascii="Times New Roman" w:hAnsi="Times New Roman" w:cs="Times New Roman" w:eastAsiaTheme="minorEastAsia"/>
                      <w:color w:val="auto"/>
                      <w:kern w:val="0"/>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2套</w:t>
                  </w:r>
                </w:p>
              </w:tc>
              <w:tc>
                <w:tcPr>
                  <w:tcW w:w="811" w:type="dxa"/>
                  <w:noWrap w:val="0"/>
                  <w:vAlign w:val="center"/>
                </w:tcPr>
                <w:p w14:paraId="47777A41">
                  <w:pPr>
                    <w:keepNext w:val="0"/>
                    <w:keepLines w:val="0"/>
                    <w:pageBreakBefore w:val="0"/>
                    <w:kinsoku/>
                    <w:wordWrap/>
                    <w:overflowPunct/>
                    <w:topLinePunct w:val="0"/>
                    <w:autoSpaceDE/>
                    <w:autoSpaceDN/>
                    <w:bidi w:val="0"/>
                    <w:spacing w:before="0" w:after="0" w:line="240" w:lineRule="auto"/>
                    <w:ind w:right="0" w:rightChars="0"/>
                    <w:jc w:val="center"/>
                    <w:textAlignment w:val="auto"/>
                    <w:rPr>
                      <w:rFonts w:hint="default" w:ascii="Times New Roman" w:hAnsi="Times New Roman"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en-US" w:eastAsia="zh-CN"/>
                    </w:rPr>
                    <w:t>410</w:t>
                  </w:r>
                  <w:r>
                    <w:rPr>
                      <w:rFonts w:hint="default" w:ascii="Times New Roman" w:hAnsi="Times New Roman" w:cs="Times New Roman"/>
                      <w:color w:val="auto"/>
                      <w:kern w:val="0"/>
                      <w:szCs w:val="21"/>
                      <w:highlight w:val="none"/>
                      <w:lang w:val="en-US" w:eastAsia="zh-CN"/>
                    </w:rPr>
                    <w:t>h</w:t>
                  </w:r>
                </w:p>
              </w:tc>
              <w:tc>
                <w:tcPr>
                  <w:tcW w:w="876" w:type="dxa"/>
                  <w:noWrap w:val="0"/>
                  <w:vAlign w:val="center"/>
                </w:tcPr>
                <w:p w14:paraId="59F24E59">
                  <w:pPr>
                    <w:keepNext w:val="0"/>
                    <w:keepLines w:val="0"/>
                    <w:pageBreakBefore w:val="0"/>
                    <w:kinsoku/>
                    <w:wordWrap/>
                    <w:overflowPunct/>
                    <w:topLinePunct w:val="0"/>
                    <w:autoSpaceDE/>
                    <w:autoSpaceDN/>
                    <w:bidi w:val="0"/>
                    <w:spacing w:before="0" w:after="0" w:line="240" w:lineRule="auto"/>
                    <w:ind w:right="0" w:right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r>
            <w:tr w14:paraId="16E1F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941" w:type="dxa"/>
                  <w:vMerge w:val="continue"/>
                  <w:noWrap w:val="0"/>
                  <w:vAlign w:val="center"/>
                </w:tcPr>
                <w:p w14:paraId="5ABC6F09">
                  <w:pPr>
                    <w:keepNext w:val="0"/>
                    <w:keepLines w:val="0"/>
                    <w:pageBreakBefore w:val="0"/>
                    <w:kinsoku/>
                    <w:wordWrap/>
                    <w:overflowPunct/>
                    <w:topLinePunct w:val="0"/>
                    <w:autoSpaceDE/>
                    <w:autoSpaceDN/>
                    <w:bidi w:val="0"/>
                    <w:ind w:right="0"/>
                    <w:jc w:val="center"/>
                    <w:textAlignment w:val="auto"/>
                    <w:rPr>
                      <w:rFonts w:hint="default" w:ascii="Times New Roman" w:hAnsi="Times New Roman" w:cs="Times New Roman"/>
                      <w:color w:val="auto"/>
                      <w:szCs w:val="21"/>
                      <w:highlight w:val="none"/>
                      <w:lang w:val="en-US" w:eastAsia="zh-CN"/>
                    </w:rPr>
                  </w:pPr>
                </w:p>
              </w:tc>
              <w:tc>
                <w:tcPr>
                  <w:tcW w:w="990" w:type="dxa"/>
                  <w:vMerge w:val="continue"/>
                  <w:noWrap w:val="0"/>
                  <w:vAlign w:val="center"/>
                </w:tcPr>
                <w:p w14:paraId="332F7AD9">
                  <w:pPr>
                    <w:adjustRightInd w:val="0"/>
                    <w:snapToGrid w:val="0"/>
                    <w:jc w:val="center"/>
                    <w:rPr>
                      <w:rFonts w:hint="default" w:ascii="Times New Roman" w:hAnsi="Times New Roman" w:cs="Times New Roman"/>
                      <w:bCs/>
                      <w:color w:val="auto"/>
                      <w:szCs w:val="21"/>
                      <w:highlight w:val="none"/>
                    </w:rPr>
                  </w:pPr>
                </w:p>
              </w:tc>
              <w:tc>
                <w:tcPr>
                  <w:tcW w:w="2131" w:type="dxa"/>
                  <w:noWrap w:val="0"/>
                  <w:vAlign w:val="center"/>
                </w:tcPr>
                <w:p w14:paraId="2EFD8259">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移动式烟尘净化器</w:t>
                  </w:r>
                </w:p>
              </w:tc>
              <w:tc>
                <w:tcPr>
                  <w:tcW w:w="2594" w:type="dxa"/>
                  <w:noWrap w:val="0"/>
                  <w:vAlign w:val="center"/>
                </w:tcPr>
                <w:p w14:paraId="2AD29967">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设计风量：3000</w:t>
                  </w:r>
                  <w:r>
                    <w:rPr>
                      <w:rFonts w:hint="default" w:ascii="Times New Roman" w:hAnsi="Times New Roman" w:cs="Times New Roman"/>
                      <w:color w:val="auto"/>
                      <w:kern w:val="0"/>
                      <w:sz w:val="21"/>
                      <w:szCs w:val="21"/>
                      <w:highlight w:val="none"/>
                      <w:lang w:val="en-US" w:eastAsia="zh-CN"/>
                    </w:rPr>
                    <w:t>m</w:t>
                  </w:r>
                  <w:r>
                    <w:rPr>
                      <w:rFonts w:hint="default" w:ascii="Times New Roman" w:hAnsi="Times New Roman" w:cs="Times New Roman"/>
                      <w:color w:val="auto"/>
                      <w:kern w:val="0"/>
                      <w:sz w:val="21"/>
                      <w:szCs w:val="21"/>
                      <w:highlight w:val="none"/>
                      <w:vertAlign w:val="superscript"/>
                      <w:lang w:val="en-US" w:eastAsia="zh-CN"/>
                    </w:rPr>
                    <w:t>3</w:t>
                  </w:r>
                  <w:r>
                    <w:rPr>
                      <w:rFonts w:hint="default" w:ascii="Times New Roman" w:hAnsi="Times New Roman" w:cs="Times New Roman"/>
                      <w:color w:val="auto"/>
                      <w:szCs w:val="21"/>
                      <w:highlight w:val="none"/>
                    </w:rPr>
                    <w:t>/h</w:t>
                  </w:r>
                </w:p>
              </w:tc>
              <w:tc>
                <w:tcPr>
                  <w:tcW w:w="750" w:type="dxa"/>
                  <w:noWrap w:val="0"/>
                  <w:vAlign w:val="center"/>
                </w:tcPr>
                <w:p w14:paraId="74748170">
                  <w:pPr>
                    <w:pStyle w:val="16"/>
                    <w:keepNext w:val="0"/>
                    <w:keepLines w:val="0"/>
                    <w:pageBreakBefore w:val="0"/>
                    <w:kinsoku/>
                    <w:wordWrap/>
                    <w:overflowPunct/>
                    <w:topLinePunct w:val="0"/>
                    <w:autoSpaceDE/>
                    <w:autoSpaceDN/>
                    <w:bidi w:val="0"/>
                    <w:spacing w:before="0" w:after="0" w:line="240" w:lineRule="auto"/>
                    <w:ind w:right="0" w:right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1套</w:t>
                  </w:r>
                </w:p>
              </w:tc>
              <w:tc>
                <w:tcPr>
                  <w:tcW w:w="811" w:type="dxa"/>
                  <w:noWrap w:val="0"/>
                  <w:vAlign w:val="center"/>
                </w:tcPr>
                <w:p w14:paraId="29B89350">
                  <w:pPr>
                    <w:keepNext w:val="0"/>
                    <w:keepLines w:val="0"/>
                    <w:pageBreakBefore w:val="0"/>
                    <w:widowControl/>
                    <w:kinsoku/>
                    <w:wordWrap/>
                    <w:overflowPunct/>
                    <w:topLinePunct w:val="0"/>
                    <w:autoSpaceDE/>
                    <w:autoSpaceDN/>
                    <w:bidi w:val="0"/>
                    <w:ind w:right="0" w:right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kern w:val="0"/>
                      <w:szCs w:val="21"/>
                      <w:highlight w:val="none"/>
                      <w:lang w:val="en-US" w:eastAsia="zh-CN"/>
                    </w:rPr>
                    <w:t>3600h</w:t>
                  </w:r>
                </w:p>
              </w:tc>
              <w:tc>
                <w:tcPr>
                  <w:tcW w:w="876" w:type="dxa"/>
                  <w:noWrap w:val="0"/>
                  <w:vAlign w:val="center"/>
                </w:tcPr>
                <w:p w14:paraId="13279FE5">
                  <w:pPr>
                    <w:pStyle w:val="16"/>
                    <w:keepNext w:val="0"/>
                    <w:keepLines w:val="0"/>
                    <w:pageBreakBefore w:val="0"/>
                    <w:kinsoku/>
                    <w:wordWrap/>
                    <w:overflowPunct/>
                    <w:topLinePunct w:val="0"/>
                    <w:autoSpaceDE/>
                    <w:autoSpaceDN/>
                    <w:bidi w:val="0"/>
                    <w:spacing w:before="0" w:after="0" w:line="240" w:lineRule="auto"/>
                    <w:ind w:right="0" w:right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r>
            <w:tr w14:paraId="4CE37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9093" w:type="dxa"/>
                  <w:gridSpan w:val="7"/>
                  <w:noWrap w:val="0"/>
                  <w:vAlign w:val="center"/>
                </w:tcPr>
                <w:p w14:paraId="2C2D78D2">
                  <w:pPr>
                    <w:pStyle w:val="16"/>
                    <w:keepNext w:val="0"/>
                    <w:keepLines w:val="0"/>
                    <w:pageBreakBefore w:val="0"/>
                    <w:kinsoku/>
                    <w:wordWrap/>
                    <w:overflowPunct/>
                    <w:topLinePunct w:val="0"/>
                    <w:autoSpaceDE/>
                    <w:autoSpaceDN/>
                    <w:bidi w:val="0"/>
                    <w:spacing w:before="0" w:after="0" w:line="240" w:lineRule="auto"/>
                    <w:ind w:right="0" w:rightChars="0"/>
                    <w:jc w:val="left"/>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b/>
                      <w:bCs/>
                      <w:color w:val="auto"/>
                      <w:sz w:val="21"/>
                      <w:szCs w:val="21"/>
                      <w:highlight w:val="none"/>
                      <w:lang w:val="en-US" w:eastAsia="zh-CN"/>
                    </w:rPr>
                    <w:t>备注：本项目除1t/h燃天然气锅炉使用管道天然气能源，其他设备均使用电能。</w:t>
                  </w:r>
                </w:p>
              </w:tc>
            </w:tr>
          </w:tbl>
          <w:p w14:paraId="58302C7C">
            <w:pPr>
              <w:keepNext w:val="0"/>
              <w:keepLines w:val="0"/>
              <w:pageBreakBefore w:val="0"/>
              <w:widowControl w:val="0"/>
              <w:kinsoku/>
              <w:wordWrap/>
              <w:overflowPunct/>
              <w:topLinePunct w:val="0"/>
              <w:autoSpaceDE/>
              <w:autoSpaceDN/>
              <w:bidi w:val="0"/>
              <w:adjustRightInd w:val="0"/>
              <w:snapToGrid w:val="0"/>
              <w:spacing w:line="240" w:lineRule="auto"/>
              <w:ind w:firstLine="422" w:firstLineChars="200"/>
              <w:textAlignment w:val="auto"/>
              <w:rPr>
                <w:rFonts w:hint="default" w:ascii="Times New Roman" w:hAnsi="Times New Roman" w:eastAsia="宋体" w:cs="Times New Roman"/>
                <w:b/>
                <w:color w:val="auto"/>
                <w:szCs w:val="21"/>
                <w:highlight w:val="none"/>
                <w:lang w:val="en-US" w:eastAsia="zh-CN"/>
              </w:rPr>
            </w:pPr>
            <w:r>
              <w:rPr>
                <w:rFonts w:hint="default" w:ascii="Times New Roman" w:hAnsi="Times New Roman" w:cs="Times New Roman"/>
                <w:b/>
                <w:color w:val="auto"/>
                <w:szCs w:val="21"/>
                <w:highlight w:val="none"/>
                <w:lang w:val="en-US" w:eastAsia="zh-CN"/>
              </w:rPr>
              <w:t>根据上文原辅料情况一览表可知（搅拌环节不考虑损耗，物料损耗主要后续浇筑、成型及废水处理等环节），根据业主提供的信息，混凝土中间品的密度为2450kg/m</w:t>
            </w:r>
            <w:r>
              <w:rPr>
                <w:rFonts w:hint="default" w:ascii="Times New Roman" w:hAnsi="Times New Roman" w:cs="Times New Roman"/>
                <w:b/>
                <w:color w:val="auto"/>
                <w:szCs w:val="21"/>
                <w:highlight w:val="none"/>
                <w:vertAlign w:val="superscript"/>
                <w:lang w:val="en-US" w:eastAsia="zh-CN"/>
              </w:rPr>
              <w:t>3</w:t>
            </w:r>
            <w:r>
              <w:rPr>
                <w:rFonts w:hint="default" w:ascii="Times New Roman" w:hAnsi="Times New Roman" w:cs="Times New Roman"/>
                <w:b/>
                <w:color w:val="auto"/>
                <w:szCs w:val="21"/>
                <w:highlight w:val="none"/>
              </w:rPr>
              <w:t>，</w:t>
            </w:r>
            <w:r>
              <w:rPr>
                <w:rFonts w:hint="default" w:ascii="Times New Roman" w:hAnsi="Times New Roman" w:cs="Times New Roman"/>
                <w:b/>
                <w:color w:val="auto"/>
                <w:szCs w:val="21"/>
                <w:highlight w:val="none"/>
                <w:lang w:val="en-US" w:eastAsia="zh-CN"/>
              </w:rPr>
              <w:t>混凝土总生产量为490000t/a，即200000m</w:t>
            </w:r>
            <w:r>
              <w:rPr>
                <w:rFonts w:hint="default" w:ascii="Times New Roman" w:hAnsi="Times New Roman" w:cs="Times New Roman"/>
                <w:b/>
                <w:color w:val="auto"/>
                <w:szCs w:val="21"/>
                <w:highlight w:val="none"/>
                <w:vertAlign w:val="superscript"/>
                <w:lang w:val="en-US" w:eastAsia="zh-CN"/>
              </w:rPr>
              <w:t>3</w:t>
            </w:r>
            <w:r>
              <w:rPr>
                <w:rFonts w:hint="default" w:ascii="Times New Roman" w:hAnsi="Times New Roman" w:cs="Times New Roman"/>
                <w:b/>
                <w:color w:val="auto"/>
                <w:szCs w:val="21"/>
                <w:highlight w:val="none"/>
                <w:lang w:val="en-US" w:eastAsia="zh-CN"/>
              </w:rPr>
              <w:t>/a。</w:t>
            </w:r>
          </w:p>
          <w:p w14:paraId="3CF1AAC7">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cs="Times New Roman"/>
                <w:b w:val="0"/>
                <w:bCs/>
                <w:color w:val="auto"/>
                <w:sz w:val="24"/>
                <w:szCs w:val="24"/>
                <w:highlight w:val="none"/>
              </w:rPr>
            </w:pPr>
            <w:r>
              <w:rPr>
                <w:rFonts w:hint="default" w:ascii="Times New Roman" w:hAnsi="Times New Roman" w:cs="Times New Roman"/>
                <w:b/>
                <w:bCs w:val="0"/>
                <w:color w:val="auto"/>
                <w:sz w:val="24"/>
                <w:szCs w:val="24"/>
                <w:highlight w:val="none"/>
                <w:lang w:val="en-US" w:eastAsia="zh-CN"/>
              </w:rPr>
              <w:t>搅拌线产能匹配性分析：</w:t>
            </w:r>
            <w:r>
              <w:rPr>
                <w:rFonts w:hint="default" w:ascii="Times New Roman" w:hAnsi="Times New Roman" w:cs="Times New Roman"/>
                <w:b w:val="0"/>
                <w:bCs/>
                <w:color w:val="auto"/>
                <w:sz w:val="24"/>
                <w:szCs w:val="24"/>
                <w:highlight w:val="none"/>
              </w:rPr>
              <w:t>项目生产批次根据客户需求量而定，原料按需运送，</w:t>
            </w:r>
            <w:r>
              <w:rPr>
                <w:rFonts w:hint="default" w:ascii="Times New Roman" w:hAnsi="Times New Roman" w:cs="Times New Roman"/>
                <w:b w:val="0"/>
                <w:bCs/>
                <w:color w:val="auto"/>
                <w:sz w:val="24"/>
                <w:szCs w:val="24"/>
                <w:highlight w:val="none"/>
                <w:lang w:eastAsia="zh-CN"/>
              </w:rPr>
              <w:t>由于</w:t>
            </w:r>
            <w:r>
              <w:rPr>
                <w:rFonts w:hint="default" w:ascii="Times New Roman" w:hAnsi="Times New Roman" w:eastAsia="宋体" w:cs="Times New Roman"/>
                <w:b w:val="0"/>
                <w:bCs/>
                <w:color w:val="auto"/>
                <w:sz w:val="24"/>
                <w:szCs w:val="24"/>
                <w:highlight w:val="none"/>
              </w:rPr>
              <w:t>生产线（原料从计量→投料→搅拌→出料</w:t>
            </w:r>
            <w:r>
              <w:rPr>
                <w:rFonts w:hint="default" w:ascii="Times New Roman" w:hAnsi="Times New Roman" w:eastAsia="宋体" w:cs="Times New Roman"/>
                <w:b w:val="0"/>
                <w:bCs/>
                <w:color w:val="auto"/>
                <w:sz w:val="24"/>
                <w:szCs w:val="24"/>
                <w:highlight w:val="none"/>
                <w:lang w:val="en-US" w:eastAsia="zh-CN"/>
              </w:rPr>
              <w:t>入</w:t>
            </w:r>
            <w:r>
              <w:rPr>
                <w:rFonts w:hint="default" w:ascii="Times New Roman" w:hAnsi="Times New Roman" w:cs="Times New Roman"/>
                <w:color w:val="auto"/>
                <w:sz w:val="24"/>
                <w:highlight w:val="none"/>
                <w:lang w:val="en-US" w:eastAsia="zh-CN"/>
              </w:rPr>
              <w:t>轨道板及轨枕</w:t>
            </w:r>
            <w:r>
              <w:rPr>
                <w:rFonts w:hint="default" w:ascii="Times New Roman" w:hAnsi="Times New Roman" w:eastAsia="宋体" w:cs="Times New Roman"/>
                <w:b w:val="0"/>
                <w:bCs/>
                <w:color w:val="auto"/>
                <w:sz w:val="24"/>
                <w:szCs w:val="24"/>
                <w:highlight w:val="none"/>
                <w:lang w:val="en-US" w:eastAsia="zh-CN"/>
              </w:rPr>
              <w:t>成型生产</w:t>
            </w:r>
            <w:r>
              <w:rPr>
                <w:rFonts w:hint="default" w:ascii="Times New Roman" w:hAnsi="Times New Roman" w:eastAsia="宋体" w:cs="Times New Roman"/>
                <w:b w:val="0"/>
                <w:bCs/>
                <w:color w:val="auto"/>
                <w:sz w:val="24"/>
                <w:szCs w:val="24"/>
                <w:highlight w:val="none"/>
              </w:rPr>
              <w:t>）</w:t>
            </w:r>
            <w:r>
              <w:rPr>
                <w:rFonts w:hint="default" w:ascii="Times New Roman" w:hAnsi="Times New Roman" w:eastAsia="宋体" w:cs="Times New Roman"/>
                <w:b w:val="0"/>
                <w:bCs/>
                <w:color w:val="auto"/>
                <w:sz w:val="24"/>
                <w:szCs w:val="24"/>
                <w:highlight w:val="none"/>
                <w:lang w:eastAsia="zh-CN"/>
              </w:rPr>
              <w:t>为全自动化生产线，每批次总耗时约</w:t>
            </w:r>
            <w:r>
              <w:rPr>
                <w:rFonts w:hint="default" w:ascii="Times New Roman" w:hAnsi="Times New Roman" w:eastAsia="宋体" w:cs="Times New Roman"/>
                <w:b w:val="0"/>
                <w:bCs/>
                <w:color w:val="auto"/>
                <w:sz w:val="24"/>
                <w:szCs w:val="24"/>
                <w:highlight w:val="none"/>
                <w:lang w:val="en-US" w:eastAsia="zh-CN"/>
              </w:rPr>
              <w:t>5min，其中计量时间约1min，投料0.5min，搅拌3min（</w:t>
            </w:r>
            <w:r>
              <w:rPr>
                <w:rFonts w:hint="default" w:ascii="Times New Roman" w:hAnsi="Times New Roman" w:cs="Times New Roman"/>
                <w:b w:val="0"/>
                <w:bCs/>
                <w:color w:val="auto"/>
                <w:sz w:val="24"/>
                <w:szCs w:val="24"/>
                <w:highlight w:val="none"/>
              </w:rPr>
              <w:t>每次搅拌时间约为</w:t>
            </w:r>
            <w:r>
              <w:rPr>
                <w:rFonts w:hint="default" w:ascii="Times New Roman" w:hAnsi="Times New Roman" w:cs="Times New Roman"/>
                <w:b w:val="0"/>
                <w:bCs/>
                <w:color w:val="auto"/>
                <w:sz w:val="24"/>
                <w:szCs w:val="24"/>
                <w:highlight w:val="none"/>
                <w:lang w:val="en-US" w:eastAsia="zh-CN"/>
              </w:rPr>
              <w:t>90</w:t>
            </w:r>
            <w:r>
              <w:rPr>
                <w:rFonts w:hint="default" w:ascii="Times New Roman" w:hAnsi="Times New Roman" w:cs="Times New Roman"/>
                <w:b w:val="0"/>
                <w:bCs/>
                <w:color w:val="auto"/>
                <w:sz w:val="24"/>
                <w:szCs w:val="24"/>
                <w:highlight w:val="none"/>
              </w:rPr>
              <w:t>s，每批次需搅拌2次</w:t>
            </w:r>
            <w:r>
              <w:rPr>
                <w:rFonts w:hint="default" w:ascii="Times New Roman" w:hAnsi="Times New Roman" w:eastAsia="宋体" w:cs="Times New Roman"/>
                <w:b w:val="0"/>
                <w:bCs/>
                <w:color w:val="auto"/>
                <w:sz w:val="24"/>
                <w:szCs w:val="24"/>
                <w:highlight w:val="none"/>
                <w:lang w:val="en-US" w:eastAsia="zh-CN"/>
              </w:rPr>
              <w:t>），出料0.5min</w:t>
            </w:r>
            <w:r>
              <w:rPr>
                <w:rFonts w:hint="default" w:ascii="Times New Roman" w:hAnsi="Times New Roman" w:eastAsia="宋体" w:cs="Times New Roman"/>
                <w:b w:val="0"/>
                <w:bCs/>
                <w:color w:val="auto"/>
                <w:sz w:val="24"/>
                <w:szCs w:val="24"/>
                <w:highlight w:val="none"/>
                <w:lang w:eastAsia="zh-CN"/>
              </w:rPr>
              <w:t>。由于每批次搅拌时间</w:t>
            </w:r>
            <w:r>
              <w:rPr>
                <w:rFonts w:hint="default" w:ascii="Times New Roman" w:hAnsi="Times New Roman" w:eastAsia="宋体" w:cs="Times New Roman"/>
                <w:b w:val="0"/>
                <w:bCs/>
                <w:color w:val="auto"/>
                <w:sz w:val="24"/>
                <w:szCs w:val="24"/>
                <w:highlight w:val="none"/>
                <w:lang w:val="en-US" w:eastAsia="zh-CN"/>
              </w:rPr>
              <w:t>3min，则1小时合计生产批次为20批次，每天工作12小时，</w:t>
            </w:r>
            <w:r>
              <w:rPr>
                <w:rFonts w:hint="default" w:ascii="Times New Roman" w:hAnsi="Times New Roman" w:cs="Times New Roman"/>
                <w:b w:val="0"/>
                <w:bCs/>
                <w:color w:val="auto"/>
                <w:sz w:val="24"/>
                <w:szCs w:val="24"/>
                <w:highlight w:val="none"/>
              </w:rPr>
              <w:t>因每天有足够的原料供生产，故以搅拌时间计算每天最大生产批次为</w:t>
            </w:r>
            <w:r>
              <w:rPr>
                <w:rFonts w:hint="default" w:ascii="Times New Roman" w:hAnsi="Times New Roman" w:cs="Times New Roman"/>
                <w:b w:val="0"/>
                <w:bCs/>
                <w:color w:val="auto"/>
                <w:sz w:val="24"/>
                <w:szCs w:val="24"/>
                <w:highlight w:val="none"/>
                <w:lang w:val="en-US" w:eastAsia="zh-CN"/>
              </w:rPr>
              <w:t>240</w:t>
            </w:r>
            <w:r>
              <w:rPr>
                <w:rFonts w:hint="default" w:ascii="Times New Roman" w:hAnsi="Times New Roman" w:cs="Times New Roman"/>
                <w:b w:val="0"/>
                <w:bCs/>
                <w:color w:val="auto"/>
                <w:sz w:val="24"/>
                <w:szCs w:val="24"/>
                <w:highlight w:val="none"/>
              </w:rPr>
              <w:t>批次，</w:t>
            </w:r>
            <w:r>
              <w:rPr>
                <w:rFonts w:hint="default" w:ascii="Times New Roman" w:hAnsi="Times New Roman" w:cs="Times New Roman"/>
                <w:b w:val="0"/>
                <w:bCs/>
                <w:color w:val="auto"/>
                <w:sz w:val="24"/>
                <w:szCs w:val="24"/>
                <w:highlight w:val="none"/>
                <w:lang w:val="en-US" w:eastAsia="zh-CN"/>
              </w:rPr>
              <w:t>2台搅拌设备总容积为4</w:t>
            </w:r>
            <w:r>
              <w:rPr>
                <w:rFonts w:hint="default" w:ascii="Times New Roman" w:hAnsi="Times New Roman" w:cs="Times New Roman"/>
                <w:b w:val="0"/>
                <w:bCs/>
                <w:color w:val="auto"/>
                <w:sz w:val="24"/>
                <w:szCs w:val="24"/>
                <w:highlight w:val="none"/>
              </w:rPr>
              <w:t>m</w:t>
            </w:r>
            <w:r>
              <w:rPr>
                <w:rFonts w:hint="default" w:ascii="Times New Roman" w:hAnsi="Times New Roman" w:cs="Times New Roman"/>
                <w:b w:val="0"/>
                <w:bCs/>
                <w:color w:val="auto"/>
                <w:sz w:val="24"/>
                <w:szCs w:val="24"/>
                <w:highlight w:val="none"/>
                <w:vertAlign w:val="superscript"/>
              </w:rPr>
              <w:t>3</w:t>
            </w:r>
            <w:r>
              <w:rPr>
                <w:rFonts w:hint="default" w:ascii="Times New Roman" w:hAnsi="Times New Roman" w:cs="Times New Roman"/>
                <w:b w:val="0"/>
                <w:bCs/>
                <w:color w:val="auto"/>
                <w:sz w:val="24"/>
                <w:szCs w:val="24"/>
                <w:highlight w:val="none"/>
                <w:lang w:eastAsia="zh-CN"/>
              </w:rPr>
              <w:t>，</w:t>
            </w:r>
            <w:r>
              <w:rPr>
                <w:rFonts w:hint="default" w:ascii="Times New Roman" w:hAnsi="Times New Roman" w:cs="Times New Roman"/>
                <w:b w:val="0"/>
                <w:bCs/>
                <w:color w:val="auto"/>
                <w:sz w:val="24"/>
                <w:szCs w:val="24"/>
                <w:highlight w:val="none"/>
                <w:lang w:val="en-US" w:eastAsia="zh-CN"/>
              </w:rPr>
              <w:t>有效</w:t>
            </w:r>
            <w:r>
              <w:rPr>
                <w:rFonts w:hint="default" w:ascii="Times New Roman" w:hAnsi="Times New Roman" w:cs="Times New Roman"/>
                <w:b w:val="0"/>
                <w:bCs/>
                <w:color w:val="auto"/>
                <w:sz w:val="24"/>
                <w:szCs w:val="24"/>
                <w:highlight w:val="none"/>
                <w:lang w:eastAsia="zh-CN"/>
              </w:rPr>
              <w:t>生产</w:t>
            </w:r>
            <w:r>
              <w:rPr>
                <w:rFonts w:hint="default" w:ascii="Times New Roman" w:hAnsi="Times New Roman" w:cs="Times New Roman"/>
                <w:b w:val="0"/>
                <w:bCs/>
                <w:color w:val="auto"/>
                <w:sz w:val="24"/>
                <w:szCs w:val="24"/>
                <w:highlight w:val="none"/>
                <w:lang w:val="en-US" w:eastAsia="zh-CN"/>
              </w:rPr>
              <w:t>负荷约占总容积的80%，即可3.2</w:t>
            </w:r>
            <w:r>
              <w:rPr>
                <w:rFonts w:hint="default" w:ascii="Times New Roman" w:hAnsi="Times New Roman" w:cs="Times New Roman"/>
                <w:b w:val="0"/>
                <w:bCs/>
                <w:color w:val="auto"/>
                <w:sz w:val="24"/>
                <w:szCs w:val="24"/>
                <w:highlight w:val="none"/>
              </w:rPr>
              <w:t>m</w:t>
            </w:r>
            <w:r>
              <w:rPr>
                <w:rFonts w:hint="default" w:ascii="Times New Roman" w:hAnsi="Times New Roman" w:cs="Times New Roman"/>
                <w:b w:val="0"/>
                <w:bCs/>
                <w:color w:val="auto"/>
                <w:sz w:val="24"/>
                <w:szCs w:val="24"/>
                <w:highlight w:val="none"/>
                <w:vertAlign w:val="superscript"/>
              </w:rPr>
              <w:t>3</w:t>
            </w:r>
            <w:r>
              <w:rPr>
                <w:rFonts w:hint="default" w:ascii="Times New Roman" w:hAnsi="Times New Roman" w:cs="Times New Roman"/>
                <w:b w:val="0"/>
                <w:bCs/>
                <w:color w:val="auto"/>
                <w:sz w:val="24"/>
                <w:szCs w:val="24"/>
                <w:highlight w:val="none"/>
                <w:lang w:eastAsia="zh-CN"/>
              </w:rPr>
              <w:t>，</w:t>
            </w:r>
            <w:r>
              <w:rPr>
                <w:rFonts w:hint="default" w:ascii="Times New Roman" w:hAnsi="Times New Roman" w:cs="Times New Roman"/>
                <w:b w:val="0"/>
                <w:bCs/>
                <w:color w:val="auto"/>
                <w:sz w:val="24"/>
                <w:szCs w:val="24"/>
                <w:highlight w:val="none"/>
                <w:lang w:val="en-US" w:eastAsia="zh-CN"/>
              </w:rPr>
              <w:t>年工作300天，</w:t>
            </w:r>
            <w:r>
              <w:rPr>
                <w:rFonts w:hint="default" w:ascii="Times New Roman" w:hAnsi="Times New Roman" w:cs="Times New Roman"/>
                <w:b w:val="0"/>
                <w:bCs/>
                <w:color w:val="auto"/>
                <w:sz w:val="24"/>
                <w:szCs w:val="24"/>
                <w:highlight w:val="none"/>
              </w:rPr>
              <w:t>故全年最大</w:t>
            </w:r>
            <w:r>
              <w:rPr>
                <w:rFonts w:hint="default" w:ascii="Times New Roman" w:hAnsi="Times New Roman" w:cs="Times New Roman"/>
                <w:b w:val="0"/>
                <w:bCs/>
                <w:color w:val="auto"/>
                <w:sz w:val="24"/>
                <w:szCs w:val="24"/>
                <w:highlight w:val="none"/>
                <w:lang w:eastAsia="zh-CN"/>
              </w:rPr>
              <w:t>设备设计加工能力约</w:t>
            </w:r>
            <w:r>
              <w:rPr>
                <w:rFonts w:hint="default" w:ascii="Times New Roman" w:hAnsi="Times New Roman" w:cs="Times New Roman"/>
                <w:b w:val="0"/>
                <w:bCs/>
                <w:color w:val="auto"/>
                <w:sz w:val="24"/>
                <w:szCs w:val="24"/>
                <w:highlight w:val="none"/>
              </w:rPr>
              <w:t>为</w:t>
            </w:r>
            <w:r>
              <w:rPr>
                <w:rFonts w:hint="default" w:ascii="Times New Roman" w:hAnsi="Times New Roman" w:cs="Times New Roman"/>
                <w:b w:val="0"/>
                <w:bCs/>
                <w:color w:val="auto"/>
                <w:sz w:val="24"/>
                <w:szCs w:val="24"/>
                <w:highlight w:val="none"/>
                <w:lang w:val="en-US" w:eastAsia="zh-CN"/>
              </w:rPr>
              <w:t>23.04</w:t>
            </w:r>
            <w:r>
              <w:rPr>
                <w:rFonts w:hint="default" w:ascii="Times New Roman" w:hAnsi="Times New Roman" w:cs="Times New Roman"/>
                <w:b w:val="0"/>
                <w:bCs/>
                <w:color w:val="auto"/>
                <w:sz w:val="24"/>
                <w:szCs w:val="24"/>
                <w:highlight w:val="none"/>
              </w:rPr>
              <w:t>万m</w:t>
            </w:r>
            <w:r>
              <w:rPr>
                <w:rFonts w:hint="default" w:ascii="Times New Roman" w:hAnsi="Times New Roman" w:cs="Times New Roman"/>
                <w:b w:val="0"/>
                <w:bCs/>
                <w:color w:val="auto"/>
                <w:sz w:val="24"/>
                <w:szCs w:val="24"/>
                <w:highlight w:val="none"/>
                <w:vertAlign w:val="superscript"/>
              </w:rPr>
              <w:t>3</w:t>
            </w:r>
            <w:r>
              <w:rPr>
                <w:rFonts w:hint="default" w:ascii="Times New Roman" w:hAnsi="Times New Roman" w:cs="Times New Roman"/>
                <w:b w:val="0"/>
                <w:bCs/>
                <w:color w:val="auto"/>
                <w:sz w:val="24"/>
                <w:szCs w:val="24"/>
                <w:highlight w:val="none"/>
              </w:rPr>
              <w:t>。</w:t>
            </w:r>
          </w:p>
          <w:p w14:paraId="2818FA7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color w:val="auto"/>
                <w:szCs w:val="21"/>
                <w:highlight w:val="none"/>
                <w:lang w:val="en-US" w:eastAsia="zh-CN"/>
              </w:rPr>
            </w:pPr>
            <w:r>
              <w:rPr>
                <w:rFonts w:hint="default" w:ascii="Times New Roman" w:hAnsi="Times New Roman" w:cs="Times New Roman"/>
                <w:b/>
                <w:color w:val="auto"/>
                <w:szCs w:val="21"/>
                <w:highlight w:val="none"/>
              </w:rPr>
              <w:t>表</w:t>
            </w:r>
            <w:r>
              <w:rPr>
                <w:rFonts w:hint="default" w:ascii="Times New Roman" w:hAnsi="Times New Roman" w:cs="Times New Roman"/>
                <w:b/>
                <w:color w:val="auto"/>
                <w:szCs w:val="21"/>
                <w:highlight w:val="none"/>
                <w:lang w:val="en-US" w:eastAsia="zh-CN"/>
              </w:rPr>
              <w:t>2-9 搅拌设备产能匹配核算一览表</w:t>
            </w:r>
          </w:p>
          <w:tbl>
            <w:tblPr>
              <w:tblStyle w:val="35"/>
              <w:tblW w:w="9097" w:type="dxa"/>
              <w:tblInd w:w="-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
              <w:gridCol w:w="1081"/>
              <w:gridCol w:w="930"/>
              <w:gridCol w:w="855"/>
              <w:gridCol w:w="1035"/>
              <w:gridCol w:w="1230"/>
              <w:gridCol w:w="1061"/>
              <w:gridCol w:w="1099"/>
              <w:gridCol w:w="899"/>
            </w:tblGrid>
            <w:tr w14:paraId="17C24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907" w:type="dxa"/>
                  <w:noWrap w:val="0"/>
                  <w:vAlign w:val="center"/>
                </w:tcPr>
                <w:p w14:paraId="06CD8EF7">
                  <w:pPr>
                    <w:keepNext w:val="0"/>
                    <w:keepLines w:val="0"/>
                    <w:pageBreakBefore w:val="0"/>
                    <w:widowControl/>
                    <w:kinsoku/>
                    <w:wordWrap/>
                    <w:overflowPunct/>
                    <w:topLinePunct w:val="0"/>
                    <w:bidi w:val="0"/>
                    <w:adjustRightInd w:val="0"/>
                    <w:snapToGrid w:val="0"/>
                    <w:jc w:val="center"/>
                    <w:rPr>
                      <w:rFonts w:hint="default" w:ascii="Times New Roman" w:hAnsi="Times New Roman" w:eastAsia="宋体" w:cs="Times New Roman"/>
                      <w:b/>
                      <w:color w:val="auto"/>
                      <w:szCs w:val="21"/>
                      <w:highlight w:val="none"/>
                      <w:lang w:val="en-US" w:eastAsia="zh-CN"/>
                    </w:rPr>
                  </w:pPr>
                  <w:r>
                    <w:rPr>
                      <w:rFonts w:hint="default" w:ascii="Times New Roman" w:hAnsi="Times New Roman" w:eastAsia="宋体" w:cs="Times New Roman"/>
                      <w:b/>
                      <w:color w:val="auto"/>
                      <w:szCs w:val="21"/>
                      <w:highlight w:val="none"/>
                      <w:lang w:val="en-US" w:eastAsia="zh-CN"/>
                    </w:rPr>
                    <w:t>搅拌设备容积</w:t>
                  </w:r>
                </w:p>
              </w:tc>
              <w:tc>
                <w:tcPr>
                  <w:tcW w:w="1081" w:type="dxa"/>
                  <w:noWrap w:val="0"/>
                  <w:vAlign w:val="center"/>
                </w:tcPr>
                <w:p w14:paraId="2745D41F">
                  <w:pPr>
                    <w:keepNext w:val="0"/>
                    <w:keepLines w:val="0"/>
                    <w:pageBreakBefore w:val="0"/>
                    <w:widowControl/>
                    <w:kinsoku/>
                    <w:wordWrap/>
                    <w:overflowPunct/>
                    <w:topLinePunct w:val="0"/>
                    <w:bidi w:val="0"/>
                    <w:adjustRightInd w:val="0"/>
                    <w:snapToGrid w:val="0"/>
                    <w:jc w:val="center"/>
                    <w:rPr>
                      <w:rFonts w:hint="default" w:ascii="Times New Roman" w:hAnsi="Times New Roman" w:eastAsia="宋体" w:cs="Times New Roman"/>
                      <w:b/>
                      <w:color w:val="auto"/>
                      <w:szCs w:val="21"/>
                      <w:highlight w:val="none"/>
                      <w:lang w:val="en-US" w:eastAsia="zh-CN"/>
                    </w:rPr>
                  </w:pPr>
                  <w:r>
                    <w:rPr>
                      <w:rFonts w:hint="default" w:ascii="Times New Roman" w:hAnsi="Times New Roman" w:eastAsia="宋体" w:cs="Times New Roman"/>
                      <w:b/>
                      <w:color w:val="auto"/>
                      <w:szCs w:val="21"/>
                      <w:highlight w:val="none"/>
                      <w:lang w:val="en-US" w:eastAsia="zh-CN"/>
                    </w:rPr>
                    <w:t>每批次工作时间</w:t>
                  </w:r>
                </w:p>
              </w:tc>
              <w:tc>
                <w:tcPr>
                  <w:tcW w:w="930" w:type="dxa"/>
                  <w:noWrap w:val="0"/>
                  <w:vAlign w:val="center"/>
                </w:tcPr>
                <w:p w14:paraId="24E136F2">
                  <w:pPr>
                    <w:keepNext w:val="0"/>
                    <w:keepLines w:val="0"/>
                    <w:pageBreakBefore w:val="0"/>
                    <w:widowControl/>
                    <w:kinsoku/>
                    <w:wordWrap/>
                    <w:overflowPunct/>
                    <w:topLinePunct w:val="0"/>
                    <w:bidi w:val="0"/>
                    <w:adjustRightInd w:val="0"/>
                    <w:snapToGrid w:val="0"/>
                    <w:jc w:val="center"/>
                    <w:rPr>
                      <w:rFonts w:hint="default" w:ascii="Times New Roman" w:hAnsi="Times New Roman" w:eastAsia="宋体" w:cs="Times New Roman"/>
                      <w:b/>
                      <w:color w:val="auto"/>
                      <w:szCs w:val="21"/>
                      <w:highlight w:val="none"/>
                      <w:lang w:val="en-US" w:eastAsia="zh-CN"/>
                    </w:rPr>
                  </w:pPr>
                  <w:r>
                    <w:rPr>
                      <w:rFonts w:hint="default" w:ascii="Times New Roman" w:hAnsi="Times New Roman" w:eastAsia="宋体" w:cs="Times New Roman"/>
                      <w:b/>
                      <w:color w:val="auto"/>
                      <w:szCs w:val="21"/>
                      <w:highlight w:val="none"/>
                      <w:lang w:val="en-US" w:eastAsia="zh-CN"/>
                    </w:rPr>
                    <w:t>每天工作时间</w:t>
                  </w:r>
                </w:p>
              </w:tc>
              <w:tc>
                <w:tcPr>
                  <w:tcW w:w="855" w:type="dxa"/>
                  <w:noWrap w:val="0"/>
                  <w:vAlign w:val="center"/>
                </w:tcPr>
                <w:p w14:paraId="4B6035E0">
                  <w:pPr>
                    <w:keepNext w:val="0"/>
                    <w:keepLines w:val="0"/>
                    <w:pageBreakBefore w:val="0"/>
                    <w:widowControl/>
                    <w:kinsoku/>
                    <w:wordWrap/>
                    <w:overflowPunct/>
                    <w:topLinePunct w:val="0"/>
                    <w:bidi w:val="0"/>
                    <w:adjustRightInd w:val="0"/>
                    <w:snapToGrid w:val="0"/>
                    <w:jc w:val="center"/>
                    <w:rPr>
                      <w:rFonts w:hint="default" w:ascii="Times New Roman" w:hAnsi="Times New Roman" w:eastAsia="宋体" w:cs="Times New Roman"/>
                      <w:b/>
                      <w:color w:val="auto"/>
                      <w:szCs w:val="21"/>
                      <w:highlight w:val="none"/>
                      <w:lang w:val="en-US" w:eastAsia="zh-CN"/>
                    </w:rPr>
                  </w:pPr>
                  <w:r>
                    <w:rPr>
                      <w:rFonts w:hint="default" w:ascii="Times New Roman" w:hAnsi="Times New Roman" w:eastAsia="宋体" w:cs="Times New Roman"/>
                      <w:b/>
                      <w:color w:val="auto"/>
                      <w:szCs w:val="21"/>
                      <w:highlight w:val="none"/>
                      <w:lang w:val="en-US" w:eastAsia="zh-CN"/>
                    </w:rPr>
                    <w:t>年工作时间</w:t>
                  </w:r>
                </w:p>
              </w:tc>
              <w:tc>
                <w:tcPr>
                  <w:tcW w:w="1035" w:type="dxa"/>
                  <w:noWrap w:val="0"/>
                  <w:vAlign w:val="center"/>
                </w:tcPr>
                <w:p w14:paraId="052ABDA7">
                  <w:pPr>
                    <w:keepNext w:val="0"/>
                    <w:keepLines w:val="0"/>
                    <w:pageBreakBefore w:val="0"/>
                    <w:widowControl/>
                    <w:kinsoku/>
                    <w:wordWrap/>
                    <w:overflowPunct/>
                    <w:topLinePunct w:val="0"/>
                    <w:bidi w:val="0"/>
                    <w:adjustRightInd w:val="0"/>
                    <w:snapToGrid w:val="0"/>
                    <w:jc w:val="center"/>
                    <w:rPr>
                      <w:rFonts w:hint="default" w:ascii="Times New Roman" w:hAnsi="Times New Roman" w:eastAsia="宋体" w:cs="Times New Roman"/>
                      <w:b/>
                      <w:color w:val="auto"/>
                      <w:szCs w:val="21"/>
                      <w:highlight w:val="none"/>
                      <w:lang w:val="en-US" w:eastAsia="zh-CN"/>
                    </w:rPr>
                  </w:pPr>
                  <w:r>
                    <w:rPr>
                      <w:rFonts w:hint="default" w:ascii="Times New Roman" w:hAnsi="Times New Roman" w:eastAsia="宋体" w:cs="Times New Roman"/>
                      <w:b/>
                      <w:color w:val="auto"/>
                      <w:szCs w:val="21"/>
                      <w:highlight w:val="none"/>
                      <w:lang w:val="en-US" w:eastAsia="zh-CN"/>
                    </w:rPr>
                    <w:t>年工作批次</w:t>
                  </w:r>
                </w:p>
              </w:tc>
              <w:tc>
                <w:tcPr>
                  <w:tcW w:w="1230" w:type="dxa"/>
                  <w:noWrap w:val="0"/>
                  <w:vAlign w:val="center"/>
                </w:tcPr>
                <w:p w14:paraId="2D59ACF9">
                  <w:pPr>
                    <w:keepNext w:val="0"/>
                    <w:keepLines w:val="0"/>
                    <w:pageBreakBefore w:val="0"/>
                    <w:widowControl/>
                    <w:kinsoku/>
                    <w:wordWrap/>
                    <w:overflowPunct/>
                    <w:topLinePunct w:val="0"/>
                    <w:bidi w:val="0"/>
                    <w:adjustRightInd w:val="0"/>
                    <w:snapToGrid w:val="0"/>
                    <w:jc w:val="center"/>
                    <w:rPr>
                      <w:rFonts w:hint="default" w:ascii="Times New Roman" w:hAnsi="Times New Roman" w:eastAsia="宋体" w:cs="Times New Roman"/>
                      <w:b/>
                      <w:color w:val="auto"/>
                      <w:szCs w:val="21"/>
                      <w:highlight w:val="none"/>
                      <w:lang w:val="en-US" w:eastAsia="zh-CN"/>
                    </w:rPr>
                  </w:pPr>
                  <w:r>
                    <w:rPr>
                      <w:rFonts w:hint="default" w:ascii="Times New Roman" w:hAnsi="Times New Roman" w:eastAsia="宋体" w:cs="Times New Roman"/>
                      <w:b/>
                      <w:color w:val="auto"/>
                      <w:szCs w:val="21"/>
                      <w:highlight w:val="none"/>
                      <w:lang w:val="en-US" w:eastAsia="zh-CN"/>
                    </w:rPr>
                    <w:t>理论设计加工能力</w:t>
                  </w:r>
                </w:p>
              </w:tc>
              <w:tc>
                <w:tcPr>
                  <w:tcW w:w="1061" w:type="dxa"/>
                  <w:noWrap w:val="0"/>
                  <w:vAlign w:val="center"/>
                </w:tcPr>
                <w:p w14:paraId="1A9FB543">
                  <w:pPr>
                    <w:keepNext w:val="0"/>
                    <w:keepLines w:val="0"/>
                    <w:pageBreakBefore w:val="0"/>
                    <w:widowControl/>
                    <w:kinsoku/>
                    <w:wordWrap/>
                    <w:overflowPunct/>
                    <w:topLinePunct w:val="0"/>
                    <w:bidi w:val="0"/>
                    <w:adjustRightInd w:val="0"/>
                    <w:snapToGrid w:val="0"/>
                    <w:jc w:val="center"/>
                    <w:rPr>
                      <w:rFonts w:hint="default" w:ascii="Times New Roman" w:hAnsi="Times New Roman" w:eastAsia="宋体" w:cs="Times New Roman"/>
                      <w:b/>
                      <w:color w:val="auto"/>
                      <w:szCs w:val="21"/>
                      <w:highlight w:val="none"/>
                      <w:lang w:val="en-US" w:eastAsia="zh-CN"/>
                    </w:rPr>
                  </w:pPr>
                  <w:r>
                    <w:rPr>
                      <w:rFonts w:hint="default" w:ascii="Times New Roman" w:hAnsi="Times New Roman" w:eastAsia="宋体" w:cs="Times New Roman"/>
                      <w:b/>
                      <w:color w:val="auto"/>
                      <w:szCs w:val="21"/>
                      <w:highlight w:val="none"/>
                      <w:lang w:val="en-US" w:eastAsia="zh-CN"/>
                    </w:rPr>
                    <w:t>本项目所需产能</w:t>
                  </w:r>
                </w:p>
              </w:tc>
              <w:tc>
                <w:tcPr>
                  <w:tcW w:w="1099" w:type="dxa"/>
                  <w:noWrap w:val="0"/>
                  <w:vAlign w:val="center"/>
                </w:tcPr>
                <w:p w14:paraId="1E1F29E9">
                  <w:pPr>
                    <w:keepNext w:val="0"/>
                    <w:keepLines w:val="0"/>
                    <w:pageBreakBefore w:val="0"/>
                    <w:widowControl/>
                    <w:kinsoku/>
                    <w:wordWrap/>
                    <w:overflowPunct/>
                    <w:topLinePunct w:val="0"/>
                    <w:bidi w:val="0"/>
                    <w:adjustRightInd w:val="0"/>
                    <w:snapToGrid w:val="0"/>
                    <w:jc w:val="center"/>
                    <w:rPr>
                      <w:rFonts w:hint="default" w:ascii="Times New Roman" w:hAnsi="Times New Roman" w:eastAsia="宋体" w:cs="Times New Roman"/>
                      <w:b/>
                      <w:color w:val="auto"/>
                      <w:szCs w:val="21"/>
                      <w:highlight w:val="none"/>
                      <w:lang w:val="en-US" w:eastAsia="zh-CN"/>
                    </w:rPr>
                  </w:pPr>
                  <w:r>
                    <w:rPr>
                      <w:rFonts w:hint="default" w:ascii="Times New Roman" w:hAnsi="Times New Roman" w:eastAsia="宋体" w:cs="Times New Roman"/>
                      <w:b/>
                      <w:color w:val="auto"/>
                      <w:szCs w:val="21"/>
                      <w:highlight w:val="none"/>
                      <w:lang w:val="en-US" w:eastAsia="zh-CN"/>
                    </w:rPr>
                    <w:t>产能利用占比%</w:t>
                  </w:r>
                </w:p>
              </w:tc>
              <w:tc>
                <w:tcPr>
                  <w:tcW w:w="899" w:type="dxa"/>
                  <w:noWrap w:val="0"/>
                  <w:vAlign w:val="center"/>
                </w:tcPr>
                <w:p w14:paraId="5D9F4403">
                  <w:pPr>
                    <w:keepNext w:val="0"/>
                    <w:keepLines w:val="0"/>
                    <w:pageBreakBefore w:val="0"/>
                    <w:widowControl/>
                    <w:kinsoku/>
                    <w:wordWrap/>
                    <w:overflowPunct/>
                    <w:topLinePunct w:val="0"/>
                    <w:bidi w:val="0"/>
                    <w:adjustRightInd w:val="0"/>
                    <w:snapToGrid w:val="0"/>
                    <w:jc w:val="center"/>
                    <w:rPr>
                      <w:rFonts w:hint="default" w:ascii="Times New Roman" w:hAnsi="Times New Roman" w:eastAsia="宋体" w:cs="Times New Roman"/>
                      <w:b/>
                      <w:color w:val="auto"/>
                      <w:szCs w:val="21"/>
                      <w:highlight w:val="none"/>
                      <w:lang w:val="en-US" w:eastAsia="zh-CN"/>
                    </w:rPr>
                  </w:pPr>
                  <w:r>
                    <w:rPr>
                      <w:rFonts w:hint="default" w:ascii="Times New Roman" w:hAnsi="Times New Roman" w:eastAsia="宋体" w:cs="Times New Roman"/>
                      <w:b/>
                      <w:color w:val="auto"/>
                      <w:szCs w:val="21"/>
                      <w:highlight w:val="none"/>
                      <w:lang w:val="en-US" w:eastAsia="zh-CN"/>
                    </w:rPr>
                    <w:t>是否满足要求</w:t>
                  </w:r>
                </w:p>
              </w:tc>
            </w:tr>
            <w:tr w14:paraId="54CAD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907" w:type="dxa"/>
                  <w:noWrap w:val="0"/>
                  <w:vAlign w:val="center"/>
                </w:tcPr>
                <w:p w14:paraId="13E8BEEC">
                  <w:pPr>
                    <w:pStyle w:val="43"/>
                    <w:keepNext w:val="0"/>
                    <w:keepLines w:val="0"/>
                    <w:pageBreakBefore w:val="0"/>
                    <w:kinsoku/>
                    <w:wordWrap/>
                    <w:overflowPunct/>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w:t>
                  </w:r>
                  <w:r>
                    <w:rPr>
                      <w:rFonts w:hint="eastAsia" w:ascii="Times New Roman" w:cs="Times New Roman"/>
                      <w:color w:val="auto"/>
                      <w:sz w:val="21"/>
                      <w:szCs w:val="21"/>
                      <w:highlight w:val="none"/>
                      <w:vertAlign w:val="baseline"/>
                      <w:lang w:val="en-US" w:eastAsia="zh-CN"/>
                    </w:rPr>
                    <w:t>2</w:t>
                  </w:r>
                  <w:r>
                    <w:rPr>
                      <w:rFonts w:hint="default" w:ascii="Times New Roman" w:hAnsi="Times New Roman" w:cs="Times New Roman"/>
                      <w:color w:val="auto"/>
                      <w:sz w:val="21"/>
                      <w:szCs w:val="21"/>
                      <w:highlight w:val="none"/>
                      <w:vertAlign w:val="baseline"/>
                      <w:lang w:val="en-US" w:eastAsia="zh-CN"/>
                    </w:rPr>
                    <w:t>m</w:t>
                  </w:r>
                  <w:r>
                    <w:rPr>
                      <w:rFonts w:hint="default" w:ascii="Times New Roman" w:hAnsi="Times New Roman" w:cs="Times New Roman"/>
                      <w:color w:val="auto"/>
                      <w:sz w:val="21"/>
                      <w:szCs w:val="21"/>
                      <w:highlight w:val="none"/>
                      <w:vertAlign w:val="superscript"/>
                      <w:lang w:val="en-US" w:eastAsia="zh-CN"/>
                    </w:rPr>
                    <w:t>3</w:t>
                  </w:r>
                </w:p>
              </w:tc>
              <w:tc>
                <w:tcPr>
                  <w:tcW w:w="1081" w:type="dxa"/>
                  <w:noWrap w:val="0"/>
                  <w:vAlign w:val="center"/>
                </w:tcPr>
                <w:p w14:paraId="1F69D9C6">
                  <w:pPr>
                    <w:pStyle w:val="43"/>
                    <w:keepNext w:val="0"/>
                    <w:keepLines w:val="0"/>
                    <w:pageBreakBefore w:val="0"/>
                    <w:kinsoku/>
                    <w:wordWrap/>
                    <w:overflowPunct/>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180s</w:t>
                  </w:r>
                </w:p>
              </w:tc>
              <w:tc>
                <w:tcPr>
                  <w:tcW w:w="930" w:type="dxa"/>
                  <w:noWrap w:val="0"/>
                  <w:vAlign w:val="center"/>
                </w:tcPr>
                <w:p w14:paraId="54868104">
                  <w:pPr>
                    <w:pStyle w:val="43"/>
                    <w:keepNext w:val="0"/>
                    <w:keepLines w:val="0"/>
                    <w:pageBreakBefore w:val="0"/>
                    <w:kinsoku/>
                    <w:wordWrap/>
                    <w:overflowPunct/>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43200s</w:t>
                  </w:r>
                </w:p>
              </w:tc>
              <w:tc>
                <w:tcPr>
                  <w:tcW w:w="855" w:type="dxa"/>
                  <w:noWrap w:val="0"/>
                  <w:vAlign w:val="center"/>
                </w:tcPr>
                <w:p w14:paraId="080D754C">
                  <w:pPr>
                    <w:pStyle w:val="43"/>
                    <w:keepNext w:val="0"/>
                    <w:keepLines w:val="0"/>
                    <w:pageBreakBefore w:val="0"/>
                    <w:kinsoku/>
                    <w:wordWrap/>
                    <w:overflowPunct/>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300d</w:t>
                  </w:r>
                </w:p>
              </w:tc>
              <w:tc>
                <w:tcPr>
                  <w:tcW w:w="1035" w:type="dxa"/>
                  <w:noWrap w:val="0"/>
                  <w:vAlign w:val="center"/>
                </w:tcPr>
                <w:p w14:paraId="17147300">
                  <w:pPr>
                    <w:pStyle w:val="43"/>
                    <w:keepNext w:val="0"/>
                    <w:keepLines w:val="0"/>
                    <w:pageBreakBefore w:val="0"/>
                    <w:kinsoku/>
                    <w:wordWrap/>
                    <w:overflowPunct/>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72000次</w:t>
                  </w:r>
                </w:p>
              </w:tc>
              <w:tc>
                <w:tcPr>
                  <w:tcW w:w="1230" w:type="dxa"/>
                  <w:noWrap w:val="0"/>
                  <w:vAlign w:val="center"/>
                </w:tcPr>
                <w:p w14:paraId="1B2DE613">
                  <w:pPr>
                    <w:pStyle w:val="43"/>
                    <w:keepNext w:val="0"/>
                    <w:keepLines w:val="0"/>
                    <w:pageBreakBefore w:val="0"/>
                    <w:kinsoku/>
                    <w:wordWrap/>
                    <w:overflowPunct/>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eastAsia" w:ascii="Times New Roman" w:cs="Times New Roman"/>
                      <w:color w:val="auto"/>
                      <w:sz w:val="21"/>
                      <w:szCs w:val="21"/>
                      <w:highlight w:val="none"/>
                      <w:vertAlign w:val="baseline"/>
                      <w:lang w:val="en-US" w:eastAsia="zh-CN"/>
                    </w:rPr>
                    <w:t>23.04</w:t>
                  </w:r>
                  <w:r>
                    <w:rPr>
                      <w:rFonts w:hint="default" w:ascii="Times New Roman" w:hAnsi="Times New Roman" w:cs="Times New Roman"/>
                      <w:color w:val="auto"/>
                      <w:sz w:val="21"/>
                      <w:szCs w:val="21"/>
                      <w:highlight w:val="none"/>
                      <w:vertAlign w:val="baseline"/>
                      <w:lang w:val="en-US" w:eastAsia="zh-CN"/>
                    </w:rPr>
                    <w:t>万m</w:t>
                  </w:r>
                  <w:r>
                    <w:rPr>
                      <w:rFonts w:hint="default" w:ascii="Times New Roman" w:hAnsi="Times New Roman" w:cs="Times New Roman"/>
                      <w:color w:val="auto"/>
                      <w:sz w:val="21"/>
                      <w:szCs w:val="21"/>
                      <w:highlight w:val="none"/>
                      <w:vertAlign w:val="superscript"/>
                      <w:lang w:val="en-US" w:eastAsia="zh-CN"/>
                    </w:rPr>
                    <w:t>3</w:t>
                  </w:r>
                </w:p>
              </w:tc>
              <w:tc>
                <w:tcPr>
                  <w:tcW w:w="1061" w:type="dxa"/>
                  <w:noWrap w:val="0"/>
                  <w:vAlign w:val="center"/>
                </w:tcPr>
                <w:p w14:paraId="20692995">
                  <w:pPr>
                    <w:pStyle w:val="43"/>
                    <w:keepNext w:val="0"/>
                    <w:keepLines w:val="0"/>
                    <w:pageBreakBefore w:val="0"/>
                    <w:kinsoku/>
                    <w:wordWrap/>
                    <w:overflowPunct/>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eastAsia" w:ascii="Times New Roman" w:cs="Times New Roman"/>
                      <w:color w:val="auto"/>
                      <w:sz w:val="21"/>
                      <w:szCs w:val="21"/>
                      <w:highlight w:val="none"/>
                      <w:vertAlign w:val="baseline"/>
                      <w:lang w:val="en-US" w:eastAsia="zh-CN"/>
                    </w:rPr>
                    <w:t>20</w:t>
                  </w:r>
                  <w:r>
                    <w:rPr>
                      <w:rFonts w:hint="default" w:ascii="Times New Roman" w:hAnsi="Times New Roman" w:cs="Times New Roman"/>
                      <w:color w:val="auto"/>
                      <w:sz w:val="21"/>
                      <w:szCs w:val="21"/>
                      <w:highlight w:val="none"/>
                      <w:vertAlign w:val="baseline"/>
                      <w:lang w:val="en-US" w:eastAsia="zh-CN"/>
                    </w:rPr>
                    <w:t>万m</w:t>
                  </w:r>
                  <w:r>
                    <w:rPr>
                      <w:rFonts w:hint="default" w:ascii="Times New Roman" w:hAnsi="Times New Roman" w:cs="Times New Roman"/>
                      <w:color w:val="auto"/>
                      <w:sz w:val="21"/>
                      <w:szCs w:val="21"/>
                      <w:highlight w:val="none"/>
                      <w:vertAlign w:val="superscript"/>
                      <w:lang w:val="en-US" w:eastAsia="zh-CN"/>
                    </w:rPr>
                    <w:t>3</w:t>
                  </w:r>
                </w:p>
              </w:tc>
              <w:tc>
                <w:tcPr>
                  <w:tcW w:w="1099" w:type="dxa"/>
                  <w:noWrap w:val="0"/>
                  <w:vAlign w:val="center"/>
                </w:tcPr>
                <w:p w14:paraId="31ED148A">
                  <w:pPr>
                    <w:pStyle w:val="43"/>
                    <w:keepNext w:val="0"/>
                    <w:keepLines w:val="0"/>
                    <w:pageBreakBefore w:val="0"/>
                    <w:kinsoku/>
                    <w:wordWrap/>
                    <w:overflowPunct/>
                    <w:topLinePunct w:val="0"/>
                    <w:bidi w:val="0"/>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cs="Times New Roman"/>
                      <w:color w:val="auto"/>
                      <w:sz w:val="21"/>
                      <w:szCs w:val="21"/>
                      <w:highlight w:val="none"/>
                      <w:lang w:val="en-US" w:eastAsia="zh-CN"/>
                    </w:rPr>
                    <w:t>86.8</w:t>
                  </w:r>
                  <w:r>
                    <w:rPr>
                      <w:rFonts w:hint="default" w:ascii="Times New Roman" w:hAnsi="Times New Roman" w:cs="Times New Roman"/>
                      <w:color w:val="auto"/>
                      <w:sz w:val="21"/>
                      <w:szCs w:val="21"/>
                      <w:highlight w:val="none"/>
                      <w:lang w:val="en-US" w:eastAsia="zh-CN"/>
                    </w:rPr>
                    <w:t>%</w:t>
                  </w:r>
                </w:p>
              </w:tc>
              <w:tc>
                <w:tcPr>
                  <w:tcW w:w="899" w:type="dxa"/>
                  <w:noWrap w:val="0"/>
                  <w:vAlign w:val="center"/>
                </w:tcPr>
                <w:p w14:paraId="0DF591F5">
                  <w:pPr>
                    <w:pStyle w:val="43"/>
                    <w:keepNext w:val="0"/>
                    <w:keepLines w:val="0"/>
                    <w:pageBreakBefore w:val="0"/>
                    <w:kinsoku/>
                    <w:wordWrap/>
                    <w:overflowPunct/>
                    <w:topLinePunct w:val="0"/>
                    <w:bidi w:val="0"/>
                    <w:adjustRightInd w:val="0"/>
                    <w:snapToGrid w:val="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满足</w:t>
                  </w:r>
                </w:p>
              </w:tc>
            </w:tr>
          </w:tbl>
          <w:p w14:paraId="70AE001A">
            <w:pPr>
              <w:keepNext w:val="0"/>
              <w:keepLines w:val="0"/>
              <w:pageBreakBefore w:val="0"/>
              <w:widowControl w:val="0"/>
              <w:kinsoku/>
              <w:wordWrap/>
              <w:overflowPunct/>
              <w:topLinePunct w:val="0"/>
              <w:bidi w:val="0"/>
              <w:adjustRightInd w:val="0"/>
              <w:snapToGrid w:val="0"/>
              <w:spacing w:line="360" w:lineRule="auto"/>
              <w:ind w:firstLine="482" w:firstLineChars="200"/>
              <w:textAlignment w:val="auto"/>
              <w:rPr>
                <w:rFonts w:hint="default" w:ascii="Times New Roman" w:hAnsi="Times New Roman" w:cs="Times New Roman"/>
                <w:b/>
                <w:color w:val="auto"/>
                <w:sz w:val="24"/>
                <w:szCs w:val="24"/>
                <w:highlight w:val="none"/>
                <w:lang w:val="en-US" w:eastAsia="zh-CN"/>
              </w:rPr>
            </w:pPr>
            <w:r>
              <w:rPr>
                <w:rFonts w:hint="default" w:ascii="Times New Roman" w:hAnsi="Times New Roman" w:cs="Times New Roman"/>
                <w:b/>
                <w:color w:val="auto"/>
                <w:sz w:val="24"/>
                <w:szCs w:val="24"/>
                <w:highlight w:val="none"/>
                <w:lang w:val="en-US" w:eastAsia="zh-CN"/>
              </w:rPr>
              <w:t>2.5</w:t>
            </w:r>
            <w:r>
              <w:rPr>
                <w:rFonts w:hint="default" w:ascii="Times New Roman" w:hAnsi="Times New Roman" w:cs="Times New Roman"/>
                <w:b/>
                <w:color w:val="auto"/>
                <w:sz w:val="24"/>
                <w:szCs w:val="24"/>
                <w:highlight w:val="none"/>
              </w:rPr>
              <w:t>、</w:t>
            </w:r>
            <w:r>
              <w:rPr>
                <w:rFonts w:hint="default" w:ascii="Times New Roman" w:hAnsi="Times New Roman" w:cs="Times New Roman"/>
                <w:b/>
                <w:color w:val="auto"/>
                <w:sz w:val="24"/>
                <w:szCs w:val="24"/>
                <w:highlight w:val="none"/>
                <w:lang w:val="en-US" w:eastAsia="zh-CN"/>
              </w:rPr>
              <w:t>项目能耗情况分析</w:t>
            </w:r>
          </w:p>
          <w:p w14:paraId="5DF68D3C">
            <w:pPr>
              <w:keepNext w:val="0"/>
              <w:keepLines w:val="0"/>
              <w:pageBreakBefore w:val="0"/>
              <w:widowControl w:val="0"/>
              <w:kinsoku/>
              <w:wordWrap/>
              <w:overflowPunct/>
              <w:topLinePunct w:val="0"/>
              <w:autoSpaceDE w:val="0"/>
              <w:autoSpaceDN w:val="0"/>
              <w:bidi w:val="0"/>
              <w:adjustRightInd w:val="0"/>
              <w:snapToGrid w:val="0"/>
              <w:spacing w:line="360" w:lineRule="auto"/>
              <w:ind w:firstLine="482" w:firstLineChars="200"/>
              <w:textAlignment w:val="auto"/>
              <w:rPr>
                <w:rFonts w:hint="default" w:ascii="Times New Roman" w:hAnsi="Times New Roman" w:cs="Times New Roman"/>
                <w:b w:val="0"/>
                <w:bCs w:val="0"/>
                <w:color w:val="auto"/>
                <w:sz w:val="24"/>
                <w:highlight w:val="none"/>
                <w:lang w:eastAsia="zh-CN"/>
              </w:rPr>
            </w:pPr>
            <w:r>
              <w:rPr>
                <w:rFonts w:hint="default" w:ascii="Times New Roman" w:hAnsi="Times New Roman" w:cs="Times New Roman"/>
                <w:b/>
                <w:color w:val="auto"/>
                <w:sz w:val="24"/>
                <w:szCs w:val="24"/>
                <w:highlight w:val="none"/>
                <w:lang w:val="en-US" w:eastAsia="zh-CN"/>
              </w:rPr>
              <w:t xml:space="preserve"> </w:t>
            </w:r>
            <w:r>
              <w:rPr>
                <w:rFonts w:hint="default" w:ascii="Times New Roman" w:hAnsi="Times New Roman" w:cs="Times New Roman"/>
                <w:b w:val="0"/>
                <w:bCs w:val="0"/>
                <w:color w:val="auto"/>
                <w:sz w:val="24"/>
                <w:highlight w:val="none"/>
                <w:lang w:val="en-US" w:eastAsia="zh-CN"/>
              </w:rPr>
              <w:t>根据业主提供的资料，项目</w:t>
            </w:r>
            <w:r>
              <w:rPr>
                <w:rFonts w:hint="default" w:ascii="Times New Roman" w:hAnsi="Times New Roman" w:cs="Times New Roman"/>
                <w:b w:val="0"/>
                <w:bCs w:val="0"/>
                <w:color w:val="auto"/>
                <w:sz w:val="24"/>
                <w:highlight w:val="none"/>
                <w:lang w:eastAsia="zh-CN"/>
              </w:rPr>
              <w:t>能源消耗见下表：</w:t>
            </w:r>
          </w:p>
          <w:p w14:paraId="723AD084">
            <w:pPr>
              <w:pStyle w:val="43"/>
              <w:spacing w:line="240" w:lineRule="auto"/>
              <w:ind w:firstLine="422"/>
              <w:jc w:val="center"/>
              <w:textAlignment w:val="baseline"/>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表2-</w:t>
            </w:r>
            <w:r>
              <w:rPr>
                <w:rFonts w:hint="default" w:ascii="Times New Roman" w:hAnsi="Times New Roman" w:eastAsia="宋体" w:cs="Times New Roman"/>
                <w:b/>
                <w:bCs/>
                <w:color w:val="auto"/>
                <w:sz w:val="21"/>
                <w:szCs w:val="21"/>
                <w:highlight w:val="none"/>
                <w:lang w:val="en-US" w:eastAsia="zh-CN"/>
              </w:rPr>
              <w:t>1</w:t>
            </w:r>
            <w:r>
              <w:rPr>
                <w:rFonts w:hint="default" w:ascii="Times New Roman" w:hAnsi="Times New Roman" w:cs="Times New Roman"/>
                <w:b/>
                <w:bCs/>
                <w:color w:val="auto"/>
                <w:sz w:val="21"/>
                <w:szCs w:val="21"/>
                <w:highlight w:val="none"/>
                <w:lang w:val="en-US" w:eastAsia="zh-CN"/>
              </w:rPr>
              <w:t>0</w:t>
            </w:r>
            <w:r>
              <w:rPr>
                <w:rFonts w:hint="default" w:ascii="Times New Roman" w:hAnsi="Times New Roman" w:eastAsia="宋体" w:cs="Times New Roman"/>
                <w:b/>
                <w:bCs/>
                <w:color w:val="auto"/>
                <w:sz w:val="21"/>
                <w:szCs w:val="21"/>
                <w:highlight w:val="none"/>
              </w:rPr>
              <w:t xml:space="preserve"> </w:t>
            </w:r>
            <w:r>
              <w:rPr>
                <w:rFonts w:hint="default" w:ascii="Times New Roman" w:hAnsi="Times New Roman" w:eastAsia="宋体" w:cs="Times New Roman"/>
                <w:b/>
                <w:bCs/>
                <w:color w:val="auto"/>
                <w:sz w:val="21"/>
                <w:szCs w:val="21"/>
                <w:highlight w:val="none"/>
                <w:lang w:val="en-US" w:eastAsia="zh-CN"/>
              </w:rPr>
              <w:t>项目能耗</w:t>
            </w:r>
            <w:r>
              <w:rPr>
                <w:rFonts w:hint="default" w:ascii="Times New Roman" w:hAnsi="Times New Roman" w:eastAsia="宋体" w:cs="Times New Roman"/>
                <w:b/>
                <w:bCs/>
                <w:color w:val="auto"/>
                <w:sz w:val="21"/>
                <w:szCs w:val="21"/>
                <w:highlight w:val="none"/>
              </w:rPr>
              <w:t>一览表</w:t>
            </w:r>
          </w:p>
          <w:tbl>
            <w:tblPr>
              <w:tblStyle w:val="35"/>
              <w:tblW w:w="9081" w:type="dxa"/>
              <w:tblInd w:w="-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0"/>
              <w:gridCol w:w="1920"/>
              <w:gridCol w:w="3225"/>
              <w:gridCol w:w="2946"/>
            </w:tblGrid>
            <w:tr w14:paraId="39DE7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90" w:type="dxa"/>
                  <w:vAlign w:val="center"/>
                </w:tcPr>
                <w:p w14:paraId="539ACCF8">
                  <w:pPr>
                    <w:pStyle w:val="47"/>
                    <w:keepNext w:val="0"/>
                    <w:keepLines w:val="0"/>
                    <w:pageBreakBefore w:val="0"/>
                    <w:widowControl/>
                    <w:kinsoku/>
                    <w:wordWrap/>
                    <w:overflowPunct/>
                    <w:topLinePunct w:val="0"/>
                    <w:autoSpaceDE/>
                    <w:autoSpaceDN/>
                    <w:bidi w:val="0"/>
                    <w:adjustRightInd w:val="0"/>
                    <w:snapToGrid w:val="0"/>
                    <w:spacing w:before="0" w:after="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序号</w:t>
                  </w:r>
                </w:p>
              </w:tc>
              <w:tc>
                <w:tcPr>
                  <w:tcW w:w="1920" w:type="dxa"/>
                  <w:vAlign w:val="center"/>
                </w:tcPr>
                <w:p w14:paraId="04373690">
                  <w:pPr>
                    <w:pStyle w:val="47"/>
                    <w:keepNext w:val="0"/>
                    <w:keepLines w:val="0"/>
                    <w:pageBreakBefore w:val="0"/>
                    <w:widowControl/>
                    <w:kinsoku/>
                    <w:wordWrap/>
                    <w:overflowPunct/>
                    <w:topLinePunct w:val="0"/>
                    <w:autoSpaceDE/>
                    <w:autoSpaceDN/>
                    <w:bidi w:val="0"/>
                    <w:adjustRightInd w:val="0"/>
                    <w:snapToGrid w:val="0"/>
                    <w:spacing w:before="0" w:after="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能源种类</w:t>
                  </w:r>
                </w:p>
              </w:tc>
              <w:tc>
                <w:tcPr>
                  <w:tcW w:w="3225" w:type="dxa"/>
                  <w:vAlign w:val="center"/>
                </w:tcPr>
                <w:p w14:paraId="514E19FD">
                  <w:pPr>
                    <w:pStyle w:val="47"/>
                    <w:keepNext w:val="0"/>
                    <w:keepLines w:val="0"/>
                    <w:pageBreakBefore w:val="0"/>
                    <w:widowControl/>
                    <w:kinsoku/>
                    <w:wordWrap/>
                    <w:overflowPunct/>
                    <w:topLinePunct w:val="0"/>
                    <w:autoSpaceDE/>
                    <w:autoSpaceDN/>
                    <w:bidi w:val="0"/>
                    <w:adjustRightInd w:val="0"/>
                    <w:snapToGrid w:val="0"/>
                    <w:spacing w:before="0" w:after="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能源消耗量</w:t>
                  </w:r>
                </w:p>
              </w:tc>
              <w:tc>
                <w:tcPr>
                  <w:tcW w:w="2946" w:type="dxa"/>
                  <w:vAlign w:val="center"/>
                </w:tcPr>
                <w:p w14:paraId="2269AB39">
                  <w:pPr>
                    <w:pStyle w:val="47"/>
                    <w:keepNext w:val="0"/>
                    <w:keepLines w:val="0"/>
                    <w:pageBreakBefore w:val="0"/>
                    <w:widowControl/>
                    <w:kinsoku/>
                    <w:wordWrap/>
                    <w:overflowPunct/>
                    <w:topLinePunct w:val="0"/>
                    <w:autoSpaceDE/>
                    <w:autoSpaceDN/>
                    <w:bidi w:val="0"/>
                    <w:adjustRightInd w:val="0"/>
                    <w:snapToGrid w:val="0"/>
                    <w:spacing w:before="0" w:after="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备注</w:t>
                  </w:r>
                </w:p>
              </w:tc>
            </w:tr>
            <w:tr w14:paraId="239A8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990" w:type="dxa"/>
                  <w:vAlign w:val="center"/>
                </w:tcPr>
                <w:p w14:paraId="1C889CC3">
                  <w:pPr>
                    <w:pStyle w:val="47"/>
                    <w:keepNext w:val="0"/>
                    <w:keepLines w:val="0"/>
                    <w:pageBreakBefore w:val="0"/>
                    <w:widowControl/>
                    <w:kinsoku/>
                    <w:wordWrap/>
                    <w:overflowPunct/>
                    <w:topLinePunct w:val="0"/>
                    <w:autoSpaceDE/>
                    <w:autoSpaceDN/>
                    <w:bidi w:val="0"/>
                    <w:adjustRightInd w:val="0"/>
                    <w:snapToGrid w:val="0"/>
                    <w:spacing w:before="0" w:after="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1</w:t>
                  </w:r>
                </w:p>
              </w:tc>
              <w:tc>
                <w:tcPr>
                  <w:tcW w:w="1920" w:type="dxa"/>
                  <w:vAlign w:val="center"/>
                </w:tcPr>
                <w:p w14:paraId="14134CC0">
                  <w:pPr>
                    <w:pStyle w:val="47"/>
                    <w:keepNext w:val="0"/>
                    <w:keepLines w:val="0"/>
                    <w:pageBreakBefore w:val="0"/>
                    <w:widowControl/>
                    <w:kinsoku/>
                    <w:wordWrap/>
                    <w:overflowPunct/>
                    <w:topLinePunct w:val="0"/>
                    <w:autoSpaceDE/>
                    <w:autoSpaceDN/>
                    <w:bidi w:val="0"/>
                    <w:adjustRightInd w:val="0"/>
                    <w:snapToGrid w:val="0"/>
                    <w:spacing w:before="0" w:after="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电能</w:t>
                  </w:r>
                </w:p>
              </w:tc>
              <w:tc>
                <w:tcPr>
                  <w:tcW w:w="3225" w:type="dxa"/>
                  <w:vAlign w:val="center"/>
                </w:tcPr>
                <w:p w14:paraId="57CDE522">
                  <w:pPr>
                    <w:keepNext w:val="0"/>
                    <w:keepLines w:val="0"/>
                    <w:widowControl/>
                    <w:suppressLineNumbers w:val="0"/>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300</w:t>
                  </w:r>
                  <w:r>
                    <w:rPr>
                      <w:rFonts w:hint="default" w:ascii="Times New Roman" w:hAnsi="Times New Roman" w:eastAsia="宋体" w:cs="Times New Roman"/>
                      <w:color w:val="auto"/>
                      <w:kern w:val="0"/>
                      <w:sz w:val="21"/>
                      <w:szCs w:val="21"/>
                      <w:highlight w:val="none"/>
                      <w:lang w:val="en-US" w:eastAsia="zh-CN" w:bidi="ar"/>
                    </w:rPr>
                    <w:t>万kW•h/a</w:t>
                  </w:r>
                </w:p>
              </w:tc>
              <w:tc>
                <w:tcPr>
                  <w:tcW w:w="2946" w:type="dxa"/>
                  <w:vAlign w:val="center"/>
                </w:tcPr>
                <w:p w14:paraId="7061B4CF">
                  <w:pPr>
                    <w:pStyle w:val="47"/>
                    <w:keepNext w:val="0"/>
                    <w:keepLines w:val="0"/>
                    <w:pageBreakBefore w:val="0"/>
                    <w:widowControl/>
                    <w:kinsoku/>
                    <w:wordWrap/>
                    <w:overflowPunct/>
                    <w:topLinePunct w:val="0"/>
                    <w:autoSpaceDE/>
                    <w:autoSpaceDN/>
                    <w:bidi w:val="0"/>
                    <w:adjustRightInd w:val="0"/>
                    <w:snapToGrid w:val="0"/>
                    <w:spacing w:before="0" w:after="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生产、生活</w:t>
                  </w:r>
                </w:p>
              </w:tc>
            </w:tr>
            <w:tr w14:paraId="6C1C0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990" w:type="dxa"/>
                  <w:vAlign w:val="center"/>
                </w:tcPr>
                <w:p w14:paraId="1F1EF3CF">
                  <w:pPr>
                    <w:pStyle w:val="47"/>
                    <w:keepNext w:val="0"/>
                    <w:keepLines w:val="0"/>
                    <w:pageBreakBefore w:val="0"/>
                    <w:widowControl/>
                    <w:kinsoku/>
                    <w:wordWrap/>
                    <w:overflowPunct/>
                    <w:topLinePunct w:val="0"/>
                    <w:autoSpaceDE/>
                    <w:autoSpaceDN/>
                    <w:bidi w:val="0"/>
                    <w:adjustRightInd w:val="0"/>
                    <w:snapToGrid w:val="0"/>
                    <w:spacing w:before="0" w:after="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2</w:t>
                  </w:r>
                </w:p>
              </w:tc>
              <w:tc>
                <w:tcPr>
                  <w:tcW w:w="1920" w:type="dxa"/>
                  <w:vAlign w:val="center"/>
                </w:tcPr>
                <w:p w14:paraId="5D3730F0">
                  <w:pPr>
                    <w:pStyle w:val="47"/>
                    <w:keepNext w:val="0"/>
                    <w:keepLines w:val="0"/>
                    <w:pageBreakBefore w:val="0"/>
                    <w:widowControl/>
                    <w:kinsoku/>
                    <w:wordWrap/>
                    <w:overflowPunct/>
                    <w:topLinePunct w:val="0"/>
                    <w:autoSpaceDE/>
                    <w:autoSpaceDN/>
                    <w:bidi w:val="0"/>
                    <w:adjustRightInd w:val="0"/>
                    <w:snapToGrid w:val="0"/>
                    <w:spacing w:before="0" w:after="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新鲜水</w:t>
                  </w:r>
                </w:p>
              </w:tc>
              <w:tc>
                <w:tcPr>
                  <w:tcW w:w="3225" w:type="dxa"/>
                  <w:vAlign w:val="center"/>
                </w:tcPr>
                <w:p w14:paraId="70AFDAFB">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cs="Times New Roman"/>
                      <w:color w:val="auto"/>
                      <w:sz w:val="21"/>
                      <w:szCs w:val="21"/>
                      <w:highlight w:val="none"/>
                      <w:lang w:val="en-US" w:eastAsia="zh-CN"/>
                    </w:rPr>
                    <w:t>70753.2</w:t>
                  </w:r>
                  <w:r>
                    <w:rPr>
                      <w:rFonts w:hint="default" w:ascii="Times New Roman" w:hAnsi="Times New Roman" w:cs="Times New Roman"/>
                      <w:color w:val="auto"/>
                      <w:sz w:val="21"/>
                      <w:szCs w:val="21"/>
                      <w:highlight w:val="none"/>
                    </w:rPr>
                    <w:t>t/a</w:t>
                  </w:r>
                </w:p>
              </w:tc>
              <w:tc>
                <w:tcPr>
                  <w:tcW w:w="2946" w:type="dxa"/>
                  <w:vAlign w:val="center"/>
                </w:tcPr>
                <w:p w14:paraId="57806EDF">
                  <w:pPr>
                    <w:pStyle w:val="47"/>
                    <w:keepNext w:val="0"/>
                    <w:keepLines w:val="0"/>
                    <w:pageBreakBefore w:val="0"/>
                    <w:widowControl/>
                    <w:kinsoku/>
                    <w:wordWrap/>
                    <w:overflowPunct/>
                    <w:topLinePunct w:val="0"/>
                    <w:autoSpaceDE/>
                    <w:autoSpaceDN/>
                    <w:bidi w:val="0"/>
                    <w:adjustRightInd w:val="0"/>
                    <w:snapToGrid w:val="0"/>
                    <w:spacing w:before="0" w:after="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生产、生活</w:t>
                  </w:r>
                </w:p>
              </w:tc>
            </w:tr>
            <w:tr w14:paraId="67421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990" w:type="dxa"/>
                  <w:vAlign w:val="center"/>
                </w:tcPr>
                <w:p w14:paraId="62CF18C1">
                  <w:pPr>
                    <w:pStyle w:val="47"/>
                    <w:keepNext w:val="0"/>
                    <w:keepLines w:val="0"/>
                    <w:pageBreakBefore w:val="0"/>
                    <w:widowControl/>
                    <w:kinsoku/>
                    <w:wordWrap/>
                    <w:overflowPunct/>
                    <w:topLinePunct w:val="0"/>
                    <w:autoSpaceDE/>
                    <w:autoSpaceDN/>
                    <w:bidi w:val="0"/>
                    <w:adjustRightInd w:val="0"/>
                    <w:snapToGrid w:val="0"/>
                    <w:spacing w:before="0" w:after="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3</w:t>
                  </w:r>
                </w:p>
              </w:tc>
              <w:tc>
                <w:tcPr>
                  <w:tcW w:w="1920" w:type="dxa"/>
                  <w:vAlign w:val="center"/>
                </w:tcPr>
                <w:p w14:paraId="47D4A283">
                  <w:pPr>
                    <w:pStyle w:val="47"/>
                    <w:keepNext w:val="0"/>
                    <w:keepLines w:val="0"/>
                    <w:pageBreakBefore w:val="0"/>
                    <w:widowControl/>
                    <w:kinsoku/>
                    <w:wordWrap/>
                    <w:overflowPunct/>
                    <w:topLinePunct w:val="0"/>
                    <w:autoSpaceDE/>
                    <w:autoSpaceDN/>
                    <w:bidi w:val="0"/>
                    <w:adjustRightInd w:val="0"/>
                    <w:snapToGrid w:val="0"/>
                    <w:spacing w:before="0" w:after="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管道天然气</w:t>
                  </w:r>
                </w:p>
              </w:tc>
              <w:tc>
                <w:tcPr>
                  <w:tcW w:w="3225" w:type="dxa"/>
                  <w:vAlign w:val="center"/>
                </w:tcPr>
                <w:p w14:paraId="38795231">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cs="Times New Roman"/>
                      <w:color w:val="auto"/>
                      <w:sz w:val="21"/>
                      <w:szCs w:val="21"/>
                      <w:highlight w:val="none"/>
                      <w:lang w:val="en-US" w:eastAsia="zh-CN"/>
                    </w:rPr>
                    <w:t>127.93t</w:t>
                  </w:r>
                  <w:r>
                    <w:rPr>
                      <w:rFonts w:hint="default" w:ascii="Times New Roman" w:hAnsi="Times New Roman" w:cs="Times New Roman"/>
                      <w:color w:val="auto"/>
                      <w:sz w:val="21"/>
                      <w:szCs w:val="21"/>
                      <w:highlight w:val="none"/>
                    </w:rPr>
                    <w:t>/a</w:t>
                  </w:r>
                </w:p>
              </w:tc>
              <w:tc>
                <w:tcPr>
                  <w:tcW w:w="2946" w:type="dxa"/>
                  <w:vAlign w:val="center"/>
                </w:tcPr>
                <w:p w14:paraId="34E4B543">
                  <w:pPr>
                    <w:pStyle w:val="47"/>
                    <w:keepNext w:val="0"/>
                    <w:keepLines w:val="0"/>
                    <w:pageBreakBefore w:val="0"/>
                    <w:widowControl/>
                    <w:kinsoku/>
                    <w:wordWrap/>
                    <w:overflowPunct/>
                    <w:topLinePunct w:val="0"/>
                    <w:autoSpaceDE/>
                    <w:autoSpaceDN/>
                    <w:bidi w:val="0"/>
                    <w:adjustRightInd w:val="0"/>
                    <w:snapToGrid w:val="0"/>
                    <w:spacing w:before="0" w:after="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生产</w:t>
                  </w:r>
                </w:p>
              </w:tc>
            </w:tr>
            <w:tr w14:paraId="08170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9081" w:type="dxa"/>
                  <w:gridSpan w:val="4"/>
                  <w:vAlign w:val="center"/>
                </w:tcPr>
                <w:p w14:paraId="38E9A1E8">
                  <w:pPr>
                    <w:pStyle w:val="47"/>
                    <w:keepNext w:val="0"/>
                    <w:keepLines w:val="0"/>
                    <w:pageBreakBefore w:val="0"/>
                    <w:widowControl/>
                    <w:kinsoku/>
                    <w:wordWrap/>
                    <w:overflowPunct/>
                    <w:topLinePunct w:val="0"/>
                    <w:autoSpaceDE/>
                    <w:autoSpaceDN/>
                    <w:bidi w:val="0"/>
                    <w:adjustRightInd w:val="0"/>
                    <w:snapToGrid w:val="0"/>
                    <w:spacing w:before="0" w:after="0"/>
                    <w:jc w:val="left"/>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注：新鲜水用量按最大用水量（非降雨期水平衡）核算。</w:t>
                  </w:r>
                </w:p>
              </w:tc>
            </w:tr>
          </w:tbl>
          <w:p w14:paraId="2EF93C74">
            <w:pPr>
              <w:pStyle w:val="43"/>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baseline"/>
              <w:rPr>
                <w:rFonts w:hint="default" w:ascii="Times New Roman" w:hAnsi="Times New Roman" w:cs="Times New Roman"/>
                <w:bCs/>
                <w:color w:val="auto"/>
                <w:kern w:val="21"/>
                <w:sz w:val="24"/>
                <w:szCs w:val="24"/>
                <w:highlight w:val="none"/>
                <w:lang w:val="en-US" w:eastAsia="zh-CN"/>
              </w:rPr>
            </w:pPr>
            <w:r>
              <w:rPr>
                <w:rFonts w:hint="default" w:ascii="Times New Roman" w:hAnsi="Times New Roman" w:eastAsia="宋体" w:cs="Times New Roman"/>
                <w:bCs/>
                <w:color w:val="auto"/>
                <w:kern w:val="21"/>
                <w:sz w:val="24"/>
                <w:szCs w:val="24"/>
                <w:highlight w:val="none"/>
                <w:lang w:val="en-US" w:eastAsia="zh-CN"/>
              </w:rPr>
              <w:t>项目能耗折标煤根据</w:t>
            </w:r>
            <w:r>
              <w:rPr>
                <w:rFonts w:hint="default" w:ascii="Times New Roman" w:hAnsi="Times New Roman" w:eastAsia="宋体" w:cs="Times New Roman"/>
                <w:bCs/>
                <w:color w:val="auto"/>
                <w:kern w:val="21"/>
                <w:sz w:val="24"/>
                <w:szCs w:val="24"/>
                <w:highlight w:val="none"/>
              </w:rPr>
              <w:t>《综合能耗计算通则》（GB/T 2589-2020）</w:t>
            </w:r>
            <w:r>
              <w:rPr>
                <w:rFonts w:hint="default" w:ascii="Times New Roman" w:hAnsi="Times New Roman" w:eastAsia="宋体" w:cs="Times New Roman"/>
                <w:bCs/>
                <w:color w:val="auto"/>
                <w:kern w:val="21"/>
                <w:sz w:val="24"/>
                <w:szCs w:val="24"/>
                <w:highlight w:val="none"/>
                <w:lang w:val="en-US" w:eastAsia="zh-CN"/>
              </w:rPr>
              <w:t>相关系数核算，详细</w:t>
            </w:r>
            <w:r>
              <w:rPr>
                <w:rFonts w:hint="default" w:ascii="Times New Roman" w:hAnsi="Times New Roman" w:cs="Times New Roman"/>
                <w:bCs/>
                <w:color w:val="auto"/>
                <w:kern w:val="21"/>
                <w:sz w:val="24"/>
                <w:szCs w:val="24"/>
                <w:highlight w:val="none"/>
                <w:lang w:val="en-US" w:eastAsia="zh-CN"/>
              </w:rPr>
              <w:t>核算情况见下表：</w:t>
            </w:r>
          </w:p>
          <w:p w14:paraId="2138E969">
            <w:pPr>
              <w:pStyle w:val="43"/>
              <w:spacing w:line="240" w:lineRule="auto"/>
              <w:ind w:firstLine="422"/>
              <w:jc w:val="center"/>
              <w:textAlignment w:val="baseline"/>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表2-</w:t>
            </w:r>
            <w:r>
              <w:rPr>
                <w:rFonts w:hint="default" w:ascii="Times New Roman" w:hAnsi="Times New Roman" w:eastAsia="宋体" w:cs="Times New Roman"/>
                <w:b/>
                <w:bCs/>
                <w:color w:val="auto"/>
                <w:sz w:val="21"/>
                <w:szCs w:val="21"/>
                <w:highlight w:val="none"/>
                <w:lang w:val="en-US" w:eastAsia="zh-CN"/>
              </w:rPr>
              <w:t>1</w:t>
            </w:r>
            <w:r>
              <w:rPr>
                <w:rFonts w:hint="default" w:ascii="Times New Roman" w:hAnsi="Times New Roman" w:cs="Times New Roman"/>
                <w:b/>
                <w:bCs/>
                <w:color w:val="auto"/>
                <w:sz w:val="21"/>
                <w:szCs w:val="21"/>
                <w:highlight w:val="none"/>
                <w:lang w:val="en-US" w:eastAsia="zh-CN"/>
              </w:rPr>
              <w:t>1</w:t>
            </w:r>
            <w:r>
              <w:rPr>
                <w:rFonts w:hint="default" w:ascii="Times New Roman" w:hAnsi="Times New Roman" w:eastAsia="宋体" w:cs="Times New Roman"/>
                <w:b/>
                <w:bCs/>
                <w:color w:val="auto"/>
                <w:sz w:val="21"/>
                <w:szCs w:val="21"/>
                <w:highlight w:val="none"/>
              </w:rPr>
              <w:t xml:space="preserve"> </w:t>
            </w:r>
            <w:r>
              <w:rPr>
                <w:rFonts w:hint="default" w:ascii="Times New Roman" w:hAnsi="Times New Roman" w:eastAsia="宋体" w:cs="Times New Roman"/>
                <w:b/>
                <w:bCs/>
                <w:color w:val="auto"/>
                <w:sz w:val="21"/>
                <w:szCs w:val="21"/>
                <w:highlight w:val="none"/>
                <w:lang w:val="en-US" w:eastAsia="zh-CN"/>
              </w:rPr>
              <w:t>项目能耗折标煤情况</w:t>
            </w:r>
            <w:r>
              <w:rPr>
                <w:rFonts w:hint="default" w:ascii="Times New Roman" w:hAnsi="Times New Roman" w:eastAsia="宋体" w:cs="Times New Roman"/>
                <w:b/>
                <w:bCs/>
                <w:color w:val="auto"/>
                <w:sz w:val="21"/>
                <w:szCs w:val="21"/>
                <w:highlight w:val="none"/>
              </w:rPr>
              <w:t>一览表</w:t>
            </w:r>
          </w:p>
          <w:tbl>
            <w:tblPr>
              <w:tblStyle w:val="34"/>
              <w:tblW w:w="9078" w:type="dxa"/>
              <w:tblInd w:w="-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5"/>
              <w:gridCol w:w="1905"/>
              <w:gridCol w:w="2535"/>
              <w:gridCol w:w="3363"/>
            </w:tblGrid>
            <w:tr w14:paraId="5140E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702" w:type="pct"/>
                  <w:noWrap w:val="0"/>
                  <w:vAlign w:val="center"/>
                </w:tcPr>
                <w:p w14:paraId="089CA888">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名称</w:t>
                  </w:r>
                </w:p>
              </w:tc>
              <w:tc>
                <w:tcPr>
                  <w:tcW w:w="1049" w:type="pct"/>
                  <w:noWrap w:val="0"/>
                  <w:vAlign w:val="center"/>
                </w:tcPr>
                <w:p w14:paraId="57EB903E">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能源消耗量</w:t>
                  </w:r>
                </w:p>
              </w:tc>
              <w:tc>
                <w:tcPr>
                  <w:tcW w:w="1396" w:type="pct"/>
                  <w:noWrap w:val="0"/>
                  <w:vAlign w:val="center"/>
                </w:tcPr>
                <w:p w14:paraId="7FA4FB68">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当量折标系数</w:t>
                  </w:r>
                </w:p>
              </w:tc>
              <w:tc>
                <w:tcPr>
                  <w:tcW w:w="1852" w:type="pct"/>
                  <w:noWrap w:val="0"/>
                  <w:vAlign w:val="center"/>
                </w:tcPr>
                <w:p w14:paraId="32CFA746">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综合能耗（吨标准煤/年）</w:t>
                  </w:r>
                </w:p>
              </w:tc>
            </w:tr>
            <w:tr w14:paraId="7E306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702" w:type="pct"/>
                  <w:noWrap w:val="0"/>
                  <w:vAlign w:val="center"/>
                </w:tcPr>
                <w:p w14:paraId="005CC0BB">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电耗</w:t>
                  </w:r>
                </w:p>
              </w:tc>
              <w:tc>
                <w:tcPr>
                  <w:tcW w:w="1049" w:type="pct"/>
                  <w:noWrap w:val="0"/>
                  <w:vAlign w:val="center"/>
                </w:tcPr>
                <w:p w14:paraId="52BA6A31">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300</w:t>
                  </w:r>
                  <w:r>
                    <w:rPr>
                      <w:rFonts w:hint="default" w:ascii="Times New Roman" w:hAnsi="Times New Roman" w:cs="Times New Roman"/>
                      <w:color w:val="auto"/>
                      <w:sz w:val="21"/>
                      <w:szCs w:val="21"/>
                      <w:highlight w:val="none"/>
                    </w:rPr>
                    <w:t>万kW·h</w:t>
                  </w:r>
                </w:p>
              </w:tc>
              <w:tc>
                <w:tcPr>
                  <w:tcW w:w="1396" w:type="pct"/>
                  <w:noWrap w:val="0"/>
                  <w:vAlign w:val="center"/>
                </w:tcPr>
                <w:p w14:paraId="25002251">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0.1229kgce/（kW·h）</w:t>
                  </w:r>
                </w:p>
              </w:tc>
              <w:tc>
                <w:tcPr>
                  <w:tcW w:w="1852" w:type="pct"/>
                  <w:noWrap w:val="0"/>
                  <w:vAlign w:val="center"/>
                </w:tcPr>
                <w:p w14:paraId="77A4616F">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rPr>
                  </w:pPr>
                  <w:r>
                    <w:rPr>
                      <w:rFonts w:hint="default" w:ascii="Times New Roman" w:hAnsi="Times New Roman" w:eastAsia="宋体" w:cs="Times New Roman"/>
                      <w:i w:val="0"/>
                      <w:iCs w:val="0"/>
                      <w:color w:val="auto"/>
                      <w:kern w:val="0"/>
                      <w:sz w:val="21"/>
                      <w:szCs w:val="21"/>
                      <w:highlight w:val="none"/>
                      <w:u w:val="none"/>
                      <w:lang w:val="en-US" w:eastAsia="zh-CN" w:bidi="ar"/>
                    </w:rPr>
                    <w:t>368.7</w:t>
                  </w:r>
                </w:p>
              </w:tc>
            </w:tr>
            <w:tr w14:paraId="720F5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702" w:type="pct"/>
                  <w:noWrap w:val="0"/>
                  <w:vAlign w:val="center"/>
                </w:tcPr>
                <w:p w14:paraId="6870C29E">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水耗</w:t>
                  </w:r>
                </w:p>
              </w:tc>
              <w:tc>
                <w:tcPr>
                  <w:tcW w:w="1049" w:type="pct"/>
                  <w:noWrap w:val="0"/>
                  <w:vAlign w:val="center"/>
                </w:tcPr>
                <w:p w14:paraId="3121605A">
                  <w:pPr>
                    <w:jc w:val="center"/>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65895</w:t>
                  </w:r>
                  <w:r>
                    <w:rPr>
                      <w:rFonts w:hint="default" w:ascii="Times New Roman" w:hAnsi="Times New Roman" w:cs="Times New Roman"/>
                      <w:color w:val="auto"/>
                      <w:sz w:val="21"/>
                      <w:szCs w:val="21"/>
                      <w:highlight w:val="none"/>
                    </w:rPr>
                    <w:t>t/a</w:t>
                  </w:r>
                </w:p>
              </w:tc>
              <w:tc>
                <w:tcPr>
                  <w:tcW w:w="1396" w:type="pct"/>
                  <w:noWrap w:val="0"/>
                  <w:vAlign w:val="center"/>
                </w:tcPr>
                <w:p w14:paraId="7B36C606">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0.2571kgce/t</w:t>
                  </w:r>
                </w:p>
              </w:tc>
              <w:tc>
                <w:tcPr>
                  <w:tcW w:w="1852" w:type="pct"/>
                  <w:noWrap w:val="0"/>
                  <w:vAlign w:val="center"/>
                </w:tcPr>
                <w:p w14:paraId="2BB0A8AF">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rPr>
                  </w:pPr>
                  <w:r>
                    <w:rPr>
                      <w:rFonts w:hint="eastAsia" w:ascii="Times New Roman" w:hAnsi="Times New Roman" w:eastAsia="宋体" w:cs="Times New Roman"/>
                      <w:i w:val="0"/>
                      <w:iCs w:val="0"/>
                      <w:color w:val="auto"/>
                      <w:kern w:val="0"/>
                      <w:sz w:val="21"/>
                      <w:szCs w:val="21"/>
                      <w:highlight w:val="none"/>
                      <w:u w:val="none"/>
                      <w:lang w:val="en-US" w:eastAsia="zh-CN" w:bidi="ar"/>
                    </w:rPr>
                    <w:t>16.94</w:t>
                  </w:r>
                </w:p>
              </w:tc>
            </w:tr>
            <w:tr w14:paraId="512C5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702" w:type="pct"/>
                  <w:noWrap w:val="0"/>
                  <w:vAlign w:val="center"/>
                </w:tcPr>
                <w:p w14:paraId="63DEC102">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管道天然气</w:t>
                  </w:r>
                </w:p>
              </w:tc>
              <w:tc>
                <w:tcPr>
                  <w:tcW w:w="1049" w:type="pct"/>
                  <w:noWrap w:val="0"/>
                  <w:vAlign w:val="center"/>
                </w:tcPr>
                <w:p w14:paraId="02AA1FA3">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127.93t</w:t>
                  </w:r>
                  <w:r>
                    <w:rPr>
                      <w:rFonts w:hint="default" w:ascii="Times New Roman" w:hAnsi="Times New Roman" w:cs="Times New Roman"/>
                      <w:color w:val="auto"/>
                      <w:sz w:val="21"/>
                      <w:szCs w:val="21"/>
                      <w:highlight w:val="none"/>
                    </w:rPr>
                    <w:t>/a</w:t>
                  </w:r>
                </w:p>
              </w:tc>
              <w:tc>
                <w:tcPr>
                  <w:tcW w:w="1396" w:type="pct"/>
                  <w:noWrap w:val="0"/>
                  <w:vAlign w:val="center"/>
                </w:tcPr>
                <w:p w14:paraId="0042FD36">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w:t>
                  </w:r>
                  <w:r>
                    <w:rPr>
                      <w:rFonts w:hint="eastAsia" w:ascii="Times New Roman" w:hAnsi="Times New Roman" w:cs="Times New Roman"/>
                      <w:color w:val="auto"/>
                      <w:sz w:val="21"/>
                      <w:szCs w:val="21"/>
                      <w:highlight w:val="none"/>
                      <w:lang w:val="en-US" w:eastAsia="zh-CN"/>
                    </w:rPr>
                    <w:t>3300</w:t>
                  </w:r>
                  <w:r>
                    <w:rPr>
                      <w:rFonts w:hint="default" w:ascii="Times New Roman" w:hAnsi="Times New Roman" w:cs="Times New Roman"/>
                      <w:color w:val="auto"/>
                      <w:sz w:val="21"/>
                      <w:szCs w:val="21"/>
                      <w:highlight w:val="none"/>
                      <w:lang w:val="en-US" w:eastAsia="zh-CN"/>
                    </w:rPr>
                    <w:t>kgcc/kg</w:t>
                  </w:r>
                </w:p>
              </w:tc>
              <w:tc>
                <w:tcPr>
                  <w:tcW w:w="1852" w:type="pct"/>
                  <w:noWrap w:val="0"/>
                  <w:vAlign w:val="center"/>
                </w:tcPr>
                <w:p w14:paraId="5C058E91">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170.15</w:t>
                  </w:r>
                </w:p>
              </w:tc>
            </w:tr>
            <w:tr w14:paraId="5CB1F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3147" w:type="pct"/>
                  <w:gridSpan w:val="3"/>
                  <w:noWrap w:val="0"/>
                  <w:vAlign w:val="center"/>
                </w:tcPr>
                <w:p w14:paraId="4BD2F95E">
                  <w:pPr>
                    <w:jc w:val="center"/>
                    <w:rPr>
                      <w:rFonts w:hint="default" w:ascii="Times New Roman" w:hAnsi="Times New Roman" w:cs="Times New Roman"/>
                      <w:color w:val="auto"/>
                      <w:sz w:val="21"/>
                      <w:szCs w:val="21"/>
                      <w:highlight w:val="none"/>
                    </w:rPr>
                  </w:pPr>
                  <w:r>
                    <w:rPr>
                      <w:rFonts w:hint="default" w:ascii="Times New Roman" w:hAnsi="Times New Roman" w:cs="Times New Roman"/>
                      <w:b/>
                      <w:bCs/>
                      <w:color w:val="auto"/>
                      <w:sz w:val="21"/>
                      <w:szCs w:val="21"/>
                      <w:highlight w:val="none"/>
                    </w:rPr>
                    <w:t>能源消耗总量（吨标准煤）</w:t>
                  </w:r>
                </w:p>
              </w:tc>
              <w:tc>
                <w:tcPr>
                  <w:tcW w:w="1852" w:type="pct"/>
                  <w:noWrap w:val="0"/>
                  <w:vAlign w:val="center"/>
                </w:tcPr>
                <w:p w14:paraId="08539484">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b/>
                      <w:bCs/>
                      <w:i w:val="0"/>
                      <w:iCs w:val="0"/>
                      <w:color w:val="auto"/>
                      <w:kern w:val="0"/>
                      <w:sz w:val="21"/>
                      <w:szCs w:val="21"/>
                      <w:highlight w:val="none"/>
                      <w:u w:val="none"/>
                      <w:lang w:val="en-US" w:eastAsia="zh-CN" w:bidi="ar"/>
                    </w:rPr>
                    <w:t>555.79</w:t>
                  </w:r>
                </w:p>
              </w:tc>
            </w:tr>
          </w:tbl>
          <w:p w14:paraId="24DCD558">
            <w:pPr>
              <w:adjustRightInd w:val="0"/>
              <w:snapToGrid w:val="0"/>
              <w:spacing w:line="360" w:lineRule="auto"/>
              <w:ind w:firstLine="480" w:firstLineChars="200"/>
              <w:rPr>
                <w:rFonts w:hint="default" w:ascii="Times New Roman" w:hAnsi="Times New Roman" w:cs="Times New Roman"/>
                <w:bCs/>
                <w:color w:val="auto"/>
                <w:kern w:val="21"/>
                <w:sz w:val="24"/>
                <w:szCs w:val="24"/>
                <w:highlight w:val="none"/>
              </w:rPr>
            </w:pPr>
            <w:r>
              <w:rPr>
                <w:rFonts w:hint="default" w:ascii="Times New Roman" w:hAnsi="Times New Roman" w:cs="Times New Roman"/>
                <w:bCs/>
                <w:color w:val="auto"/>
                <w:kern w:val="21"/>
                <w:sz w:val="24"/>
                <w:szCs w:val="24"/>
                <w:highlight w:val="none"/>
                <w:lang w:val="en-US" w:eastAsia="zh-CN"/>
              </w:rPr>
              <w:t>根据上表可知，</w:t>
            </w:r>
            <w:r>
              <w:rPr>
                <w:rFonts w:hint="default" w:ascii="Times New Roman" w:hAnsi="Times New Roman" w:cs="Times New Roman"/>
                <w:bCs/>
                <w:color w:val="auto"/>
                <w:kern w:val="21"/>
                <w:sz w:val="24"/>
                <w:szCs w:val="24"/>
                <w:highlight w:val="none"/>
              </w:rPr>
              <w:t>本项目能耗共约为</w:t>
            </w:r>
            <w:r>
              <w:rPr>
                <w:rFonts w:hint="eastAsia" w:ascii="Times New Roman" w:hAnsi="Times New Roman" w:cs="Times New Roman"/>
                <w:bCs/>
                <w:color w:val="auto"/>
                <w:kern w:val="21"/>
                <w:sz w:val="24"/>
                <w:szCs w:val="24"/>
                <w:highlight w:val="none"/>
                <w:lang w:val="en-US" w:eastAsia="zh-CN"/>
              </w:rPr>
              <w:t>557.79</w:t>
            </w:r>
            <w:r>
              <w:rPr>
                <w:rFonts w:hint="default" w:ascii="Times New Roman" w:hAnsi="Times New Roman" w:cs="Times New Roman"/>
                <w:bCs/>
                <w:color w:val="auto"/>
                <w:kern w:val="21"/>
                <w:sz w:val="24"/>
                <w:szCs w:val="24"/>
                <w:highlight w:val="none"/>
              </w:rPr>
              <w:t>吨标煤/年。</w:t>
            </w:r>
          </w:p>
          <w:p w14:paraId="5D203C27">
            <w:pPr>
              <w:numPr>
                <w:ilvl w:val="0"/>
                <w:numId w:val="0"/>
              </w:numPr>
              <w:adjustRightInd w:val="0"/>
              <w:snapToGrid w:val="0"/>
              <w:spacing w:line="360" w:lineRule="auto"/>
              <w:ind w:left="420" w:leftChars="0"/>
              <w:rPr>
                <w:rFonts w:hint="default" w:ascii="Times New Roman" w:hAnsi="Times New Roman" w:cs="Times New Roman"/>
                <w:b/>
                <w:color w:val="auto"/>
                <w:sz w:val="24"/>
                <w:highlight w:val="none"/>
                <w:lang w:val="en-US" w:eastAsia="zh-CN"/>
              </w:rPr>
            </w:pPr>
            <w:r>
              <w:rPr>
                <w:rFonts w:hint="default" w:ascii="Times New Roman" w:hAnsi="Times New Roman" w:cs="Times New Roman"/>
                <w:b/>
                <w:color w:val="auto"/>
                <w:sz w:val="24"/>
                <w:szCs w:val="24"/>
                <w:highlight w:val="none"/>
                <w:lang w:val="en-US" w:eastAsia="zh-CN"/>
              </w:rPr>
              <w:t>2.6</w:t>
            </w:r>
            <w:r>
              <w:rPr>
                <w:rFonts w:hint="default" w:ascii="Times New Roman" w:hAnsi="Times New Roman" w:cs="Times New Roman"/>
                <w:b/>
                <w:color w:val="auto"/>
                <w:sz w:val="24"/>
                <w:szCs w:val="24"/>
                <w:highlight w:val="none"/>
              </w:rPr>
              <w:t>、</w:t>
            </w:r>
            <w:r>
              <w:rPr>
                <w:rFonts w:hint="default" w:ascii="Times New Roman" w:hAnsi="Times New Roman" w:cs="Times New Roman"/>
                <w:b/>
                <w:color w:val="auto"/>
                <w:sz w:val="24"/>
                <w:szCs w:val="21"/>
                <w:highlight w:val="none"/>
                <w:lang w:val="en-US" w:eastAsia="zh-CN"/>
              </w:rPr>
              <w:t xml:space="preserve"> </w:t>
            </w:r>
            <w:r>
              <w:rPr>
                <w:rFonts w:hint="default" w:ascii="Times New Roman" w:hAnsi="Times New Roman" w:cs="Times New Roman"/>
                <w:b/>
                <w:bCs/>
                <w:color w:val="auto"/>
                <w:sz w:val="24"/>
                <w:highlight w:val="none"/>
                <w:lang w:val="en-US" w:eastAsia="zh-CN"/>
              </w:rPr>
              <w:t>项目</w:t>
            </w:r>
            <w:r>
              <w:rPr>
                <w:rFonts w:hint="default" w:ascii="Times New Roman" w:hAnsi="Times New Roman" w:cs="Times New Roman"/>
                <w:b/>
                <w:color w:val="auto"/>
                <w:sz w:val="24"/>
                <w:highlight w:val="none"/>
                <w:lang w:val="en-US" w:eastAsia="zh-CN"/>
              </w:rPr>
              <w:t>物料平衡表</w:t>
            </w:r>
          </w:p>
          <w:p w14:paraId="62E81E70">
            <w:pPr>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表2-12 产品物料平衡表</w:t>
            </w:r>
          </w:p>
          <w:tbl>
            <w:tblPr>
              <w:tblStyle w:val="35"/>
              <w:tblW w:w="9099" w:type="dxa"/>
              <w:tblInd w:w="-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9"/>
              <w:gridCol w:w="1891"/>
              <w:gridCol w:w="1277"/>
              <w:gridCol w:w="2111"/>
              <w:gridCol w:w="2141"/>
            </w:tblGrid>
            <w:tr w14:paraId="3F66D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679" w:type="dxa"/>
                  <w:noWrap w:val="0"/>
                  <w:vAlign w:val="center"/>
                </w:tcPr>
                <w:p w14:paraId="68320BA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原辅料名称</w:t>
                  </w:r>
                </w:p>
              </w:tc>
              <w:tc>
                <w:tcPr>
                  <w:tcW w:w="1891" w:type="dxa"/>
                  <w:noWrap w:val="0"/>
                  <w:vAlign w:val="center"/>
                </w:tcPr>
                <w:p w14:paraId="7E4F2D9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原辅用量（t/a）</w:t>
                  </w:r>
                </w:p>
              </w:tc>
              <w:tc>
                <w:tcPr>
                  <w:tcW w:w="3388" w:type="dxa"/>
                  <w:gridSpan w:val="2"/>
                  <w:noWrap w:val="0"/>
                  <w:vAlign w:val="center"/>
                </w:tcPr>
                <w:p w14:paraId="2F5B49A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 xml:space="preserve"> 产能及损耗</w:t>
                  </w:r>
                </w:p>
              </w:tc>
              <w:tc>
                <w:tcPr>
                  <w:tcW w:w="2141" w:type="dxa"/>
                  <w:noWrap w:val="0"/>
                  <w:vAlign w:val="center"/>
                </w:tcPr>
                <w:p w14:paraId="2C8CABD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产能及损耗量t/a</w:t>
                  </w:r>
                </w:p>
              </w:tc>
            </w:tr>
            <w:tr w14:paraId="49DE3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1679" w:type="dxa"/>
                  <w:noWrap w:val="0"/>
                  <w:vAlign w:val="center"/>
                </w:tcPr>
                <w:p w14:paraId="59B1BB7E">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水泥</w:t>
                  </w:r>
                </w:p>
              </w:tc>
              <w:tc>
                <w:tcPr>
                  <w:tcW w:w="1891" w:type="dxa"/>
                  <w:noWrap w:val="0"/>
                  <w:vAlign w:val="center"/>
                </w:tcPr>
                <w:p w14:paraId="36684CED">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75000</w:t>
                  </w:r>
                </w:p>
              </w:tc>
              <w:tc>
                <w:tcPr>
                  <w:tcW w:w="1277" w:type="dxa"/>
                  <w:vMerge w:val="restart"/>
                  <w:noWrap w:val="0"/>
                  <w:vAlign w:val="center"/>
                </w:tcPr>
                <w:p w14:paraId="588B45E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以产品的形式产出</w:t>
                  </w:r>
                </w:p>
              </w:tc>
              <w:tc>
                <w:tcPr>
                  <w:tcW w:w="2111" w:type="dxa"/>
                  <w:noWrap w:val="0"/>
                  <w:vAlign w:val="center"/>
                </w:tcPr>
                <w:p w14:paraId="72F00C0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轨道板</w:t>
                  </w:r>
                </w:p>
              </w:tc>
              <w:tc>
                <w:tcPr>
                  <w:tcW w:w="2141" w:type="dxa"/>
                  <w:noWrap w:val="0"/>
                  <w:vAlign w:val="center"/>
                </w:tcPr>
                <w:p w14:paraId="7FCB2E74">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289900</w:t>
                  </w:r>
                </w:p>
              </w:tc>
            </w:tr>
            <w:tr w14:paraId="33854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679" w:type="dxa"/>
                  <w:noWrap w:val="0"/>
                  <w:vAlign w:val="center"/>
                </w:tcPr>
                <w:p w14:paraId="69CB4C13">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碎石</w:t>
                  </w:r>
                </w:p>
              </w:tc>
              <w:tc>
                <w:tcPr>
                  <w:tcW w:w="1891" w:type="dxa"/>
                  <w:noWrap w:val="0"/>
                  <w:vAlign w:val="center"/>
                </w:tcPr>
                <w:p w14:paraId="76B6E99A">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243600</w:t>
                  </w:r>
                </w:p>
              </w:tc>
              <w:tc>
                <w:tcPr>
                  <w:tcW w:w="1277" w:type="dxa"/>
                  <w:vMerge w:val="continue"/>
                  <w:noWrap w:val="0"/>
                  <w:vAlign w:val="center"/>
                </w:tcPr>
                <w:p w14:paraId="70A04C1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p>
              </w:tc>
              <w:tc>
                <w:tcPr>
                  <w:tcW w:w="2111" w:type="dxa"/>
                  <w:noWrap w:val="0"/>
                  <w:vAlign w:val="center"/>
                </w:tcPr>
                <w:p w14:paraId="49A6438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Ⅲa型轨枕</w:t>
                  </w:r>
                </w:p>
              </w:tc>
              <w:tc>
                <w:tcPr>
                  <w:tcW w:w="2141" w:type="dxa"/>
                  <w:noWrap w:val="0"/>
                  <w:vAlign w:val="center"/>
                </w:tcPr>
                <w:p w14:paraId="6DCA935B">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269920</w:t>
                  </w:r>
                </w:p>
              </w:tc>
            </w:tr>
            <w:tr w14:paraId="7494D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1679" w:type="dxa"/>
                  <w:noWrap w:val="0"/>
                  <w:vAlign w:val="center"/>
                </w:tcPr>
                <w:p w14:paraId="01E008DC">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河砂</w:t>
                  </w:r>
                </w:p>
              </w:tc>
              <w:tc>
                <w:tcPr>
                  <w:tcW w:w="1891" w:type="dxa"/>
                  <w:noWrap w:val="0"/>
                  <w:vAlign w:val="center"/>
                </w:tcPr>
                <w:p w14:paraId="3DAE20D6">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137400</w:t>
                  </w:r>
                </w:p>
              </w:tc>
              <w:tc>
                <w:tcPr>
                  <w:tcW w:w="1277" w:type="dxa"/>
                  <w:vMerge w:val="restart"/>
                  <w:noWrap w:val="0"/>
                  <w:vAlign w:val="center"/>
                </w:tcPr>
                <w:p w14:paraId="3A60457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以固废的形式损耗</w:t>
                  </w:r>
                </w:p>
              </w:tc>
              <w:tc>
                <w:tcPr>
                  <w:tcW w:w="2111" w:type="dxa"/>
                  <w:noWrap w:val="0"/>
                  <w:vAlign w:val="center"/>
                </w:tcPr>
                <w:p w14:paraId="5393278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废混凝土块</w:t>
                  </w:r>
                </w:p>
              </w:tc>
              <w:tc>
                <w:tcPr>
                  <w:tcW w:w="2141" w:type="dxa"/>
                  <w:shd w:val="clear" w:color="auto" w:fill="auto"/>
                  <w:noWrap w:val="0"/>
                  <w:vAlign w:val="center"/>
                </w:tcPr>
                <w:p w14:paraId="6E64383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120</w:t>
                  </w:r>
                </w:p>
              </w:tc>
            </w:tr>
            <w:tr w14:paraId="10E17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79" w:type="dxa"/>
                  <w:noWrap w:val="0"/>
                  <w:vAlign w:val="center"/>
                </w:tcPr>
                <w:p w14:paraId="64BAD049">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粉煤灰</w:t>
                  </w:r>
                </w:p>
              </w:tc>
              <w:tc>
                <w:tcPr>
                  <w:tcW w:w="1891" w:type="dxa"/>
                  <w:noWrap w:val="0"/>
                  <w:vAlign w:val="center"/>
                </w:tcPr>
                <w:p w14:paraId="76FE743D">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8200</w:t>
                  </w:r>
                </w:p>
              </w:tc>
              <w:tc>
                <w:tcPr>
                  <w:tcW w:w="1277" w:type="dxa"/>
                  <w:vMerge w:val="continue"/>
                  <w:noWrap w:val="0"/>
                  <w:vAlign w:val="center"/>
                </w:tcPr>
                <w:p w14:paraId="3A54A1E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p>
              </w:tc>
              <w:tc>
                <w:tcPr>
                  <w:tcW w:w="2111" w:type="dxa"/>
                  <w:noWrap w:val="0"/>
                  <w:vAlign w:val="center"/>
                </w:tcPr>
                <w:p w14:paraId="54F7754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沉淀池沉渣量</w:t>
                  </w:r>
                </w:p>
              </w:tc>
              <w:tc>
                <w:tcPr>
                  <w:tcW w:w="2141" w:type="dxa"/>
                  <w:noWrap w:val="0"/>
                  <w:vAlign w:val="center"/>
                </w:tcPr>
                <w:p w14:paraId="6EFF71D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45.529</w:t>
                  </w:r>
                </w:p>
              </w:tc>
            </w:tr>
            <w:tr w14:paraId="44F06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679" w:type="dxa"/>
                  <w:noWrap w:val="0"/>
                  <w:vAlign w:val="center"/>
                </w:tcPr>
                <w:p w14:paraId="745CAF0E">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减水剂</w:t>
                  </w:r>
                </w:p>
              </w:tc>
              <w:tc>
                <w:tcPr>
                  <w:tcW w:w="1891" w:type="dxa"/>
                  <w:noWrap w:val="0"/>
                  <w:vAlign w:val="center"/>
                </w:tcPr>
                <w:p w14:paraId="5E6F4B73">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800</w:t>
                  </w:r>
                </w:p>
              </w:tc>
              <w:tc>
                <w:tcPr>
                  <w:tcW w:w="1277" w:type="dxa"/>
                  <w:vMerge w:val="continue"/>
                  <w:noWrap w:val="0"/>
                  <w:vAlign w:val="center"/>
                </w:tcPr>
                <w:p w14:paraId="6F69419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p>
              </w:tc>
              <w:tc>
                <w:tcPr>
                  <w:tcW w:w="2111" w:type="dxa"/>
                  <w:vMerge w:val="restart"/>
                  <w:noWrap w:val="0"/>
                  <w:vAlign w:val="center"/>
                </w:tcPr>
                <w:p w14:paraId="6AC6BA6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以粉尘形式损耗的量</w:t>
                  </w:r>
                </w:p>
              </w:tc>
              <w:tc>
                <w:tcPr>
                  <w:tcW w:w="2141" w:type="dxa"/>
                  <w:vMerge w:val="restart"/>
                  <w:shd w:val="clear" w:color="auto" w:fill="auto"/>
                  <w:noWrap w:val="0"/>
                  <w:vAlign w:val="center"/>
                </w:tcPr>
                <w:p w14:paraId="1DEDFB7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4.443</w:t>
                  </w:r>
                </w:p>
              </w:tc>
            </w:tr>
            <w:tr w14:paraId="2DBF5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1679" w:type="dxa"/>
                  <w:noWrap w:val="0"/>
                  <w:vAlign w:val="center"/>
                </w:tcPr>
                <w:p w14:paraId="757E3217">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钢筋</w:t>
                  </w:r>
                </w:p>
              </w:tc>
              <w:tc>
                <w:tcPr>
                  <w:tcW w:w="1891" w:type="dxa"/>
                  <w:noWrap w:val="0"/>
                  <w:vAlign w:val="center"/>
                </w:tcPr>
                <w:p w14:paraId="3D09A273">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70000</w:t>
                  </w:r>
                </w:p>
              </w:tc>
              <w:tc>
                <w:tcPr>
                  <w:tcW w:w="1277" w:type="dxa"/>
                  <w:vMerge w:val="continue"/>
                  <w:noWrap w:val="0"/>
                  <w:vAlign w:val="center"/>
                </w:tcPr>
                <w:p w14:paraId="5C7F495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p>
              </w:tc>
              <w:tc>
                <w:tcPr>
                  <w:tcW w:w="2111" w:type="dxa"/>
                  <w:vMerge w:val="continue"/>
                  <w:noWrap w:val="0"/>
                  <w:vAlign w:val="center"/>
                </w:tcPr>
                <w:p w14:paraId="75DE378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p>
              </w:tc>
              <w:tc>
                <w:tcPr>
                  <w:tcW w:w="2141" w:type="dxa"/>
                  <w:vMerge w:val="continue"/>
                  <w:noWrap w:val="0"/>
                  <w:vAlign w:val="center"/>
                </w:tcPr>
                <w:p w14:paraId="184AEAA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p>
              </w:tc>
            </w:tr>
            <w:tr w14:paraId="6ED2B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679" w:type="dxa"/>
                  <w:noWrap w:val="0"/>
                  <w:vAlign w:val="center"/>
                </w:tcPr>
                <w:p w14:paraId="1B65130A">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水</w:t>
                  </w:r>
                </w:p>
              </w:tc>
              <w:tc>
                <w:tcPr>
                  <w:tcW w:w="1891" w:type="dxa"/>
                  <w:noWrap w:val="0"/>
                  <w:vAlign w:val="center"/>
                </w:tcPr>
                <w:p w14:paraId="16DCB234">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25000</w:t>
                  </w:r>
                </w:p>
              </w:tc>
              <w:tc>
                <w:tcPr>
                  <w:tcW w:w="1277" w:type="dxa"/>
                  <w:vMerge w:val="continue"/>
                  <w:noWrap w:val="0"/>
                  <w:vAlign w:val="center"/>
                </w:tcPr>
                <w:p w14:paraId="5AE62FC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p>
              </w:tc>
              <w:tc>
                <w:tcPr>
                  <w:tcW w:w="2111" w:type="dxa"/>
                  <w:noWrap w:val="0"/>
                  <w:vAlign w:val="center"/>
                </w:tcPr>
                <w:p w14:paraId="5E2F922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钢材边角料</w:t>
                  </w:r>
                </w:p>
              </w:tc>
              <w:tc>
                <w:tcPr>
                  <w:tcW w:w="2141" w:type="dxa"/>
                  <w:noWrap w:val="0"/>
                  <w:vAlign w:val="center"/>
                </w:tcPr>
                <w:p w14:paraId="617249D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10</w:t>
                  </w:r>
                </w:p>
              </w:tc>
            </w:tr>
            <w:tr w14:paraId="55148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1679" w:type="dxa"/>
                  <w:noWrap w:val="0"/>
                  <w:vAlign w:val="center"/>
                </w:tcPr>
                <w:p w14:paraId="12A9765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合计</w:t>
                  </w:r>
                </w:p>
              </w:tc>
              <w:tc>
                <w:tcPr>
                  <w:tcW w:w="1891" w:type="dxa"/>
                  <w:noWrap w:val="0"/>
                  <w:vAlign w:val="center"/>
                </w:tcPr>
                <w:p w14:paraId="6DCDBF07">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560000</w:t>
                  </w:r>
                </w:p>
              </w:tc>
              <w:tc>
                <w:tcPr>
                  <w:tcW w:w="3388" w:type="dxa"/>
                  <w:gridSpan w:val="2"/>
                  <w:noWrap w:val="0"/>
                  <w:vAlign w:val="center"/>
                </w:tcPr>
                <w:p w14:paraId="6C7DFAA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合计</w:t>
                  </w:r>
                </w:p>
              </w:tc>
              <w:tc>
                <w:tcPr>
                  <w:tcW w:w="2141" w:type="dxa"/>
                  <w:noWrap w:val="0"/>
                  <w:vAlign w:val="center"/>
                </w:tcPr>
                <w:p w14:paraId="135203BD">
                  <w:pPr>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sz w:val="21"/>
                      <w:szCs w:val="21"/>
                      <w:highlight w:val="none"/>
                      <w:vertAlign w:val="baseline"/>
                      <w:lang w:val="en-US" w:eastAsia="zh-CN"/>
                    </w:rPr>
                    <w:t>560000</w:t>
                  </w:r>
                </w:p>
              </w:tc>
            </w:tr>
          </w:tbl>
          <w:p w14:paraId="15AB422A">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Fonts w:hint="default" w:ascii="Times New Roman" w:hAnsi="Times New Roman" w:cs="Times New Roman"/>
                <w:b/>
                <w:color w:val="auto"/>
                <w:sz w:val="24"/>
                <w:szCs w:val="21"/>
                <w:highlight w:val="none"/>
                <w:lang w:eastAsia="zh-CN"/>
              </w:rPr>
            </w:pPr>
            <w:r>
              <w:rPr>
                <w:rFonts w:hint="default" w:ascii="Times New Roman" w:hAnsi="Times New Roman" w:cs="Times New Roman"/>
                <w:b/>
                <w:color w:val="auto"/>
                <w:sz w:val="24"/>
                <w:szCs w:val="21"/>
                <w:highlight w:val="none"/>
                <w:lang w:val="en-US" w:eastAsia="zh-CN"/>
              </w:rPr>
              <w:t xml:space="preserve">  2.7、</w:t>
            </w:r>
            <w:r>
              <w:rPr>
                <w:rFonts w:hint="default" w:ascii="Times New Roman" w:hAnsi="Times New Roman" w:cs="Times New Roman"/>
                <w:b/>
                <w:color w:val="auto"/>
                <w:sz w:val="24"/>
                <w:szCs w:val="21"/>
                <w:highlight w:val="none"/>
                <w:lang w:eastAsia="zh-CN"/>
              </w:rPr>
              <w:t>项目水平衡分析</w:t>
            </w:r>
          </w:p>
          <w:p w14:paraId="3D271F3A">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cs="Times New Roman"/>
                <w:b/>
                <w:bCs/>
                <w:color w:val="auto"/>
                <w:sz w:val="24"/>
                <w:highlight w:val="none"/>
                <w:lang w:val="en-US" w:eastAsia="zh-CN"/>
              </w:rPr>
            </w:pPr>
            <w:r>
              <w:rPr>
                <w:rFonts w:hint="default" w:ascii="Times New Roman" w:hAnsi="Times New Roman" w:cs="Times New Roman"/>
                <w:b/>
                <w:bCs/>
                <w:color w:val="auto"/>
                <w:sz w:val="24"/>
                <w:highlight w:val="none"/>
                <w:lang w:val="en-US" w:eastAsia="zh-CN"/>
              </w:rPr>
              <w:t>2.7.1生活用水给排水</w:t>
            </w:r>
          </w:p>
          <w:p w14:paraId="40280C8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cs="Times New Roman"/>
                <w:b w:val="0"/>
                <w:bCs w:val="0"/>
                <w:color w:val="auto"/>
                <w:sz w:val="24"/>
                <w:highlight w:val="none"/>
              </w:rPr>
              <w:t>项目员工</w:t>
            </w:r>
            <w:r>
              <w:rPr>
                <w:rFonts w:hint="default" w:ascii="Times New Roman" w:hAnsi="Times New Roman" w:cs="Times New Roman"/>
                <w:b w:val="0"/>
                <w:bCs w:val="0"/>
                <w:color w:val="auto"/>
                <w:sz w:val="24"/>
                <w:highlight w:val="none"/>
                <w:lang w:eastAsia="zh-CN"/>
              </w:rPr>
              <w:t>共</w:t>
            </w:r>
            <w:r>
              <w:rPr>
                <w:rFonts w:hint="default" w:ascii="Times New Roman" w:hAnsi="Times New Roman" w:cs="Times New Roman"/>
                <w:b w:val="0"/>
                <w:bCs w:val="0"/>
                <w:color w:val="auto"/>
                <w:sz w:val="24"/>
                <w:highlight w:val="none"/>
                <w:lang w:val="en-US" w:eastAsia="zh-CN"/>
              </w:rPr>
              <w:t>60</w:t>
            </w:r>
            <w:r>
              <w:rPr>
                <w:rFonts w:hint="default" w:ascii="Times New Roman" w:hAnsi="Times New Roman" w:cs="Times New Roman"/>
                <w:b w:val="0"/>
                <w:bCs w:val="0"/>
                <w:color w:val="auto"/>
                <w:sz w:val="24"/>
                <w:highlight w:val="none"/>
              </w:rPr>
              <w:t>人</w:t>
            </w:r>
            <w:r>
              <w:rPr>
                <w:rFonts w:hint="default" w:ascii="Times New Roman" w:hAnsi="Times New Roman" w:eastAsia="宋体" w:cs="Times New Roman"/>
                <w:color w:val="auto"/>
                <w:sz w:val="24"/>
                <w:highlight w:val="none"/>
              </w:rPr>
              <w:t>，员工均</w:t>
            </w:r>
            <w:r>
              <w:rPr>
                <w:rFonts w:hint="default" w:ascii="Times New Roman" w:hAnsi="Times New Roman" w:eastAsia="宋体" w:cs="Times New Roman"/>
                <w:color w:val="auto"/>
                <w:sz w:val="24"/>
                <w:highlight w:val="none"/>
                <w:lang w:val="en-US" w:eastAsia="zh-CN"/>
              </w:rPr>
              <w:t>不</w:t>
            </w:r>
            <w:r>
              <w:rPr>
                <w:rFonts w:hint="default" w:ascii="Times New Roman" w:hAnsi="Times New Roman" w:eastAsia="宋体" w:cs="Times New Roman"/>
                <w:color w:val="auto"/>
                <w:sz w:val="24"/>
                <w:highlight w:val="none"/>
              </w:rPr>
              <w:t>在厂区食宿，工作天数为300天，根据《广东省用水定额 第3部分：生活》（DB44/T1461.3-2021）</w:t>
            </w:r>
            <w:r>
              <w:rPr>
                <w:rFonts w:hint="default" w:ascii="Times New Roman" w:hAnsi="Times New Roman" w:cs="Times New Roman"/>
                <w:b w:val="0"/>
                <w:bCs w:val="0"/>
                <w:color w:val="auto"/>
                <w:sz w:val="24"/>
                <w:highlight w:val="none"/>
                <w:lang w:val="en-US" w:eastAsia="zh-CN"/>
              </w:rPr>
              <w:t>中的</w:t>
            </w:r>
            <w:r>
              <w:rPr>
                <w:rFonts w:hint="default" w:ascii="Times New Roman" w:hAnsi="Times New Roman" w:cs="Times New Roman"/>
                <w:b w:val="0"/>
                <w:bCs w:val="0"/>
                <w:color w:val="auto"/>
                <w:sz w:val="24"/>
                <w:szCs w:val="24"/>
                <w:highlight w:val="none"/>
              </w:rPr>
              <w:t>国家机构办公楼（无食堂和浴室）</w:t>
            </w:r>
            <w:r>
              <w:rPr>
                <w:rFonts w:hint="default" w:ascii="Times New Roman" w:hAnsi="Times New Roman" w:cs="Times New Roman"/>
                <w:b w:val="0"/>
                <w:bCs w:val="0"/>
                <w:color w:val="auto"/>
                <w:sz w:val="24"/>
                <w:szCs w:val="24"/>
                <w:highlight w:val="none"/>
                <w:lang w:val="en-US" w:eastAsia="zh-CN"/>
              </w:rPr>
              <w:t>规定的</w:t>
            </w:r>
            <w:r>
              <w:rPr>
                <w:rFonts w:hint="default" w:ascii="Times New Roman" w:hAnsi="Times New Roman" w:cs="Times New Roman"/>
                <w:b w:val="0"/>
                <w:bCs w:val="0"/>
                <w:color w:val="auto"/>
                <w:sz w:val="24"/>
                <w:highlight w:val="none"/>
              </w:rPr>
              <w:t>生活用水量按10m</w:t>
            </w:r>
            <w:r>
              <w:rPr>
                <w:rFonts w:hint="default" w:ascii="Times New Roman" w:hAnsi="Times New Roman" w:cs="Times New Roman"/>
                <w:b w:val="0"/>
                <w:bCs w:val="0"/>
                <w:color w:val="auto"/>
                <w:sz w:val="24"/>
                <w:highlight w:val="none"/>
                <w:vertAlign w:val="superscript"/>
              </w:rPr>
              <w:t>3</w:t>
            </w:r>
            <w:r>
              <w:rPr>
                <w:rFonts w:hint="default" w:ascii="Times New Roman" w:hAnsi="Times New Roman" w:cs="Times New Roman"/>
                <w:b w:val="0"/>
                <w:bCs w:val="0"/>
                <w:color w:val="auto"/>
                <w:sz w:val="24"/>
                <w:highlight w:val="none"/>
              </w:rPr>
              <w:t>/（人·a）计算</w:t>
            </w:r>
            <w:r>
              <w:rPr>
                <w:rFonts w:hint="default" w:ascii="Times New Roman" w:hAnsi="Times New Roman" w:cs="Times New Roman"/>
                <w:b w:val="0"/>
                <w:bCs w:val="0"/>
                <w:color w:val="auto"/>
                <w:sz w:val="24"/>
                <w:highlight w:val="none"/>
                <w:lang w:eastAsia="zh-CN"/>
              </w:rPr>
              <w:t>，</w:t>
            </w:r>
            <w:r>
              <w:rPr>
                <w:rFonts w:hint="default" w:ascii="Times New Roman" w:hAnsi="Times New Roman" w:cs="Times New Roman"/>
                <w:b w:val="0"/>
                <w:bCs w:val="0"/>
                <w:color w:val="auto"/>
                <w:sz w:val="24"/>
                <w:highlight w:val="none"/>
              </w:rPr>
              <w:t>则生活用水量为</w:t>
            </w:r>
            <w:r>
              <w:rPr>
                <w:rFonts w:hint="default" w:ascii="Times New Roman" w:hAnsi="Times New Roman" w:cs="Times New Roman"/>
                <w:b w:val="0"/>
                <w:bCs w:val="0"/>
                <w:color w:val="auto"/>
                <w:sz w:val="24"/>
                <w:highlight w:val="none"/>
                <w:lang w:val="en-US" w:eastAsia="zh-CN"/>
              </w:rPr>
              <w:t>600</w:t>
            </w:r>
            <w:r>
              <w:rPr>
                <w:rFonts w:hint="default" w:ascii="Times New Roman" w:hAnsi="Times New Roman" w:cs="Times New Roman"/>
                <w:b w:val="0"/>
                <w:bCs w:val="0"/>
                <w:color w:val="auto"/>
                <w:sz w:val="24"/>
                <w:highlight w:val="none"/>
              </w:rPr>
              <w:t>m</w:t>
            </w:r>
            <w:r>
              <w:rPr>
                <w:rFonts w:hint="default" w:ascii="Times New Roman" w:hAnsi="Times New Roman" w:cs="Times New Roman"/>
                <w:b w:val="0"/>
                <w:bCs w:val="0"/>
                <w:color w:val="auto"/>
                <w:sz w:val="24"/>
                <w:highlight w:val="none"/>
                <w:vertAlign w:val="superscript"/>
              </w:rPr>
              <w:t>3</w:t>
            </w:r>
            <w:r>
              <w:rPr>
                <w:rFonts w:hint="default" w:ascii="Times New Roman" w:hAnsi="Times New Roman" w:cs="Times New Roman"/>
                <w:b w:val="0"/>
                <w:bCs w:val="0"/>
                <w:color w:val="auto"/>
                <w:sz w:val="24"/>
                <w:highlight w:val="none"/>
              </w:rPr>
              <w:t>/a</w:t>
            </w:r>
            <w:r>
              <w:rPr>
                <w:rFonts w:hint="default" w:ascii="Times New Roman" w:hAnsi="Times New Roman" w:cs="Times New Roman"/>
                <w:b w:val="0"/>
                <w:bCs w:val="0"/>
                <w:color w:val="auto"/>
                <w:sz w:val="24"/>
                <w:highlight w:val="none"/>
                <w:lang w:eastAsia="zh-CN"/>
              </w:rPr>
              <w:t>（</w:t>
            </w:r>
            <w:r>
              <w:rPr>
                <w:rFonts w:hint="default" w:ascii="Times New Roman" w:hAnsi="Times New Roman" w:cs="Times New Roman"/>
                <w:b w:val="0"/>
                <w:bCs w:val="0"/>
                <w:color w:val="auto"/>
                <w:sz w:val="24"/>
                <w:highlight w:val="none"/>
                <w:lang w:val="en-US" w:eastAsia="zh-CN"/>
              </w:rPr>
              <w:t>2t/d</w:t>
            </w:r>
            <w:r>
              <w:rPr>
                <w:rFonts w:hint="default" w:ascii="Times New Roman" w:hAnsi="Times New Roman" w:cs="Times New Roman"/>
                <w:b w:val="0"/>
                <w:bCs w:val="0"/>
                <w:color w:val="auto"/>
                <w:sz w:val="24"/>
                <w:highlight w:val="none"/>
                <w:lang w:eastAsia="zh-CN"/>
              </w:rPr>
              <w:t>）</w:t>
            </w:r>
            <w:r>
              <w:rPr>
                <w:rFonts w:hint="default" w:ascii="Times New Roman" w:hAnsi="Times New Roman" w:cs="Times New Roman"/>
                <w:b w:val="0"/>
                <w:bCs w:val="0"/>
                <w:color w:val="auto"/>
                <w:sz w:val="24"/>
                <w:highlight w:val="none"/>
              </w:rPr>
              <w:t>，员工生活污水排污系数按</w:t>
            </w:r>
            <w:r>
              <w:rPr>
                <w:rFonts w:hint="default" w:ascii="Times New Roman" w:hAnsi="Times New Roman" w:cs="Times New Roman"/>
                <w:b w:val="0"/>
                <w:bCs w:val="0"/>
                <w:color w:val="auto"/>
                <w:sz w:val="24"/>
                <w:highlight w:val="none"/>
                <w:lang w:val="en-US" w:eastAsia="zh-CN"/>
              </w:rPr>
              <w:t>9</w:t>
            </w:r>
            <w:r>
              <w:rPr>
                <w:rFonts w:hint="default" w:ascii="Times New Roman" w:hAnsi="Times New Roman" w:cs="Times New Roman"/>
                <w:b w:val="0"/>
                <w:bCs w:val="0"/>
                <w:color w:val="auto"/>
                <w:sz w:val="24"/>
                <w:highlight w:val="none"/>
              </w:rPr>
              <w:t>0%计算，</w:t>
            </w:r>
            <w:r>
              <w:rPr>
                <w:rFonts w:hint="default" w:ascii="Times New Roman" w:hAnsi="Times New Roman" w:cs="Times New Roman"/>
                <w:b w:val="0"/>
                <w:bCs w:val="0"/>
                <w:color w:val="auto"/>
                <w:sz w:val="24"/>
                <w:highlight w:val="none"/>
                <w:lang w:val="en-US" w:eastAsia="zh-CN"/>
              </w:rPr>
              <w:t>则损耗量为60t/a（0.2t/d），生活污水产生</w:t>
            </w:r>
            <w:r>
              <w:rPr>
                <w:rFonts w:hint="default" w:ascii="Times New Roman" w:hAnsi="Times New Roman" w:cs="Times New Roman"/>
                <w:b w:val="0"/>
                <w:bCs w:val="0"/>
                <w:color w:val="auto"/>
                <w:sz w:val="24"/>
                <w:highlight w:val="none"/>
              </w:rPr>
              <w:t>量为</w:t>
            </w:r>
            <w:r>
              <w:rPr>
                <w:rFonts w:hint="default" w:ascii="Times New Roman" w:hAnsi="Times New Roman" w:cs="Times New Roman"/>
                <w:b w:val="0"/>
                <w:bCs w:val="0"/>
                <w:color w:val="auto"/>
                <w:sz w:val="24"/>
                <w:highlight w:val="none"/>
                <w:lang w:val="en-US" w:eastAsia="zh-CN"/>
              </w:rPr>
              <w:t>540</w:t>
            </w:r>
            <w:r>
              <w:rPr>
                <w:rFonts w:hint="default" w:ascii="Times New Roman" w:hAnsi="Times New Roman" w:cs="Times New Roman"/>
                <w:b w:val="0"/>
                <w:bCs w:val="0"/>
                <w:color w:val="auto"/>
                <w:sz w:val="24"/>
                <w:highlight w:val="none"/>
              </w:rPr>
              <w:t>t/a</w:t>
            </w:r>
            <w:r>
              <w:rPr>
                <w:rFonts w:hint="default" w:ascii="Times New Roman" w:hAnsi="Times New Roman" w:cs="Times New Roman"/>
                <w:b w:val="0"/>
                <w:bCs w:val="0"/>
                <w:color w:val="auto"/>
                <w:sz w:val="24"/>
                <w:highlight w:val="none"/>
                <w:lang w:eastAsia="zh-CN"/>
              </w:rPr>
              <w:t>（</w:t>
            </w:r>
            <w:r>
              <w:rPr>
                <w:rFonts w:hint="default" w:ascii="Times New Roman" w:hAnsi="Times New Roman" w:cs="Times New Roman"/>
                <w:b w:val="0"/>
                <w:bCs w:val="0"/>
                <w:color w:val="auto"/>
                <w:sz w:val="24"/>
                <w:highlight w:val="none"/>
                <w:lang w:val="en-US" w:eastAsia="zh-CN"/>
              </w:rPr>
              <w:t>1.8t/d</w:t>
            </w:r>
            <w:r>
              <w:rPr>
                <w:rFonts w:hint="default" w:ascii="Times New Roman" w:hAnsi="Times New Roman" w:cs="Times New Roman"/>
                <w:b w:val="0"/>
                <w:bCs w:val="0"/>
                <w:color w:val="auto"/>
                <w:sz w:val="24"/>
                <w:highlight w:val="none"/>
                <w:lang w:eastAsia="zh-CN"/>
              </w:rPr>
              <w:t>）</w:t>
            </w:r>
            <w:r>
              <w:rPr>
                <w:rFonts w:hint="default" w:ascii="Times New Roman" w:hAnsi="Times New Roman" w:eastAsia="宋体" w:cs="Times New Roman"/>
                <w:color w:val="auto"/>
                <w:sz w:val="24"/>
                <w:highlight w:val="none"/>
              </w:rPr>
              <w:t>。</w:t>
            </w:r>
          </w:p>
          <w:p w14:paraId="33BE3BCF">
            <w:pPr>
              <w:pStyle w:val="65"/>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left"/>
              <w:rPr>
                <w:rFonts w:hint="default" w:ascii="Times New Roman" w:hAnsi="Times New Roman" w:cs="Times New Roman"/>
                <w:b/>
                <w:bCs w:val="0"/>
                <w:color w:val="auto"/>
                <w:sz w:val="24"/>
                <w:highlight w:val="none"/>
                <w:lang w:val="en-US"/>
              </w:rPr>
            </w:pPr>
            <w:r>
              <w:rPr>
                <w:rFonts w:hint="default" w:ascii="Times New Roman" w:hAnsi="Times New Roman" w:cs="Times New Roman"/>
                <w:b/>
                <w:bCs w:val="0"/>
                <w:color w:val="auto"/>
                <w:sz w:val="24"/>
                <w:highlight w:val="none"/>
                <w:lang w:val="en-US" w:eastAsia="zh-CN"/>
              </w:rPr>
              <w:t>2.7.2 生产用水给排水</w:t>
            </w:r>
          </w:p>
          <w:p w14:paraId="0652E91C">
            <w:pPr>
              <w:pStyle w:val="65"/>
              <w:keepNext w:val="0"/>
              <w:keepLines w:val="0"/>
              <w:pageBreakBefore w:val="0"/>
              <w:widowControl w:val="0"/>
              <w:kinsoku/>
              <w:wordWrap/>
              <w:overflowPunct/>
              <w:topLinePunct w:val="0"/>
              <w:autoSpaceDE/>
              <w:autoSpaceDN/>
              <w:bidi w:val="0"/>
              <w:adjustRightInd w:val="0"/>
              <w:snapToGrid w:val="0"/>
              <w:ind w:left="0" w:leftChars="0" w:firstLine="480" w:firstLineChars="200"/>
              <w:jc w:val="left"/>
              <w:textAlignment w:val="baseline"/>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项目生产用水</w:t>
            </w:r>
            <w:r>
              <w:rPr>
                <w:rFonts w:hint="default" w:ascii="Times New Roman" w:hAnsi="Times New Roman" w:cs="Times New Roman"/>
                <w:color w:val="auto"/>
                <w:sz w:val="24"/>
                <w:highlight w:val="none"/>
              </w:rPr>
              <w:t>主要</w:t>
            </w:r>
            <w:r>
              <w:rPr>
                <w:rFonts w:hint="default" w:ascii="Times New Roman" w:hAnsi="Times New Roman" w:cs="Times New Roman"/>
                <w:color w:val="auto"/>
                <w:sz w:val="24"/>
                <w:highlight w:val="none"/>
                <w:lang w:eastAsia="zh-CN"/>
              </w:rPr>
              <w:t>包括</w:t>
            </w:r>
            <w:r>
              <w:rPr>
                <w:rFonts w:hint="default" w:ascii="Times New Roman" w:hAnsi="Times New Roman" w:cs="Times New Roman"/>
                <w:color w:val="auto"/>
                <w:sz w:val="24"/>
                <w:highlight w:val="none"/>
              </w:rPr>
              <w:t>原料调配用水、搅拌机清洗用水、</w:t>
            </w:r>
            <w:r>
              <w:rPr>
                <w:rFonts w:hint="default" w:ascii="Times New Roman" w:hAnsi="Times New Roman" w:cs="Times New Roman"/>
                <w:color w:val="auto"/>
                <w:sz w:val="24"/>
                <w:highlight w:val="none"/>
                <w:lang w:eastAsia="zh-CN"/>
              </w:rPr>
              <w:t>运输原材料车辆</w:t>
            </w:r>
            <w:r>
              <w:rPr>
                <w:rFonts w:hint="default" w:ascii="Times New Roman" w:hAnsi="Times New Roman" w:cs="Times New Roman"/>
                <w:color w:val="auto"/>
                <w:sz w:val="24"/>
                <w:szCs w:val="24"/>
                <w:highlight w:val="none"/>
                <w:lang w:val="en-US" w:eastAsia="zh-CN"/>
              </w:rPr>
              <w:t>清</w:t>
            </w:r>
            <w:r>
              <w:rPr>
                <w:rFonts w:hint="default" w:ascii="Times New Roman" w:hAnsi="Times New Roman" w:eastAsia="宋体" w:cs="Times New Roman"/>
                <w:i w:val="0"/>
                <w:iCs w:val="0"/>
                <w:color w:val="auto"/>
                <w:kern w:val="0"/>
                <w:sz w:val="24"/>
                <w:szCs w:val="24"/>
                <w:highlight w:val="none"/>
                <w:u w:val="none"/>
                <w:lang w:val="en-US" w:eastAsia="zh-CN" w:bidi="ar"/>
              </w:rPr>
              <w:t>洗</w:t>
            </w:r>
            <w:r>
              <w:rPr>
                <w:rFonts w:hint="default" w:ascii="Times New Roman" w:hAnsi="Times New Roman" w:cs="Times New Roman"/>
                <w:color w:val="auto"/>
                <w:sz w:val="24"/>
                <w:highlight w:val="none"/>
                <w:lang w:eastAsia="zh-CN"/>
              </w:rPr>
              <w:t>用水、</w:t>
            </w:r>
            <w:r>
              <w:rPr>
                <w:rFonts w:hint="default" w:ascii="Times New Roman" w:hAnsi="Times New Roman" w:cs="Times New Roman"/>
                <w:color w:val="auto"/>
                <w:sz w:val="24"/>
                <w:highlight w:val="none"/>
                <w:lang w:val="en-US" w:eastAsia="zh-CN"/>
              </w:rPr>
              <w:t>卸料洒水、</w:t>
            </w:r>
            <w:r>
              <w:rPr>
                <w:rFonts w:hint="default" w:ascii="Times New Roman" w:hAnsi="Times New Roman" w:cs="Times New Roman"/>
                <w:color w:val="auto"/>
                <w:sz w:val="24"/>
                <w:szCs w:val="24"/>
                <w:highlight w:val="none"/>
                <w:lang w:val="en-US" w:eastAsia="zh-CN"/>
              </w:rPr>
              <w:t>成品</w:t>
            </w:r>
            <w:r>
              <w:rPr>
                <w:rFonts w:hint="default" w:ascii="Times New Roman" w:hAnsi="Times New Roman" w:cs="Times New Roman"/>
                <w:color w:val="auto"/>
                <w:sz w:val="24"/>
                <w:szCs w:val="24"/>
                <w:highlight w:val="none"/>
              </w:rPr>
              <w:t>堆场</w:t>
            </w:r>
            <w:r>
              <w:rPr>
                <w:rFonts w:hint="default" w:ascii="Times New Roman" w:hAnsi="Times New Roman" w:cs="Times New Roman"/>
                <w:color w:val="auto"/>
                <w:sz w:val="24"/>
                <w:szCs w:val="24"/>
                <w:highlight w:val="none"/>
                <w:lang w:val="en-US" w:eastAsia="zh-CN"/>
              </w:rPr>
              <w:t>及运输道路洒水</w:t>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lang w:val="en-US" w:eastAsia="zh-CN"/>
              </w:rPr>
              <w:t>搅拌区地面</w:t>
            </w:r>
            <w:r>
              <w:rPr>
                <w:rFonts w:hint="default" w:ascii="Times New Roman" w:hAnsi="Times New Roman" w:cs="Times New Roman"/>
                <w:color w:val="auto"/>
                <w:sz w:val="24"/>
                <w:szCs w:val="24"/>
                <w:highlight w:val="none"/>
                <w:lang w:val="en-US" w:eastAsia="zh-CN"/>
              </w:rPr>
              <w:t>清</w:t>
            </w:r>
            <w:r>
              <w:rPr>
                <w:rFonts w:hint="default" w:ascii="Times New Roman" w:hAnsi="Times New Roman" w:eastAsia="宋体" w:cs="Times New Roman"/>
                <w:i w:val="0"/>
                <w:iCs w:val="0"/>
                <w:color w:val="auto"/>
                <w:kern w:val="0"/>
                <w:sz w:val="24"/>
                <w:szCs w:val="24"/>
                <w:highlight w:val="none"/>
                <w:u w:val="none"/>
                <w:lang w:val="en-US" w:eastAsia="zh-CN" w:bidi="ar"/>
              </w:rPr>
              <w:t>洗</w:t>
            </w:r>
            <w:r>
              <w:rPr>
                <w:rFonts w:hint="default" w:ascii="Times New Roman" w:hAnsi="Times New Roman" w:cs="Times New Roman"/>
                <w:color w:val="auto"/>
                <w:sz w:val="24"/>
                <w:highlight w:val="none"/>
                <w:lang w:val="en-US" w:eastAsia="zh-CN"/>
              </w:rPr>
              <w:t>用水、锅炉用水、养护用水。</w:t>
            </w:r>
          </w:p>
          <w:p w14:paraId="080EEB05">
            <w:pPr>
              <w:autoSpaceDE w:val="0"/>
              <w:adjustRightInd w:val="0"/>
              <w:snapToGrid w:val="0"/>
              <w:spacing w:line="360" w:lineRule="auto"/>
              <w:ind w:firstLine="482" w:firstLineChars="200"/>
              <w:rPr>
                <w:rFonts w:hint="default" w:ascii="Times New Roman" w:hAnsi="Times New Roman" w:cs="Times New Roman"/>
                <w:color w:val="auto"/>
                <w:sz w:val="24"/>
                <w:szCs w:val="24"/>
                <w:highlight w:val="none"/>
              </w:rPr>
            </w:pPr>
            <w:r>
              <w:rPr>
                <w:rFonts w:hint="default" w:ascii="Times New Roman" w:hAnsi="Times New Roman" w:cs="Times New Roman"/>
                <w:b/>
                <w:bCs/>
                <w:color w:val="auto"/>
                <w:sz w:val="24"/>
                <w:szCs w:val="24"/>
                <w:highlight w:val="none"/>
              </w:rPr>
              <w:t>原料调配用水</w:t>
            </w:r>
            <w:r>
              <w:rPr>
                <w:rFonts w:hint="default" w:ascii="Times New Roman" w:hAnsi="Times New Roman" w:cs="Times New Roman"/>
                <w:b/>
                <w:bCs/>
                <w:color w:val="auto"/>
                <w:sz w:val="24"/>
                <w:szCs w:val="24"/>
                <w:highlight w:val="none"/>
                <w:lang w:val="en-US" w:eastAsia="zh-CN"/>
              </w:rPr>
              <w:t>给排水</w:t>
            </w:r>
            <w:r>
              <w:rPr>
                <w:rFonts w:hint="default" w:ascii="Times New Roman" w:hAnsi="Times New Roman" w:cs="Times New Roman"/>
                <w:b/>
                <w:bCs/>
                <w:color w:val="auto"/>
                <w:sz w:val="24"/>
                <w:szCs w:val="24"/>
                <w:highlight w:val="none"/>
              </w:rPr>
              <w:t>：</w:t>
            </w:r>
            <w:r>
              <w:rPr>
                <w:rFonts w:hint="default" w:ascii="Times New Roman" w:hAnsi="Times New Roman" w:cs="Times New Roman"/>
                <w:color w:val="auto"/>
                <w:sz w:val="24"/>
                <w:szCs w:val="24"/>
                <w:highlight w:val="none"/>
                <w:lang w:val="en-US" w:eastAsia="zh-CN"/>
              </w:rPr>
              <w:t>本项目产品为轨道板及Ⅲa型轨枕，根据业主提供的信息，项目产品浇筑使用的为满足要求的C60等级的混凝土，由于河砂及碎石表面均沾有一定水分，河砂及碎石参与混凝土搅拌的过程基本不吸水，含水物料附着于表面。混凝土用水环节主要为粉料（水泥、粉煤灰等）混合搅拌用水</w:t>
            </w:r>
            <w:r>
              <w:rPr>
                <w:rFonts w:hint="default" w:ascii="Times New Roman" w:hAnsi="Times New Roman" w:cs="Times New Roman"/>
                <w:b w:val="0"/>
                <w:bCs w:val="0"/>
                <w:color w:val="auto"/>
                <w:sz w:val="24"/>
                <w:szCs w:val="24"/>
                <w:highlight w:val="none"/>
                <w:lang w:val="en-US" w:eastAsia="zh-CN"/>
              </w:rPr>
              <w:t>，根据业主提供的原料调配比例（见附件5），</w:t>
            </w:r>
            <w:r>
              <w:rPr>
                <w:rFonts w:hint="default" w:ascii="Times New Roman" w:hAnsi="Times New Roman" w:eastAsia="宋体" w:cs="Times New Roman"/>
                <w:b w:val="0"/>
                <w:bCs w:val="0"/>
                <w:color w:val="auto"/>
                <w:kern w:val="2"/>
                <w:sz w:val="24"/>
                <w:szCs w:val="24"/>
                <w:highlight w:val="none"/>
                <w:lang w:val="en-US" w:eastAsia="zh-CN"/>
              </w:rPr>
              <w:t>项目混凝土每立方米（2450Kg）调配比为：水泥375kg/碎石1218kg/砂687kg/粉煤灰41kg/聚羧基减水剂4kg/水125kg。根据原辅用料情况可知，项目产品调配总用水量为25000t/a（83.333t/d）。</w:t>
            </w:r>
            <w:r>
              <w:rPr>
                <w:rFonts w:hint="default" w:ascii="Times New Roman" w:hAnsi="Times New Roman" w:cs="Times New Roman"/>
                <w:color w:val="auto"/>
                <w:sz w:val="24"/>
                <w:szCs w:val="24"/>
                <w:highlight w:val="none"/>
                <w:lang w:val="en-US" w:eastAsia="zh-CN"/>
              </w:rPr>
              <w:t>根据业主提供的信息，原料调配用水中的水可与原料迅速发生固化反应固化成产品，且从搅拌到浇筑固化的时间非常短，基本可不考虑损耗，故可直接核算原料用水全部进入产品</w:t>
            </w:r>
            <w:r>
              <w:rPr>
                <w:rFonts w:hint="default" w:ascii="Times New Roman" w:hAnsi="Times New Roman" w:cs="Times New Roman"/>
                <w:color w:val="auto"/>
                <w:sz w:val="24"/>
                <w:szCs w:val="24"/>
                <w:highlight w:val="none"/>
              </w:rPr>
              <w:t>。</w:t>
            </w:r>
          </w:p>
          <w:p w14:paraId="28600D21">
            <w:pPr>
              <w:autoSpaceDE w:val="0"/>
              <w:adjustRightInd w:val="0"/>
              <w:snapToGrid w:val="0"/>
              <w:spacing w:line="360" w:lineRule="auto"/>
              <w:ind w:firstLine="482" w:firstLineChars="200"/>
              <w:rPr>
                <w:rFonts w:hint="default" w:ascii="Times New Roman" w:hAnsi="Times New Roman" w:cs="Times New Roman"/>
                <w:color w:val="auto"/>
                <w:sz w:val="24"/>
                <w:szCs w:val="24"/>
                <w:highlight w:val="none"/>
              </w:rPr>
            </w:pPr>
            <w:r>
              <w:rPr>
                <w:rFonts w:hint="default" w:ascii="Times New Roman" w:hAnsi="Times New Roman" w:cs="Times New Roman"/>
                <w:b/>
                <w:bCs/>
                <w:color w:val="auto"/>
                <w:sz w:val="24"/>
                <w:szCs w:val="24"/>
                <w:highlight w:val="none"/>
              </w:rPr>
              <w:t>搅拌机清洗用水</w:t>
            </w:r>
            <w:r>
              <w:rPr>
                <w:rFonts w:hint="default" w:ascii="Times New Roman" w:hAnsi="Times New Roman" w:cs="Times New Roman"/>
                <w:b/>
                <w:bCs/>
                <w:color w:val="auto"/>
                <w:sz w:val="24"/>
                <w:szCs w:val="24"/>
                <w:highlight w:val="none"/>
                <w:lang w:val="en-US" w:eastAsia="zh-CN"/>
              </w:rPr>
              <w:t>给排水</w:t>
            </w:r>
            <w:r>
              <w:rPr>
                <w:rFonts w:hint="default" w:ascii="Times New Roman" w:hAnsi="Times New Roman" w:cs="Times New Roman"/>
                <w:b/>
                <w:bCs/>
                <w:color w:val="auto"/>
                <w:sz w:val="24"/>
                <w:szCs w:val="24"/>
                <w:highlight w:val="none"/>
              </w:rPr>
              <w:t>：</w:t>
            </w:r>
            <w:r>
              <w:rPr>
                <w:rFonts w:hint="default" w:ascii="Times New Roman" w:hAnsi="Times New Roman" w:cs="Times New Roman"/>
                <w:color w:val="auto"/>
                <w:sz w:val="24"/>
                <w:szCs w:val="24"/>
                <w:highlight w:val="none"/>
              </w:rPr>
              <w:t>本项目搅拌机在暂停生产时需要</w:t>
            </w:r>
            <w:r>
              <w:rPr>
                <w:rFonts w:hint="default" w:ascii="Times New Roman" w:hAnsi="Times New Roman" w:cs="Times New Roman"/>
                <w:color w:val="auto"/>
                <w:sz w:val="24"/>
                <w:szCs w:val="24"/>
                <w:highlight w:val="none"/>
                <w:lang w:val="en-US" w:eastAsia="zh-CN"/>
              </w:rPr>
              <w:t>清</w:t>
            </w:r>
            <w:r>
              <w:rPr>
                <w:rFonts w:hint="default" w:ascii="Times New Roman" w:hAnsi="Times New Roman" w:eastAsia="宋体" w:cs="Times New Roman"/>
                <w:i w:val="0"/>
                <w:iCs w:val="0"/>
                <w:color w:val="auto"/>
                <w:kern w:val="0"/>
                <w:sz w:val="24"/>
                <w:szCs w:val="24"/>
                <w:highlight w:val="none"/>
                <w:u w:val="none"/>
                <w:lang w:val="en-US" w:eastAsia="zh-CN" w:bidi="ar"/>
              </w:rPr>
              <w:t>洗</w:t>
            </w:r>
            <w:r>
              <w:rPr>
                <w:rFonts w:hint="default" w:ascii="Times New Roman" w:hAnsi="Times New Roman" w:cs="Times New Roman"/>
                <w:color w:val="auto"/>
                <w:sz w:val="24"/>
                <w:szCs w:val="24"/>
                <w:highlight w:val="none"/>
              </w:rPr>
              <w:t>干净，根据建设单位提供的资料，每次</w:t>
            </w:r>
            <w:r>
              <w:rPr>
                <w:rFonts w:hint="default" w:ascii="Times New Roman" w:hAnsi="Times New Roman" w:cs="Times New Roman"/>
                <w:color w:val="auto"/>
                <w:sz w:val="24"/>
                <w:szCs w:val="24"/>
                <w:highlight w:val="none"/>
                <w:lang w:val="en-US" w:eastAsia="zh-CN"/>
              </w:rPr>
              <w:t>清</w:t>
            </w:r>
            <w:r>
              <w:rPr>
                <w:rFonts w:hint="default" w:ascii="Times New Roman" w:hAnsi="Times New Roman" w:eastAsia="宋体" w:cs="Times New Roman"/>
                <w:i w:val="0"/>
                <w:iCs w:val="0"/>
                <w:color w:val="auto"/>
                <w:kern w:val="0"/>
                <w:sz w:val="24"/>
                <w:szCs w:val="24"/>
                <w:highlight w:val="none"/>
                <w:u w:val="none"/>
                <w:lang w:val="en-US" w:eastAsia="zh-CN" w:bidi="ar"/>
              </w:rPr>
              <w:t>洗</w:t>
            </w:r>
            <w:r>
              <w:rPr>
                <w:rFonts w:hint="default" w:ascii="Times New Roman" w:hAnsi="Times New Roman" w:cs="Times New Roman"/>
                <w:color w:val="auto"/>
                <w:sz w:val="24"/>
                <w:szCs w:val="24"/>
                <w:highlight w:val="none"/>
              </w:rPr>
              <w:t>水量约占搅拌机容积的</w:t>
            </w:r>
            <w:r>
              <w:rPr>
                <w:rFonts w:hint="default" w:ascii="Times New Roman" w:hAnsi="Times New Roman" w:cs="Times New Roman"/>
                <w:color w:val="auto"/>
                <w:sz w:val="24"/>
                <w:szCs w:val="24"/>
                <w:highlight w:val="none"/>
                <w:lang w:val="en-US" w:eastAsia="zh-CN"/>
              </w:rPr>
              <w:t>50</w:t>
            </w:r>
            <w:r>
              <w:rPr>
                <w:rFonts w:hint="default" w:ascii="Times New Roman" w:hAnsi="Times New Roman" w:cs="Times New Roman"/>
                <w:color w:val="auto"/>
                <w:sz w:val="24"/>
                <w:szCs w:val="24"/>
                <w:highlight w:val="none"/>
              </w:rPr>
              <w:t>%计算，</w:t>
            </w:r>
            <w:r>
              <w:rPr>
                <w:rFonts w:hint="default" w:ascii="Times New Roman" w:hAnsi="Times New Roman" w:cs="Times New Roman"/>
                <w:color w:val="auto"/>
                <w:sz w:val="24"/>
                <w:szCs w:val="24"/>
                <w:highlight w:val="none"/>
                <w:lang w:val="en-US" w:eastAsia="zh-CN"/>
              </w:rPr>
              <w:t>每次清</w:t>
            </w:r>
            <w:r>
              <w:rPr>
                <w:rFonts w:hint="default" w:ascii="Times New Roman" w:hAnsi="Times New Roman" w:eastAsia="宋体" w:cs="Times New Roman"/>
                <w:i w:val="0"/>
                <w:iCs w:val="0"/>
                <w:color w:val="auto"/>
                <w:kern w:val="0"/>
                <w:sz w:val="24"/>
                <w:szCs w:val="24"/>
                <w:highlight w:val="none"/>
                <w:u w:val="none"/>
                <w:lang w:val="en-US" w:eastAsia="zh-CN" w:bidi="ar"/>
              </w:rPr>
              <w:t>洗</w:t>
            </w:r>
            <w:r>
              <w:rPr>
                <w:rFonts w:hint="default" w:ascii="Times New Roman" w:hAnsi="Times New Roman" w:cs="Times New Roman"/>
                <w:color w:val="auto"/>
                <w:sz w:val="24"/>
                <w:szCs w:val="24"/>
                <w:highlight w:val="none"/>
                <w:lang w:val="en-US" w:eastAsia="zh-CN"/>
              </w:rPr>
              <w:t>2遍，</w:t>
            </w:r>
            <w:r>
              <w:rPr>
                <w:rFonts w:hint="default" w:ascii="Times New Roman" w:hAnsi="Times New Roman" w:cs="Times New Roman"/>
                <w:color w:val="auto"/>
                <w:sz w:val="24"/>
                <w:szCs w:val="24"/>
                <w:highlight w:val="none"/>
              </w:rPr>
              <w:t>项目</w:t>
            </w:r>
            <w:r>
              <w:rPr>
                <w:rFonts w:hint="eastAsia" w:ascii="Times New Roman" w:hAnsi="Times New Roman" w:cs="Times New Roman"/>
                <w:color w:val="auto"/>
                <w:sz w:val="24"/>
                <w:szCs w:val="24"/>
                <w:highlight w:val="none"/>
                <w:lang w:val="en-US" w:eastAsia="zh-CN"/>
              </w:rPr>
              <w:t>2</w:t>
            </w:r>
            <w:r>
              <w:rPr>
                <w:rFonts w:hint="default" w:ascii="Times New Roman" w:hAnsi="Times New Roman" w:cs="Times New Roman"/>
                <w:color w:val="auto"/>
                <w:sz w:val="24"/>
                <w:szCs w:val="24"/>
                <w:highlight w:val="none"/>
                <w:lang w:val="en-US" w:eastAsia="zh-CN"/>
              </w:rPr>
              <w:t>台搅拌机总容积为4</w:t>
            </w:r>
            <w:r>
              <w:rPr>
                <w:rFonts w:hint="default" w:ascii="Times New Roman" w:hAnsi="Times New Roman" w:cs="Times New Roman"/>
                <w:color w:val="auto"/>
                <w:sz w:val="24"/>
                <w:szCs w:val="24"/>
                <w:highlight w:val="none"/>
              </w:rPr>
              <w:t>m</w:t>
            </w:r>
            <w:r>
              <w:rPr>
                <w:rFonts w:hint="default" w:ascii="Times New Roman" w:hAnsi="Times New Roman" w:cs="Times New Roman"/>
                <w:color w:val="auto"/>
                <w:sz w:val="24"/>
                <w:szCs w:val="24"/>
                <w:highlight w:val="none"/>
                <w:vertAlign w:val="superscript"/>
              </w:rPr>
              <w:t>3</w:t>
            </w:r>
            <w:r>
              <w:rPr>
                <w:rFonts w:hint="default" w:ascii="Times New Roman" w:hAnsi="Times New Roman" w:cs="Times New Roman"/>
                <w:color w:val="auto"/>
                <w:sz w:val="24"/>
                <w:szCs w:val="24"/>
                <w:highlight w:val="none"/>
              </w:rPr>
              <w:t>，年生产300d，据此计算，则搅拌机</w:t>
            </w:r>
            <w:r>
              <w:rPr>
                <w:rFonts w:hint="default" w:ascii="Times New Roman" w:hAnsi="Times New Roman" w:cs="Times New Roman"/>
                <w:color w:val="auto"/>
                <w:sz w:val="24"/>
                <w:szCs w:val="24"/>
                <w:highlight w:val="none"/>
                <w:lang w:val="en-US" w:eastAsia="zh-CN"/>
              </w:rPr>
              <w:t>清</w:t>
            </w:r>
            <w:r>
              <w:rPr>
                <w:rFonts w:hint="default" w:ascii="Times New Roman" w:hAnsi="Times New Roman" w:eastAsia="宋体" w:cs="Times New Roman"/>
                <w:i w:val="0"/>
                <w:iCs w:val="0"/>
                <w:color w:val="auto"/>
                <w:kern w:val="0"/>
                <w:sz w:val="24"/>
                <w:szCs w:val="24"/>
                <w:highlight w:val="none"/>
                <w:u w:val="none"/>
                <w:lang w:val="en-US" w:eastAsia="zh-CN" w:bidi="ar"/>
              </w:rPr>
              <w:t>洗</w:t>
            </w:r>
            <w:r>
              <w:rPr>
                <w:rFonts w:hint="default" w:ascii="Times New Roman" w:hAnsi="Times New Roman" w:cs="Times New Roman"/>
                <w:color w:val="auto"/>
                <w:sz w:val="24"/>
                <w:szCs w:val="24"/>
                <w:highlight w:val="none"/>
              </w:rPr>
              <w:t>用水量为</w:t>
            </w:r>
            <w:r>
              <w:rPr>
                <w:rFonts w:hint="default" w:ascii="Times New Roman" w:hAnsi="Times New Roman" w:cs="Times New Roman"/>
                <w:color w:val="auto"/>
                <w:sz w:val="24"/>
                <w:szCs w:val="24"/>
                <w:highlight w:val="none"/>
                <w:lang w:val="en-US" w:eastAsia="zh-CN"/>
              </w:rPr>
              <w:t>1200t</w:t>
            </w:r>
            <w:r>
              <w:rPr>
                <w:rFonts w:hint="default" w:ascii="Times New Roman" w:hAnsi="Times New Roman" w:cs="Times New Roman"/>
                <w:color w:val="auto"/>
                <w:sz w:val="24"/>
                <w:szCs w:val="24"/>
                <w:highlight w:val="none"/>
              </w:rPr>
              <w:t>/a</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4t/d</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。废水产污系数按0.</w:t>
            </w:r>
            <w:r>
              <w:rPr>
                <w:rFonts w:hint="default" w:ascii="Times New Roman" w:hAnsi="Times New Roman" w:cs="Times New Roman"/>
                <w:color w:val="auto"/>
                <w:sz w:val="24"/>
                <w:szCs w:val="24"/>
                <w:highlight w:val="none"/>
                <w:lang w:val="en-US" w:eastAsia="zh-CN"/>
              </w:rPr>
              <w:t>9</w:t>
            </w:r>
            <w:r>
              <w:rPr>
                <w:rFonts w:hint="default" w:ascii="Times New Roman" w:hAnsi="Times New Roman" w:cs="Times New Roman"/>
                <w:color w:val="auto"/>
                <w:sz w:val="24"/>
                <w:szCs w:val="24"/>
                <w:highlight w:val="none"/>
              </w:rPr>
              <w:t>计，则</w:t>
            </w:r>
            <w:r>
              <w:rPr>
                <w:rFonts w:hint="default" w:ascii="Times New Roman" w:hAnsi="Times New Roman" w:cs="Times New Roman"/>
                <w:color w:val="auto"/>
                <w:sz w:val="24"/>
                <w:szCs w:val="24"/>
                <w:highlight w:val="none"/>
                <w:lang w:val="en-US" w:eastAsia="zh-CN"/>
              </w:rPr>
              <w:t>损耗量为120t/a（0.4t/d），</w:t>
            </w:r>
            <w:r>
              <w:rPr>
                <w:rFonts w:hint="default" w:ascii="Times New Roman" w:hAnsi="Times New Roman" w:cs="Times New Roman"/>
                <w:color w:val="auto"/>
                <w:sz w:val="24"/>
                <w:szCs w:val="24"/>
                <w:highlight w:val="none"/>
              </w:rPr>
              <w:t>搅拌机清洗废水量为</w:t>
            </w:r>
            <w:r>
              <w:rPr>
                <w:rFonts w:hint="default" w:ascii="Times New Roman" w:hAnsi="Times New Roman" w:cs="Times New Roman"/>
                <w:color w:val="auto"/>
                <w:sz w:val="24"/>
                <w:szCs w:val="24"/>
                <w:highlight w:val="none"/>
                <w:lang w:val="en-US" w:eastAsia="zh-CN"/>
              </w:rPr>
              <w:t>1080</w:t>
            </w:r>
            <w:r>
              <w:rPr>
                <w:rFonts w:hint="default" w:ascii="Times New Roman" w:hAnsi="Times New Roman" w:cs="Times New Roman"/>
                <w:color w:val="auto"/>
                <w:sz w:val="24"/>
                <w:szCs w:val="24"/>
                <w:highlight w:val="none"/>
              </w:rPr>
              <w:t>m</w:t>
            </w:r>
            <w:r>
              <w:rPr>
                <w:rFonts w:hint="default" w:ascii="Times New Roman" w:hAnsi="Times New Roman" w:cs="Times New Roman"/>
                <w:color w:val="auto"/>
                <w:sz w:val="24"/>
                <w:szCs w:val="24"/>
                <w:highlight w:val="none"/>
                <w:vertAlign w:val="superscript"/>
              </w:rPr>
              <w:t>3</w:t>
            </w:r>
            <w:r>
              <w:rPr>
                <w:rFonts w:hint="default" w:ascii="Times New Roman" w:hAnsi="Times New Roman" w:cs="Times New Roman"/>
                <w:color w:val="auto"/>
                <w:sz w:val="24"/>
                <w:szCs w:val="24"/>
                <w:highlight w:val="none"/>
              </w:rPr>
              <w:t>/a（</w:t>
            </w:r>
            <w:r>
              <w:rPr>
                <w:rFonts w:hint="default" w:ascii="Times New Roman" w:hAnsi="Times New Roman" w:cs="Times New Roman"/>
                <w:color w:val="auto"/>
                <w:sz w:val="24"/>
                <w:szCs w:val="24"/>
                <w:highlight w:val="none"/>
                <w:lang w:val="en-US" w:eastAsia="zh-CN"/>
              </w:rPr>
              <w:t>3.6</w:t>
            </w:r>
            <w:r>
              <w:rPr>
                <w:rFonts w:hint="default" w:ascii="Times New Roman" w:hAnsi="Times New Roman" w:cs="Times New Roman"/>
                <w:color w:val="auto"/>
                <w:sz w:val="24"/>
                <w:szCs w:val="24"/>
                <w:highlight w:val="none"/>
              </w:rPr>
              <w:t>t/d），</w:t>
            </w:r>
            <w:r>
              <w:rPr>
                <w:rFonts w:hint="default" w:ascii="Times New Roman" w:hAnsi="Times New Roman" w:cs="Times New Roman"/>
                <w:color w:val="auto"/>
                <w:sz w:val="24"/>
                <w:szCs w:val="24"/>
                <w:highlight w:val="none"/>
                <w:lang w:val="en-US" w:eastAsia="zh-CN"/>
              </w:rPr>
              <w:t>经三级</w:t>
            </w:r>
            <w:r>
              <w:rPr>
                <w:rFonts w:hint="default" w:ascii="Times New Roman" w:hAnsi="Times New Roman" w:cs="Times New Roman"/>
                <w:color w:val="auto"/>
                <w:sz w:val="24"/>
                <w:szCs w:val="24"/>
                <w:highlight w:val="none"/>
              </w:rPr>
              <w:t>沉淀</w:t>
            </w:r>
            <w:r>
              <w:rPr>
                <w:rFonts w:hint="default" w:ascii="Times New Roman" w:hAnsi="Times New Roman" w:cs="Times New Roman"/>
                <w:color w:val="auto"/>
                <w:sz w:val="24"/>
                <w:szCs w:val="24"/>
                <w:highlight w:val="none"/>
                <w:lang w:val="en-US" w:eastAsia="zh-CN"/>
              </w:rPr>
              <w:t>后</w:t>
            </w:r>
            <w:r>
              <w:rPr>
                <w:rFonts w:hint="default" w:ascii="Times New Roman" w:hAnsi="Times New Roman" w:cs="Times New Roman"/>
                <w:color w:val="auto"/>
                <w:sz w:val="24"/>
                <w:szCs w:val="24"/>
                <w:highlight w:val="none"/>
              </w:rPr>
              <w:t>回用于</w:t>
            </w:r>
            <w:r>
              <w:rPr>
                <w:rFonts w:hint="default" w:ascii="Times New Roman" w:hAnsi="Times New Roman" w:eastAsia="宋体" w:cs="Times New Roman"/>
                <w:b w:val="0"/>
                <w:bCs/>
                <w:color w:val="auto"/>
                <w:sz w:val="24"/>
                <w:szCs w:val="24"/>
                <w:highlight w:val="none"/>
                <w:vertAlign w:val="baseline"/>
                <w:lang w:val="en-US" w:eastAsia="zh-CN"/>
              </w:rPr>
              <w:t>原料调配用水</w:t>
            </w:r>
            <w:r>
              <w:rPr>
                <w:rFonts w:hint="default" w:ascii="Times New Roman" w:hAnsi="Times New Roman" w:cs="Times New Roman"/>
                <w:color w:val="auto"/>
                <w:sz w:val="24"/>
                <w:szCs w:val="24"/>
                <w:highlight w:val="none"/>
                <w:lang w:val="en-US" w:eastAsia="zh-CN"/>
              </w:rPr>
              <w:t>，</w:t>
            </w:r>
            <w:r>
              <w:rPr>
                <w:rFonts w:hint="default" w:ascii="Times New Roman" w:hAnsi="Times New Roman" w:cs="Times New Roman"/>
                <w:color w:val="auto"/>
                <w:sz w:val="24"/>
                <w:highlight w:val="none"/>
              </w:rPr>
              <w:t>不排放</w:t>
            </w:r>
            <w:r>
              <w:rPr>
                <w:rFonts w:hint="default" w:ascii="Times New Roman" w:hAnsi="Times New Roman" w:cs="Times New Roman"/>
                <w:color w:val="auto"/>
                <w:sz w:val="24"/>
                <w:szCs w:val="24"/>
                <w:highlight w:val="none"/>
              </w:rPr>
              <w:t>。</w:t>
            </w:r>
          </w:p>
          <w:p w14:paraId="77FCCB91">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b/>
                <w:bCs/>
                <w:color w:val="auto"/>
                <w:kern w:val="2"/>
                <w:sz w:val="24"/>
                <w:szCs w:val="24"/>
                <w:highlight w:val="none"/>
                <w:lang w:val="en-US" w:eastAsia="zh-CN" w:bidi="ar-SA"/>
              </w:rPr>
              <w:t>运输原材料车辆</w:t>
            </w:r>
            <w:r>
              <w:rPr>
                <w:rFonts w:hint="default" w:ascii="Times New Roman" w:hAnsi="Times New Roman" w:cs="Times New Roman"/>
                <w:b/>
                <w:bCs/>
                <w:color w:val="auto"/>
                <w:sz w:val="24"/>
                <w:szCs w:val="24"/>
                <w:highlight w:val="none"/>
                <w:lang w:val="en-US" w:eastAsia="zh-CN"/>
              </w:rPr>
              <w:t>清</w:t>
            </w:r>
            <w:r>
              <w:rPr>
                <w:rFonts w:hint="default" w:ascii="Times New Roman" w:hAnsi="Times New Roman" w:eastAsia="宋体" w:cs="Times New Roman"/>
                <w:b/>
                <w:bCs/>
                <w:i w:val="0"/>
                <w:iCs w:val="0"/>
                <w:color w:val="auto"/>
                <w:kern w:val="0"/>
                <w:sz w:val="24"/>
                <w:szCs w:val="24"/>
                <w:highlight w:val="none"/>
                <w:u w:val="none"/>
                <w:lang w:val="en-US" w:eastAsia="zh-CN" w:bidi="ar"/>
              </w:rPr>
              <w:t>洗</w:t>
            </w:r>
            <w:r>
              <w:rPr>
                <w:rFonts w:hint="default" w:ascii="Times New Roman" w:hAnsi="Times New Roman" w:eastAsia="宋体" w:cs="Times New Roman"/>
                <w:b/>
                <w:bCs/>
                <w:color w:val="auto"/>
                <w:kern w:val="2"/>
                <w:sz w:val="24"/>
                <w:szCs w:val="24"/>
                <w:highlight w:val="none"/>
                <w:lang w:val="en-US" w:eastAsia="zh-CN" w:bidi="ar-SA"/>
              </w:rPr>
              <w:t>用水给排水：</w:t>
            </w:r>
            <w:r>
              <w:rPr>
                <w:rFonts w:hint="default" w:ascii="Times New Roman" w:hAnsi="Times New Roman" w:eastAsia="宋体" w:cs="Times New Roman"/>
                <w:color w:val="auto"/>
                <w:kern w:val="2"/>
                <w:sz w:val="24"/>
                <w:szCs w:val="24"/>
                <w:highlight w:val="none"/>
                <w:lang w:val="en-US" w:eastAsia="zh-CN" w:bidi="ar-SA"/>
              </w:rPr>
              <w:t>项目堆场入口处配备有车辆</w:t>
            </w:r>
            <w:r>
              <w:rPr>
                <w:rFonts w:hint="default" w:ascii="Times New Roman" w:hAnsi="Times New Roman" w:cs="Times New Roman"/>
                <w:color w:val="auto"/>
                <w:sz w:val="24"/>
                <w:szCs w:val="24"/>
                <w:highlight w:val="none"/>
                <w:lang w:val="en-US" w:eastAsia="zh-CN"/>
              </w:rPr>
              <w:t>清</w:t>
            </w:r>
            <w:r>
              <w:rPr>
                <w:rFonts w:hint="default" w:ascii="Times New Roman" w:hAnsi="Times New Roman" w:eastAsia="宋体" w:cs="Times New Roman"/>
                <w:i w:val="0"/>
                <w:iCs w:val="0"/>
                <w:color w:val="auto"/>
                <w:kern w:val="0"/>
                <w:sz w:val="24"/>
                <w:szCs w:val="24"/>
                <w:highlight w:val="none"/>
                <w:u w:val="none"/>
                <w:lang w:val="en-US" w:eastAsia="zh-CN" w:bidi="ar"/>
              </w:rPr>
              <w:t>洗</w:t>
            </w:r>
            <w:r>
              <w:rPr>
                <w:rFonts w:hint="default" w:ascii="Times New Roman" w:hAnsi="Times New Roman" w:eastAsia="宋体" w:cs="Times New Roman"/>
                <w:color w:val="auto"/>
                <w:kern w:val="2"/>
                <w:sz w:val="24"/>
                <w:szCs w:val="24"/>
                <w:highlight w:val="none"/>
                <w:lang w:val="en-US" w:eastAsia="zh-CN" w:bidi="ar-SA"/>
              </w:rPr>
              <w:t>设备将运输车辆车身、车轮清洗干净。需在厂区内</w:t>
            </w:r>
            <w:r>
              <w:rPr>
                <w:rFonts w:hint="default" w:ascii="Times New Roman" w:hAnsi="Times New Roman" w:cs="Times New Roman"/>
                <w:color w:val="auto"/>
                <w:sz w:val="24"/>
                <w:szCs w:val="24"/>
                <w:highlight w:val="none"/>
                <w:lang w:val="en-US" w:eastAsia="zh-CN"/>
              </w:rPr>
              <w:t>清</w:t>
            </w:r>
            <w:r>
              <w:rPr>
                <w:rFonts w:hint="default" w:ascii="Times New Roman" w:hAnsi="Times New Roman" w:eastAsia="宋体" w:cs="Times New Roman"/>
                <w:i w:val="0"/>
                <w:iCs w:val="0"/>
                <w:color w:val="auto"/>
                <w:kern w:val="0"/>
                <w:sz w:val="24"/>
                <w:szCs w:val="24"/>
                <w:highlight w:val="none"/>
                <w:u w:val="none"/>
                <w:lang w:val="en-US" w:eastAsia="zh-CN" w:bidi="ar"/>
              </w:rPr>
              <w:t>洗</w:t>
            </w:r>
            <w:r>
              <w:rPr>
                <w:rFonts w:hint="default" w:ascii="Times New Roman" w:hAnsi="Times New Roman" w:eastAsia="宋体" w:cs="Times New Roman"/>
                <w:color w:val="auto"/>
                <w:kern w:val="2"/>
                <w:sz w:val="24"/>
                <w:szCs w:val="24"/>
                <w:highlight w:val="none"/>
                <w:lang w:val="en-US" w:eastAsia="zh-CN" w:bidi="ar-SA"/>
              </w:rPr>
              <w:t>的车辆为砂石原料运输车、粉煤灰及水泥等粉状原料运输车，其他原辅料（如模具、塑料薄膜等）以及成品运输的车辆运输的物料（产品）均为固态，不粘结且车身基本不产生粉尘堆积，无需清洗。参照广东省地方标准《用水定额 第3部分：生活》（DB44/T 1461.3-2021）中“汽车修理与维护-大型车（自动洗车）”用水定额26L/车次，根据后文源强分析可知，本项目砂石原材料全年运输约11906车次，粉煤灰及水泥等粉料车全年运输约4160次，故运输原材料全年运输总约16066次，则项目清洗车辆用水量约为1.393t/d（417.716t/a），</w:t>
            </w:r>
            <w:r>
              <w:rPr>
                <w:rFonts w:hint="default" w:ascii="Times New Roman" w:hAnsi="Times New Roman" w:eastAsia="宋体" w:cs="Times New Roman"/>
                <w:color w:val="auto"/>
                <w:sz w:val="24"/>
                <w:szCs w:val="24"/>
                <w:highlight w:val="none"/>
                <w:lang w:val="en-US" w:eastAsia="zh-CN"/>
              </w:rPr>
              <w:t>产污系数按0.9计，</w:t>
            </w:r>
            <w:r>
              <w:rPr>
                <w:rFonts w:hint="default" w:ascii="Times New Roman" w:hAnsi="Times New Roman" w:cs="Times New Roman"/>
                <w:color w:val="auto"/>
                <w:sz w:val="24"/>
                <w:szCs w:val="24"/>
                <w:highlight w:val="none"/>
              </w:rPr>
              <w:t>则</w:t>
            </w:r>
            <w:r>
              <w:rPr>
                <w:rFonts w:hint="default" w:ascii="Times New Roman" w:hAnsi="Times New Roman" w:cs="Times New Roman"/>
                <w:color w:val="auto"/>
                <w:sz w:val="24"/>
                <w:szCs w:val="24"/>
                <w:highlight w:val="none"/>
                <w:lang w:val="en-US" w:eastAsia="zh-CN"/>
              </w:rPr>
              <w:t>损耗量为0.139t/d（41.772t/</w:t>
            </w:r>
            <w:r>
              <w:rPr>
                <w:rFonts w:hint="eastAsia" w:ascii="Times New Roman" w:hAnsi="Times New Roman" w:cs="Times New Roman"/>
                <w:color w:val="auto"/>
                <w:sz w:val="24"/>
                <w:szCs w:val="24"/>
                <w:highlight w:val="none"/>
                <w:lang w:val="en-US" w:eastAsia="zh-CN"/>
              </w:rPr>
              <w:t>a</w:t>
            </w:r>
            <w:r>
              <w:rPr>
                <w:rFonts w:hint="default" w:ascii="Times New Roman" w:hAnsi="Times New Roman"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运输原材料车辆</w:t>
            </w:r>
            <w:r>
              <w:rPr>
                <w:rFonts w:hint="default" w:ascii="Times New Roman" w:hAnsi="Times New Roman" w:cs="Times New Roman"/>
                <w:color w:val="auto"/>
                <w:sz w:val="24"/>
                <w:szCs w:val="24"/>
                <w:highlight w:val="none"/>
                <w:lang w:val="en-US" w:eastAsia="zh-CN"/>
              </w:rPr>
              <w:t>清</w:t>
            </w:r>
            <w:r>
              <w:rPr>
                <w:rFonts w:hint="default" w:ascii="Times New Roman" w:hAnsi="Times New Roman" w:eastAsia="宋体" w:cs="Times New Roman"/>
                <w:i w:val="0"/>
                <w:iCs w:val="0"/>
                <w:color w:val="auto"/>
                <w:kern w:val="0"/>
                <w:sz w:val="24"/>
                <w:szCs w:val="24"/>
                <w:highlight w:val="none"/>
                <w:u w:val="none"/>
                <w:lang w:val="en-US" w:eastAsia="zh-CN" w:bidi="ar"/>
              </w:rPr>
              <w:t>洗</w:t>
            </w:r>
            <w:r>
              <w:rPr>
                <w:rFonts w:hint="default" w:ascii="Times New Roman" w:hAnsi="Times New Roman" w:eastAsia="宋体" w:cs="Times New Roman"/>
                <w:color w:val="auto"/>
                <w:sz w:val="24"/>
                <w:szCs w:val="24"/>
                <w:highlight w:val="none"/>
                <w:lang w:val="en-US" w:eastAsia="zh-CN"/>
              </w:rPr>
              <w:t>清洗废水产生量为1.254t/d（375.944t/a），</w:t>
            </w:r>
            <w:r>
              <w:rPr>
                <w:rFonts w:hint="default" w:ascii="Times New Roman" w:hAnsi="Times New Roman" w:cs="Times New Roman"/>
                <w:color w:val="auto"/>
                <w:sz w:val="24"/>
                <w:szCs w:val="24"/>
                <w:highlight w:val="none"/>
                <w:lang w:val="en-US" w:eastAsia="zh-CN"/>
              </w:rPr>
              <w:t>经三级</w:t>
            </w:r>
            <w:r>
              <w:rPr>
                <w:rFonts w:hint="default" w:ascii="Times New Roman" w:hAnsi="Times New Roman" w:cs="Times New Roman"/>
                <w:color w:val="auto"/>
                <w:sz w:val="24"/>
                <w:szCs w:val="24"/>
                <w:highlight w:val="none"/>
              </w:rPr>
              <w:t>沉淀回用于</w:t>
            </w:r>
            <w:r>
              <w:rPr>
                <w:rFonts w:hint="default" w:ascii="Times New Roman" w:hAnsi="Times New Roman" w:eastAsia="宋体" w:cs="Times New Roman"/>
                <w:b w:val="0"/>
                <w:bCs/>
                <w:color w:val="auto"/>
                <w:sz w:val="24"/>
                <w:szCs w:val="24"/>
                <w:highlight w:val="none"/>
                <w:vertAlign w:val="baseline"/>
                <w:lang w:val="en-US" w:eastAsia="zh-CN"/>
              </w:rPr>
              <w:t>原料调配用水</w:t>
            </w:r>
            <w:r>
              <w:rPr>
                <w:rFonts w:hint="default" w:ascii="Times New Roman" w:hAnsi="Times New Roman" w:cs="Times New Roman"/>
                <w:color w:val="auto"/>
                <w:sz w:val="24"/>
                <w:szCs w:val="24"/>
                <w:highlight w:val="none"/>
                <w:lang w:val="en-US" w:eastAsia="zh-CN"/>
              </w:rPr>
              <w:t>，</w:t>
            </w:r>
            <w:r>
              <w:rPr>
                <w:rFonts w:hint="default" w:ascii="Times New Roman" w:hAnsi="Times New Roman" w:cs="Times New Roman"/>
                <w:color w:val="auto"/>
                <w:sz w:val="24"/>
                <w:highlight w:val="none"/>
              </w:rPr>
              <w:t>不排放</w:t>
            </w:r>
            <w:r>
              <w:rPr>
                <w:rFonts w:hint="default" w:ascii="Times New Roman" w:hAnsi="Times New Roman" w:eastAsia="宋体" w:cs="Times New Roman"/>
                <w:color w:val="auto"/>
                <w:sz w:val="24"/>
                <w:szCs w:val="24"/>
                <w:highlight w:val="none"/>
                <w:lang w:val="en-US" w:eastAsia="zh-CN"/>
              </w:rPr>
              <w:t>。</w:t>
            </w:r>
          </w:p>
          <w:p w14:paraId="441DC1CE">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b/>
                <w:bCs/>
                <w:color w:val="auto"/>
                <w:sz w:val="24"/>
                <w:highlight w:val="none"/>
                <w:lang w:val="en-US" w:eastAsia="zh-CN"/>
              </w:rPr>
              <w:t>搅拌区</w:t>
            </w:r>
            <w:r>
              <w:rPr>
                <w:rFonts w:hint="default" w:ascii="Times New Roman" w:hAnsi="Times New Roman" w:cs="Times New Roman"/>
                <w:b/>
                <w:bCs/>
                <w:color w:val="auto"/>
                <w:sz w:val="24"/>
                <w:highlight w:val="none"/>
              </w:rPr>
              <w:t>地面</w:t>
            </w:r>
            <w:r>
              <w:rPr>
                <w:rFonts w:hint="default" w:ascii="Times New Roman" w:hAnsi="Times New Roman" w:cs="Times New Roman"/>
                <w:b/>
                <w:bCs/>
                <w:color w:val="auto"/>
                <w:sz w:val="24"/>
                <w:szCs w:val="24"/>
                <w:highlight w:val="none"/>
                <w:lang w:val="en-US" w:eastAsia="zh-CN"/>
              </w:rPr>
              <w:t>清</w:t>
            </w:r>
            <w:r>
              <w:rPr>
                <w:rFonts w:hint="default" w:ascii="Times New Roman" w:hAnsi="Times New Roman" w:eastAsia="宋体" w:cs="Times New Roman"/>
                <w:b/>
                <w:bCs/>
                <w:i w:val="0"/>
                <w:iCs w:val="0"/>
                <w:color w:val="auto"/>
                <w:kern w:val="0"/>
                <w:sz w:val="24"/>
                <w:szCs w:val="24"/>
                <w:highlight w:val="none"/>
                <w:u w:val="none"/>
                <w:lang w:val="en-US" w:eastAsia="zh-CN" w:bidi="ar"/>
              </w:rPr>
              <w:t>洗</w:t>
            </w:r>
            <w:r>
              <w:rPr>
                <w:rFonts w:hint="default" w:ascii="Times New Roman" w:hAnsi="Times New Roman" w:cs="Times New Roman"/>
                <w:b/>
                <w:bCs/>
                <w:color w:val="auto"/>
                <w:sz w:val="24"/>
                <w:highlight w:val="none"/>
              </w:rPr>
              <w:t>用水：</w:t>
            </w:r>
            <w:r>
              <w:rPr>
                <w:rFonts w:hint="default" w:ascii="Times New Roman" w:hAnsi="Times New Roman" w:cs="Times New Roman"/>
                <w:color w:val="auto"/>
                <w:sz w:val="24"/>
                <w:highlight w:val="none"/>
                <w:lang w:val="en-US" w:eastAsia="zh-CN"/>
              </w:rPr>
              <w:t>根据业主提供的信息，项目搅拌区地面需每天</w:t>
            </w:r>
            <w:r>
              <w:rPr>
                <w:rFonts w:hint="default" w:ascii="Times New Roman" w:hAnsi="Times New Roman" w:cs="Times New Roman"/>
                <w:color w:val="auto"/>
                <w:sz w:val="24"/>
                <w:szCs w:val="24"/>
                <w:highlight w:val="none"/>
                <w:lang w:val="en-US" w:eastAsia="zh-CN"/>
              </w:rPr>
              <w:t>清</w:t>
            </w:r>
            <w:r>
              <w:rPr>
                <w:rFonts w:hint="default" w:ascii="Times New Roman" w:hAnsi="Times New Roman" w:eastAsia="宋体" w:cs="Times New Roman"/>
                <w:i w:val="0"/>
                <w:iCs w:val="0"/>
                <w:color w:val="auto"/>
                <w:kern w:val="0"/>
                <w:sz w:val="24"/>
                <w:szCs w:val="24"/>
                <w:highlight w:val="none"/>
                <w:u w:val="none"/>
                <w:lang w:val="en-US" w:eastAsia="zh-CN" w:bidi="ar"/>
              </w:rPr>
              <w:t>洗</w:t>
            </w:r>
            <w:r>
              <w:rPr>
                <w:rFonts w:hint="default" w:ascii="Times New Roman" w:hAnsi="Times New Roman" w:cs="Times New Roman"/>
                <w:color w:val="auto"/>
                <w:sz w:val="24"/>
                <w:highlight w:val="none"/>
                <w:lang w:val="en-US" w:eastAsia="zh-CN"/>
              </w:rPr>
              <w:t>，其余区域无需</w:t>
            </w:r>
            <w:r>
              <w:rPr>
                <w:rFonts w:hint="default" w:ascii="Times New Roman" w:hAnsi="Times New Roman" w:cs="Times New Roman"/>
                <w:color w:val="auto"/>
                <w:sz w:val="24"/>
                <w:szCs w:val="24"/>
                <w:highlight w:val="none"/>
                <w:lang w:val="en-US" w:eastAsia="zh-CN"/>
              </w:rPr>
              <w:t>清</w:t>
            </w:r>
            <w:r>
              <w:rPr>
                <w:rFonts w:hint="default" w:ascii="Times New Roman" w:hAnsi="Times New Roman" w:eastAsia="宋体" w:cs="Times New Roman"/>
                <w:i w:val="0"/>
                <w:iCs w:val="0"/>
                <w:color w:val="auto"/>
                <w:kern w:val="0"/>
                <w:sz w:val="24"/>
                <w:szCs w:val="24"/>
                <w:highlight w:val="none"/>
                <w:u w:val="none"/>
                <w:lang w:val="en-US" w:eastAsia="zh-CN" w:bidi="ar"/>
              </w:rPr>
              <w:t>洗</w:t>
            </w:r>
            <w:r>
              <w:rPr>
                <w:rFonts w:hint="default" w:ascii="Times New Roman" w:hAnsi="Times New Roman" w:cs="Times New Roman"/>
                <w:color w:val="auto"/>
                <w:sz w:val="24"/>
                <w:highlight w:val="none"/>
                <w:lang w:val="en-US" w:eastAsia="zh-CN"/>
              </w:rPr>
              <w:t>，搅拌区（含筒仓区域）占地面积1200</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rPr>
              <w:t>2</w:t>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lang w:val="en-US" w:eastAsia="zh-CN"/>
              </w:rPr>
              <w:t>由于搅拌区设置在密闭建筑内，故无论降雨期还是非降雨期地面均需</w:t>
            </w:r>
            <w:r>
              <w:rPr>
                <w:rFonts w:hint="default" w:ascii="Times New Roman" w:hAnsi="Times New Roman" w:cs="Times New Roman"/>
                <w:color w:val="auto"/>
                <w:sz w:val="24"/>
                <w:szCs w:val="24"/>
                <w:highlight w:val="none"/>
                <w:lang w:val="en-US" w:eastAsia="zh-CN"/>
              </w:rPr>
              <w:t>清</w:t>
            </w:r>
            <w:r>
              <w:rPr>
                <w:rFonts w:hint="default" w:ascii="Times New Roman" w:hAnsi="Times New Roman" w:eastAsia="宋体" w:cs="Times New Roman"/>
                <w:i w:val="0"/>
                <w:iCs w:val="0"/>
                <w:color w:val="auto"/>
                <w:kern w:val="0"/>
                <w:sz w:val="24"/>
                <w:szCs w:val="24"/>
                <w:highlight w:val="none"/>
                <w:u w:val="none"/>
                <w:lang w:val="en-US" w:eastAsia="zh-CN" w:bidi="ar"/>
              </w:rPr>
              <w:t>洗</w:t>
            </w:r>
            <w:r>
              <w:rPr>
                <w:rFonts w:hint="default" w:ascii="Times New Roman" w:hAnsi="Times New Roman" w:cs="Times New Roman"/>
                <w:color w:val="auto"/>
                <w:sz w:val="24"/>
                <w:highlight w:val="none"/>
                <w:lang w:val="en-US" w:eastAsia="zh-CN"/>
              </w:rPr>
              <w:t>，年</w:t>
            </w:r>
            <w:r>
              <w:rPr>
                <w:rFonts w:hint="default" w:ascii="Times New Roman" w:hAnsi="Times New Roman" w:cs="Times New Roman"/>
                <w:color w:val="auto"/>
                <w:sz w:val="24"/>
                <w:szCs w:val="24"/>
                <w:highlight w:val="none"/>
                <w:lang w:val="en-US" w:eastAsia="zh-CN"/>
              </w:rPr>
              <w:t>清</w:t>
            </w:r>
            <w:r>
              <w:rPr>
                <w:rFonts w:hint="default" w:ascii="Times New Roman" w:hAnsi="Times New Roman" w:eastAsia="宋体" w:cs="Times New Roman"/>
                <w:i w:val="0"/>
                <w:iCs w:val="0"/>
                <w:color w:val="auto"/>
                <w:kern w:val="0"/>
                <w:sz w:val="24"/>
                <w:szCs w:val="24"/>
                <w:highlight w:val="none"/>
                <w:u w:val="none"/>
                <w:lang w:val="en-US" w:eastAsia="zh-CN" w:bidi="ar"/>
              </w:rPr>
              <w:t>洗</w:t>
            </w:r>
            <w:r>
              <w:rPr>
                <w:rFonts w:hint="default" w:ascii="Times New Roman" w:hAnsi="Times New Roman" w:cs="Times New Roman"/>
                <w:color w:val="auto"/>
                <w:sz w:val="24"/>
                <w:highlight w:val="none"/>
                <w:lang w:val="en-US" w:eastAsia="zh-CN"/>
              </w:rPr>
              <w:t>300次，</w:t>
            </w:r>
            <w:r>
              <w:rPr>
                <w:rFonts w:hint="default" w:ascii="Times New Roman" w:hAnsi="Times New Roman" w:cs="Times New Roman"/>
                <w:color w:val="auto"/>
                <w:sz w:val="24"/>
                <w:highlight w:val="none"/>
              </w:rPr>
              <w:t>参照广东省地方标准《用水定额 第3部分：生活》（DB44/T 1461.3-2021）中“环境卫生管理-浇洒道路和场地”用水定额标准1.5L/m</w:t>
            </w:r>
            <w:r>
              <w:rPr>
                <w:rFonts w:hint="default" w:ascii="Times New Roman" w:hAnsi="Times New Roman" w:cs="Times New Roman"/>
                <w:color w:val="auto"/>
                <w:sz w:val="24"/>
                <w:highlight w:val="none"/>
                <w:vertAlign w:val="superscript"/>
              </w:rPr>
              <w:t>2</w:t>
            </w:r>
            <w:r>
              <w:rPr>
                <w:rFonts w:hint="default" w:ascii="Times New Roman" w:hAnsi="Times New Roman" w:cs="Times New Roman"/>
                <w:b/>
                <w:bCs/>
                <w:color w:val="auto"/>
                <w:sz w:val="24"/>
                <w:highlight w:val="none"/>
              </w:rPr>
              <w:t>·</w:t>
            </w:r>
            <w:r>
              <w:rPr>
                <w:rFonts w:hint="default" w:ascii="Times New Roman" w:hAnsi="Times New Roman" w:cs="Times New Roman"/>
                <w:color w:val="auto"/>
                <w:sz w:val="24"/>
                <w:highlight w:val="none"/>
              </w:rPr>
              <w:t>d，项目搅拌工作区占地面积</w:t>
            </w:r>
            <w:r>
              <w:rPr>
                <w:rFonts w:hint="default" w:ascii="Times New Roman" w:hAnsi="Times New Roman" w:cs="Times New Roman"/>
                <w:color w:val="auto"/>
                <w:sz w:val="24"/>
                <w:highlight w:val="none"/>
                <w:lang w:val="en-US" w:eastAsia="zh-CN"/>
              </w:rPr>
              <w:t>12</w:t>
            </w:r>
            <w:r>
              <w:rPr>
                <w:rFonts w:hint="default" w:ascii="Times New Roman" w:hAnsi="Times New Roman" w:cs="Times New Roman"/>
                <w:color w:val="auto"/>
                <w:sz w:val="24"/>
                <w:highlight w:val="none"/>
              </w:rPr>
              <w:t>00m</w:t>
            </w:r>
            <w:r>
              <w:rPr>
                <w:rFonts w:hint="default" w:ascii="Times New Roman" w:hAnsi="Times New Roman" w:cs="Times New Roman"/>
                <w:color w:val="auto"/>
                <w:sz w:val="24"/>
                <w:highlight w:val="none"/>
                <w:vertAlign w:val="superscript"/>
              </w:rPr>
              <w:t>2</w:t>
            </w:r>
            <w:r>
              <w:rPr>
                <w:rFonts w:hint="default" w:ascii="Times New Roman" w:hAnsi="Times New Roman" w:cs="Times New Roman"/>
                <w:color w:val="auto"/>
                <w:sz w:val="24"/>
                <w:highlight w:val="none"/>
              </w:rPr>
              <w:t>，则用水量为</w:t>
            </w:r>
            <w:r>
              <w:rPr>
                <w:rFonts w:hint="default" w:ascii="Times New Roman" w:hAnsi="Times New Roman" w:cs="Times New Roman"/>
                <w:color w:val="auto"/>
                <w:sz w:val="24"/>
                <w:highlight w:val="none"/>
                <w:lang w:val="en-US" w:eastAsia="zh-CN"/>
              </w:rPr>
              <w:t>1.8</w:t>
            </w:r>
            <w:r>
              <w:rPr>
                <w:rFonts w:hint="default" w:ascii="Times New Roman" w:hAnsi="Times New Roman" w:cs="Times New Roman"/>
                <w:color w:val="auto"/>
                <w:sz w:val="24"/>
                <w:highlight w:val="none"/>
              </w:rPr>
              <w:t>t/d（</w:t>
            </w:r>
            <w:r>
              <w:rPr>
                <w:rFonts w:hint="default" w:ascii="Times New Roman" w:hAnsi="Times New Roman" w:cs="Times New Roman"/>
                <w:color w:val="auto"/>
                <w:sz w:val="24"/>
                <w:highlight w:val="none"/>
                <w:lang w:val="en-US" w:eastAsia="zh-CN"/>
              </w:rPr>
              <w:t>540</w:t>
            </w:r>
            <w:r>
              <w:rPr>
                <w:rFonts w:hint="default" w:ascii="Times New Roman" w:hAnsi="Times New Roman" w:cs="Times New Roman"/>
                <w:color w:val="auto"/>
                <w:sz w:val="24"/>
                <w:highlight w:val="none"/>
              </w:rPr>
              <w:t>t/a）</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产污系数按0.9计，则损耗量为0.18t/d（54t/a），搅拌区地面清洗废水产生量为1.62t/d（486t/a），</w:t>
            </w:r>
            <w:r>
              <w:rPr>
                <w:rFonts w:hint="default" w:ascii="Times New Roman" w:hAnsi="Times New Roman" w:cs="Times New Roman"/>
                <w:color w:val="auto"/>
                <w:sz w:val="24"/>
                <w:szCs w:val="24"/>
                <w:highlight w:val="none"/>
                <w:lang w:val="en-US" w:eastAsia="zh-CN"/>
              </w:rPr>
              <w:t>经三级</w:t>
            </w:r>
            <w:r>
              <w:rPr>
                <w:rFonts w:hint="default" w:ascii="Times New Roman" w:hAnsi="Times New Roman" w:cs="Times New Roman"/>
                <w:color w:val="auto"/>
                <w:sz w:val="24"/>
                <w:szCs w:val="24"/>
                <w:highlight w:val="none"/>
              </w:rPr>
              <w:t>沉淀</w:t>
            </w:r>
            <w:r>
              <w:rPr>
                <w:rFonts w:hint="eastAsia" w:ascii="Times New Roman" w:hAnsi="Times New Roman" w:cs="Times New Roman"/>
                <w:color w:val="auto"/>
                <w:sz w:val="24"/>
                <w:szCs w:val="24"/>
                <w:highlight w:val="none"/>
                <w:lang w:val="en-US" w:eastAsia="zh-CN"/>
              </w:rPr>
              <w:t>后</w:t>
            </w:r>
            <w:r>
              <w:rPr>
                <w:rFonts w:hint="default" w:ascii="Times New Roman" w:hAnsi="Times New Roman" w:cs="Times New Roman"/>
                <w:color w:val="auto"/>
                <w:sz w:val="24"/>
                <w:szCs w:val="24"/>
                <w:highlight w:val="none"/>
              </w:rPr>
              <w:t>回用于</w:t>
            </w:r>
            <w:r>
              <w:rPr>
                <w:rFonts w:hint="default" w:ascii="Times New Roman" w:hAnsi="Times New Roman" w:eastAsia="宋体" w:cs="Times New Roman"/>
                <w:b w:val="0"/>
                <w:bCs/>
                <w:color w:val="auto"/>
                <w:sz w:val="24"/>
                <w:szCs w:val="24"/>
                <w:highlight w:val="none"/>
                <w:vertAlign w:val="baseline"/>
                <w:lang w:val="en-US" w:eastAsia="zh-CN"/>
              </w:rPr>
              <w:t>原料调配用水</w:t>
            </w:r>
            <w:r>
              <w:rPr>
                <w:rFonts w:hint="default" w:ascii="Times New Roman" w:hAnsi="Times New Roman" w:cs="Times New Roman"/>
                <w:color w:val="auto"/>
                <w:sz w:val="24"/>
                <w:szCs w:val="24"/>
                <w:highlight w:val="none"/>
                <w:lang w:val="en-US" w:eastAsia="zh-CN"/>
              </w:rPr>
              <w:t>，</w:t>
            </w:r>
            <w:r>
              <w:rPr>
                <w:rFonts w:hint="default" w:ascii="Times New Roman" w:hAnsi="Times New Roman" w:cs="Times New Roman"/>
                <w:color w:val="auto"/>
                <w:sz w:val="24"/>
                <w:highlight w:val="none"/>
              </w:rPr>
              <w:t>不排放</w:t>
            </w:r>
            <w:r>
              <w:rPr>
                <w:rFonts w:hint="default" w:ascii="Times New Roman" w:hAnsi="Times New Roman" w:eastAsia="宋体" w:cs="Times New Roman"/>
                <w:color w:val="auto"/>
                <w:sz w:val="24"/>
                <w:szCs w:val="24"/>
                <w:highlight w:val="none"/>
                <w:lang w:val="en-US" w:eastAsia="zh-CN"/>
              </w:rPr>
              <w:t>。</w:t>
            </w:r>
          </w:p>
          <w:p w14:paraId="7467B456">
            <w:pPr>
              <w:autoSpaceDE w:val="0"/>
              <w:adjustRightInd w:val="0"/>
              <w:snapToGrid w:val="0"/>
              <w:spacing w:line="360" w:lineRule="auto"/>
              <w:ind w:firstLine="482" w:firstLineChars="200"/>
              <w:rPr>
                <w:rFonts w:hint="default" w:ascii="Times New Roman" w:hAnsi="Times New Roman" w:cs="Times New Roman"/>
                <w:bCs/>
                <w:color w:val="auto"/>
                <w:sz w:val="24"/>
                <w:szCs w:val="24"/>
                <w:highlight w:val="none"/>
              </w:rPr>
            </w:pPr>
            <w:r>
              <w:rPr>
                <w:rFonts w:hint="default" w:ascii="Times New Roman" w:hAnsi="Times New Roman" w:cs="Times New Roman"/>
                <w:b/>
                <w:bCs/>
                <w:color w:val="auto"/>
                <w:sz w:val="24"/>
                <w:szCs w:val="24"/>
                <w:highlight w:val="none"/>
              </w:rPr>
              <w:t>锅炉排污水及软化再生用水</w:t>
            </w:r>
            <w:r>
              <w:rPr>
                <w:rFonts w:hint="default" w:ascii="Times New Roman" w:hAnsi="Times New Roman" w:cs="Times New Roman"/>
                <w:b/>
                <w:bCs/>
                <w:color w:val="auto"/>
                <w:sz w:val="24"/>
                <w:szCs w:val="24"/>
                <w:highlight w:val="none"/>
                <w:lang w:val="en-US" w:eastAsia="zh-CN"/>
              </w:rPr>
              <w:t>给排水</w:t>
            </w:r>
            <w:r>
              <w:rPr>
                <w:rFonts w:hint="default" w:ascii="Times New Roman" w:hAnsi="Times New Roman" w:cs="Times New Roman"/>
                <w:color w:val="auto"/>
                <w:sz w:val="24"/>
                <w:szCs w:val="24"/>
                <w:highlight w:val="none"/>
              </w:rPr>
              <w:t>：</w:t>
            </w:r>
            <w:r>
              <w:rPr>
                <w:rFonts w:hint="default" w:ascii="Times New Roman" w:hAnsi="Times New Roman" w:cs="Times New Roman"/>
                <w:bCs/>
                <w:color w:val="auto"/>
                <w:sz w:val="24"/>
                <w:szCs w:val="24"/>
                <w:highlight w:val="none"/>
              </w:rPr>
              <w:t>项目设置2台</w:t>
            </w:r>
            <w:r>
              <w:rPr>
                <w:rFonts w:hint="default" w:ascii="Times New Roman" w:hAnsi="Times New Roman" w:cs="Times New Roman"/>
                <w:bCs/>
                <w:color w:val="auto"/>
                <w:sz w:val="24"/>
                <w:szCs w:val="24"/>
                <w:highlight w:val="none"/>
                <w:lang w:val="en-US" w:eastAsia="zh-CN"/>
              </w:rPr>
              <w:t>1</w:t>
            </w:r>
            <w:r>
              <w:rPr>
                <w:rFonts w:hint="default" w:ascii="Times New Roman" w:hAnsi="Times New Roman" w:cs="Times New Roman"/>
                <w:bCs/>
                <w:color w:val="auto"/>
                <w:sz w:val="24"/>
                <w:szCs w:val="24"/>
                <w:highlight w:val="none"/>
              </w:rPr>
              <w:t>t/h燃</w:t>
            </w:r>
            <w:r>
              <w:rPr>
                <w:rFonts w:hint="default" w:ascii="Times New Roman" w:hAnsi="Times New Roman" w:cs="Times New Roman"/>
                <w:bCs/>
                <w:color w:val="auto"/>
                <w:sz w:val="24"/>
                <w:szCs w:val="24"/>
                <w:highlight w:val="none"/>
                <w:lang w:val="en-US" w:eastAsia="zh-CN"/>
              </w:rPr>
              <w:t>天然气</w:t>
            </w:r>
            <w:r>
              <w:rPr>
                <w:rFonts w:hint="default" w:ascii="Times New Roman" w:hAnsi="Times New Roman" w:cs="Times New Roman"/>
                <w:bCs/>
                <w:color w:val="auto"/>
                <w:sz w:val="24"/>
                <w:szCs w:val="24"/>
                <w:highlight w:val="none"/>
              </w:rPr>
              <w:t>锅炉生产蒸汽用于</w:t>
            </w:r>
            <w:r>
              <w:rPr>
                <w:rFonts w:hint="default" w:ascii="Times New Roman" w:hAnsi="Times New Roman" w:cs="Times New Roman"/>
                <w:bCs/>
                <w:color w:val="auto"/>
                <w:sz w:val="24"/>
                <w:szCs w:val="24"/>
                <w:highlight w:val="none"/>
                <w:lang w:eastAsia="zh-CN"/>
              </w:rPr>
              <w:t>产品蒸养</w:t>
            </w:r>
            <w:r>
              <w:rPr>
                <w:rFonts w:hint="default" w:ascii="Times New Roman" w:hAnsi="Times New Roman" w:cs="Times New Roman"/>
                <w:bCs/>
                <w:color w:val="auto"/>
                <w:sz w:val="24"/>
                <w:szCs w:val="24"/>
                <w:highlight w:val="none"/>
              </w:rPr>
              <w:t>，</w:t>
            </w:r>
            <w:r>
              <w:rPr>
                <w:rFonts w:hint="default" w:ascii="Times New Roman" w:hAnsi="Times New Roman" w:cs="Times New Roman"/>
                <w:color w:val="auto"/>
                <w:kern w:val="2"/>
                <w:sz w:val="24"/>
                <w:szCs w:val="24"/>
                <w:highlight w:val="none"/>
                <w:lang w:val="en-US" w:eastAsia="zh-CN" w:bidi="ar-SA"/>
              </w:rPr>
              <w:t>根据业主提供的信息，锅炉仅在冬季及温度较低的时候使用，每年使用约100d，工作时间为每天12h</w:t>
            </w:r>
            <w:r>
              <w:rPr>
                <w:rFonts w:hint="default" w:ascii="Times New Roman" w:hAnsi="Times New Roman" w:eastAsia="宋体" w:cs="Times New Roman"/>
                <w:color w:val="auto"/>
                <w:kern w:val="2"/>
                <w:sz w:val="24"/>
                <w:szCs w:val="24"/>
                <w:highlight w:val="none"/>
                <w:lang w:val="en-US" w:eastAsia="zh-CN" w:bidi="ar-SA"/>
              </w:rPr>
              <w:t>，年工作时间为1200h，</w:t>
            </w:r>
            <w:r>
              <w:rPr>
                <w:rFonts w:hint="eastAsia" w:ascii="Times New Roman" w:hAnsi="Times New Roman" w:eastAsia="宋体" w:cs="Times New Roman"/>
                <w:color w:val="auto"/>
                <w:kern w:val="2"/>
                <w:sz w:val="24"/>
                <w:szCs w:val="24"/>
                <w:highlight w:val="none"/>
                <w:lang w:val="en-US" w:eastAsia="zh-CN" w:bidi="ar-SA"/>
              </w:rPr>
              <w:t>2台</w:t>
            </w:r>
            <w:r>
              <w:rPr>
                <w:rFonts w:hint="default" w:ascii="Times New Roman" w:hAnsi="Times New Roman" w:eastAsia="宋体" w:cs="Times New Roman"/>
                <w:color w:val="auto"/>
                <w:kern w:val="2"/>
                <w:sz w:val="24"/>
                <w:szCs w:val="24"/>
                <w:highlight w:val="none"/>
                <w:lang w:val="en-US" w:eastAsia="zh-CN" w:bidi="ar-SA"/>
              </w:rPr>
              <w:t>锅炉</w:t>
            </w:r>
            <w:r>
              <w:rPr>
                <w:rFonts w:hint="default" w:ascii="Times New Roman" w:hAnsi="Times New Roman" w:cs="Times New Roman"/>
                <w:color w:val="auto"/>
                <w:kern w:val="2"/>
                <w:sz w:val="24"/>
                <w:szCs w:val="24"/>
                <w:highlight w:val="none"/>
                <w:lang w:val="en-US" w:eastAsia="zh-CN" w:bidi="ar-SA"/>
              </w:rPr>
              <w:t>额定</w:t>
            </w:r>
            <w:r>
              <w:rPr>
                <w:rFonts w:hint="default" w:ascii="Times New Roman" w:hAnsi="Times New Roman" w:eastAsia="宋体" w:cs="Times New Roman"/>
                <w:color w:val="auto"/>
                <w:kern w:val="2"/>
                <w:sz w:val="24"/>
                <w:szCs w:val="24"/>
                <w:highlight w:val="none"/>
                <w:lang w:val="en-US" w:eastAsia="zh-CN" w:bidi="ar-SA"/>
              </w:rPr>
              <w:t>蒸汽</w:t>
            </w:r>
            <w:r>
              <w:rPr>
                <w:rFonts w:hint="eastAsia" w:ascii="Times New Roman" w:hAnsi="Times New Roman" w:eastAsia="宋体" w:cs="Times New Roman"/>
                <w:color w:val="auto"/>
                <w:kern w:val="2"/>
                <w:sz w:val="24"/>
                <w:szCs w:val="24"/>
                <w:highlight w:val="none"/>
                <w:lang w:val="en-US" w:eastAsia="zh-CN" w:bidi="ar-SA"/>
              </w:rPr>
              <w:t>总</w:t>
            </w:r>
            <w:r>
              <w:rPr>
                <w:rFonts w:hint="default" w:ascii="Times New Roman" w:hAnsi="Times New Roman" w:eastAsia="宋体" w:cs="Times New Roman"/>
                <w:color w:val="auto"/>
                <w:kern w:val="2"/>
                <w:sz w:val="24"/>
                <w:szCs w:val="24"/>
                <w:highlight w:val="none"/>
                <w:lang w:val="en-US" w:eastAsia="zh-CN" w:bidi="ar-SA"/>
              </w:rPr>
              <w:t>产生量为</w:t>
            </w:r>
            <w:r>
              <w:rPr>
                <w:rFonts w:hint="eastAsia" w:ascii="Times New Roman" w:hAnsi="Times New Roman" w:cs="Times New Roman"/>
                <w:color w:val="auto"/>
                <w:kern w:val="2"/>
                <w:sz w:val="24"/>
                <w:szCs w:val="24"/>
                <w:highlight w:val="none"/>
                <w:lang w:val="en-US" w:eastAsia="zh-CN" w:bidi="ar-SA"/>
              </w:rPr>
              <w:t>8</w:t>
            </w:r>
            <w:r>
              <w:rPr>
                <w:rFonts w:hint="default" w:ascii="Times New Roman" w:hAnsi="Times New Roman" w:eastAsia="宋体" w:cs="Times New Roman"/>
                <w:color w:val="auto"/>
                <w:kern w:val="2"/>
                <w:sz w:val="24"/>
                <w:szCs w:val="24"/>
                <w:highlight w:val="none"/>
                <w:lang w:val="en-US" w:eastAsia="zh-CN" w:bidi="ar-SA"/>
              </w:rPr>
              <w:t>t/</w:t>
            </w:r>
            <w:r>
              <w:rPr>
                <w:rFonts w:hint="eastAsia" w:ascii="Times New Roman" w:hAnsi="Times New Roman" w:eastAsia="宋体" w:cs="Times New Roman"/>
                <w:color w:val="auto"/>
                <w:kern w:val="2"/>
                <w:sz w:val="24"/>
                <w:szCs w:val="24"/>
                <w:highlight w:val="none"/>
                <w:lang w:val="en-US" w:eastAsia="zh-CN" w:bidi="ar-SA"/>
              </w:rPr>
              <w:t>d</w:t>
            </w:r>
            <w:r>
              <w:rPr>
                <w:rFonts w:hint="default" w:ascii="Times New Roman" w:hAnsi="Times New Roman" w:eastAsia="宋体" w:cs="Times New Roman"/>
                <w:color w:val="auto"/>
                <w:kern w:val="2"/>
                <w:sz w:val="24"/>
                <w:szCs w:val="24"/>
                <w:highlight w:val="none"/>
                <w:lang w:val="en-US" w:eastAsia="zh-CN" w:bidi="ar-SA"/>
              </w:rPr>
              <w:t>（</w:t>
            </w:r>
            <w:r>
              <w:rPr>
                <w:rFonts w:hint="eastAsia" w:ascii="Times New Roman" w:hAnsi="Times New Roman" w:cs="Times New Roman"/>
                <w:color w:val="auto"/>
                <w:kern w:val="2"/>
                <w:sz w:val="24"/>
                <w:szCs w:val="24"/>
                <w:highlight w:val="none"/>
                <w:lang w:val="en-US" w:eastAsia="zh-CN" w:bidi="ar-SA"/>
              </w:rPr>
              <w:t>2400</w:t>
            </w:r>
            <w:r>
              <w:rPr>
                <w:rFonts w:hint="default" w:ascii="Times New Roman" w:hAnsi="Times New Roman" w:eastAsia="宋体" w:cs="Times New Roman"/>
                <w:color w:val="auto"/>
                <w:kern w:val="2"/>
                <w:sz w:val="24"/>
                <w:szCs w:val="24"/>
                <w:highlight w:val="none"/>
                <w:lang w:val="en-US" w:eastAsia="zh-CN" w:bidi="ar-SA"/>
              </w:rPr>
              <w:t>t/</w:t>
            </w:r>
            <w:r>
              <w:rPr>
                <w:rFonts w:hint="eastAsia" w:ascii="Times New Roman" w:hAnsi="Times New Roman" w:eastAsia="宋体" w:cs="Times New Roman"/>
                <w:color w:val="auto"/>
                <w:kern w:val="2"/>
                <w:sz w:val="24"/>
                <w:szCs w:val="24"/>
                <w:highlight w:val="none"/>
                <w:lang w:val="en-US" w:eastAsia="zh-CN" w:bidi="ar-SA"/>
              </w:rPr>
              <w:t>a</w:t>
            </w:r>
            <w:r>
              <w:rPr>
                <w:rFonts w:hint="default" w:ascii="Times New Roman" w:hAnsi="Times New Roman" w:eastAsia="宋体" w:cs="Times New Roman"/>
                <w:color w:val="auto"/>
                <w:kern w:val="2"/>
                <w:sz w:val="24"/>
                <w:szCs w:val="24"/>
                <w:highlight w:val="none"/>
                <w:lang w:val="en-US" w:eastAsia="zh-CN" w:bidi="ar-SA"/>
              </w:rPr>
              <w:t>），根据咨询锅炉厂家的得知的信息，锅炉软水制备率可达90%-95%，本项目按照不利因素取值90%，则锅炉制备软水用水量为</w:t>
            </w:r>
            <w:r>
              <w:rPr>
                <w:rFonts w:hint="eastAsia" w:ascii="Times New Roman" w:hAnsi="Times New Roman" w:eastAsia="宋体" w:cs="Times New Roman"/>
                <w:color w:val="auto"/>
                <w:kern w:val="2"/>
                <w:sz w:val="24"/>
                <w:szCs w:val="24"/>
                <w:highlight w:val="none"/>
                <w:lang w:val="en-US" w:eastAsia="zh-CN" w:bidi="ar-SA"/>
              </w:rPr>
              <w:t>8.89</w:t>
            </w:r>
            <w:r>
              <w:rPr>
                <w:rFonts w:hint="default" w:ascii="Times New Roman" w:hAnsi="Times New Roman" w:eastAsia="宋体" w:cs="Times New Roman"/>
                <w:color w:val="auto"/>
                <w:kern w:val="2"/>
                <w:sz w:val="24"/>
                <w:szCs w:val="24"/>
                <w:highlight w:val="none"/>
                <w:lang w:val="en-US" w:eastAsia="zh-CN" w:bidi="ar-SA"/>
              </w:rPr>
              <w:t>t/d（2667t/a）。项目软水制备过程树脂反冲洗也会使用到水，反冲洗用水流量是根据锅炉额定设定，一般为每天冲洗一次，1t/h的锅炉每次用水量约为200L，则项目反冲洗用水量为</w:t>
            </w:r>
            <w:r>
              <w:rPr>
                <w:rFonts w:hint="eastAsia" w:ascii="Times New Roman" w:hAnsi="Times New Roman" w:eastAsia="宋体" w:cs="Times New Roman"/>
                <w:color w:val="auto"/>
                <w:kern w:val="2"/>
                <w:sz w:val="24"/>
                <w:szCs w:val="24"/>
                <w:highlight w:val="none"/>
                <w:lang w:val="en-US" w:eastAsia="zh-CN" w:bidi="ar-SA"/>
              </w:rPr>
              <w:t>0.133</w:t>
            </w:r>
            <w:r>
              <w:rPr>
                <w:rFonts w:hint="default" w:ascii="Times New Roman" w:hAnsi="Times New Roman" w:eastAsia="宋体" w:cs="Times New Roman"/>
                <w:color w:val="auto"/>
                <w:kern w:val="2"/>
                <w:sz w:val="24"/>
                <w:szCs w:val="24"/>
                <w:highlight w:val="none"/>
                <w:lang w:val="en-US" w:eastAsia="zh-CN" w:bidi="ar-SA"/>
              </w:rPr>
              <w:t>t/d</w:t>
            </w:r>
            <w:r>
              <w:rPr>
                <w:rFonts w:hint="eastAsia" w:ascii="Times New Roman" w:hAnsi="Times New Roman" w:eastAsia="宋体" w:cs="Times New Roman"/>
                <w:color w:val="auto"/>
                <w:kern w:val="2"/>
                <w:sz w:val="24"/>
                <w:szCs w:val="24"/>
                <w:highlight w:val="none"/>
                <w:lang w:val="en-US" w:eastAsia="zh-CN" w:bidi="ar-SA"/>
              </w:rPr>
              <w:t>（40t/a）</w:t>
            </w:r>
            <w:r>
              <w:rPr>
                <w:rFonts w:hint="default" w:ascii="Times New Roman" w:hAnsi="Times New Roman" w:eastAsia="宋体" w:cs="Times New Roman"/>
                <w:color w:val="auto"/>
                <w:kern w:val="2"/>
                <w:sz w:val="24"/>
                <w:szCs w:val="24"/>
                <w:highlight w:val="none"/>
                <w:lang w:val="en-US" w:eastAsia="zh-CN" w:bidi="ar-SA"/>
              </w:rPr>
              <w:t>。由上可知锅炉总用水量为</w:t>
            </w:r>
            <w:r>
              <w:rPr>
                <w:rFonts w:hint="eastAsia" w:ascii="Times New Roman" w:hAnsi="Times New Roman" w:eastAsia="宋体" w:cs="Times New Roman"/>
                <w:color w:val="auto"/>
                <w:kern w:val="2"/>
                <w:sz w:val="24"/>
                <w:szCs w:val="24"/>
                <w:highlight w:val="none"/>
                <w:lang w:val="en-US" w:eastAsia="zh-CN" w:bidi="ar-SA"/>
              </w:rPr>
              <w:t>9.023</w:t>
            </w:r>
            <w:r>
              <w:rPr>
                <w:rFonts w:hint="default" w:ascii="Times New Roman" w:hAnsi="Times New Roman" w:eastAsia="宋体" w:cs="Times New Roman"/>
                <w:color w:val="auto"/>
                <w:kern w:val="2"/>
                <w:sz w:val="24"/>
                <w:szCs w:val="24"/>
                <w:highlight w:val="none"/>
                <w:lang w:val="en-US" w:eastAsia="zh-CN" w:bidi="ar-SA"/>
              </w:rPr>
              <w:t>t/d（2707t/a）。由于蒸养过程直接接触产品，产生的锅炉蒸汽养护损耗，</w:t>
            </w:r>
            <w:r>
              <w:rPr>
                <w:rFonts w:hint="default" w:ascii="Times New Roman" w:hAnsi="Times New Roman" w:cs="Times New Roman"/>
                <w:color w:val="auto"/>
                <w:sz w:val="24"/>
                <w:szCs w:val="24"/>
                <w:highlight w:val="none"/>
                <w:lang w:val="en-US" w:eastAsia="zh-CN"/>
              </w:rPr>
              <w:t>锅炉运行过程会产生锅炉软化废水及锅炉排污水，</w:t>
            </w:r>
            <w:r>
              <w:rPr>
                <w:rFonts w:hint="default" w:ascii="Times New Roman" w:hAnsi="Times New Roman" w:eastAsia="宋体" w:cs="Times New Roman"/>
                <w:color w:val="auto"/>
                <w:kern w:val="2"/>
                <w:sz w:val="24"/>
                <w:szCs w:val="24"/>
                <w:highlight w:val="none"/>
                <w:lang w:val="en-US" w:eastAsia="zh-CN" w:bidi="ar-SA"/>
              </w:rPr>
              <w:t>根据《4430工业锅炉（热力供应）行业系数手册》天然气锅炉的锅炉排污水+</w:t>
            </w:r>
            <w:r>
              <w:rPr>
                <w:rFonts w:hint="default" w:ascii="Times New Roman" w:hAnsi="Times New Roman" w:cs="Times New Roman"/>
                <w:color w:val="auto"/>
                <w:kern w:val="2"/>
                <w:sz w:val="24"/>
                <w:szCs w:val="24"/>
                <w:highlight w:val="none"/>
                <w:lang w:val="en-US" w:eastAsia="zh-CN" w:bidi="ar-SA"/>
              </w:rPr>
              <w:t>软水制备废水</w:t>
            </w:r>
            <w:r>
              <w:rPr>
                <w:rFonts w:hint="default" w:ascii="Times New Roman" w:hAnsi="Times New Roman" w:eastAsia="宋体" w:cs="Times New Roman"/>
                <w:color w:val="auto"/>
                <w:kern w:val="2"/>
                <w:sz w:val="24"/>
                <w:szCs w:val="24"/>
                <w:highlight w:val="none"/>
                <w:lang w:val="en-US" w:eastAsia="zh-CN" w:bidi="ar-SA"/>
              </w:rPr>
              <w:t>产污系数为13.56吨/万立方米-原料，则锅炉排污水及</w:t>
            </w:r>
            <w:r>
              <w:rPr>
                <w:rFonts w:hint="default" w:ascii="Times New Roman" w:hAnsi="Times New Roman" w:cs="Times New Roman"/>
                <w:color w:val="auto"/>
                <w:kern w:val="2"/>
                <w:sz w:val="24"/>
                <w:szCs w:val="24"/>
                <w:highlight w:val="none"/>
                <w:lang w:val="en-US" w:eastAsia="zh-CN" w:bidi="ar-SA"/>
              </w:rPr>
              <w:t>软水制备废水</w:t>
            </w:r>
            <w:r>
              <w:rPr>
                <w:rFonts w:hint="default" w:ascii="Times New Roman" w:hAnsi="Times New Roman" w:eastAsia="宋体" w:cs="Times New Roman"/>
                <w:color w:val="auto"/>
                <w:kern w:val="2"/>
                <w:sz w:val="24"/>
                <w:szCs w:val="24"/>
                <w:highlight w:val="none"/>
                <w:lang w:val="en-US" w:eastAsia="zh-CN" w:bidi="ar-SA"/>
              </w:rPr>
              <w:t>量为</w:t>
            </w:r>
            <w:r>
              <w:rPr>
                <w:rFonts w:hint="default" w:ascii="Times New Roman" w:hAnsi="Times New Roman" w:cs="Times New Roman"/>
                <w:color w:val="auto"/>
                <w:kern w:val="2"/>
                <w:sz w:val="24"/>
                <w:szCs w:val="24"/>
                <w:highlight w:val="none"/>
                <w:lang w:val="en-US" w:eastAsia="zh-CN" w:bidi="ar-SA"/>
              </w:rPr>
              <w:t>17.832</w:t>
            </w:r>
            <w:r>
              <w:rPr>
                <w:rFonts w:hint="default" w:ascii="Times New Roman" w:hAnsi="Times New Roman" w:eastAsia="宋体" w:cs="Times New Roman"/>
                <w:color w:val="auto"/>
                <w:kern w:val="2"/>
                <w:sz w:val="24"/>
                <w:szCs w:val="24"/>
                <w:highlight w:val="none"/>
                <w:lang w:val="en-US" w:eastAsia="zh-CN" w:bidi="ar-SA"/>
              </w:rPr>
              <w:t>×13.56=</w:t>
            </w:r>
            <w:r>
              <w:rPr>
                <w:rFonts w:hint="default" w:ascii="Times New Roman" w:hAnsi="Times New Roman" w:cs="Times New Roman"/>
                <w:color w:val="auto"/>
                <w:kern w:val="2"/>
                <w:sz w:val="24"/>
                <w:szCs w:val="24"/>
                <w:highlight w:val="none"/>
                <w:lang w:val="en-US" w:eastAsia="zh-CN" w:bidi="ar-SA"/>
              </w:rPr>
              <w:t>241.8</w:t>
            </w:r>
            <w:r>
              <w:rPr>
                <w:rFonts w:hint="default" w:ascii="Times New Roman" w:hAnsi="Times New Roman" w:eastAsia="宋体" w:cs="Times New Roman"/>
                <w:color w:val="auto"/>
                <w:kern w:val="2"/>
                <w:sz w:val="24"/>
                <w:szCs w:val="24"/>
                <w:highlight w:val="none"/>
                <w:lang w:val="en-US" w:eastAsia="zh-CN" w:bidi="ar-SA"/>
              </w:rPr>
              <w:t>t/a（</w:t>
            </w:r>
            <w:r>
              <w:rPr>
                <w:rFonts w:hint="eastAsia" w:ascii="Times New Roman" w:hAnsi="Times New Roman" w:cs="Times New Roman"/>
                <w:color w:val="auto"/>
                <w:kern w:val="2"/>
                <w:sz w:val="24"/>
                <w:szCs w:val="24"/>
                <w:highlight w:val="none"/>
                <w:lang w:val="en-US" w:eastAsia="zh-CN" w:bidi="ar-SA"/>
              </w:rPr>
              <w:t>0.806</w:t>
            </w:r>
            <w:r>
              <w:rPr>
                <w:rFonts w:hint="default" w:ascii="Times New Roman" w:hAnsi="Times New Roman" w:eastAsia="宋体" w:cs="Times New Roman"/>
                <w:color w:val="auto"/>
                <w:kern w:val="2"/>
                <w:sz w:val="24"/>
                <w:szCs w:val="24"/>
                <w:highlight w:val="none"/>
                <w:lang w:val="en-US" w:eastAsia="zh-CN"/>
              </w:rPr>
              <w:t>t/d）。项目总用水量为</w:t>
            </w:r>
            <w:r>
              <w:rPr>
                <w:rFonts w:hint="eastAsia" w:ascii="Times New Roman" w:hAnsi="Times New Roman" w:eastAsia="宋体" w:cs="Times New Roman"/>
                <w:color w:val="auto"/>
                <w:kern w:val="2"/>
                <w:sz w:val="24"/>
                <w:szCs w:val="24"/>
                <w:highlight w:val="none"/>
                <w:lang w:val="en-US" w:eastAsia="zh-CN" w:bidi="ar-SA"/>
              </w:rPr>
              <w:t>9.023</w:t>
            </w:r>
            <w:r>
              <w:rPr>
                <w:rFonts w:hint="default" w:ascii="Times New Roman" w:hAnsi="Times New Roman" w:eastAsia="宋体" w:cs="Times New Roman"/>
                <w:color w:val="auto"/>
                <w:kern w:val="2"/>
                <w:sz w:val="24"/>
                <w:szCs w:val="24"/>
                <w:highlight w:val="none"/>
                <w:lang w:val="en-US" w:eastAsia="zh-CN" w:bidi="ar-SA"/>
              </w:rPr>
              <w:t>t/d（2707t/a）</w:t>
            </w:r>
            <w:r>
              <w:rPr>
                <w:rFonts w:hint="default" w:ascii="Times New Roman" w:hAnsi="Times New Roman" w:eastAsia="宋体" w:cs="Times New Roman"/>
                <w:color w:val="auto"/>
                <w:kern w:val="2"/>
                <w:sz w:val="24"/>
                <w:szCs w:val="24"/>
                <w:highlight w:val="none"/>
                <w:lang w:val="en-US" w:eastAsia="zh-CN"/>
              </w:rPr>
              <w:t>，制备软水后的蒸汽产生量为</w:t>
            </w:r>
            <w:r>
              <w:rPr>
                <w:rFonts w:hint="eastAsia" w:ascii="Times New Roman" w:hAnsi="Times New Roman" w:cs="Times New Roman"/>
                <w:color w:val="auto"/>
                <w:kern w:val="2"/>
                <w:sz w:val="24"/>
                <w:szCs w:val="24"/>
                <w:highlight w:val="none"/>
                <w:lang w:val="en-US" w:eastAsia="zh-CN" w:bidi="ar-SA"/>
              </w:rPr>
              <w:t>8</w:t>
            </w:r>
            <w:r>
              <w:rPr>
                <w:rFonts w:hint="default" w:ascii="Times New Roman" w:hAnsi="Times New Roman" w:eastAsia="宋体" w:cs="Times New Roman"/>
                <w:color w:val="auto"/>
                <w:kern w:val="2"/>
                <w:sz w:val="24"/>
                <w:szCs w:val="24"/>
                <w:highlight w:val="none"/>
                <w:lang w:val="en-US" w:eastAsia="zh-CN" w:bidi="ar-SA"/>
              </w:rPr>
              <w:t>t/d（</w:t>
            </w:r>
            <w:r>
              <w:rPr>
                <w:rFonts w:hint="default" w:ascii="Times New Roman" w:hAnsi="Times New Roman" w:cs="Times New Roman"/>
                <w:color w:val="auto"/>
                <w:kern w:val="2"/>
                <w:sz w:val="24"/>
                <w:szCs w:val="24"/>
                <w:highlight w:val="none"/>
                <w:lang w:val="en-US" w:eastAsia="zh-CN" w:bidi="ar-SA"/>
              </w:rPr>
              <w:t>2400</w:t>
            </w:r>
            <w:r>
              <w:rPr>
                <w:rFonts w:hint="default" w:ascii="Times New Roman" w:hAnsi="Times New Roman" w:eastAsia="宋体" w:cs="Times New Roman"/>
                <w:color w:val="auto"/>
                <w:kern w:val="2"/>
                <w:sz w:val="24"/>
                <w:szCs w:val="24"/>
                <w:highlight w:val="none"/>
                <w:lang w:val="en-US" w:eastAsia="zh-CN" w:bidi="ar-SA"/>
              </w:rPr>
              <w:t>t/a），锅炉排污水及软水制备废水量为</w:t>
            </w:r>
            <w:r>
              <w:rPr>
                <w:rFonts w:hint="eastAsia" w:ascii="Times New Roman" w:hAnsi="Times New Roman" w:cs="Times New Roman"/>
                <w:color w:val="auto"/>
                <w:kern w:val="2"/>
                <w:sz w:val="24"/>
                <w:szCs w:val="24"/>
                <w:highlight w:val="none"/>
                <w:lang w:val="en-US" w:eastAsia="zh-CN" w:bidi="ar-SA"/>
              </w:rPr>
              <w:t>0.806</w:t>
            </w:r>
            <w:r>
              <w:rPr>
                <w:rFonts w:hint="default" w:ascii="Times New Roman" w:hAnsi="Times New Roman" w:eastAsia="宋体" w:cs="Times New Roman"/>
                <w:color w:val="auto"/>
                <w:kern w:val="2"/>
                <w:sz w:val="24"/>
                <w:szCs w:val="24"/>
                <w:highlight w:val="none"/>
                <w:lang w:val="en-US" w:eastAsia="zh-CN"/>
              </w:rPr>
              <w:t>t/d</w:t>
            </w:r>
            <w:r>
              <w:rPr>
                <w:rFonts w:hint="default" w:ascii="Times New Roman" w:hAnsi="Times New Roman" w:eastAsia="宋体" w:cs="Times New Roman"/>
                <w:color w:val="auto"/>
                <w:kern w:val="2"/>
                <w:sz w:val="24"/>
                <w:szCs w:val="24"/>
                <w:highlight w:val="none"/>
                <w:lang w:val="en-US" w:eastAsia="zh-CN" w:bidi="ar-SA"/>
              </w:rPr>
              <w:t>（</w:t>
            </w:r>
            <w:r>
              <w:rPr>
                <w:rFonts w:hint="default" w:ascii="Times New Roman" w:hAnsi="Times New Roman" w:cs="Times New Roman"/>
                <w:color w:val="auto"/>
                <w:kern w:val="2"/>
                <w:sz w:val="24"/>
                <w:szCs w:val="24"/>
                <w:highlight w:val="none"/>
                <w:lang w:val="en-US" w:eastAsia="zh-CN" w:bidi="ar-SA"/>
              </w:rPr>
              <w:t>241.8</w:t>
            </w:r>
            <w:r>
              <w:rPr>
                <w:rFonts w:hint="default" w:ascii="Times New Roman" w:hAnsi="Times New Roman" w:eastAsia="宋体" w:cs="Times New Roman"/>
                <w:color w:val="auto"/>
                <w:kern w:val="2"/>
                <w:sz w:val="24"/>
                <w:szCs w:val="24"/>
                <w:highlight w:val="none"/>
                <w:lang w:val="en-US" w:eastAsia="zh-CN" w:bidi="ar-SA"/>
              </w:rPr>
              <w:t>t/a</w:t>
            </w:r>
            <w:r>
              <w:rPr>
                <w:rFonts w:hint="default" w:ascii="Times New Roman" w:hAnsi="Times New Roman" w:eastAsia="宋体" w:cs="Times New Roman"/>
                <w:color w:val="auto"/>
                <w:kern w:val="2"/>
                <w:sz w:val="24"/>
                <w:szCs w:val="24"/>
                <w:highlight w:val="none"/>
                <w:lang w:val="en-US" w:eastAsia="zh-CN"/>
              </w:rPr>
              <w:t>），则管道损耗量为</w:t>
            </w:r>
            <w:r>
              <w:rPr>
                <w:rFonts w:hint="eastAsia" w:ascii="Times New Roman" w:hAnsi="Times New Roman" w:eastAsia="宋体" w:cs="Times New Roman"/>
                <w:color w:val="auto"/>
                <w:kern w:val="2"/>
                <w:sz w:val="24"/>
                <w:szCs w:val="24"/>
                <w:highlight w:val="none"/>
                <w:lang w:val="en-US" w:eastAsia="zh-CN"/>
              </w:rPr>
              <w:t>0.217</w:t>
            </w:r>
            <w:r>
              <w:rPr>
                <w:rFonts w:hint="default" w:ascii="Times New Roman" w:hAnsi="Times New Roman" w:eastAsia="宋体" w:cs="Times New Roman"/>
                <w:color w:val="auto"/>
                <w:kern w:val="2"/>
                <w:sz w:val="24"/>
                <w:szCs w:val="24"/>
                <w:highlight w:val="none"/>
                <w:lang w:val="en-US" w:eastAsia="zh-CN"/>
              </w:rPr>
              <w:t>t/d（65.2t/a），由于蒸汽直接接触产品养护，蒸汽也直接损耗，故总损耗量为</w:t>
            </w:r>
            <w:r>
              <w:rPr>
                <w:rFonts w:hint="eastAsia" w:ascii="Times New Roman" w:hAnsi="Times New Roman" w:eastAsia="宋体" w:cs="Times New Roman"/>
                <w:color w:val="auto"/>
                <w:kern w:val="2"/>
                <w:sz w:val="24"/>
                <w:szCs w:val="24"/>
                <w:highlight w:val="none"/>
                <w:lang w:val="en-US" w:eastAsia="zh-CN"/>
              </w:rPr>
              <w:t>8.217</w:t>
            </w:r>
            <w:r>
              <w:rPr>
                <w:rFonts w:hint="default" w:ascii="Times New Roman" w:hAnsi="Times New Roman" w:eastAsia="宋体" w:cs="Times New Roman"/>
                <w:color w:val="auto"/>
                <w:kern w:val="2"/>
                <w:sz w:val="24"/>
                <w:szCs w:val="24"/>
                <w:highlight w:val="none"/>
                <w:lang w:val="en-US" w:eastAsia="zh-CN"/>
              </w:rPr>
              <w:t>t/d（2465.2t/a）。</w:t>
            </w:r>
            <w:r>
              <w:rPr>
                <w:rFonts w:hint="default" w:ascii="Times New Roman" w:hAnsi="Times New Roman" w:eastAsia="宋体" w:cs="Times New Roman"/>
                <w:color w:val="auto"/>
                <w:kern w:val="2"/>
                <w:sz w:val="24"/>
                <w:szCs w:val="24"/>
                <w:highlight w:val="none"/>
                <w:lang w:val="en-US" w:eastAsia="zh-CN" w:bidi="ar-SA"/>
              </w:rPr>
              <w:t>锅炉排污水及</w:t>
            </w:r>
            <w:r>
              <w:rPr>
                <w:rFonts w:hint="default" w:ascii="Times New Roman" w:hAnsi="Times New Roman" w:cs="Times New Roman"/>
                <w:color w:val="auto"/>
                <w:kern w:val="2"/>
                <w:sz w:val="24"/>
                <w:szCs w:val="24"/>
                <w:highlight w:val="none"/>
                <w:lang w:val="en-US" w:eastAsia="zh-CN" w:bidi="ar-SA"/>
              </w:rPr>
              <w:t>软水制备废水</w:t>
            </w:r>
            <w:r>
              <w:rPr>
                <w:rFonts w:hint="eastAsia" w:ascii="Times New Roman" w:hAnsi="Times New Roman" w:cs="Times New Roman"/>
                <w:color w:val="auto"/>
                <w:kern w:val="2"/>
                <w:sz w:val="24"/>
                <w:szCs w:val="24"/>
                <w:highlight w:val="none"/>
                <w:lang w:val="en-US" w:eastAsia="zh-CN" w:bidi="ar-SA"/>
              </w:rPr>
              <w:t>0.806</w:t>
            </w:r>
            <w:r>
              <w:rPr>
                <w:rFonts w:hint="default" w:ascii="Times New Roman" w:hAnsi="Times New Roman" w:eastAsia="宋体" w:cs="Times New Roman"/>
                <w:color w:val="auto"/>
                <w:kern w:val="2"/>
                <w:sz w:val="24"/>
                <w:szCs w:val="24"/>
                <w:highlight w:val="none"/>
                <w:lang w:val="en-US" w:eastAsia="zh-CN"/>
              </w:rPr>
              <w:t>t/d</w:t>
            </w:r>
            <w:r>
              <w:rPr>
                <w:rFonts w:hint="eastAsia" w:ascii="Times New Roman" w:hAnsi="Times New Roman" w:eastAsia="宋体" w:cs="Times New Roman"/>
                <w:color w:val="auto"/>
                <w:kern w:val="2"/>
                <w:sz w:val="24"/>
                <w:szCs w:val="24"/>
                <w:highlight w:val="none"/>
                <w:lang w:val="en-US" w:eastAsia="zh-CN"/>
              </w:rPr>
              <w:t>（</w:t>
            </w:r>
            <w:r>
              <w:rPr>
                <w:rFonts w:hint="default" w:ascii="Times New Roman" w:hAnsi="Times New Roman" w:cs="Times New Roman"/>
                <w:color w:val="auto"/>
                <w:kern w:val="2"/>
                <w:sz w:val="24"/>
                <w:szCs w:val="24"/>
                <w:highlight w:val="none"/>
                <w:lang w:val="en-US" w:eastAsia="zh-CN" w:bidi="ar-SA"/>
              </w:rPr>
              <w:t>241.8</w:t>
            </w:r>
            <w:r>
              <w:rPr>
                <w:rFonts w:hint="default" w:ascii="Times New Roman" w:hAnsi="Times New Roman" w:eastAsia="宋体" w:cs="Times New Roman"/>
                <w:color w:val="auto"/>
                <w:kern w:val="2"/>
                <w:sz w:val="24"/>
                <w:szCs w:val="24"/>
                <w:highlight w:val="none"/>
                <w:lang w:val="en-US" w:eastAsia="zh-CN" w:bidi="ar-SA"/>
              </w:rPr>
              <w:t>t/a</w:t>
            </w:r>
            <w:r>
              <w:rPr>
                <w:rFonts w:hint="default" w:ascii="Times New Roman" w:hAnsi="Times New Roman" w:eastAsia="宋体" w:cs="Times New Roman"/>
                <w:color w:val="auto"/>
                <w:kern w:val="2"/>
                <w:sz w:val="24"/>
                <w:szCs w:val="24"/>
                <w:highlight w:val="none"/>
                <w:lang w:val="en-US" w:eastAsia="zh-CN"/>
              </w:rPr>
              <w:t>），</w:t>
            </w:r>
            <w:r>
              <w:rPr>
                <w:rFonts w:hint="default" w:ascii="Times New Roman" w:hAnsi="Times New Roman" w:cs="Times New Roman"/>
                <w:color w:val="auto"/>
                <w:kern w:val="2"/>
                <w:sz w:val="24"/>
                <w:szCs w:val="24"/>
                <w:highlight w:val="none"/>
                <w:lang w:val="en-US" w:eastAsia="zh-CN" w:bidi="ar-SA"/>
              </w:rPr>
              <w:t>先经“</w:t>
            </w:r>
            <w:r>
              <w:rPr>
                <w:rFonts w:hint="default" w:ascii="Times New Roman" w:hAnsi="Times New Roman" w:cs="Times New Roman"/>
                <w:color w:val="auto"/>
                <w:sz w:val="24"/>
                <w:szCs w:val="24"/>
                <w:highlight w:val="none"/>
                <w:lang w:val="en-US" w:eastAsia="zh-CN"/>
              </w:rPr>
              <w:t>调节</w:t>
            </w:r>
            <w:r>
              <w:rPr>
                <w:rFonts w:hint="default" w:ascii="Times New Roman" w:hAnsi="Times New Roman" w:eastAsia="宋体" w:cs="Times New Roman"/>
                <w:color w:val="auto"/>
                <w:sz w:val="24"/>
                <w:szCs w:val="24"/>
                <w:highlight w:val="none"/>
                <w:lang w:val="en-US" w:eastAsia="zh-CN"/>
              </w:rPr>
              <w:t>混凝絮凝</w:t>
            </w:r>
            <w:r>
              <w:rPr>
                <w:rFonts w:hint="default" w:ascii="Times New Roman" w:hAnsi="Times New Roman" w:cs="Times New Roman"/>
                <w:color w:val="auto"/>
                <w:kern w:val="2"/>
                <w:sz w:val="24"/>
                <w:szCs w:val="24"/>
                <w:highlight w:val="none"/>
                <w:lang w:val="en-US" w:eastAsia="zh-CN" w:bidi="ar-SA"/>
              </w:rPr>
              <w:t>”处理后再</w:t>
            </w:r>
            <w:r>
              <w:rPr>
                <w:rFonts w:hint="eastAsia" w:ascii="Times New Roman" w:hAnsi="Times New Roman" w:cs="Times New Roman"/>
                <w:color w:val="auto"/>
                <w:kern w:val="2"/>
                <w:sz w:val="24"/>
                <w:szCs w:val="24"/>
                <w:highlight w:val="none"/>
                <w:lang w:val="en-US" w:eastAsia="zh-CN" w:bidi="ar-SA"/>
              </w:rPr>
              <w:t>进入</w:t>
            </w:r>
            <w:r>
              <w:rPr>
                <w:rFonts w:hint="default" w:ascii="Times New Roman" w:hAnsi="Times New Roman" w:cs="Times New Roman"/>
                <w:color w:val="auto"/>
                <w:kern w:val="2"/>
                <w:sz w:val="24"/>
                <w:szCs w:val="24"/>
                <w:highlight w:val="none"/>
                <w:lang w:val="en-US" w:eastAsia="zh-CN" w:bidi="ar-SA"/>
              </w:rPr>
              <w:t>三级沉淀池处理后</w:t>
            </w:r>
            <w:r>
              <w:rPr>
                <w:rFonts w:hint="default" w:ascii="Times New Roman" w:hAnsi="Times New Roman" w:eastAsia="宋体" w:cs="Times New Roman"/>
                <w:b w:val="0"/>
                <w:bCs/>
                <w:color w:val="auto"/>
                <w:sz w:val="24"/>
                <w:szCs w:val="24"/>
                <w:highlight w:val="none"/>
                <w:vertAlign w:val="baseline"/>
                <w:lang w:val="en-US" w:eastAsia="zh-CN"/>
              </w:rPr>
              <w:t>原料调配用水，</w:t>
            </w:r>
            <w:r>
              <w:rPr>
                <w:rFonts w:hint="default" w:ascii="Times New Roman" w:hAnsi="Times New Roman" w:cs="Times New Roman"/>
                <w:color w:val="auto"/>
                <w:sz w:val="24"/>
                <w:highlight w:val="none"/>
              </w:rPr>
              <w:t>不排放</w:t>
            </w:r>
            <w:r>
              <w:rPr>
                <w:rFonts w:hint="default" w:ascii="Times New Roman" w:hAnsi="Times New Roman" w:eastAsia="宋体" w:cs="Times New Roman"/>
                <w:color w:val="auto"/>
                <w:kern w:val="2"/>
                <w:sz w:val="24"/>
                <w:szCs w:val="24"/>
                <w:highlight w:val="none"/>
                <w:lang w:val="en-US" w:eastAsia="zh-CN"/>
              </w:rPr>
              <w:t>。</w:t>
            </w:r>
          </w:p>
          <w:p w14:paraId="54169E46">
            <w:pPr>
              <w:adjustRightInd w:val="0"/>
              <w:snapToGrid w:val="0"/>
              <w:spacing w:line="360" w:lineRule="auto"/>
              <w:ind w:firstLine="482"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cs="Times New Roman"/>
                <w:b/>
                <w:bCs/>
                <w:color w:val="auto"/>
                <w:sz w:val="24"/>
                <w:szCs w:val="24"/>
                <w:highlight w:val="none"/>
                <w:lang w:val="en-US" w:eastAsia="zh-CN"/>
              </w:rPr>
              <w:t>成品</w:t>
            </w:r>
            <w:r>
              <w:rPr>
                <w:rFonts w:hint="default" w:ascii="Times New Roman" w:hAnsi="Times New Roman" w:cs="Times New Roman"/>
                <w:b/>
                <w:bCs/>
                <w:color w:val="auto"/>
                <w:sz w:val="24"/>
                <w:szCs w:val="24"/>
                <w:highlight w:val="none"/>
              </w:rPr>
              <w:t>堆场及运输道路用水</w:t>
            </w:r>
            <w:r>
              <w:rPr>
                <w:rFonts w:hint="default" w:ascii="Times New Roman" w:hAnsi="Times New Roman" w:cs="Times New Roman"/>
                <w:b/>
                <w:bCs/>
                <w:color w:val="auto"/>
                <w:sz w:val="24"/>
                <w:szCs w:val="24"/>
                <w:highlight w:val="none"/>
                <w:lang w:val="en-US" w:eastAsia="zh-CN"/>
              </w:rPr>
              <w:t>给排水</w:t>
            </w:r>
            <w:r>
              <w:rPr>
                <w:rFonts w:hint="default" w:ascii="Times New Roman" w:hAnsi="Times New Roman" w:cs="Times New Roman"/>
                <w:b/>
                <w:bCs/>
                <w:color w:val="auto"/>
                <w:sz w:val="24"/>
                <w:szCs w:val="24"/>
                <w:highlight w:val="none"/>
              </w:rPr>
              <w:t>：</w:t>
            </w:r>
            <w:r>
              <w:rPr>
                <w:rFonts w:hint="default" w:ascii="Times New Roman" w:hAnsi="Times New Roman" w:cs="Times New Roman"/>
                <w:color w:val="auto"/>
                <w:sz w:val="24"/>
                <w:szCs w:val="24"/>
                <w:highlight w:val="none"/>
              </w:rPr>
              <w:t>项目围挡堆场需要洒水抑尘，非降雨期时（约</w:t>
            </w:r>
            <w:r>
              <w:rPr>
                <w:rFonts w:hint="eastAsia" w:ascii="Times New Roman" w:hAnsi="Times New Roman" w:cs="Times New Roman"/>
                <w:color w:val="auto"/>
                <w:sz w:val="24"/>
                <w:szCs w:val="24"/>
                <w:highlight w:val="none"/>
                <w:lang w:val="en-US" w:eastAsia="zh-CN"/>
              </w:rPr>
              <w:t>229</w:t>
            </w:r>
            <w:r>
              <w:rPr>
                <w:rFonts w:hint="default" w:ascii="Times New Roman" w:hAnsi="Times New Roman" w:cs="Times New Roman"/>
                <w:color w:val="auto"/>
                <w:sz w:val="24"/>
                <w:szCs w:val="24"/>
                <w:highlight w:val="none"/>
              </w:rPr>
              <w:t>天）运输道路需要洒水抑尘，项目</w:t>
            </w:r>
            <w:r>
              <w:rPr>
                <w:rFonts w:hint="default" w:ascii="Times New Roman" w:hAnsi="Times New Roman" w:cs="Times New Roman"/>
                <w:color w:val="auto"/>
                <w:sz w:val="24"/>
                <w:szCs w:val="24"/>
                <w:highlight w:val="none"/>
                <w:lang w:val="en-US" w:eastAsia="zh-CN"/>
              </w:rPr>
              <w:t>成品</w:t>
            </w:r>
            <w:r>
              <w:rPr>
                <w:rFonts w:hint="default" w:ascii="Times New Roman" w:hAnsi="Times New Roman" w:cs="Times New Roman"/>
                <w:color w:val="auto"/>
                <w:sz w:val="24"/>
                <w:szCs w:val="24"/>
                <w:highlight w:val="none"/>
              </w:rPr>
              <w:t>堆场面积</w:t>
            </w:r>
            <w:r>
              <w:rPr>
                <w:rFonts w:hint="default" w:ascii="Times New Roman" w:hAnsi="Times New Roman" w:cs="Times New Roman"/>
                <w:color w:val="auto"/>
                <w:sz w:val="24"/>
                <w:szCs w:val="24"/>
                <w:highlight w:val="none"/>
                <w:lang w:val="en-US" w:eastAsia="zh-CN"/>
              </w:rPr>
              <w:t>150</w:t>
            </w:r>
            <w:r>
              <w:rPr>
                <w:rFonts w:hint="default" w:ascii="Times New Roman" w:hAnsi="Times New Roman" w:cs="Times New Roman"/>
                <w:color w:val="auto"/>
                <w:sz w:val="24"/>
                <w:szCs w:val="24"/>
                <w:highlight w:val="none"/>
              </w:rPr>
              <w:t>00m</w:t>
            </w:r>
            <w:r>
              <w:rPr>
                <w:rFonts w:hint="default" w:ascii="Times New Roman" w:hAnsi="Times New Roman" w:cs="Times New Roman"/>
                <w:color w:val="auto"/>
                <w:sz w:val="24"/>
                <w:szCs w:val="24"/>
                <w:highlight w:val="none"/>
                <w:vertAlign w:val="superscript"/>
              </w:rPr>
              <w:t>2</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道路及空地</w:t>
            </w:r>
            <w:r>
              <w:rPr>
                <w:rFonts w:hint="default" w:ascii="Times New Roman" w:hAnsi="Times New Roman" w:cs="Times New Roman"/>
                <w:color w:val="auto"/>
                <w:sz w:val="24"/>
                <w:szCs w:val="24"/>
                <w:highlight w:val="none"/>
              </w:rPr>
              <w:t>面积约</w:t>
            </w:r>
            <w:r>
              <w:rPr>
                <w:rFonts w:hint="default" w:ascii="Times New Roman" w:hAnsi="Times New Roman" w:cs="Times New Roman"/>
                <w:color w:val="auto"/>
                <w:sz w:val="24"/>
                <w:szCs w:val="24"/>
                <w:highlight w:val="none"/>
                <w:lang w:val="en-US" w:eastAsia="zh-CN"/>
              </w:rPr>
              <w:t>7000</w:t>
            </w:r>
            <w:r>
              <w:rPr>
                <w:rFonts w:hint="default" w:ascii="Times New Roman" w:hAnsi="Times New Roman" w:cs="Times New Roman"/>
                <w:color w:val="auto"/>
                <w:sz w:val="24"/>
                <w:szCs w:val="24"/>
                <w:highlight w:val="none"/>
              </w:rPr>
              <w:t>m</w:t>
            </w:r>
            <w:r>
              <w:rPr>
                <w:rFonts w:hint="default" w:ascii="Times New Roman" w:hAnsi="Times New Roman" w:cs="Times New Roman"/>
                <w:color w:val="auto"/>
                <w:sz w:val="24"/>
                <w:szCs w:val="24"/>
                <w:highlight w:val="none"/>
                <w:vertAlign w:val="superscript"/>
              </w:rPr>
              <w:t>2</w:t>
            </w:r>
            <w:r>
              <w:rPr>
                <w:rFonts w:hint="default" w:ascii="Times New Roman" w:hAnsi="Times New Roman" w:cs="Times New Roman"/>
                <w:color w:val="auto"/>
                <w:sz w:val="24"/>
                <w:szCs w:val="24"/>
                <w:highlight w:val="none"/>
              </w:rPr>
              <w:t>，则合计面积为</w:t>
            </w:r>
            <w:r>
              <w:rPr>
                <w:rFonts w:hint="default" w:ascii="Times New Roman" w:hAnsi="Times New Roman" w:cs="Times New Roman"/>
                <w:color w:val="auto"/>
                <w:sz w:val="24"/>
                <w:szCs w:val="24"/>
                <w:highlight w:val="none"/>
                <w:lang w:val="en-US" w:eastAsia="zh-CN"/>
              </w:rPr>
              <w:t>22000</w:t>
            </w:r>
            <w:r>
              <w:rPr>
                <w:rFonts w:hint="default" w:ascii="Times New Roman" w:hAnsi="Times New Roman" w:cs="Times New Roman"/>
                <w:color w:val="auto"/>
                <w:sz w:val="24"/>
                <w:szCs w:val="24"/>
                <w:highlight w:val="none"/>
              </w:rPr>
              <w:t>m</w:t>
            </w:r>
            <w:r>
              <w:rPr>
                <w:rFonts w:hint="default" w:ascii="Times New Roman" w:hAnsi="Times New Roman" w:cs="Times New Roman"/>
                <w:color w:val="auto"/>
                <w:sz w:val="24"/>
                <w:szCs w:val="24"/>
                <w:highlight w:val="none"/>
                <w:vertAlign w:val="superscript"/>
              </w:rPr>
              <w:t>2</w:t>
            </w:r>
            <w:r>
              <w:rPr>
                <w:rFonts w:hint="default" w:ascii="Times New Roman" w:hAnsi="Times New Roman" w:cs="Times New Roman"/>
                <w:color w:val="auto"/>
                <w:sz w:val="24"/>
                <w:szCs w:val="24"/>
                <w:highlight w:val="none"/>
              </w:rPr>
              <w:t>，参照广东省地方标准《用水定额 第3部分：生活》（DB44/T 1461.3-2021）中“环境卫生管理-浇洒道路和场地”用水定额1.5L/m</w:t>
            </w:r>
            <w:r>
              <w:rPr>
                <w:rFonts w:hint="default" w:ascii="Times New Roman" w:hAnsi="Times New Roman" w:cs="Times New Roman"/>
                <w:color w:val="auto"/>
                <w:sz w:val="24"/>
                <w:szCs w:val="24"/>
                <w:highlight w:val="none"/>
                <w:vertAlign w:val="superscript"/>
              </w:rPr>
              <w:t>2</w:t>
            </w:r>
            <w:r>
              <w:rPr>
                <w:rFonts w:hint="default" w:ascii="Times New Roman" w:hAnsi="Times New Roman" w:cs="Times New Roman"/>
                <w:color w:val="auto"/>
                <w:sz w:val="24"/>
                <w:szCs w:val="24"/>
                <w:highlight w:val="none"/>
              </w:rPr>
              <w:t>·d计，，</w:t>
            </w:r>
            <w:r>
              <w:rPr>
                <w:rFonts w:hint="default" w:ascii="Times New Roman" w:hAnsi="Times New Roman" w:cs="Times New Roman"/>
                <w:color w:val="auto"/>
                <w:sz w:val="24"/>
                <w:szCs w:val="24"/>
                <w:highlight w:val="none"/>
                <w:lang w:val="en-US" w:eastAsia="zh-CN"/>
              </w:rPr>
              <w:t>根据</w:t>
            </w:r>
            <w:r>
              <w:rPr>
                <w:rFonts w:hint="default" w:ascii="Times New Roman" w:hAnsi="Times New Roman" w:cs="Times New Roman"/>
                <w:color w:val="auto"/>
                <w:kern w:val="2"/>
                <w:sz w:val="24"/>
                <w:szCs w:val="24"/>
                <w:highlight w:val="none"/>
                <w:lang w:val="en-US" w:eastAsia="zh-CN" w:bidi="ar-SA"/>
              </w:rPr>
              <w:t>惠州市2024年降雨136天</w:t>
            </w:r>
            <w:r>
              <w:rPr>
                <w:rFonts w:hint="default" w:ascii="Times New Roman" w:hAnsi="Times New Roman" w:cs="Times New Roman"/>
                <w:color w:val="auto"/>
                <w:sz w:val="24"/>
                <w:szCs w:val="24"/>
                <w:highlight w:val="none"/>
                <w:lang w:val="en-US" w:eastAsia="zh-CN"/>
              </w:rPr>
              <w:t>，则非降雨期约229天，</w:t>
            </w:r>
            <w:r>
              <w:rPr>
                <w:rFonts w:hint="default" w:ascii="Times New Roman" w:hAnsi="Times New Roman" w:cs="Times New Roman"/>
                <w:color w:val="auto"/>
                <w:sz w:val="24"/>
                <w:szCs w:val="24"/>
                <w:highlight w:val="none"/>
              </w:rPr>
              <w:t>项目降雨期运输道路不需另外洒水抑尘</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则</w:t>
            </w:r>
            <w:r>
              <w:rPr>
                <w:rFonts w:hint="default" w:ascii="Times New Roman" w:hAnsi="Times New Roman" w:cs="Times New Roman"/>
                <w:color w:val="auto"/>
                <w:sz w:val="24"/>
                <w:szCs w:val="24"/>
                <w:highlight w:val="none"/>
                <w:lang w:val="en-US" w:eastAsia="zh-CN"/>
              </w:rPr>
              <w:t>非降雨期成品堆场及运输道路洒水</w:t>
            </w:r>
            <w:r>
              <w:rPr>
                <w:rFonts w:hint="default" w:ascii="Times New Roman" w:hAnsi="Times New Roman" w:cs="Times New Roman"/>
                <w:color w:val="auto"/>
                <w:sz w:val="24"/>
                <w:szCs w:val="24"/>
                <w:highlight w:val="none"/>
              </w:rPr>
              <w:t>用水量约</w:t>
            </w:r>
            <w:r>
              <w:rPr>
                <w:rFonts w:hint="default" w:ascii="Times New Roman" w:hAnsi="Times New Roman" w:cs="Times New Roman"/>
                <w:color w:val="auto"/>
                <w:sz w:val="24"/>
                <w:szCs w:val="24"/>
                <w:highlight w:val="none"/>
                <w:lang w:val="en-US" w:eastAsia="zh-CN"/>
              </w:rPr>
              <w:t>33</w:t>
            </w:r>
            <w:r>
              <w:rPr>
                <w:rFonts w:hint="default" w:ascii="Times New Roman" w:hAnsi="Times New Roman" w:cs="Times New Roman"/>
                <w:color w:val="auto"/>
                <w:sz w:val="24"/>
                <w:szCs w:val="24"/>
                <w:highlight w:val="none"/>
              </w:rPr>
              <w:t>t/d（</w:t>
            </w:r>
            <w:r>
              <w:rPr>
                <w:rFonts w:hint="default" w:ascii="Times New Roman" w:hAnsi="Times New Roman" w:cs="Times New Roman"/>
                <w:color w:val="auto"/>
                <w:sz w:val="24"/>
                <w:szCs w:val="24"/>
                <w:highlight w:val="none"/>
                <w:lang w:val="en-US" w:eastAsia="zh-CN"/>
              </w:rPr>
              <w:t>7557</w:t>
            </w:r>
            <w:r>
              <w:rPr>
                <w:rFonts w:hint="default" w:ascii="Times New Roman" w:hAnsi="Times New Roman" w:cs="Times New Roman"/>
                <w:color w:val="auto"/>
                <w:sz w:val="24"/>
                <w:szCs w:val="24"/>
                <w:highlight w:val="none"/>
              </w:rPr>
              <w:t>t/a）</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成品堆场及运输道路洒水均蒸发损耗</w:t>
            </w:r>
            <w:r>
              <w:rPr>
                <w:rFonts w:hint="default" w:ascii="Times New Roman" w:hAnsi="Times New Roman" w:cs="Times New Roman"/>
                <w:color w:val="auto"/>
                <w:sz w:val="24"/>
                <w:szCs w:val="24"/>
                <w:highlight w:val="none"/>
                <w:lang w:eastAsia="zh-CN"/>
              </w:rPr>
              <w:t>。</w:t>
            </w:r>
          </w:p>
          <w:p w14:paraId="03526173">
            <w:pPr>
              <w:adjustRightInd w:val="0"/>
              <w:snapToGrid w:val="0"/>
              <w:spacing w:line="360" w:lineRule="auto"/>
              <w:ind w:firstLine="482" w:firstLineChars="200"/>
              <w:rPr>
                <w:rFonts w:hint="default" w:ascii="Times New Roman" w:hAnsi="Times New Roman" w:cs="Times New Roman"/>
                <w:color w:val="auto"/>
                <w:sz w:val="24"/>
                <w:szCs w:val="24"/>
                <w:highlight w:val="none"/>
              </w:rPr>
            </w:pPr>
            <w:r>
              <w:rPr>
                <w:rFonts w:hint="default" w:ascii="Times New Roman" w:hAnsi="Times New Roman" w:cs="Times New Roman"/>
                <w:b/>
                <w:bCs/>
                <w:color w:val="auto"/>
                <w:sz w:val="24"/>
                <w:szCs w:val="24"/>
                <w:highlight w:val="none"/>
                <w:lang w:val="en-US" w:eastAsia="zh-CN"/>
              </w:rPr>
              <w:t>卸料</w:t>
            </w:r>
            <w:r>
              <w:rPr>
                <w:rFonts w:hint="default" w:ascii="Times New Roman" w:hAnsi="Times New Roman" w:cs="Times New Roman"/>
                <w:b/>
                <w:bCs/>
                <w:color w:val="auto"/>
                <w:sz w:val="24"/>
                <w:szCs w:val="24"/>
                <w:highlight w:val="none"/>
              </w:rPr>
              <w:t>用水</w:t>
            </w:r>
            <w:r>
              <w:rPr>
                <w:rFonts w:hint="default" w:ascii="Times New Roman" w:hAnsi="Times New Roman" w:cs="Times New Roman"/>
                <w:b/>
                <w:bCs/>
                <w:color w:val="auto"/>
                <w:sz w:val="24"/>
                <w:szCs w:val="24"/>
                <w:highlight w:val="none"/>
                <w:lang w:val="en-US" w:eastAsia="zh-CN"/>
              </w:rPr>
              <w:t>给排水</w:t>
            </w:r>
            <w:r>
              <w:rPr>
                <w:rFonts w:hint="default" w:ascii="Times New Roman" w:hAnsi="Times New Roman" w:cs="Times New Roman"/>
                <w:b/>
                <w:bCs/>
                <w:color w:val="auto"/>
                <w:sz w:val="24"/>
                <w:szCs w:val="24"/>
                <w:highlight w:val="none"/>
              </w:rPr>
              <w:t>：</w:t>
            </w:r>
            <w:r>
              <w:rPr>
                <w:rFonts w:hint="default" w:ascii="Times New Roman" w:hAnsi="Times New Roman" w:cs="Times New Roman"/>
                <w:color w:val="auto"/>
                <w:sz w:val="24"/>
                <w:szCs w:val="24"/>
                <w:highlight w:val="none"/>
              </w:rPr>
              <w:t>项目河砂、碎石原料卸料过程需要洒水抑尘，根据建设单位提供的经验数据，洒水量约为0.002m</w:t>
            </w:r>
            <w:r>
              <w:rPr>
                <w:rFonts w:hint="default" w:ascii="Times New Roman" w:hAnsi="Times New Roman" w:cs="Times New Roman"/>
                <w:color w:val="auto"/>
                <w:sz w:val="24"/>
                <w:szCs w:val="24"/>
                <w:highlight w:val="none"/>
                <w:vertAlign w:val="superscript"/>
              </w:rPr>
              <w:t>3</w:t>
            </w:r>
            <w:r>
              <w:rPr>
                <w:rFonts w:hint="default" w:ascii="Times New Roman" w:hAnsi="Times New Roman" w:cs="Times New Roman"/>
                <w:color w:val="auto"/>
                <w:sz w:val="24"/>
                <w:szCs w:val="24"/>
                <w:highlight w:val="none"/>
              </w:rPr>
              <w:t>/t，河砂碎石原料共</w:t>
            </w:r>
            <w:r>
              <w:rPr>
                <w:rFonts w:hint="default" w:ascii="Times New Roman" w:hAnsi="Times New Roman" w:cs="Times New Roman"/>
                <w:color w:val="auto"/>
                <w:sz w:val="24"/>
                <w:szCs w:val="24"/>
                <w:highlight w:val="none"/>
                <w:lang w:val="en-US" w:eastAsia="zh-CN"/>
              </w:rPr>
              <w:t>38.1</w:t>
            </w:r>
            <w:r>
              <w:rPr>
                <w:rFonts w:hint="default" w:ascii="Times New Roman" w:hAnsi="Times New Roman" w:cs="Times New Roman"/>
                <w:color w:val="auto"/>
                <w:sz w:val="24"/>
                <w:szCs w:val="24"/>
                <w:highlight w:val="none"/>
              </w:rPr>
              <w:t>万吨/年，则全年卸料洒水量为</w:t>
            </w:r>
            <w:r>
              <w:rPr>
                <w:rFonts w:hint="default" w:ascii="Times New Roman" w:hAnsi="Times New Roman" w:cs="Times New Roman"/>
                <w:color w:val="auto"/>
                <w:sz w:val="24"/>
                <w:szCs w:val="24"/>
                <w:highlight w:val="none"/>
                <w:lang w:val="en-US" w:eastAsia="zh-CN"/>
              </w:rPr>
              <w:t>762</w:t>
            </w:r>
            <w:r>
              <w:rPr>
                <w:rFonts w:hint="default" w:ascii="Times New Roman" w:hAnsi="Times New Roman" w:cs="Times New Roman"/>
                <w:color w:val="auto"/>
                <w:sz w:val="24"/>
                <w:szCs w:val="24"/>
                <w:highlight w:val="none"/>
              </w:rPr>
              <w:t>t/a（</w:t>
            </w:r>
            <w:r>
              <w:rPr>
                <w:rFonts w:hint="default" w:ascii="Times New Roman" w:hAnsi="Times New Roman" w:cs="Times New Roman"/>
                <w:color w:val="auto"/>
                <w:sz w:val="24"/>
                <w:szCs w:val="24"/>
                <w:highlight w:val="none"/>
                <w:lang w:val="en-US" w:eastAsia="zh-CN"/>
              </w:rPr>
              <w:t>2.54</w:t>
            </w:r>
            <w:r>
              <w:rPr>
                <w:rFonts w:hint="default" w:ascii="Times New Roman" w:hAnsi="Times New Roman" w:cs="Times New Roman"/>
                <w:color w:val="auto"/>
                <w:sz w:val="24"/>
                <w:szCs w:val="24"/>
                <w:highlight w:val="none"/>
              </w:rPr>
              <w:t>t/d）；该用水均</w:t>
            </w:r>
            <w:r>
              <w:rPr>
                <w:rFonts w:hint="default" w:ascii="Times New Roman" w:hAnsi="Times New Roman" w:cs="Times New Roman"/>
                <w:color w:val="auto"/>
                <w:sz w:val="24"/>
                <w:szCs w:val="24"/>
                <w:highlight w:val="none"/>
                <w:lang w:val="en-US" w:eastAsia="zh-CN"/>
              </w:rPr>
              <w:t>粘于物料表面</w:t>
            </w:r>
            <w:r>
              <w:rPr>
                <w:rFonts w:hint="default" w:ascii="Times New Roman" w:hAnsi="Times New Roman" w:cs="Times New Roman"/>
                <w:color w:val="auto"/>
                <w:sz w:val="24"/>
                <w:szCs w:val="24"/>
                <w:highlight w:val="none"/>
              </w:rPr>
              <w:t>或自然蒸发，不外排。</w:t>
            </w:r>
          </w:p>
          <w:p w14:paraId="65AF10A6">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color w:val="auto"/>
                <w:kern w:val="0"/>
                <w:sz w:val="24"/>
                <w:szCs w:val="24"/>
                <w:highlight w:val="none"/>
                <w:lang w:val="en-US" w:eastAsia="zh-CN"/>
              </w:rPr>
            </w:pPr>
            <w:r>
              <w:rPr>
                <w:rFonts w:hint="default" w:ascii="Times New Roman" w:hAnsi="Times New Roman" w:cs="Times New Roman"/>
                <w:b/>
                <w:bCs/>
                <w:color w:val="auto"/>
                <w:sz w:val="24"/>
                <w:szCs w:val="24"/>
                <w:highlight w:val="none"/>
              </w:rPr>
              <w:t>养护用水</w:t>
            </w:r>
            <w:r>
              <w:rPr>
                <w:rFonts w:hint="default" w:ascii="Times New Roman" w:hAnsi="Times New Roman" w:cs="Times New Roman"/>
                <w:b/>
                <w:bCs/>
                <w:color w:val="auto"/>
                <w:sz w:val="24"/>
                <w:szCs w:val="24"/>
                <w:highlight w:val="none"/>
                <w:lang w:val="en-US" w:eastAsia="zh-CN"/>
              </w:rPr>
              <w:t>给排水</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5"/>
                <w:highlight w:val="none"/>
                <w:lang w:val="en-US" w:eastAsia="zh-CN"/>
              </w:rPr>
              <w:t>项目产品需要进行</w:t>
            </w:r>
            <w:r>
              <w:rPr>
                <w:rFonts w:hint="default" w:ascii="Times New Roman" w:hAnsi="Times New Roman" w:cs="Times New Roman"/>
                <w:color w:val="auto"/>
                <w:sz w:val="24"/>
                <w:szCs w:val="25"/>
                <w:highlight w:val="none"/>
              </w:rPr>
              <w:t>水养，</w:t>
            </w:r>
            <w:r>
              <w:rPr>
                <w:rFonts w:hint="default" w:ascii="Times New Roman" w:hAnsi="Times New Roman" w:cs="Times New Roman"/>
                <w:color w:val="auto"/>
                <w:sz w:val="24"/>
                <w:szCs w:val="25"/>
                <w:highlight w:val="none"/>
                <w:lang w:val="en-US" w:eastAsia="zh-CN"/>
              </w:rPr>
              <w:t>项目拟设6个</w:t>
            </w:r>
            <w:r>
              <w:rPr>
                <w:rFonts w:hint="default" w:ascii="Times New Roman" w:hAnsi="Times New Roman" w:eastAsia="宋体" w:cs="Times New Roman"/>
                <w:color w:val="auto"/>
                <w:kern w:val="2"/>
                <w:sz w:val="24"/>
                <w:szCs w:val="24"/>
                <w:highlight w:val="none"/>
                <w:lang w:val="en-US" w:eastAsia="zh-CN" w:bidi="ar-SA"/>
              </w:rPr>
              <w:t>长32m*宽20m*高2.5m的水养池对产品进行养护，</w:t>
            </w:r>
            <w:r>
              <w:rPr>
                <w:rFonts w:hint="default" w:ascii="Times New Roman" w:hAnsi="Times New Roman" w:cs="Times New Roman"/>
                <w:color w:val="auto"/>
                <w:kern w:val="0"/>
                <w:sz w:val="24"/>
                <w:szCs w:val="24"/>
                <w:highlight w:val="none"/>
                <w:lang w:val="en-US" w:eastAsia="zh-CN"/>
              </w:rPr>
              <w:t>单个</w:t>
            </w:r>
            <w:r>
              <w:rPr>
                <w:rFonts w:hint="default" w:ascii="Times New Roman" w:hAnsi="Times New Roman" w:cs="Times New Roman"/>
                <w:color w:val="auto"/>
                <w:sz w:val="24"/>
                <w:szCs w:val="24"/>
                <w:highlight w:val="none"/>
                <w:lang w:val="en-US" w:eastAsia="zh-CN"/>
              </w:rPr>
              <w:t>水养池的容积为1600m</w:t>
            </w:r>
            <w:r>
              <w:rPr>
                <w:rFonts w:hint="default" w:ascii="Times New Roman" w:hAnsi="Times New Roman" w:cs="Times New Roman"/>
                <w:color w:val="auto"/>
                <w:sz w:val="24"/>
                <w:szCs w:val="24"/>
                <w:highlight w:val="none"/>
                <w:vertAlign w:val="superscript"/>
                <w:lang w:val="en-US" w:eastAsia="zh-CN"/>
              </w:rPr>
              <w:t>3</w:t>
            </w:r>
            <w:r>
              <w:rPr>
                <w:rFonts w:hint="default" w:ascii="Times New Roman" w:hAnsi="Times New Roman" w:cs="Times New Roman"/>
                <w:color w:val="auto"/>
                <w:sz w:val="24"/>
                <w:szCs w:val="24"/>
                <w:highlight w:val="none"/>
                <w:lang w:val="en-US" w:eastAsia="zh-CN"/>
              </w:rPr>
              <w:t>，</w:t>
            </w:r>
            <w:r>
              <w:rPr>
                <w:rFonts w:hint="default" w:ascii="Times New Roman" w:hAnsi="Times New Roman" w:eastAsia="宋体" w:cs="Times New Roman"/>
                <w:color w:val="auto"/>
                <w:kern w:val="2"/>
                <w:sz w:val="24"/>
                <w:szCs w:val="24"/>
                <w:highlight w:val="none"/>
                <w:lang w:val="en-US" w:eastAsia="zh-CN" w:bidi="ar-SA"/>
              </w:rPr>
              <w:t>养护时产品可以多层叠加放置，根据业主提供的信息，水池仅需加总容积40%的水量即可满足水养需求，则单个</w:t>
            </w:r>
            <w:r>
              <w:rPr>
                <w:rFonts w:hint="default" w:ascii="Times New Roman" w:hAnsi="Times New Roman" w:cs="Times New Roman"/>
                <w:color w:val="auto"/>
                <w:sz w:val="24"/>
                <w:szCs w:val="24"/>
                <w:highlight w:val="none"/>
                <w:lang w:val="en-US" w:eastAsia="zh-CN"/>
              </w:rPr>
              <w:t>水养池初次容纳水的量为640m</w:t>
            </w:r>
            <w:r>
              <w:rPr>
                <w:rFonts w:hint="default" w:ascii="Times New Roman" w:hAnsi="Times New Roman" w:cs="Times New Roman"/>
                <w:color w:val="auto"/>
                <w:sz w:val="24"/>
                <w:szCs w:val="24"/>
                <w:highlight w:val="none"/>
                <w:vertAlign w:val="superscript"/>
                <w:lang w:val="en-US" w:eastAsia="zh-CN"/>
              </w:rPr>
              <w:t>3</w:t>
            </w:r>
            <w:r>
              <w:rPr>
                <w:rFonts w:hint="default" w:ascii="Times New Roman" w:hAnsi="Times New Roman" w:cs="Times New Roman"/>
                <w:color w:val="auto"/>
                <w:sz w:val="24"/>
                <w:szCs w:val="24"/>
                <w:highlight w:val="none"/>
                <w:lang w:val="en-US" w:eastAsia="zh-CN"/>
              </w:rPr>
              <w:t>，6个水养池初次用水为3840m</w:t>
            </w:r>
            <w:r>
              <w:rPr>
                <w:rFonts w:hint="default" w:ascii="Times New Roman" w:hAnsi="Times New Roman" w:cs="Times New Roman"/>
                <w:color w:val="auto"/>
                <w:sz w:val="24"/>
                <w:szCs w:val="24"/>
                <w:highlight w:val="none"/>
                <w:vertAlign w:val="superscript"/>
                <w:lang w:val="en-US" w:eastAsia="zh-CN"/>
              </w:rPr>
              <w:t>3</w:t>
            </w:r>
            <w:r>
              <w:rPr>
                <w:rFonts w:hint="default" w:ascii="Times New Roman" w:hAnsi="Times New Roman" w:cs="Times New Roman"/>
                <w:color w:val="auto"/>
                <w:sz w:val="24"/>
                <w:szCs w:val="24"/>
                <w:highlight w:val="none"/>
                <w:lang w:val="en-US" w:eastAsia="zh-CN"/>
              </w:rPr>
              <w:t>，养护</w:t>
            </w:r>
            <w:r>
              <w:rPr>
                <w:rFonts w:hint="default" w:ascii="Times New Roman" w:hAnsi="Times New Roman" w:eastAsia="宋体" w:cs="Times New Roman"/>
                <w:color w:val="auto"/>
                <w:kern w:val="2"/>
                <w:sz w:val="24"/>
                <w:szCs w:val="24"/>
                <w:highlight w:val="none"/>
                <w:lang w:val="en-US" w:eastAsia="zh-CN" w:bidi="ar-SA"/>
              </w:rPr>
              <w:t>时间约4天</w:t>
            </w:r>
            <w:r>
              <w:rPr>
                <w:rFonts w:hint="default" w:ascii="Times New Roman" w:hAnsi="Times New Roman" w:cs="Times New Roman"/>
                <w:color w:val="auto"/>
                <w:kern w:val="0"/>
                <w:sz w:val="24"/>
                <w:szCs w:val="24"/>
                <w:highlight w:val="none"/>
              </w:rPr>
              <w:t>。</w:t>
            </w:r>
            <w:r>
              <w:rPr>
                <w:rFonts w:hint="default" w:ascii="Times New Roman" w:hAnsi="Times New Roman" w:cs="Times New Roman"/>
                <w:color w:val="auto"/>
                <w:sz w:val="24"/>
                <w:szCs w:val="24"/>
                <w:highlight w:val="none"/>
                <w:lang w:val="en-US" w:eastAsia="zh-CN"/>
              </w:rPr>
              <w:t>养护用水可循环使用，首次加满有效容积的水量后，由于蒸发损耗需补充损耗水量，根据业主提供的经验数据，平均下来每天的损耗量约占总有效容积的2%，即76.8t/d（23040t/a），加上初次加入的水量，则养护总用水量为26880t/a（89.6t/d）</w:t>
            </w:r>
            <w:r>
              <w:rPr>
                <w:rFonts w:hint="default" w:ascii="Times New Roman" w:hAnsi="Times New Roman" w:cs="Times New Roman"/>
                <w:color w:val="auto"/>
                <w:kern w:val="0"/>
                <w:sz w:val="24"/>
                <w:szCs w:val="24"/>
                <w:highlight w:val="none"/>
                <w:lang w:val="en-US" w:eastAsia="zh-CN"/>
              </w:rPr>
              <w:t>。</w:t>
            </w:r>
          </w:p>
          <w:p w14:paraId="3A1F39A1">
            <w:pPr>
              <w:keepNext w:val="0"/>
              <w:keepLines w:val="0"/>
              <w:pageBreakBefore w:val="0"/>
              <w:widowControl/>
              <w:kinsoku/>
              <w:wordWrap/>
              <w:overflowPunct/>
              <w:topLinePunct w:val="0"/>
              <w:autoSpaceDE/>
              <w:autoSpaceDN/>
              <w:bidi w:val="0"/>
              <w:adjustRightInd w:val="0"/>
              <w:snapToGrid w:val="0"/>
              <w:spacing w:after="0" w:line="360" w:lineRule="auto"/>
              <w:ind w:firstLine="482" w:firstLineChars="20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cs="Times New Roman"/>
                <w:b/>
                <w:bCs/>
                <w:color w:val="auto"/>
                <w:sz w:val="24"/>
                <w:highlight w:val="none"/>
              </w:rPr>
              <w:t>初期雨水：</w:t>
            </w:r>
            <w:r>
              <w:rPr>
                <w:rFonts w:hint="default" w:ascii="Times New Roman" w:hAnsi="Times New Roman" w:eastAsia="宋体" w:cs="Times New Roman"/>
                <w:color w:val="auto"/>
                <w:kern w:val="2"/>
                <w:sz w:val="24"/>
                <w:szCs w:val="24"/>
                <w:highlight w:val="none"/>
                <w:lang w:val="en-US" w:eastAsia="zh-CN" w:bidi="ar-SA"/>
              </w:rPr>
              <w:t>雨水径流中明显的初期冲刷作用，即在多数情况下污染物是集中在初期的数毫米雨量中。当遇到降雨时，雨水中含有大量的SS及少量的CODcr，厂区内修建雨水收集管渠，降雨时，前15min产生的初期雨水由雨水沟收集后排入雨水收集池滞流、沉淀后汇集于清水池，减少对周围地表水的不利影响。</w:t>
            </w:r>
          </w:p>
          <w:p w14:paraId="1B64B1D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根据《惠州市城乡规划管理技术规定（2023年）》中，惠州市暴雨强度公式为：</w:t>
            </w:r>
          </w:p>
          <w:p w14:paraId="4CD51443">
            <w:pPr>
              <w:keepNext w:val="0"/>
              <w:keepLines w:val="0"/>
              <w:pageBreakBefore w:val="0"/>
              <w:widowControl/>
              <w:kinsoku/>
              <w:wordWrap/>
              <w:overflowPunct/>
              <w:topLinePunct w:val="0"/>
              <w:autoSpaceDE/>
              <w:autoSpaceDN/>
              <w:bidi w:val="0"/>
              <w:adjustRightInd w:val="0"/>
              <w:snapToGrid w:val="0"/>
              <w:spacing w:after="0" w:line="360" w:lineRule="auto"/>
              <w:ind w:firstLine="420" w:firstLineChars="200"/>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cs="Times New Roman"/>
                <w:color w:val="auto"/>
                <w:highlight w:val="none"/>
              </w:rPr>
              <w:drawing>
                <wp:inline distT="0" distB="0" distL="114300" distR="114300">
                  <wp:extent cx="2914650" cy="400050"/>
                  <wp:effectExtent l="0" t="0" r="0" b="0"/>
                  <wp:docPr id="13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4"/>
                          <pic:cNvPicPr>
                            <a:picLocks noChangeAspect="1"/>
                          </pic:cNvPicPr>
                        </pic:nvPicPr>
                        <pic:blipFill>
                          <a:blip r:embed="rId12"/>
                          <a:stretch>
                            <a:fillRect/>
                          </a:stretch>
                        </pic:blipFill>
                        <pic:spPr>
                          <a:xfrm>
                            <a:off x="0" y="0"/>
                            <a:ext cx="2914650" cy="400050"/>
                          </a:xfrm>
                          <a:prstGeom prst="rect">
                            <a:avLst/>
                          </a:prstGeom>
                          <a:noFill/>
                          <a:ln>
                            <a:noFill/>
                          </a:ln>
                        </pic:spPr>
                      </pic:pic>
                    </a:graphicData>
                  </a:graphic>
                </wp:inline>
              </w:drawing>
            </w:r>
          </w:p>
          <w:p w14:paraId="2724C9B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式中：q—设计暴雨强度，L/s•ha；</w:t>
            </w:r>
          </w:p>
          <w:p w14:paraId="48D5E92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P：设计重现期，a，一般取1—3年，取3；</w:t>
            </w:r>
          </w:p>
          <w:p w14:paraId="07F5A260">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t：降雨历时，min，取15min；</w:t>
            </w:r>
          </w:p>
          <w:p w14:paraId="14224F48">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根据《室外排水设计规范》，雨水量计算公式：</w:t>
            </w:r>
          </w:p>
          <w:p w14:paraId="2C10C048">
            <w:pPr>
              <w:keepNext w:val="0"/>
              <w:keepLines w:val="0"/>
              <w:pageBreakBefore w:val="0"/>
              <w:widowControl/>
              <w:kinsoku/>
              <w:wordWrap/>
              <w:overflowPunct/>
              <w:topLinePunct w:val="0"/>
              <w:autoSpaceDE/>
              <w:autoSpaceDN/>
              <w:bidi w:val="0"/>
              <w:adjustRightInd w:val="0"/>
              <w:snapToGrid w:val="0"/>
              <w:spacing w:after="0" w:line="360" w:lineRule="auto"/>
              <w:ind w:firstLine="420" w:firstLineChars="200"/>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cs="Times New Roman"/>
                <w:color w:val="auto"/>
                <w:highlight w:val="none"/>
              </w:rPr>
              <w:drawing>
                <wp:inline distT="0" distB="0" distL="114300" distR="114300">
                  <wp:extent cx="2019300" cy="342900"/>
                  <wp:effectExtent l="0" t="0" r="0" b="0"/>
                  <wp:docPr id="15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图片 5"/>
                          <pic:cNvPicPr>
                            <a:picLocks noChangeAspect="1"/>
                          </pic:cNvPicPr>
                        </pic:nvPicPr>
                        <pic:blipFill>
                          <a:blip r:embed="rId13"/>
                          <a:stretch>
                            <a:fillRect/>
                          </a:stretch>
                        </pic:blipFill>
                        <pic:spPr>
                          <a:xfrm>
                            <a:off x="0" y="0"/>
                            <a:ext cx="2019300" cy="342900"/>
                          </a:xfrm>
                          <a:prstGeom prst="rect">
                            <a:avLst/>
                          </a:prstGeom>
                          <a:noFill/>
                          <a:ln>
                            <a:noFill/>
                          </a:ln>
                        </pic:spPr>
                      </pic:pic>
                    </a:graphicData>
                  </a:graphic>
                </wp:inline>
              </w:drawing>
            </w:r>
          </w:p>
          <w:p w14:paraId="7D827730">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式中：</w:t>
            </w:r>
          </w:p>
          <w:p w14:paraId="1FB02157">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Q：雨水设计流量，L/s；</w:t>
            </w:r>
          </w:p>
          <w:p w14:paraId="339AD9AD">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φ：径流系数；本项目取0.65。</w:t>
            </w:r>
          </w:p>
          <w:p w14:paraId="5F1EF7E9">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default" w:ascii="Times New Roman" w:hAnsi="Times New Roman" w:eastAsia="宋体" w:cs="Times New Roman"/>
                <w:strike/>
                <w:color w:val="auto"/>
                <w:kern w:val="0"/>
                <w:sz w:val="24"/>
                <w:szCs w:val="24"/>
                <w:highlight w:val="none"/>
                <w:lang w:val="en-US" w:eastAsia="zh-CN"/>
              </w:rPr>
            </w:pPr>
            <w:r>
              <w:rPr>
                <w:rFonts w:hint="default" w:ascii="Times New Roman" w:hAnsi="Times New Roman" w:eastAsia="宋体" w:cs="Times New Roman"/>
                <w:color w:val="auto"/>
                <w:kern w:val="2"/>
                <w:sz w:val="24"/>
                <w:szCs w:val="24"/>
                <w:highlight w:val="none"/>
                <w:lang w:val="en-US" w:eastAsia="zh-CN" w:bidi="ar-SA"/>
              </w:rPr>
              <w:t>F：汇水面积，ha，本项目厂区总占地面积约为49000m</w:t>
            </w:r>
            <w:r>
              <w:rPr>
                <w:rFonts w:hint="default" w:ascii="Times New Roman" w:hAnsi="Times New Roman" w:eastAsia="宋体" w:cs="Times New Roman"/>
                <w:color w:val="auto"/>
                <w:kern w:val="2"/>
                <w:sz w:val="24"/>
                <w:szCs w:val="24"/>
                <w:highlight w:val="none"/>
                <w:vertAlign w:val="superscript"/>
                <w:lang w:val="en-US" w:eastAsia="zh-CN" w:bidi="ar-SA"/>
              </w:rPr>
              <w:t>2</w:t>
            </w:r>
            <w:r>
              <w:rPr>
                <w:rFonts w:hint="default" w:ascii="Times New Roman" w:hAnsi="Times New Roman" w:eastAsia="宋体" w:cs="Times New Roman"/>
                <w:color w:val="auto"/>
                <w:kern w:val="0"/>
                <w:sz w:val="24"/>
                <w:szCs w:val="24"/>
                <w:highlight w:val="none"/>
                <w:lang w:val="en-US" w:eastAsia="zh-CN"/>
              </w:rPr>
              <w:t>，即4.9ha。</w:t>
            </w:r>
          </w:p>
          <w:p w14:paraId="57F89B3D">
            <w:pPr>
              <w:pStyle w:val="43"/>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baseline"/>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根据上述计算</w:t>
            </w:r>
            <w:r>
              <w:rPr>
                <w:rFonts w:hint="default" w:ascii="Times New Roman" w:hAnsi="Times New Roman" w:cs="Times New Roman"/>
                <w:color w:val="auto"/>
                <w:kern w:val="2"/>
                <w:sz w:val="24"/>
                <w:szCs w:val="24"/>
                <w:highlight w:val="none"/>
                <w:lang w:val="en-US" w:eastAsia="zh-CN" w:bidi="ar-SA"/>
              </w:rPr>
              <w:t>可得暴雨强度q</w:t>
            </w:r>
            <w:r>
              <w:rPr>
                <w:rFonts w:hint="default" w:ascii="Times New Roman" w:hAnsi="Times New Roman" w:eastAsia="宋体" w:cs="Times New Roman"/>
                <w:color w:val="auto"/>
                <w:kern w:val="2"/>
                <w:sz w:val="24"/>
                <w:szCs w:val="24"/>
                <w:highlight w:val="none"/>
                <w:lang w:val="en-US" w:eastAsia="zh-CN" w:bidi="ar-SA"/>
              </w:rPr>
              <w:t>约为</w:t>
            </w:r>
            <w:r>
              <w:rPr>
                <w:rFonts w:hint="default" w:ascii="Times New Roman" w:hAnsi="Times New Roman" w:cs="Times New Roman"/>
                <w:color w:val="auto"/>
                <w:kern w:val="2"/>
                <w:sz w:val="24"/>
                <w:szCs w:val="24"/>
                <w:highlight w:val="none"/>
                <w:lang w:val="en-US" w:eastAsia="zh-CN" w:bidi="ar-SA"/>
              </w:rPr>
              <w:t>346.88</w:t>
            </w:r>
            <w:r>
              <w:rPr>
                <w:rFonts w:hint="default" w:ascii="Times New Roman" w:hAnsi="Times New Roman" w:eastAsia="宋体" w:cs="Times New Roman"/>
                <w:color w:val="auto"/>
                <w:kern w:val="2"/>
                <w:sz w:val="24"/>
                <w:szCs w:val="24"/>
                <w:highlight w:val="none"/>
                <w:lang w:val="en-US" w:eastAsia="zh-CN" w:bidi="ar-SA"/>
              </w:rPr>
              <w:t>L/s•ha，</w:t>
            </w:r>
            <w:r>
              <w:rPr>
                <w:rFonts w:hint="default" w:ascii="Times New Roman" w:hAnsi="Times New Roman" w:cs="Times New Roman"/>
                <w:color w:val="auto"/>
                <w:kern w:val="2"/>
                <w:sz w:val="24"/>
                <w:szCs w:val="24"/>
                <w:highlight w:val="none"/>
                <w:lang w:val="en-US" w:eastAsia="zh-CN" w:bidi="ar-SA"/>
              </w:rPr>
              <w:t>雨水设计流量为1104.813L/s</w:t>
            </w:r>
            <w:r>
              <w:rPr>
                <w:rFonts w:hint="default" w:ascii="Times New Roman" w:hAnsi="Times New Roman" w:eastAsia="宋体" w:cs="Times New Roman"/>
                <w:color w:val="auto"/>
                <w:kern w:val="2"/>
                <w:sz w:val="24"/>
                <w:szCs w:val="24"/>
                <w:highlight w:val="none"/>
                <w:lang w:val="en-US" w:eastAsia="zh-CN" w:bidi="ar-SA"/>
              </w:rPr>
              <w:t>，</w:t>
            </w:r>
            <w:r>
              <w:rPr>
                <w:rFonts w:hint="default" w:ascii="Times New Roman" w:hAnsi="Times New Roman" w:cs="Times New Roman"/>
                <w:color w:val="auto"/>
                <w:kern w:val="2"/>
                <w:sz w:val="24"/>
                <w:szCs w:val="24"/>
                <w:highlight w:val="none"/>
                <w:lang w:val="en-US" w:eastAsia="zh-CN" w:bidi="ar-SA"/>
              </w:rPr>
              <w:t>则收集前15min的初期雨水量为994.332m</w:t>
            </w:r>
            <w:r>
              <w:rPr>
                <w:rFonts w:hint="default" w:ascii="Times New Roman" w:hAnsi="Times New Roman" w:cs="Times New Roman"/>
                <w:color w:val="auto"/>
                <w:kern w:val="2"/>
                <w:sz w:val="24"/>
                <w:szCs w:val="24"/>
                <w:highlight w:val="none"/>
                <w:vertAlign w:val="superscript"/>
                <w:lang w:val="en-US" w:eastAsia="zh-CN" w:bidi="ar-SA"/>
              </w:rPr>
              <w:t>3</w:t>
            </w:r>
            <w:r>
              <w:rPr>
                <w:rFonts w:hint="default" w:ascii="Times New Roman" w:hAnsi="Times New Roman" w:cs="Times New Roman"/>
                <w:color w:val="auto"/>
                <w:kern w:val="2"/>
                <w:sz w:val="24"/>
                <w:szCs w:val="24"/>
                <w:highlight w:val="none"/>
                <w:lang w:val="en-US" w:eastAsia="zh-CN" w:bidi="ar-SA"/>
              </w:rPr>
              <w:t>，</w:t>
            </w:r>
            <w:r>
              <w:rPr>
                <w:rFonts w:hint="default" w:ascii="Times New Roman" w:hAnsi="Times New Roman" w:eastAsia="宋体" w:cs="Times New Roman"/>
                <w:color w:val="auto"/>
                <w:kern w:val="2"/>
                <w:sz w:val="24"/>
                <w:szCs w:val="24"/>
                <w:highlight w:val="none"/>
                <w:lang w:val="en-US" w:eastAsia="zh-CN" w:bidi="ar-SA"/>
              </w:rPr>
              <w:t>参考《惠州短时强降水时空分布及与暴雨相关性分析》(张亮</w:t>
            </w:r>
            <w:r>
              <w:rPr>
                <w:rFonts w:hint="default" w:ascii="Times New Roman" w:hAnsi="Times New Roman" w:cs="Times New Roman"/>
                <w:color w:val="auto"/>
                <w:kern w:val="2"/>
                <w:sz w:val="24"/>
                <w:szCs w:val="24"/>
                <w:highlight w:val="none"/>
                <w:lang w:val="en-US" w:eastAsia="zh-CN" w:bidi="ar-SA"/>
              </w:rPr>
              <w:t>；</w:t>
            </w:r>
            <w:r>
              <w:rPr>
                <w:rFonts w:hint="default" w:ascii="Times New Roman" w:hAnsi="Times New Roman" w:eastAsia="宋体" w:cs="Times New Roman"/>
                <w:color w:val="auto"/>
                <w:kern w:val="2"/>
                <w:sz w:val="24"/>
                <w:szCs w:val="24"/>
                <w:highlight w:val="none"/>
                <w:lang w:val="en-US" w:eastAsia="zh-CN" w:bidi="ar-SA"/>
              </w:rPr>
              <w:t>姜帅</w:t>
            </w:r>
            <w:r>
              <w:rPr>
                <w:rFonts w:hint="default" w:ascii="Times New Roman" w:hAnsi="Times New Roman" w:cs="Times New Roman"/>
                <w:color w:val="auto"/>
                <w:kern w:val="2"/>
                <w:sz w:val="24"/>
                <w:szCs w:val="24"/>
                <w:highlight w:val="none"/>
                <w:lang w:val="en-US" w:eastAsia="zh-CN" w:bidi="ar-SA"/>
              </w:rPr>
              <w:t>；</w:t>
            </w:r>
            <w:r>
              <w:rPr>
                <w:rFonts w:hint="default" w:ascii="Times New Roman" w:hAnsi="Times New Roman" w:eastAsia="宋体" w:cs="Times New Roman"/>
                <w:color w:val="auto"/>
                <w:kern w:val="2"/>
                <w:sz w:val="24"/>
                <w:szCs w:val="24"/>
                <w:highlight w:val="none"/>
                <w:lang w:val="en-US" w:eastAsia="zh-CN" w:bidi="ar-SA"/>
              </w:rPr>
              <w:t>林汇丰</w:t>
            </w:r>
            <w:r>
              <w:rPr>
                <w:rFonts w:hint="default" w:ascii="Times New Roman" w:hAnsi="Times New Roman" w:cs="Times New Roman"/>
                <w:color w:val="auto"/>
                <w:kern w:val="2"/>
                <w:sz w:val="24"/>
                <w:szCs w:val="24"/>
                <w:highlight w:val="none"/>
                <w:lang w:val="en-US" w:eastAsia="zh-CN" w:bidi="ar-SA"/>
              </w:rPr>
              <w:t>；</w:t>
            </w:r>
            <w:r>
              <w:rPr>
                <w:rFonts w:hint="default" w:ascii="Times New Roman" w:hAnsi="Times New Roman" w:eastAsia="宋体" w:cs="Times New Roman"/>
                <w:color w:val="auto"/>
                <w:kern w:val="2"/>
                <w:sz w:val="24"/>
                <w:szCs w:val="24"/>
                <w:highlight w:val="none"/>
                <w:lang w:val="en-US" w:eastAsia="zh-CN" w:bidi="ar-SA"/>
              </w:rPr>
              <w:t>梁惠龙</w:t>
            </w:r>
            <w:r>
              <w:rPr>
                <w:rFonts w:hint="default" w:ascii="Times New Roman" w:hAnsi="Times New Roman" w:cs="Times New Roman"/>
                <w:color w:val="auto"/>
                <w:kern w:val="2"/>
                <w:sz w:val="24"/>
                <w:szCs w:val="24"/>
                <w:highlight w:val="none"/>
                <w:lang w:val="en-US" w:eastAsia="zh-CN" w:bidi="ar-SA"/>
              </w:rPr>
              <w:t>；</w:t>
            </w:r>
            <w:r>
              <w:rPr>
                <w:rFonts w:hint="default" w:ascii="Times New Roman" w:hAnsi="Times New Roman" w:eastAsia="宋体" w:cs="Times New Roman"/>
                <w:color w:val="auto"/>
                <w:kern w:val="2"/>
                <w:sz w:val="24"/>
                <w:szCs w:val="24"/>
                <w:highlight w:val="none"/>
                <w:lang w:val="en-US" w:eastAsia="zh-CN" w:bidi="ar-SA"/>
              </w:rPr>
              <w:t>曾丹丹)，惠州暴雨次数按12.2次/年计，则全年收集的初期雨水</w:t>
            </w:r>
            <w:r>
              <w:rPr>
                <w:rFonts w:hint="default" w:ascii="Times New Roman" w:hAnsi="Times New Roman" w:cs="Times New Roman"/>
                <w:color w:val="auto"/>
                <w:kern w:val="2"/>
                <w:sz w:val="24"/>
                <w:szCs w:val="24"/>
                <w:highlight w:val="none"/>
                <w:lang w:val="en-US" w:eastAsia="zh-CN" w:bidi="ar-SA"/>
              </w:rPr>
              <w:t>12130.85m</w:t>
            </w:r>
            <w:r>
              <w:rPr>
                <w:rFonts w:hint="default" w:ascii="Times New Roman" w:hAnsi="Times New Roman" w:cs="Times New Roman"/>
                <w:color w:val="auto"/>
                <w:kern w:val="2"/>
                <w:sz w:val="24"/>
                <w:szCs w:val="24"/>
                <w:highlight w:val="none"/>
                <w:vertAlign w:val="superscript"/>
                <w:lang w:val="en-US" w:eastAsia="zh-CN" w:bidi="ar-SA"/>
              </w:rPr>
              <w:t>3</w:t>
            </w:r>
            <w:r>
              <w:rPr>
                <w:rFonts w:hint="default" w:ascii="Times New Roman" w:hAnsi="Times New Roman" w:eastAsia="宋体" w:cs="Times New Roman"/>
                <w:color w:val="auto"/>
                <w:kern w:val="2"/>
                <w:sz w:val="24"/>
                <w:szCs w:val="24"/>
                <w:highlight w:val="none"/>
                <w:lang w:val="en-US" w:eastAsia="zh-CN" w:bidi="ar-SA"/>
              </w:rPr>
              <w:t>/a</w:t>
            </w:r>
            <w:r>
              <w:rPr>
                <w:rFonts w:hint="default" w:ascii="Times New Roman" w:hAnsi="Times New Roman" w:cs="Times New Roman"/>
                <w:color w:val="auto"/>
                <w:kern w:val="2"/>
                <w:sz w:val="24"/>
                <w:szCs w:val="24"/>
                <w:highlight w:val="none"/>
                <w:lang w:val="en-US" w:eastAsia="zh-CN" w:bidi="ar-SA"/>
              </w:rPr>
              <w:t>；</w:t>
            </w:r>
            <w:r>
              <w:rPr>
                <w:rFonts w:hint="default" w:ascii="Times New Roman" w:hAnsi="Times New Roman" w:eastAsia="宋体" w:cs="Times New Roman"/>
                <w:color w:val="auto"/>
                <w:kern w:val="2"/>
                <w:sz w:val="24"/>
                <w:szCs w:val="24"/>
                <w:highlight w:val="none"/>
                <w:lang w:val="en-US" w:eastAsia="zh-CN" w:bidi="ar-SA"/>
              </w:rPr>
              <w:t>根据惠州市近年降水统计</w:t>
            </w:r>
            <w:r>
              <w:rPr>
                <w:rFonts w:hint="default" w:ascii="Times New Roman" w:hAnsi="Times New Roman" w:cs="Times New Roman"/>
                <w:color w:val="auto"/>
                <w:kern w:val="2"/>
                <w:sz w:val="24"/>
                <w:szCs w:val="24"/>
                <w:highlight w:val="none"/>
                <w:lang w:val="en-US" w:eastAsia="zh-CN" w:bidi="ar-SA"/>
              </w:rPr>
              <w:t>，相关链接为：</w:t>
            </w:r>
            <w:r>
              <w:rPr>
                <w:rFonts w:hint="default" w:ascii="Times New Roman" w:hAnsi="Times New Roman" w:eastAsia="宋体" w:cs="Times New Roman"/>
                <w:color w:val="auto"/>
                <w:kern w:val="2"/>
                <w:sz w:val="24"/>
                <w:szCs w:val="24"/>
                <w:highlight w:val="none"/>
                <w:lang w:val="en-US" w:eastAsia="zh-CN" w:bidi="ar-SA"/>
              </w:rPr>
              <w:t>https://www.qweather.com/historical/huizhou-101280301.html，</w:t>
            </w:r>
            <w:r>
              <w:rPr>
                <w:rFonts w:hint="default" w:ascii="Times New Roman" w:hAnsi="Times New Roman" w:cs="Times New Roman"/>
                <w:color w:val="auto"/>
                <w:kern w:val="2"/>
                <w:sz w:val="24"/>
                <w:szCs w:val="24"/>
                <w:highlight w:val="none"/>
                <w:lang w:val="en-US" w:eastAsia="zh-CN" w:bidi="ar-SA"/>
              </w:rPr>
              <w:t>惠州市2024年降雨136天。</w:t>
            </w:r>
            <w:r>
              <w:rPr>
                <w:rFonts w:hint="default" w:ascii="Times New Roman" w:hAnsi="Times New Roman" w:eastAsia="宋体" w:cs="Times New Roman"/>
                <w:color w:val="auto"/>
                <w:kern w:val="2"/>
                <w:sz w:val="24"/>
                <w:szCs w:val="24"/>
                <w:highlight w:val="none"/>
                <w:lang w:val="en-US" w:eastAsia="zh-CN" w:bidi="ar-SA"/>
              </w:rPr>
              <w:t>则降雨期日均初期雨水为89.197t/d（12130.85t/a）。初期雨水经过</w:t>
            </w:r>
            <w:r>
              <w:rPr>
                <w:rFonts w:hint="eastAsia" w:ascii="Times New Roman" w:cs="Times New Roman"/>
                <w:color w:val="auto"/>
                <w:kern w:val="2"/>
                <w:sz w:val="24"/>
                <w:szCs w:val="24"/>
                <w:highlight w:val="none"/>
                <w:lang w:val="en-US" w:eastAsia="zh-CN" w:bidi="ar-SA"/>
              </w:rPr>
              <w:t>初期雨水池</w:t>
            </w:r>
            <w:r>
              <w:rPr>
                <w:rFonts w:hint="default" w:ascii="Times New Roman" w:hAnsi="Times New Roman" w:eastAsia="宋体" w:cs="Times New Roman"/>
                <w:color w:val="auto"/>
                <w:kern w:val="2"/>
                <w:sz w:val="24"/>
                <w:szCs w:val="24"/>
                <w:highlight w:val="none"/>
                <w:lang w:val="en-US" w:eastAsia="zh-CN" w:bidi="ar-SA"/>
              </w:rPr>
              <w:t>滞流沉淀后</w:t>
            </w:r>
            <w:r>
              <w:rPr>
                <w:rFonts w:hint="default" w:ascii="Times New Roman" w:hAnsi="Times New Roman" w:cs="Times New Roman"/>
                <w:color w:val="auto"/>
                <w:kern w:val="2"/>
                <w:sz w:val="24"/>
                <w:szCs w:val="24"/>
                <w:highlight w:val="none"/>
                <w:lang w:val="en-US" w:eastAsia="zh-CN" w:bidi="ar-SA"/>
              </w:rPr>
              <w:t>回</w:t>
            </w:r>
            <w:r>
              <w:rPr>
                <w:rFonts w:hint="default" w:ascii="Times New Roman" w:hAnsi="Times New Roman" w:eastAsia="宋体" w:cs="Times New Roman"/>
                <w:color w:val="auto"/>
                <w:kern w:val="2"/>
                <w:sz w:val="24"/>
                <w:szCs w:val="24"/>
                <w:highlight w:val="none"/>
                <w:lang w:val="en-US" w:eastAsia="zh-CN" w:bidi="ar-SA"/>
              </w:rPr>
              <w:t>用于</w:t>
            </w:r>
            <w:r>
              <w:rPr>
                <w:rFonts w:hint="default" w:ascii="Times New Roman" w:hAnsi="Times New Roman" w:cs="Times New Roman"/>
                <w:color w:val="auto"/>
                <w:kern w:val="2"/>
                <w:sz w:val="24"/>
                <w:szCs w:val="24"/>
                <w:highlight w:val="none"/>
                <w:lang w:val="en-US" w:eastAsia="zh-CN" w:bidi="ar-SA"/>
              </w:rPr>
              <w:t>养护用水</w:t>
            </w:r>
            <w:r>
              <w:rPr>
                <w:rFonts w:hint="default" w:ascii="Times New Roman" w:hAnsi="Times New Roman" w:eastAsia="宋体" w:cs="Times New Roman"/>
                <w:color w:val="auto"/>
                <w:kern w:val="2"/>
                <w:sz w:val="24"/>
                <w:szCs w:val="24"/>
                <w:highlight w:val="none"/>
                <w:lang w:val="en-US" w:eastAsia="zh-CN" w:bidi="ar-SA"/>
              </w:rPr>
              <w:t>，不外排。</w:t>
            </w:r>
          </w:p>
          <w:p w14:paraId="5CB1DC47">
            <w:pPr>
              <w:pStyle w:val="61"/>
              <w:keepNext w:val="0"/>
              <w:keepLines w:val="0"/>
              <w:pageBreakBefore w:val="0"/>
              <w:widowControl w:val="0"/>
              <w:kinsoku/>
              <w:wordWrap/>
              <w:overflowPunct/>
              <w:topLinePunct w:val="0"/>
              <w:autoSpaceDE/>
              <w:autoSpaceDN/>
              <w:bidi w:val="0"/>
              <w:adjustRightInd w:val="0"/>
              <w:snapToGrid w:val="0"/>
              <w:spacing w:before="0" w:line="240" w:lineRule="auto"/>
              <w:ind w:left="0" w:right="0" w:firstLine="0"/>
              <w:jc w:val="center"/>
              <w:textAlignment w:val="auto"/>
              <w:rPr>
                <w:rFonts w:hint="default" w:ascii="Times New Roman" w:hAnsi="Times New Roman" w:eastAsia="宋体" w:cs="Times New Roman"/>
                <w:b/>
                <w:color w:val="auto"/>
                <w:szCs w:val="21"/>
                <w:highlight w:val="none"/>
                <w:lang w:val="en-US" w:eastAsia="zh-CN"/>
              </w:rPr>
            </w:pPr>
            <w:r>
              <w:rPr>
                <w:rFonts w:hint="default" w:ascii="Times New Roman" w:hAnsi="Times New Roman" w:cs="Times New Roman"/>
                <w:b/>
                <w:color w:val="auto"/>
                <w:szCs w:val="21"/>
                <w:highlight w:val="none"/>
              </w:rPr>
              <w:t>表</w:t>
            </w:r>
            <w:r>
              <w:rPr>
                <w:rFonts w:hint="default" w:ascii="Times New Roman" w:hAnsi="Times New Roman" w:cs="Times New Roman"/>
                <w:b/>
                <w:color w:val="auto"/>
                <w:szCs w:val="21"/>
                <w:highlight w:val="none"/>
                <w:lang w:val="en-US" w:eastAsia="zh-CN"/>
              </w:rPr>
              <w:t xml:space="preserve">2-13 </w:t>
            </w:r>
            <w:r>
              <w:rPr>
                <w:rFonts w:hint="default" w:ascii="Times New Roman" w:hAnsi="Times New Roman" w:cs="Times New Roman"/>
                <w:b/>
                <w:color w:val="auto"/>
                <w:szCs w:val="21"/>
                <w:highlight w:val="none"/>
              </w:rPr>
              <w:t>项目</w:t>
            </w:r>
            <w:r>
              <w:rPr>
                <w:rFonts w:hint="default" w:ascii="Times New Roman" w:hAnsi="Times New Roman" w:cs="Times New Roman"/>
                <w:b/>
                <w:color w:val="auto"/>
                <w:szCs w:val="21"/>
                <w:highlight w:val="none"/>
                <w:lang w:val="en-US" w:eastAsia="zh-CN"/>
              </w:rPr>
              <w:t>非降雨期水平衡一览表  单位：t/d</w:t>
            </w:r>
          </w:p>
          <w:tbl>
            <w:tblPr>
              <w:tblStyle w:val="35"/>
              <w:tblW w:w="9076" w:type="dxa"/>
              <w:tblInd w:w="-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76"/>
              <w:gridCol w:w="1154"/>
              <w:gridCol w:w="945"/>
              <w:gridCol w:w="1155"/>
              <w:gridCol w:w="870"/>
              <w:gridCol w:w="2176"/>
            </w:tblGrid>
            <w:tr w14:paraId="3FA71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2776" w:type="dxa"/>
                  <w:noWrap w:val="0"/>
                  <w:vAlign w:val="center"/>
                </w:tcPr>
                <w:p w14:paraId="703D52D4">
                  <w:pPr>
                    <w:pStyle w:val="61"/>
                    <w:keepNext w:val="0"/>
                    <w:keepLines w:val="0"/>
                    <w:pageBreakBefore w:val="0"/>
                    <w:widowControl w:val="0"/>
                    <w:kinsoku/>
                    <w:wordWrap/>
                    <w:overflowPunct/>
                    <w:topLinePunct w:val="0"/>
                    <w:autoSpaceDE/>
                    <w:autoSpaceDN/>
                    <w:bidi w:val="0"/>
                    <w:adjustRightInd w:val="0"/>
                    <w:snapToGrid w:val="0"/>
                    <w:spacing w:before="0" w:line="240" w:lineRule="auto"/>
                    <w:ind w:left="0" w:right="0"/>
                    <w:jc w:val="center"/>
                    <w:textAlignment w:val="auto"/>
                    <w:rPr>
                      <w:rFonts w:hint="default" w:ascii="Times New Roman" w:hAnsi="Times New Roman" w:cs="Times New Roman"/>
                      <w:b/>
                      <w:color w:val="auto"/>
                      <w:sz w:val="21"/>
                      <w:szCs w:val="21"/>
                      <w:highlight w:val="none"/>
                      <w:vertAlign w:val="baseline"/>
                      <w:lang w:val="en-US" w:eastAsia="zh-CN"/>
                    </w:rPr>
                  </w:pPr>
                  <w:r>
                    <w:rPr>
                      <w:rFonts w:hint="default" w:ascii="Times New Roman" w:hAnsi="Times New Roman" w:cs="Times New Roman"/>
                      <w:b/>
                      <w:color w:val="auto"/>
                      <w:sz w:val="21"/>
                      <w:szCs w:val="21"/>
                      <w:highlight w:val="none"/>
                      <w:vertAlign w:val="baseline"/>
                      <w:lang w:val="en-US" w:eastAsia="zh-CN"/>
                    </w:rPr>
                    <w:t>项目</w:t>
                  </w:r>
                </w:p>
              </w:tc>
              <w:tc>
                <w:tcPr>
                  <w:tcW w:w="1154" w:type="dxa"/>
                  <w:noWrap w:val="0"/>
                  <w:vAlign w:val="center"/>
                </w:tcPr>
                <w:p w14:paraId="6D0654E3">
                  <w:pPr>
                    <w:keepNext w:val="0"/>
                    <w:keepLines w:val="0"/>
                    <w:pageBreakBefore w:val="0"/>
                    <w:widowControl/>
                    <w:kinsoku/>
                    <w:wordWrap/>
                    <w:overflowPunct/>
                    <w:topLinePunct w:val="0"/>
                    <w:bidi w:val="0"/>
                    <w:adjustRightInd w:val="0"/>
                    <w:snapToGrid w:val="0"/>
                    <w:jc w:val="center"/>
                    <w:rPr>
                      <w:rFonts w:hint="default" w:ascii="Times New Roman" w:hAnsi="Times New Roman" w:cs="Times New Roman"/>
                      <w:b/>
                      <w:color w:val="auto"/>
                      <w:sz w:val="21"/>
                      <w:szCs w:val="21"/>
                      <w:highlight w:val="none"/>
                      <w:vertAlign w:val="baseline"/>
                      <w:lang w:val="en-US" w:eastAsia="zh-CN"/>
                    </w:rPr>
                  </w:pPr>
                  <w:r>
                    <w:rPr>
                      <w:rFonts w:hint="default" w:ascii="Times New Roman" w:hAnsi="Times New Roman" w:eastAsia="宋体" w:cs="Times New Roman"/>
                      <w:b/>
                      <w:color w:val="auto"/>
                      <w:szCs w:val="21"/>
                      <w:highlight w:val="none"/>
                      <w:lang w:val="en-US" w:eastAsia="zh-CN"/>
                    </w:rPr>
                    <w:t>新鲜</w:t>
                  </w:r>
                  <w:r>
                    <w:rPr>
                      <w:rFonts w:hint="default" w:ascii="Times New Roman" w:hAnsi="Times New Roman" w:cs="Times New Roman"/>
                      <w:b/>
                      <w:color w:val="auto"/>
                      <w:sz w:val="21"/>
                      <w:szCs w:val="21"/>
                      <w:highlight w:val="none"/>
                      <w:vertAlign w:val="baseline"/>
                      <w:lang w:val="en-US" w:eastAsia="zh-CN"/>
                    </w:rPr>
                    <w:t>用水</w:t>
                  </w:r>
                </w:p>
              </w:tc>
              <w:tc>
                <w:tcPr>
                  <w:tcW w:w="945" w:type="dxa"/>
                  <w:noWrap w:val="0"/>
                  <w:vAlign w:val="center"/>
                </w:tcPr>
                <w:p w14:paraId="2CF82082">
                  <w:pPr>
                    <w:pStyle w:val="61"/>
                    <w:keepNext w:val="0"/>
                    <w:keepLines w:val="0"/>
                    <w:pageBreakBefore w:val="0"/>
                    <w:widowControl w:val="0"/>
                    <w:kinsoku/>
                    <w:wordWrap/>
                    <w:overflowPunct/>
                    <w:topLinePunct w:val="0"/>
                    <w:autoSpaceDE/>
                    <w:autoSpaceDN/>
                    <w:bidi w:val="0"/>
                    <w:adjustRightInd w:val="0"/>
                    <w:snapToGrid w:val="0"/>
                    <w:spacing w:before="0" w:line="240" w:lineRule="auto"/>
                    <w:ind w:left="0" w:right="0"/>
                    <w:jc w:val="center"/>
                    <w:textAlignment w:val="auto"/>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回用水</w:t>
                  </w:r>
                </w:p>
              </w:tc>
              <w:tc>
                <w:tcPr>
                  <w:tcW w:w="1155" w:type="dxa"/>
                  <w:noWrap w:val="0"/>
                  <w:vAlign w:val="center"/>
                </w:tcPr>
                <w:p w14:paraId="3574F632">
                  <w:pPr>
                    <w:pStyle w:val="61"/>
                    <w:keepNext w:val="0"/>
                    <w:keepLines w:val="0"/>
                    <w:pageBreakBefore w:val="0"/>
                    <w:widowControl w:val="0"/>
                    <w:kinsoku/>
                    <w:wordWrap/>
                    <w:overflowPunct/>
                    <w:topLinePunct w:val="0"/>
                    <w:autoSpaceDE/>
                    <w:autoSpaceDN/>
                    <w:bidi w:val="0"/>
                    <w:adjustRightInd w:val="0"/>
                    <w:snapToGrid w:val="0"/>
                    <w:spacing w:before="0" w:line="240" w:lineRule="auto"/>
                    <w:ind w:left="0" w:right="0"/>
                    <w:jc w:val="center"/>
                    <w:textAlignment w:val="auto"/>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损耗/消耗</w:t>
                  </w:r>
                </w:p>
              </w:tc>
              <w:tc>
                <w:tcPr>
                  <w:tcW w:w="870" w:type="dxa"/>
                  <w:noWrap w:val="0"/>
                  <w:vAlign w:val="center"/>
                </w:tcPr>
                <w:p w14:paraId="7A07CBB1">
                  <w:pPr>
                    <w:pStyle w:val="61"/>
                    <w:keepNext w:val="0"/>
                    <w:keepLines w:val="0"/>
                    <w:pageBreakBefore w:val="0"/>
                    <w:widowControl w:val="0"/>
                    <w:kinsoku/>
                    <w:wordWrap/>
                    <w:overflowPunct/>
                    <w:topLinePunct w:val="0"/>
                    <w:autoSpaceDE/>
                    <w:autoSpaceDN/>
                    <w:bidi w:val="0"/>
                    <w:adjustRightInd w:val="0"/>
                    <w:snapToGrid w:val="0"/>
                    <w:spacing w:before="0" w:line="240" w:lineRule="auto"/>
                    <w:ind w:left="0" w:right="0"/>
                    <w:jc w:val="center"/>
                    <w:textAlignment w:val="auto"/>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废水</w:t>
                  </w:r>
                </w:p>
              </w:tc>
              <w:tc>
                <w:tcPr>
                  <w:tcW w:w="2176" w:type="dxa"/>
                  <w:noWrap w:val="0"/>
                  <w:vAlign w:val="center"/>
                </w:tcPr>
                <w:p w14:paraId="4337B2D8">
                  <w:pPr>
                    <w:pStyle w:val="61"/>
                    <w:keepNext w:val="0"/>
                    <w:keepLines w:val="0"/>
                    <w:pageBreakBefore w:val="0"/>
                    <w:widowControl w:val="0"/>
                    <w:kinsoku/>
                    <w:wordWrap/>
                    <w:overflowPunct/>
                    <w:topLinePunct w:val="0"/>
                    <w:autoSpaceDE/>
                    <w:autoSpaceDN/>
                    <w:bidi w:val="0"/>
                    <w:adjustRightInd w:val="0"/>
                    <w:snapToGrid w:val="0"/>
                    <w:spacing w:before="0" w:line="240" w:lineRule="auto"/>
                    <w:ind w:left="0" w:right="0"/>
                    <w:jc w:val="center"/>
                    <w:textAlignment w:val="auto"/>
                    <w:rPr>
                      <w:rFonts w:hint="default" w:ascii="Times New Roman" w:hAnsi="Times New Roman" w:cs="Times New Roman"/>
                      <w:b/>
                      <w:color w:val="auto"/>
                      <w:sz w:val="21"/>
                      <w:szCs w:val="21"/>
                      <w:highlight w:val="none"/>
                      <w:vertAlign w:val="baseline"/>
                      <w:lang w:val="en-US" w:eastAsia="zh-CN"/>
                    </w:rPr>
                  </w:pPr>
                  <w:r>
                    <w:rPr>
                      <w:rFonts w:hint="default" w:ascii="Times New Roman" w:hAnsi="Times New Roman" w:cs="Times New Roman"/>
                      <w:b/>
                      <w:color w:val="auto"/>
                      <w:sz w:val="21"/>
                      <w:szCs w:val="21"/>
                      <w:highlight w:val="none"/>
                      <w:vertAlign w:val="baseline"/>
                      <w:lang w:val="en-US" w:eastAsia="zh-CN"/>
                    </w:rPr>
                    <w:t>去向</w:t>
                  </w:r>
                </w:p>
              </w:tc>
            </w:tr>
            <w:tr w14:paraId="64B64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2776" w:type="dxa"/>
                  <w:noWrap w:val="0"/>
                  <w:vAlign w:val="center"/>
                </w:tcPr>
                <w:p w14:paraId="7FA96486">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cs="Times New Roman"/>
                      <w:b/>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原料调配用水给排水</w:t>
                  </w:r>
                </w:p>
              </w:tc>
              <w:tc>
                <w:tcPr>
                  <w:tcW w:w="1154" w:type="dxa"/>
                  <w:noWrap w:val="0"/>
                  <w:vAlign w:val="center"/>
                </w:tcPr>
                <w:p w14:paraId="06C1B16F">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76.053</w:t>
                  </w:r>
                </w:p>
              </w:tc>
              <w:tc>
                <w:tcPr>
                  <w:tcW w:w="945" w:type="dxa"/>
                  <w:noWrap w:val="0"/>
                  <w:vAlign w:val="center"/>
                </w:tcPr>
                <w:p w14:paraId="10327A63">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7.28</w:t>
                  </w:r>
                </w:p>
              </w:tc>
              <w:tc>
                <w:tcPr>
                  <w:tcW w:w="1155" w:type="dxa"/>
                  <w:noWrap w:val="0"/>
                  <w:vAlign w:val="center"/>
                </w:tcPr>
                <w:p w14:paraId="12510C15">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83.333</w:t>
                  </w:r>
                </w:p>
              </w:tc>
              <w:tc>
                <w:tcPr>
                  <w:tcW w:w="870" w:type="dxa"/>
                  <w:noWrap w:val="0"/>
                  <w:vAlign w:val="center"/>
                </w:tcPr>
                <w:p w14:paraId="7D9E890E">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2176" w:type="dxa"/>
                  <w:noWrap w:val="0"/>
                  <w:vAlign w:val="center"/>
                </w:tcPr>
                <w:p w14:paraId="1B905A32">
                  <w:pPr>
                    <w:pStyle w:val="61"/>
                    <w:keepNext w:val="0"/>
                    <w:keepLines w:val="0"/>
                    <w:pageBreakBefore w:val="0"/>
                    <w:widowControl w:val="0"/>
                    <w:kinsoku/>
                    <w:wordWrap/>
                    <w:overflowPunct/>
                    <w:topLinePunct w:val="0"/>
                    <w:autoSpaceDE/>
                    <w:autoSpaceDN/>
                    <w:bidi w:val="0"/>
                    <w:adjustRightInd w:val="0"/>
                    <w:snapToGrid w:val="0"/>
                    <w:spacing w:before="0" w:line="240" w:lineRule="auto"/>
                    <w:ind w:left="0" w:right="0"/>
                    <w:jc w:val="center"/>
                    <w:textAlignment w:val="auto"/>
                    <w:rPr>
                      <w:rFonts w:hint="default" w:ascii="Times New Roman" w:hAnsi="Times New Roman" w:cs="Times New Roman"/>
                      <w:b/>
                      <w:color w:val="auto"/>
                      <w:sz w:val="21"/>
                      <w:szCs w:val="21"/>
                      <w:highlight w:val="none"/>
                      <w:vertAlign w:val="baseline"/>
                      <w:lang w:val="en-US" w:eastAsia="zh-CN"/>
                    </w:rPr>
                  </w:pPr>
                  <w:r>
                    <w:rPr>
                      <w:rFonts w:hint="default" w:ascii="Times New Roman" w:hAnsi="Times New Roman" w:cs="Times New Roman"/>
                      <w:b w:val="0"/>
                      <w:bCs/>
                      <w:color w:val="auto"/>
                      <w:sz w:val="21"/>
                      <w:szCs w:val="21"/>
                      <w:highlight w:val="none"/>
                      <w:vertAlign w:val="baseline"/>
                      <w:lang w:val="en-US" w:eastAsia="zh-CN"/>
                    </w:rPr>
                    <w:t>进入原料</w:t>
                  </w:r>
                </w:p>
              </w:tc>
            </w:tr>
            <w:tr w14:paraId="13425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2776" w:type="dxa"/>
                  <w:noWrap w:val="0"/>
                  <w:vAlign w:val="center"/>
                </w:tcPr>
                <w:p w14:paraId="57F9ED88">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cs="Times New Roman"/>
                      <w:b/>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搅拌机清洗用水给排水</w:t>
                  </w:r>
                </w:p>
              </w:tc>
              <w:tc>
                <w:tcPr>
                  <w:tcW w:w="1154" w:type="dxa"/>
                  <w:noWrap w:val="0"/>
                  <w:vAlign w:val="center"/>
                </w:tcPr>
                <w:p w14:paraId="0DD0F801">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w:t>
                  </w:r>
                </w:p>
              </w:tc>
              <w:tc>
                <w:tcPr>
                  <w:tcW w:w="945" w:type="dxa"/>
                  <w:noWrap w:val="0"/>
                  <w:vAlign w:val="center"/>
                </w:tcPr>
                <w:p w14:paraId="02A7F2E4">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155" w:type="dxa"/>
                  <w:noWrap w:val="0"/>
                  <w:vAlign w:val="center"/>
                </w:tcPr>
                <w:p w14:paraId="2C56A663">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0.4</w:t>
                  </w:r>
                </w:p>
              </w:tc>
              <w:tc>
                <w:tcPr>
                  <w:tcW w:w="870" w:type="dxa"/>
                  <w:noWrap w:val="0"/>
                  <w:vAlign w:val="center"/>
                </w:tcPr>
                <w:p w14:paraId="567EF36F">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3.6</w:t>
                  </w:r>
                </w:p>
              </w:tc>
              <w:tc>
                <w:tcPr>
                  <w:tcW w:w="2176" w:type="dxa"/>
                  <w:vMerge w:val="restart"/>
                  <w:noWrap w:val="0"/>
                  <w:vAlign w:val="center"/>
                </w:tcPr>
                <w:p w14:paraId="38CDCDF2">
                  <w:pPr>
                    <w:pStyle w:val="61"/>
                    <w:keepNext w:val="0"/>
                    <w:keepLines w:val="0"/>
                    <w:pageBreakBefore w:val="0"/>
                    <w:widowControl w:val="0"/>
                    <w:kinsoku/>
                    <w:wordWrap/>
                    <w:overflowPunct/>
                    <w:topLinePunct w:val="0"/>
                    <w:autoSpaceDE/>
                    <w:autoSpaceDN/>
                    <w:bidi w:val="0"/>
                    <w:adjustRightInd w:val="0"/>
                    <w:snapToGrid w:val="0"/>
                    <w:spacing w:before="0" w:line="240" w:lineRule="auto"/>
                    <w:ind w:left="0" w:right="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三级沉淀后回用于原料调配用水</w:t>
                  </w:r>
                </w:p>
              </w:tc>
            </w:tr>
            <w:tr w14:paraId="3F20C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2776" w:type="dxa"/>
                  <w:noWrap w:val="0"/>
                  <w:vAlign w:val="center"/>
                </w:tcPr>
                <w:p w14:paraId="1928A1FA">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cs="Times New Roman"/>
                      <w:b/>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运输原材料车辆</w:t>
                  </w:r>
                  <w:r>
                    <w:rPr>
                      <w:rFonts w:hint="default" w:ascii="Times New Roman" w:hAnsi="Times New Roman" w:cs="Times New Roman"/>
                      <w:color w:val="auto"/>
                      <w:sz w:val="21"/>
                      <w:szCs w:val="21"/>
                      <w:highlight w:val="none"/>
                      <w:lang w:val="en-US" w:eastAsia="zh-CN"/>
                    </w:rPr>
                    <w:t>清</w:t>
                  </w:r>
                  <w:r>
                    <w:rPr>
                      <w:rFonts w:hint="default" w:ascii="Times New Roman" w:hAnsi="Times New Roman" w:eastAsia="宋体" w:cs="Times New Roman"/>
                      <w:i w:val="0"/>
                      <w:iCs w:val="0"/>
                      <w:color w:val="auto"/>
                      <w:kern w:val="0"/>
                      <w:sz w:val="21"/>
                      <w:szCs w:val="21"/>
                      <w:highlight w:val="none"/>
                      <w:u w:val="none"/>
                      <w:lang w:val="en-US" w:eastAsia="zh-CN" w:bidi="ar"/>
                    </w:rPr>
                    <w:t>洗用水给排水</w:t>
                  </w:r>
                </w:p>
              </w:tc>
              <w:tc>
                <w:tcPr>
                  <w:tcW w:w="1154" w:type="dxa"/>
                  <w:noWrap w:val="0"/>
                  <w:vAlign w:val="center"/>
                </w:tcPr>
                <w:p w14:paraId="074CC896">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1.393</w:t>
                  </w:r>
                </w:p>
              </w:tc>
              <w:tc>
                <w:tcPr>
                  <w:tcW w:w="945" w:type="dxa"/>
                  <w:noWrap w:val="0"/>
                  <w:vAlign w:val="center"/>
                </w:tcPr>
                <w:p w14:paraId="47EEB1AF">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155" w:type="dxa"/>
                  <w:noWrap w:val="0"/>
                  <w:vAlign w:val="center"/>
                </w:tcPr>
                <w:p w14:paraId="44484229">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0.139 </w:t>
                  </w:r>
                </w:p>
              </w:tc>
              <w:tc>
                <w:tcPr>
                  <w:tcW w:w="870" w:type="dxa"/>
                  <w:noWrap w:val="0"/>
                  <w:vAlign w:val="center"/>
                </w:tcPr>
                <w:p w14:paraId="432476C8">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1.254 </w:t>
                  </w:r>
                </w:p>
              </w:tc>
              <w:tc>
                <w:tcPr>
                  <w:tcW w:w="2176" w:type="dxa"/>
                  <w:vMerge w:val="continue"/>
                  <w:noWrap w:val="0"/>
                  <w:vAlign w:val="center"/>
                </w:tcPr>
                <w:p w14:paraId="1D999E95">
                  <w:pPr>
                    <w:pStyle w:val="61"/>
                    <w:keepNext w:val="0"/>
                    <w:keepLines w:val="0"/>
                    <w:pageBreakBefore w:val="0"/>
                    <w:widowControl w:val="0"/>
                    <w:kinsoku/>
                    <w:wordWrap/>
                    <w:overflowPunct/>
                    <w:topLinePunct w:val="0"/>
                    <w:autoSpaceDE/>
                    <w:autoSpaceDN/>
                    <w:bidi w:val="0"/>
                    <w:adjustRightInd w:val="0"/>
                    <w:snapToGrid w:val="0"/>
                    <w:spacing w:before="0" w:line="240" w:lineRule="auto"/>
                    <w:ind w:left="0" w:right="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r>
            <w:tr w14:paraId="56428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2776" w:type="dxa"/>
                  <w:noWrap w:val="0"/>
                  <w:vAlign w:val="center"/>
                </w:tcPr>
                <w:p w14:paraId="4D5ABFA8">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搅拌区地面</w:t>
                  </w:r>
                  <w:r>
                    <w:rPr>
                      <w:rFonts w:hint="default" w:ascii="Times New Roman" w:hAnsi="Times New Roman" w:cs="Times New Roman"/>
                      <w:color w:val="auto"/>
                      <w:sz w:val="21"/>
                      <w:szCs w:val="21"/>
                      <w:highlight w:val="none"/>
                      <w:lang w:val="en-US" w:eastAsia="zh-CN"/>
                    </w:rPr>
                    <w:t>清</w:t>
                  </w:r>
                  <w:r>
                    <w:rPr>
                      <w:rFonts w:hint="default" w:ascii="Times New Roman" w:hAnsi="Times New Roman" w:eastAsia="宋体" w:cs="Times New Roman"/>
                      <w:i w:val="0"/>
                      <w:iCs w:val="0"/>
                      <w:color w:val="auto"/>
                      <w:kern w:val="0"/>
                      <w:sz w:val="21"/>
                      <w:szCs w:val="21"/>
                      <w:highlight w:val="none"/>
                      <w:u w:val="none"/>
                      <w:lang w:val="en-US" w:eastAsia="zh-CN" w:bidi="ar"/>
                    </w:rPr>
                    <w:t>洗用水给排水</w:t>
                  </w:r>
                </w:p>
              </w:tc>
              <w:tc>
                <w:tcPr>
                  <w:tcW w:w="1154" w:type="dxa"/>
                  <w:noWrap w:val="0"/>
                  <w:vAlign w:val="center"/>
                </w:tcPr>
                <w:p w14:paraId="28065C65">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1.8</w:t>
                  </w:r>
                </w:p>
              </w:tc>
              <w:tc>
                <w:tcPr>
                  <w:tcW w:w="945" w:type="dxa"/>
                  <w:noWrap w:val="0"/>
                  <w:vAlign w:val="center"/>
                </w:tcPr>
                <w:p w14:paraId="11CBD159">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155" w:type="dxa"/>
                  <w:noWrap w:val="0"/>
                  <w:vAlign w:val="center"/>
                </w:tcPr>
                <w:p w14:paraId="57F0D506">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0.18</w:t>
                  </w:r>
                </w:p>
              </w:tc>
              <w:tc>
                <w:tcPr>
                  <w:tcW w:w="870" w:type="dxa"/>
                  <w:noWrap w:val="0"/>
                  <w:vAlign w:val="center"/>
                </w:tcPr>
                <w:p w14:paraId="2AE8C093">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1.62</w:t>
                  </w:r>
                </w:p>
              </w:tc>
              <w:tc>
                <w:tcPr>
                  <w:tcW w:w="2176" w:type="dxa"/>
                  <w:vMerge w:val="continue"/>
                  <w:noWrap w:val="0"/>
                  <w:vAlign w:val="center"/>
                </w:tcPr>
                <w:p w14:paraId="632947A6">
                  <w:pPr>
                    <w:pStyle w:val="61"/>
                    <w:keepNext w:val="0"/>
                    <w:keepLines w:val="0"/>
                    <w:pageBreakBefore w:val="0"/>
                    <w:widowControl w:val="0"/>
                    <w:kinsoku/>
                    <w:wordWrap/>
                    <w:overflowPunct/>
                    <w:topLinePunct w:val="0"/>
                    <w:autoSpaceDE/>
                    <w:autoSpaceDN/>
                    <w:bidi w:val="0"/>
                    <w:adjustRightInd w:val="0"/>
                    <w:snapToGrid w:val="0"/>
                    <w:spacing w:before="0" w:line="240" w:lineRule="auto"/>
                    <w:ind w:left="0" w:right="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r>
            <w:tr w14:paraId="77547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2776" w:type="dxa"/>
                  <w:noWrap w:val="0"/>
                  <w:vAlign w:val="center"/>
                </w:tcPr>
                <w:p w14:paraId="4A9D5B43">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锅炉给排水</w:t>
                  </w:r>
                </w:p>
              </w:tc>
              <w:tc>
                <w:tcPr>
                  <w:tcW w:w="1154" w:type="dxa"/>
                  <w:noWrap w:val="0"/>
                  <w:vAlign w:val="center"/>
                </w:tcPr>
                <w:p w14:paraId="23771540">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9.023</w:t>
                  </w:r>
                </w:p>
              </w:tc>
              <w:tc>
                <w:tcPr>
                  <w:tcW w:w="945" w:type="dxa"/>
                  <w:noWrap w:val="0"/>
                  <w:vAlign w:val="center"/>
                </w:tcPr>
                <w:p w14:paraId="6259AC79">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155" w:type="dxa"/>
                  <w:noWrap w:val="0"/>
                  <w:vAlign w:val="center"/>
                </w:tcPr>
                <w:p w14:paraId="3AF7010C">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8.217</w:t>
                  </w:r>
                </w:p>
              </w:tc>
              <w:tc>
                <w:tcPr>
                  <w:tcW w:w="870" w:type="dxa"/>
                  <w:noWrap w:val="0"/>
                  <w:vAlign w:val="center"/>
                </w:tcPr>
                <w:p w14:paraId="7F99F4CE">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0.806</w:t>
                  </w:r>
                </w:p>
              </w:tc>
              <w:tc>
                <w:tcPr>
                  <w:tcW w:w="2176" w:type="dxa"/>
                  <w:noWrap w:val="0"/>
                  <w:vAlign w:val="center"/>
                </w:tcPr>
                <w:p w14:paraId="44CE4B6E">
                  <w:pPr>
                    <w:pStyle w:val="61"/>
                    <w:keepNext w:val="0"/>
                    <w:keepLines w:val="0"/>
                    <w:pageBreakBefore w:val="0"/>
                    <w:widowControl w:val="0"/>
                    <w:kinsoku/>
                    <w:wordWrap/>
                    <w:overflowPunct/>
                    <w:topLinePunct w:val="0"/>
                    <w:autoSpaceDE/>
                    <w:autoSpaceDN/>
                    <w:bidi w:val="0"/>
                    <w:adjustRightInd w:val="0"/>
                    <w:snapToGrid w:val="0"/>
                    <w:spacing w:before="0" w:line="240" w:lineRule="auto"/>
                    <w:ind w:left="0" w:right="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经调节混凝絮凝后再经三级沉淀后回用于原料调配用水</w:t>
                  </w:r>
                </w:p>
              </w:tc>
            </w:tr>
            <w:tr w14:paraId="3FA85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2776" w:type="dxa"/>
                  <w:noWrap w:val="0"/>
                  <w:vAlign w:val="center"/>
                </w:tcPr>
                <w:p w14:paraId="65E3B2E2">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cs="Times New Roman"/>
                      <w:b/>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成品堆场及运输道路用水给排水</w:t>
                  </w:r>
                </w:p>
              </w:tc>
              <w:tc>
                <w:tcPr>
                  <w:tcW w:w="1154" w:type="dxa"/>
                  <w:noWrap w:val="0"/>
                  <w:vAlign w:val="center"/>
                </w:tcPr>
                <w:p w14:paraId="539404C7">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33</w:t>
                  </w:r>
                </w:p>
              </w:tc>
              <w:tc>
                <w:tcPr>
                  <w:tcW w:w="945" w:type="dxa"/>
                  <w:noWrap w:val="0"/>
                  <w:vAlign w:val="center"/>
                </w:tcPr>
                <w:p w14:paraId="02C0E954">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155" w:type="dxa"/>
                  <w:noWrap w:val="0"/>
                  <w:vAlign w:val="center"/>
                </w:tcPr>
                <w:p w14:paraId="3AFDC067">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33</w:t>
                  </w:r>
                </w:p>
              </w:tc>
              <w:tc>
                <w:tcPr>
                  <w:tcW w:w="870" w:type="dxa"/>
                  <w:noWrap w:val="0"/>
                  <w:vAlign w:val="center"/>
                </w:tcPr>
                <w:p w14:paraId="2C8B05BA">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2176" w:type="dxa"/>
                  <w:noWrap w:val="0"/>
                  <w:vAlign w:val="center"/>
                </w:tcPr>
                <w:p w14:paraId="76CED358">
                  <w:pPr>
                    <w:pStyle w:val="61"/>
                    <w:keepNext w:val="0"/>
                    <w:keepLines w:val="0"/>
                    <w:pageBreakBefore w:val="0"/>
                    <w:widowControl w:val="0"/>
                    <w:kinsoku/>
                    <w:wordWrap/>
                    <w:overflowPunct/>
                    <w:topLinePunct w:val="0"/>
                    <w:autoSpaceDE/>
                    <w:autoSpaceDN/>
                    <w:bidi w:val="0"/>
                    <w:adjustRightInd w:val="0"/>
                    <w:snapToGrid w:val="0"/>
                    <w:spacing w:before="0" w:line="240" w:lineRule="auto"/>
                    <w:ind w:left="0" w:right="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蒸发损耗（仅非降雨期需要）</w:t>
                  </w:r>
                </w:p>
              </w:tc>
            </w:tr>
            <w:tr w14:paraId="4CFE0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776" w:type="dxa"/>
                  <w:noWrap w:val="0"/>
                  <w:vAlign w:val="center"/>
                </w:tcPr>
                <w:p w14:paraId="75CC5595">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cs="Times New Roman"/>
                      <w:b/>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卸料用水给排水</w:t>
                  </w:r>
                </w:p>
              </w:tc>
              <w:tc>
                <w:tcPr>
                  <w:tcW w:w="1154" w:type="dxa"/>
                  <w:noWrap w:val="0"/>
                  <w:vAlign w:val="center"/>
                </w:tcPr>
                <w:p w14:paraId="7FA9A358">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2.54</w:t>
                  </w:r>
                </w:p>
              </w:tc>
              <w:tc>
                <w:tcPr>
                  <w:tcW w:w="945" w:type="dxa"/>
                  <w:noWrap w:val="0"/>
                  <w:vAlign w:val="center"/>
                </w:tcPr>
                <w:p w14:paraId="415CDF74">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155" w:type="dxa"/>
                  <w:noWrap w:val="0"/>
                  <w:vAlign w:val="center"/>
                </w:tcPr>
                <w:p w14:paraId="0758F1FD">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2.54</w:t>
                  </w:r>
                </w:p>
              </w:tc>
              <w:tc>
                <w:tcPr>
                  <w:tcW w:w="870" w:type="dxa"/>
                  <w:noWrap w:val="0"/>
                  <w:vAlign w:val="center"/>
                </w:tcPr>
                <w:p w14:paraId="2CE2F2BF">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2176" w:type="dxa"/>
                  <w:noWrap w:val="0"/>
                  <w:vAlign w:val="center"/>
                </w:tcPr>
                <w:p w14:paraId="321D4866">
                  <w:pPr>
                    <w:pStyle w:val="61"/>
                    <w:keepNext w:val="0"/>
                    <w:keepLines w:val="0"/>
                    <w:pageBreakBefore w:val="0"/>
                    <w:widowControl w:val="0"/>
                    <w:kinsoku/>
                    <w:wordWrap/>
                    <w:overflowPunct/>
                    <w:topLinePunct w:val="0"/>
                    <w:autoSpaceDE/>
                    <w:autoSpaceDN/>
                    <w:bidi w:val="0"/>
                    <w:adjustRightInd w:val="0"/>
                    <w:snapToGrid w:val="0"/>
                    <w:spacing w:before="0" w:line="240" w:lineRule="auto"/>
                    <w:ind w:left="0" w:right="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蒸发损耗</w:t>
                  </w:r>
                </w:p>
              </w:tc>
            </w:tr>
            <w:tr w14:paraId="12CA4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2776" w:type="dxa"/>
                  <w:noWrap w:val="0"/>
                  <w:vAlign w:val="center"/>
                </w:tcPr>
                <w:p w14:paraId="54C83CE1">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cs="Times New Roman"/>
                      <w:b/>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养护用水给排水</w:t>
                  </w:r>
                </w:p>
              </w:tc>
              <w:tc>
                <w:tcPr>
                  <w:tcW w:w="1154" w:type="dxa"/>
                  <w:noWrap w:val="0"/>
                  <w:vAlign w:val="center"/>
                </w:tcPr>
                <w:p w14:paraId="33566478">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89.6</w:t>
                  </w:r>
                </w:p>
              </w:tc>
              <w:tc>
                <w:tcPr>
                  <w:tcW w:w="945" w:type="dxa"/>
                  <w:noWrap w:val="0"/>
                  <w:vAlign w:val="center"/>
                </w:tcPr>
                <w:p w14:paraId="24C3DEBE">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155" w:type="dxa"/>
                  <w:noWrap w:val="0"/>
                  <w:vAlign w:val="center"/>
                </w:tcPr>
                <w:p w14:paraId="219E9CDE">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89.6</w:t>
                  </w:r>
                </w:p>
              </w:tc>
              <w:tc>
                <w:tcPr>
                  <w:tcW w:w="870" w:type="dxa"/>
                  <w:noWrap w:val="0"/>
                  <w:vAlign w:val="center"/>
                </w:tcPr>
                <w:p w14:paraId="571E7F9F">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2176" w:type="dxa"/>
                  <w:noWrap w:val="0"/>
                  <w:vAlign w:val="center"/>
                </w:tcPr>
                <w:p w14:paraId="3BB33594">
                  <w:pPr>
                    <w:pStyle w:val="61"/>
                    <w:keepNext w:val="0"/>
                    <w:keepLines w:val="0"/>
                    <w:pageBreakBefore w:val="0"/>
                    <w:widowControl w:val="0"/>
                    <w:kinsoku/>
                    <w:wordWrap/>
                    <w:overflowPunct/>
                    <w:topLinePunct w:val="0"/>
                    <w:autoSpaceDE/>
                    <w:autoSpaceDN/>
                    <w:bidi w:val="0"/>
                    <w:adjustRightInd w:val="0"/>
                    <w:snapToGrid w:val="0"/>
                    <w:spacing w:before="0" w:line="240" w:lineRule="auto"/>
                    <w:ind w:left="0" w:right="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蒸发损耗</w:t>
                  </w:r>
                </w:p>
              </w:tc>
            </w:tr>
            <w:tr w14:paraId="39C7D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776" w:type="dxa"/>
                  <w:noWrap w:val="0"/>
                  <w:vAlign w:val="center"/>
                </w:tcPr>
                <w:p w14:paraId="6CAB1AA5">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生活用水给排水</w:t>
                  </w:r>
                </w:p>
              </w:tc>
              <w:tc>
                <w:tcPr>
                  <w:tcW w:w="1154" w:type="dxa"/>
                  <w:noWrap w:val="0"/>
                  <w:vAlign w:val="center"/>
                </w:tcPr>
                <w:p w14:paraId="1AD3A0FB">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945" w:type="dxa"/>
                  <w:noWrap w:val="0"/>
                  <w:vAlign w:val="center"/>
                </w:tcPr>
                <w:p w14:paraId="2E2AF71A">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155" w:type="dxa"/>
                  <w:noWrap w:val="0"/>
                  <w:vAlign w:val="center"/>
                </w:tcPr>
                <w:p w14:paraId="1A02276D">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0.2</w:t>
                  </w:r>
                </w:p>
              </w:tc>
              <w:tc>
                <w:tcPr>
                  <w:tcW w:w="870" w:type="dxa"/>
                  <w:noWrap w:val="0"/>
                  <w:vAlign w:val="center"/>
                </w:tcPr>
                <w:p w14:paraId="064318D1">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1.8</w:t>
                  </w:r>
                </w:p>
              </w:tc>
              <w:tc>
                <w:tcPr>
                  <w:tcW w:w="2176" w:type="dxa"/>
                  <w:noWrap w:val="0"/>
                  <w:vAlign w:val="center"/>
                </w:tcPr>
                <w:p w14:paraId="7C9B8831">
                  <w:pPr>
                    <w:pStyle w:val="61"/>
                    <w:keepNext w:val="0"/>
                    <w:keepLines w:val="0"/>
                    <w:pageBreakBefore w:val="0"/>
                    <w:widowControl w:val="0"/>
                    <w:kinsoku/>
                    <w:wordWrap/>
                    <w:overflowPunct/>
                    <w:topLinePunct w:val="0"/>
                    <w:autoSpaceDE/>
                    <w:autoSpaceDN/>
                    <w:bidi w:val="0"/>
                    <w:adjustRightInd w:val="0"/>
                    <w:snapToGrid w:val="0"/>
                    <w:spacing w:before="0" w:line="240" w:lineRule="auto"/>
                    <w:ind w:left="0" w:right="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博罗县罗阳街道小金生活污水处理厂</w:t>
                  </w:r>
                </w:p>
              </w:tc>
            </w:tr>
            <w:tr w14:paraId="39AF2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2776" w:type="dxa"/>
                  <w:noWrap w:val="0"/>
                  <w:vAlign w:val="center"/>
                </w:tcPr>
                <w:p w14:paraId="62A412E1">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总</w:t>
                  </w:r>
                </w:p>
              </w:tc>
              <w:tc>
                <w:tcPr>
                  <w:tcW w:w="1154" w:type="dxa"/>
                  <w:noWrap w:val="0"/>
                  <w:vAlign w:val="center"/>
                </w:tcPr>
                <w:p w14:paraId="60224B26">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219.</w:t>
                  </w:r>
                  <w:r>
                    <w:rPr>
                      <w:rFonts w:hint="eastAsia" w:ascii="Times New Roman" w:hAnsi="Times New Roman" w:eastAsia="宋体" w:cs="Times New Roman"/>
                      <w:b/>
                      <w:bCs/>
                      <w:i w:val="0"/>
                      <w:iCs w:val="0"/>
                      <w:color w:val="auto"/>
                      <w:kern w:val="0"/>
                      <w:sz w:val="21"/>
                      <w:szCs w:val="21"/>
                      <w:highlight w:val="none"/>
                      <w:u w:val="none"/>
                      <w:lang w:val="en-US" w:eastAsia="zh-CN" w:bidi="ar"/>
                    </w:rPr>
                    <w:t>409</w:t>
                  </w:r>
                </w:p>
              </w:tc>
              <w:tc>
                <w:tcPr>
                  <w:tcW w:w="945" w:type="dxa"/>
                  <w:noWrap w:val="0"/>
                  <w:vAlign w:val="center"/>
                </w:tcPr>
                <w:p w14:paraId="09EFE27A">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eastAsia" w:ascii="Times New Roman" w:hAnsi="Times New Roman" w:eastAsia="宋体" w:cs="Times New Roman"/>
                      <w:b/>
                      <w:bCs/>
                      <w:i w:val="0"/>
                      <w:iCs w:val="0"/>
                      <w:color w:val="auto"/>
                      <w:kern w:val="0"/>
                      <w:sz w:val="21"/>
                      <w:szCs w:val="21"/>
                      <w:highlight w:val="none"/>
                      <w:u w:val="none"/>
                      <w:lang w:val="en-US" w:eastAsia="zh-CN" w:bidi="ar"/>
                    </w:rPr>
                    <w:t>7.28</w:t>
                  </w:r>
                </w:p>
              </w:tc>
              <w:tc>
                <w:tcPr>
                  <w:tcW w:w="1155" w:type="dxa"/>
                  <w:noWrap w:val="0"/>
                  <w:vAlign w:val="center"/>
                </w:tcPr>
                <w:p w14:paraId="3294A8DA">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217.609</w:t>
                  </w:r>
                </w:p>
              </w:tc>
              <w:tc>
                <w:tcPr>
                  <w:tcW w:w="870" w:type="dxa"/>
                  <w:noWrap w:val="0"/>
                  <w:vAlign w:val="center"/>
                </w:tcPr>
                <w:p w14:paraId="5F97E6E0">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9.08</w:t>
                  </w:r>
                </w:p>
              </w:tc>
              <w:tc>
                <w:tcPr>
                  <w:tcW w:w="2176" w:type="dxa"/>
                  <w:noWrap w:val="0"/>
                  <w:vAlign w:val="center"/>
                </w:tcPr>
                <w:p w14:paraId="53E9257B">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jc w:val="center"/>
                    <w:textAlignment w:val="center"/>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w:t>
                  </w:r>
                </w:p>
              </w:tc>
            </w:tr>
          </w:tbl>
          <w:p w14:paraId="658DA482">
            <w:pPr>
              <w:pStyle w:val="61"/>
              <w:keepNext w:val="0"/>
              <w:keepLines w:val="0"/>
              <w:pageBreakBefore w:val="0"/>
              <w:widowControl w:val="0"/>
              <w:kinsoku/>
              <w:wordWrap/>
              <w:overflowPunct/>
              <w:topLinePunct w:val="0"/>
              <w:autoSpaceDE/>
              <w:autoSpaceDN/>
              <w:bidi w:val="0"/>
              <w:adjustRightInd w:val="0"/>
              <w:snapToGrid w:val="0"/>
              <w:spacing w:before="0" w:line="240" w:lineRule="auto"/>
              <w:ind w:left="0" w:right="0" w:firstLine="0"/>
              <w:jc w:val="center"/>
              <w:textAlignment w:val="auto"/>
              <w:rPr>
                <w:rFonts w:hint="default" w:ascii="Times New Roman" w:hAnsi="Times New Roman" w:eastAsia="宋体" w:cs="Times New Roman"/>
                <w:b/>
                <w:color w:val="auto"/>
                <w:szCs w:val="21"/>
                <w:highlight w:val="none"/>
                <w:lang w:val="en-US" w:eastAsia="zh-CN"/>
              </w:rPr>
            </w:pPr>
            <w:r>
              <w:rPr>
                <w:rFonts w:hint="default" w:ascii="Times New Roman" w:hAnsi="Times New Roman" w:cs="Times New Roman"/>
                <w:b/>
                <w:color w:val="auto"/>
                <w:szCs w:val="21"/>
                <w:highlight w:val="none"/>
              </w:rPr>
              <w:t>表</w:t>
            </w:r>
            <w:r>
              <w:rPr>
                <w:rFonts w:hint="default" w:ascii="Times New Roman" w:hAnsi="Times New Roman" w:cs="Times New Roman"/>
                <w:b/>
                <w:color w:val="auto"/>
                <w:szCs w:val="21"/>
                <w:highlight w:val="none"/>
                <w:lang w:val="en-US" w:eastAsia="zh-CN"/>
              </w:rPr>
              <w:t xml:space="preserve">2-14 </w:t>
            </w:r>
            <w:r>
              <w:rPr>
                <w:rFonts w:hint="default" w:ascii="Times New Roman" w:hAnsi="Times New Roman" w:cs="Times New Roman"/>
                <w:b/>
                <w:color w:val="auto"/>
                <w:szCs w:val="21"/>
                <w:highlight w:val="none"/>
              </w:rPr>
              <w:t>项目</w:t>
            </w:r>
            <w:r>
              <w:rPr>
                <w:rFonts w:hint="default" w:ascii="Times New Roman" w:hAnsi="Times New Roman" w:cs="Times New Roman"/>
                <w:b/>
                <w:color w:val="auto"/>
                <w:szCs w:val="21"/>
                <w:highlight w:val="none"/>
                <w:lang w:val="en-US" w:eastAsia="zh-CN"/>
              </w:rPr>
              <w:t>降雨期水平衡一览表  单位：t/d</w:t>
            </w:r>
          </w:p>
          <w:tbl>
            <w:tblPr>
              <w:tblStyle w:val="35"/>
              <w:tblW w:w="9118" w:type="dxa"/>
              <w:tblInd w:w="-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21"/>
              <w:gridCol w:w="990"/>
              <w:gridCol w:w="795"/>
              <w:gridCol w:w="915"/>
              <w:gridCol w:w="855"/>
              <w:gridCol w:w="2742"/>
            </w:tblGrid>
            <w:tr w14:paraId="6D707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2821" w:type="dxa"/>
                  <w:noWrap w:val="0"/>
                  <w:vAlign w:val="center"/>
                </w:tcPr>
                <w:p w14:paraId="3F824C47">
                  <w:pPr>
                    <w:pStyle w:val="61"/>
                    <w:keepNext w:val="0"/>
                    <w:keepLines w:val="0"/>
                    <w:pageBreakBefore w:val="0"/>
                    <w:widowControl w:val="0"/>
                    <w:kinsoku/>
                    <w:wordWrap/>
                    <w:overflowPunct/>
                    <w:topLinePunct w:val="0"/>
                    <w:autoSpaceDE/>
                    <w:autoSpaceDN/>
                    <w:bidi w:val="0"/>
                    <w:adjustRightInd w:val="0"/>
                    <w:snapToGrid w:val="0"/>
                    <w:spacing w:before="0" w:line="240" w:lineRule="auto"/>
                    <w:ind w:left="0" w:right="0"/>
                    <w:jc w:val="center"/>
                    <w:textAlignment w:val="auto"/>
                    <w:rPr>
                      <w:rFonts w:hint="default" w:ascii="Times New Roman" w:hAnsi="Times New Roman" w:cs="Times New Roman"/>
                      <w:b/>
                      <w:color w:val="auto"/>
                      <w:sz w:val="21"/>
                      <w:szCs w:val="21"/>
                      <w:highlight w:val="none"/>
                      <w:vertAlign w:val="baseline"/>
                      <w:lang w:val="en-US" w:eastAsia="zh-CN"/>
                    </w:rPr>
                  </w:pPr>
                  <w:r>
                    <w:rPr>
                      <w:rFonts w:hint="default" w:ascii="Times New Roman" w:hAnsi="Times New Roman" w:cs="Times New Roman"/>
                      <w:b/>
                      <w:color w:val="auto"/>
                      <w:sz w:val="21"/>
                      <w:szCs w:val="21"/>
                      <w:highlight w:val="none"/>
                      <w:vertAlign w:val="baseline"/>
                      <w:lang w:val="en-US" w:eastAsia="zh-CN"/>
                    </w:rPr>
                    <w:t>项目</w:t>
                  </w:r>
                </w:p>
              </w:tc>
              <w:tc>
                <w:tcPr>
                  <w:tcW w:w="990" w:type="dxa"/>
                  <w:noWrap w:val="0"/>
                  <w:vAlign w:val="center"/>
                </w:tcPr>
                <w:p w14:paraId="6DC73BF9">
                  <w:pPr>
                    <w:keepNext w:val="0"/>
                    <w:keepLines w:val="0"/>
                    <w:pageBreakBefore w:val="0"/>
                    <w:widowControl/>
                    <w:kinsoku/>
                    <w:wordWrap/>
                    <w:overflowPunct/>
                    <w:topLinePunct w:val="0"/>
                    <w:bidi w:val="0"/>
                    <w:adjustRightInd w:val="0"/>
                    <w:snapToGrid w:val="0"/>
                    <w:jc w:val="center"/>
                    <w:rPr>
                      <w:rFonts w:hint="default" w:ascii="Times New Roman" w:hAnsi="Times New Roman" w:cs="Times New Roman"/>
                      <w:b/>
                      <w:color w:val="auto"/>
                      <w:sz w:val="21"/>
                      <w:szCs w:val="21"/>
                      <w:highlight w:val="none"/>
                      <w:vertAlign w:val="baseline"/>
                      <w:lang w:val="en-US" w:eastAsia="zh-CN"/>
                    </w:rPr>
                  </w:pPr>
                  <w:r>
                    <w:rPr>
                      <w:rFonts w:hint="default" w:ascii="Times New Roman" w:hAnsi="Times New Roman" w:eastAsia="宋体" w:cs="Times New Roman"/>
                      <w:b/>
                      <w:color w:val="auto"/>
                      <w:szCs w:val="21"/>
                      <w:highlight w:val="none"/>
                      <w:lang w:val="en-US" w:eastAsia="zh-CN"/>
                    </w:rPr>
                    <w:t>新鲜</w:t>
                  </w:r>
                  <w:r>
                    <w:rPr>
                      <w:rFonts w:hint="default" w:ascii="Times New Roman" w:hAnsi="Times New Roman" w:cs="Times New Roman"/>
                      <w:b/>
                      <w:color w:val="auto"/>
                      <w:sz w:val="21"/>
                      <w:szCs w:val="21"/>
                      <w:highlight w:val="none"/>
                      <w:vertAlign w:val="baseline"/>
                      <w:lang w:val="en-US" w:eastAsia="zh-CN"/>
                    </w:rPr>
                    <w:t>用水</w:t>
                  </w:r>
                </w:p>
              </w:tc>
              <w:tc>
                <w:tcPr>
                  <w:tcW w:w="795" w:type="dxa"/>
                  <w:noWrap w:val="0"/>
                  <w:vAlign w:val="center"/>
                </w:tcPr>
                <w:p w14:paraId="5D78A4F2">
                  <w:pPr>
                    <w:pStyle w:val="61"/>
                    <w:keepNext w:val="0"/>
                    <w:keepLines w:val="0"/>
                    <w:pageBreakBefore w:val="0"/>
                    <w:widowControl w:val="0"/>
                    <w:kinsoku/>
                    <w:wordWrap/>
                    <w:overflowPunct/>
                    <w:topLinePunct w:val="0"/>
                    <w:autoSpaceDE/>
                    <w:autoSpaceDN/>
                    <w:bidi w:val="0"/>
                    <w:adjustRightInd w:val="0"/>
                    <w:snapToGrid w:val="0"/>
                    <w:spacing w:before="0" w:line="240" w:lineRule="auto"/>
                    <w:ind w:left="0" w:leftChars="0" w:right="0" w:rightChars="0"/>
                    <w:jc w:val="center"/>
                    <w:textAlignment w:val="auto"/>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回用水</w:t>
                  </w:r>
                </w:p>
              </w:tc>
              <w:tc>
                <w:tcPr>
                  <w:tcW w:w="915" w:type="dxa"/>
                  <w:noWrap w:val="0"/>
                  <w:vAlign w:val="center"/>
                </w:tcPr>
                <w:p w14:paraId="45425B3A">
                  <w:pPr>
                    <w:pStyle w:val="61"/>
                    <w:keepNext w:val="0"/>
                    <w:keepLines w:val="0"/>
                    <w:pageBreakBefore w:val="0"/>
                    <w:widowControl w:val="0"/>
                    <w:kinsoku/>
                    <w:wordWrap/>
                    <w:overflowPunct/>
                    <w:topLinePunct w:val="0"/>
                    <w:autoSpaceDE/>
                    <w:autoSpaceDN/>
                    <w:bidi w:val="0"/>
                    <w:adjustRightInd w:val="0"/>
                    <w:snapToGrid w:val="0"/>
                    <w:spacing w:before="0" w:line="240" w:lineRule="auto"/>
                    <w:ind w:left="0" w:leftChars="0" w:right="0" w:rightChars="0"/>
                    <w:jc w:val="center"/>
                    <w:textAlignment w:val="auto"/>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损耗/消耗</w:t>
                  </w:r>
                </w:p>
              </w:tc>
              <w:tc>
                <w:tcPr>
                  <w:tcW w:w="855" w:type="dxa"/>
                  <w:noWrap w:val="0"/>
                  <w:vAlign w:val="center"/>
                </w:tcPr>
                <w:p w14:paraId="3E159E53">
                  <w:pPr>
                    <w:pStyle w:val="61"/>
                    <w:keepNext w:val="0"/>
                    <w:keepLines w:val="0"/>
                    <w:pageBreakBefore w:val="0"/>
                    <w:widowControl w:val="0"/>
                    <w:kinsoku/>
                    <w:wordWrap/>
                    <w:overflowPunct/>
                    <w:topLinePunct w:val="0"/>
                    <w:autoSpaceDE/>
                    <w:autoSpaceDN/>
                    <w:bidi w:val="0"/>
                    <w:adjustRightInd w:val="0"/>
                    <w:snapToGrid w:val="0"/>
                    <w:spacing w:before="0" w:line="240" w:lineRule="auto"/>
                    <w:ind w:left="0" w:right="0"/>
                    <w:jc w:val="center"/>
                    <w:textAlignment w:val="auto"/>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废水</w:t>
                  </w:r>
                </w:p>
              </w:tc>
              <w:tc>
                <w:tcPr>
                  <w:tcW w:w="2742" w:type="dxa"/>
                  <w:noWrap w:val="0"/>
                  <w:vAlign w:val="center"/>
                </w:tcPr>
                <w:p w14:paraId="6D412DF9">
                  <w:pPr>
                    <w:pStyle w:val="61"/>
                    <w:keepNext w:val="0"/>
                    <w:keepLines w:val="0"/>
                    <w:pageBreakBefore w:val="0"/>
                    <w:widowControl w:val="0"/>
                    <w:kinsoku/>
                    <w:wordWrap/>
                    <w:overflowPunct/>
                    <w:topLinePunct w:val="0"/>
                    <w:autoSpaceDE/>
                    <w:autoSpaceDN/>
                    <w:bidi w:val="0"/>
                    <w:adjustRightInd w:val="0"/>
                    <w:snapToGrid w:val="0"/>
                    <w:spacing w:before="0" w:line="240" w:lineRule="auto"/>
                    <w:ind w:left="0" w:right="0"/>
                    <w:jc w:val="center"/>
                    <w:textAlignment w:val="auto"/>
                    <w:rPr>
                      <w:rFonts w:hint="default" w:ascii="Times New Roman" w:hAnsi="Times New Roman" w:cs="Times New Roman"/>
                      <w:b/>
                      <w:color w:val="auto"/>
                      <w:sz w:val="21"/>
                      <w:szCs w:val="21"/>
                      <w:highlight w:val="none"/>
                      <w:vertAlign w:val="baseline"/>
                      <w:lang w:val="en-US" w:eastAsia="zh-CN"/>
                    </w:rPr>
                  </w:pPr>
                  <w:r>
                    <w:rPr>
                      <w:rFonts w:hint="default" w:ascii="Times New Roman" w:hAnsi="Times New Roman" w:cs="Times New Roman"/>
                      <w:b/>
                      <w:color w:val="auto"/>
                      <w:sz w:val="21"/>
                      <w:szCs w:val="21"/>
                      <w:highlight w:val="none"/>
                      <w:vertAlign w:val="baseline"/>
                      <w:lang w:val="en-US" w:eastAsia="zh-CN"/>
                    </w:rPr>
                    <w:t>去向</w:t>
                  </w:r>
                </w:p>
              </w:tc>
            </w:tr>
            <w:tr w14:paraId="66A2D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trPr>
              <w:tc>
                <w:tcPr>
                  <w:tcW w:w="2821" w:type="dxa"/>
                  <w:noWrap w:val="0"/>
                  <w:vAlign w:val="center"/>
                </w:tcPr>
                <w:p w14:paraId="5E18E3A6">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cs="Times New Roman"/>
                      <w:b/>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原料调配用水给排水</w:t>
                  </w:r>
                </w:p>
              </w:tc>
              <w:tc>
                <w:tcPr>
                  <w:tcW w:w="990" w:type="dxa"/>
                  <w:noWrap w:val="0"/>
                  <w:vAlign w:val="center"/>
                </w:tcPr>
                <w:p w14:paraId="59C6CF9A">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76.053</w:t>
                  </w:r>
                </w:p>
              </w:tc>
              <w:tc>
                <w:tcPr>
                  <w:tcW w:w="795" w:type="dxa"/>
                  <w:noWrap w:val="0"/>
                  <w:vAlign w:val="center"/>
                </w:tcPr>
                <w:p w14:paraId="0DD30DE4">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7.28</w:t>
                  </w:r>
                </w:p>
              </w:tc>
              <w:tc>
                <w:tcPr>
                  <w:tcW w:w="915" w:type="dxa"/>
                  <w:noWrap w:val="0"/>
                  <w:vAlign w:val="center"/>
                </w:tcPr>
                <w:p w14:paraId="6D160257">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83.333</w:t>
                  </w:r>
                </w:p>
              </w:tc>
              <w:tc>
                <w:tcPr>
                  <w:tcW w:w="855" w:type="dxa"/>
                  <w:noWrap w:val="0"/>
                  <w:vAlign w:val="center"/>
                </w:tcPr>
                <w:p w14:paraId="5367CE94">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2742" w:type="dxa"/>
                  <w:noWrap w:val="0"/>
                  <w:vAlign w:val="center"/>
                </w:tcPr>
                <w:p w14:paraId="58A929D4">
                  <w:pPr>
                    <w:pStyle w:val="61"/>
                    <w:keepNext w:val="0"/>
                    <w:keepLines w:val="0"/>
                    <w:pageBreakBefore w:val="0"/>
                    <w:widowControl w:val="0"/>
                    <w:kinsoku/>
                    <w:wordWrap/>
                    <w:overflowPunct/>
                    <w:topLinePunct w:val="0"/>
                    <w:autoSpaceDE/>
                    <w:autoSpaceDN/>
                    <w:bidi w:val="0"/>
                    <w:adjustRightInd w:val="0"/>
                    <w:snapToGrid w:val="0"/>
                    <w:spacing w:before="0" w:line="240" w:lineRule="auto"/>
                    <w:ind w:left="0" w:right="0"/>
                    <w:jc w:val="center"/>
                    <w:textAlignment w:val="auto"/>
                    <w:rPr>
                      <w:rFonts w:hint="default" w:ascii="Times New Roman" w:hAnsi="Times New Roman" w:cs="Times New Roman"/>
                      <w:b/>
                      <w:color w:val="auto"/>
                      <w:sz w:val="21"/>
                      <w:szCs w:val="21"/>
                      <w:highlight w:val="none"/>
                      <w:vertAlign w:val="baseline"/>
                      <w:lang w:val="en-US" w:eastAsia="zh-CN"/>
                    </w:rPr>
                  </w:pPr>
                  <w:r>
                    <w:rPr>
                      <w:rFonts w:hint="default" w:ascii="Times New Roman" w:hAnsi="Times New Roman" w:cs="Times New Roman"/>
                      <w:b w:val="0"/>
                      <w:bCs/>
                      <w:color w:val="auto"/>
                      <w:sz w:val="21"/>
                      <w:szCs w:val="21"/>
                      <w:highlight w:val="none"/>
                      <w:vertAlign w:val="baseline"/>
                      <w:lang w:val="en-US" w:eastAsia="zh-CN"/>
                    </w:rPr>
                    <w:t>进入原料</w:t>
                  </w:r>
                </w:p>
              </w:tc>
            </w:tr>
            <w:tr w14:paraId="194B3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2821" w:type="dxa"/>
                  <w:noWrap w:val="0"/>
                  <w:vAlign w:val="center"/>
                </w:tcPr>
                <w:p w14:paraId="22265038">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cs="Times New Roman"/>
                      <w:b/>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搅拌机清洗用水给排水</w:t>
                  </w:r>
                </w:p>
              </w:tc>
              <w:tc>
                <w:tcPr>
                  <w:tcW w:w="990" w:type="dxa"/>
                  <w:noWrap w:val="0"/>
                  <w:vAlign w:val="center"/>
                </w:tcPr>
                <w:p w14:paraId="59E3F6B7">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w:t>
                  </w:r>
                </w:p>
              </w:tc>
              <w:tc>
                <w:tcPr>
                  <w:tcW w:w="795" w:type="dxa"/>
                  <w:noWrap w:val="0"/>
                  <w:vAlign w:val="center"/>
                </w:tcPr>
                <w:p w14:paraId="1A7FAE80">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915" w:type="dxa"/>
                  <w:noWrap w:val="0"/>
                  <w:vAlign w:val="center"/>
                </w:tcPr>
                <w:p w14:paraId="293C2405">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0.4</w:t>
                  </w:r>
                </w:p>
              </w:tc>
              <w:tc>
                <w:tcPr>
                  <w:tcW w:w="855" w:type="dxa"/>
                  <w:noWrap w:val="0"/>
                  <w:vAlign w:val="center"/>
                </w:tcPr>
                <w:p w14:paraId="439767EF">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3.6</w:t>
                  </w:r>
                </w:p>
              </w:tc>
              <w:tc>
                <w:tcPr>
                  <w:tcW w:w="2742" w:type="dxa"/>
                  <w:vMerge w:val="restart"/>
                  <w:noWrap w:val="0"/>
                  <w:vAlign w:val="center"/>
                </w:tcPr>
                <w:p w14:paraId="38802081">
                  <w:pPr>
                    <w:pStyle w:val="61"/>
                    <w:keepNext w:val="0"/>
                    <w:keepLines w:val="0"/>
                    <w:pageBreakBefore w:val="0"/>
                    <w:widowControl w:val="0"/>
                    <w:kinsoku/>
                    <w:wordWrap/>
                    <w:overflowPunct/>
                    <w:topLinePunct w:val="0"/>
                    <w:autoSpaceDE/>
                    <w:autoSpaceDN/>
                    <w:bidi w:val="0"/>
                    <w:adjustRightInd w:val="0"/>
                    <w:snapToGrid w:val="0"/>
                    <w:spacing w:before="0" w:line="240" w:lineRule="auto"/>
                    <w:ind w:left="0" w:right="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三级沉淀后回用于原料调配用水</w:t>
                  </w:r>
                </w:p>
              </w:tc>
            </w:tr>
            <w:tr w14:paraId="2537E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2821" w:type="dxa"/>
                  <w:noWrap w:val="0"/>
                  <w:vAlign w:val="center"/>
                </w:tcPr>
                <w:p w14:paraId="1E74F12D">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cs="Times New Roman"/>
                      <w:b/>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运输原材料车辆</w:t>
                  </w:r>
                  <w:r>
                    <w:rPr>
                      <w:rFonts w:hint="default" w:ascii="Times New Roman" w:hAnsi="Times New Roman" w:cs="Times New Roman"/>
                      <w:color w:val="auto"/>
                      <w:sz w:val="21"/>
                      <w:szCs w:val="21"/>
                      <w:highlight w:val="none"/>
                      <w:lang w:val="en-US" w:eastAsia="zh-CN"/>
                    </w:rPr>
                    <w:t>清</w:t>
                  </w:r>
                  <w:r>
                    <w:rPr>
                      <w:rFonts w:hint="default" w:ascii="Times New Roman" w:hAnsi="Times New Roman" w:eastAsia="宋体" w:cs="Times New Roman"/>
                      <w:i w:val="0"/>
                      <w:iCs w:val="0"/>
                      <w:color w:val="auto"/>
                      <w:kern w:val="0"/>
                      <w:sz w:val="21"/>
                      <w:szCs w:val="21"/>
                      <w:highlight w:val="none"/>
                      <w:u w:val="none"/>
                      <w:lang w:val="en-US" w:eastAsia="zh-CN" w:bidi="ar"/>
                    </w:rPr>
                    <w:t>洗用水给排水</w:t>
                  </w:r>
                </w:p>
              </w:tc>
              <w:tc>
                <w:tcPr>
                  <w:tcW w:w="990" w:type="dxa"/>
                  <w:noWrap w:val="0"/>
                  <w:vAlign w:val="center"/>
                </w:tcPr>
                <w:p w14:paraId="08205B2E">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1.393</w:t>
                  </w:r>
                </w:p>
              </w:tc>
              <w:tc>
                <w:tcPr>
                  <w:tcW w:w="795" w:type="dxa"/>
                  <w:noWrap w:val="0"/>
                  <w:vAlign w:val="center"/>
                </w:tcPr>
                <w:p w14:paraId="3E2F1CB4">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915" w:type="dxa"/>
                  <w:noWrap w:val="0"/>
                  <w:vAlign w:val="center"/>
                </w:tcPr>
                <w:p w14:paraId="042F0376">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0.139 </w:t>
                  </w:r>
                </w:p>
              </w:tc>
              <w:tc>
                <w:tcPr>
                  <w:tcW w:w="855" w:type="dxa"/>
                  <w:noWrap w:val="0"/>
                  <w:vAlign w:val="center"/>
                </w:tcPr>
                <w:p w14:paraId="40B1C623">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1.254 </w:t>
                  </w:r>
                </w:p>
              </w:tc>
              <w:tc>
                <w:tcPr>
                  <w:tcW w:w="2742" w:type="dxa"/>
                  <w:vMerge w:val="continue"/>
                  <w:noWrap w:val="0"/>
                  <w:vAlign w:val="center"/>
                </w:tcPr>
                <w:p w14:paraId="2E8A5ABB">
                  <w:pPr>
                    <w:pStyle w:val="61"/>
                    <w:keepNext w:val="0"/>
                    <w:keepLines w:val="0"/>
                    <w:pageBreakBefore w:val="0"/>
                    <w:widowControl w:val="0"/>
                    <w:kinsoku/>
                    <w:wordWrap/>
                    <w:overflowPunct/>
                    <w:topLinePunct w:val="0"/>
                    <w:autoSpaceDE/>
                    <w:autoSpaceDN/>
                    <w:bidi w:val="0"/>
                    <w:adjustRightInd w:val="0"/>
                    <w:snapToGrid w:val="0"/>
                    <w:spacing w:before="0" w:line="240" w:lineRule="auto"/>
                    <w:ind w:left="0" w:right="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r>
            <w:tr w14:paraId="09891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21" w:type="dxa"/>
                  <w:noWrap w:val="0"/>
                  <w:vAlign w:val="center"/>
                </w:tcPr>
                <w:p w14:paraId="0E6AAF27">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搅拌区地面</w:t>
                  </w:r>
                  <w:r>
                    <w:rPr>
                      <w:rFonts w:hint="default" w:ascii="Times New Roman" w:hAnsi="Times New Roman" w:cs="Times New Roman"/>
                      <w:color w:val="auto"/>
                      <w:sz w:val="21"/>
                      <w:szCs w:val="21"/>
                      <w:highlight w:val="none"/>
                      <w:lang w:val="en-US" w:eastAsia="zh-CN"/>
                    </w:rPr>
                    <w:t>清</w:t>
                  </w:r>
                  <w:r>
                    <w:rPr>
                      <w:rFonts w:hint="default" w:ascii="Times New Roman" w:hAnsi="Times New Roman" w:eastAsia="宋体" w:cs="Times New Roman"/>
                      <w:i w:val="0"/>
                      <w:iCs w:val="0"/>
                      <w:color w:val="auto"/>
                      <w:kern w:val="0"/>
                      <w:sz w:val="21"/>
                      <w:szCs w:val="21"/>
                      <w:highlight w:val="none"/>
                      <w:u w:val="none"/>
                      <w:lang w:val="en-US" w:eastAsia="zh-CN" w:bidi="ar"/>
                    </w:rPr>
                    <w:t>洗用水给排水</w:t>
                  </w:r>
                </w:p>
              </w:tc>
              <w:tc>
                <w:tcPr>
                  <w:tcW w:w="990" w:type="dxa"/>
                  <w:noWrap w:val="0"/>
                  <w:vAlign w:val="center"/>
                </w:tcPr>
                <w:p w14:paraId="5B165E4D">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1.8</w:t>
                  </w:r>
                </w:p>
              </w:tc>
              <w:tc>
                <w:tcPr>
                  <w:tcW w:w="795" w:type="dxa"/>
                  <w:noWrap w:val="0"/>
                  <w:vAlign w:val="center"/>
                </w:tcPr>
                <w:p w14:paraId="7B07A0D2">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915" w:type="dxa"/>
                  <w:noWrap w:val="0"/>
                  <w:vAlign w:val="center"/>
                </w:tcPr>
                <w:p w14:paraId="7E73E895">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0.18</w:t>
                  </w:r>
                </w:p>
              </w:tc>
              <w:tc>
                <w:tcPr>
                  <w:tcW w:w="855" w:type="dxa"/>
                  <w:noWrap w:val="0"/>
                  <w:vAlign w:val="center"/>
                </w:tcPr>
                <w:p w14:paraId="07043C0F">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1.62</w:t>
                  </w:r>
                </w:p>
              </w:tc>
              <w:tc>
                <w:tcPr>
                  <w:tcW w:w="2742" w:type="dxa"/>
                  <w:vMerge w:val="continue"/>
                  <w:noWrap w:val="0"/>
                  <w:vAlign w:val="center"/>
                </w:tcPr>
                <w:p w14:paraId="48134BDA">
                  <w:pPr>
                    <w:pStyle w:val="61"/>
                    <w:keepNext w:val="0"/>
                    <w:keepLines w:val="0"/>
                    <w:pageBreakBefore w:val="0"/>
                    <w:widowControl w:val="0"/>
                    <w:kinsoku/>
                    <w:wordWrap/>
                    <w:overflowPunct/>
                    <w:topLinePunct w:val="0"/>
                    <w:autoSpaceDE/>
                    <w:autoSpaceDN/>
                    <w:bidi w:val="0"/>
                    <w:adjustRightInd w:val="0"/>
                    <w:snapToGrid w:val="0"/>
                    <w:spacing w:before="0" w:line="240" w:lineRule="auto"/>
                    <w:ind w:left="0" w:right="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r>
            <w:tr w14:paraId="6B1A0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2821" w:type="dxa"/>
                  <w:noWrap w:val="0"/>
                  <w:vAlign w:val="center"/>
                </w:tcPr>
                <w:p w14:paraId="3673AC14">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锅炉给排水</w:t>
                  </w:r>
                </w:p>
              </w:tc>
              <w:tc>
                <w:tcPr>
                  <w:tcW w:w="990" w:type="dxa"/>
                  <w:noWrap w:val="0"/>
                  <w:vAlign w:val="center"/>
                </w:tcPr>
                <w:p w14:paraId="7224102F">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9.023</w:t>
                  </w:r>
                </w:p>
              </w:tc>
              <w:tc>
                <w:tcPr>
                  <w:tcW w:w="795" w:type="dxa"/>
                  <w:noWrap w:val="0"/>
                  <w:vAlign w:val="center"/>
                </w:tcPr>
                <w:p w14:paraId="0F7DAB43">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915" w:type="dxa"/>
                  <w:noWrap w:val="0"/>
                  <w:vAlign w:val="center"/>
                </w:tcPr>
                <w:p w14:paraId="5CC44329">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8.217</w:t>
                  </w:r>
                </w:p>
              </w:tc>
              <w:tc>
                <w:tcPr>
                  <w:tcW w:w="855" w:type="dxa"/>
                  <w:noWrap w:val="0"/>
                  <w:vAlign w:val="center"/>
                </w:tcPr>
                <w:p w14:paraId="0E2F74BE">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0.806</w:t>
                  </w:r>
                </w:p>
              </w:tc>
              <w:tc>
                <w:tcPr>
                  <w:tcW w:w="2742" w:type="dxa"/>
                  <w:noWrap w:val="0"/>
                  <w:vAlign w:val="center"/>
                </w:tcPr>
                <w:p w14:paraId="59760D8B">
                  <w:pPr>
                    <w:pStyle w:val="61"/>
                    <w:keepNext w:val="0"/>
                    <w:keepLines w:val="0"/>
                    <w:pageBreakBefore w:val="0"/>
                    <w:widowControl w:val="0"/>
                    <w:kinsoku/>
                    <w:wordWrap/>
                    <w:overflowPunct/>
                    <w:topLinePunct w:val="0"/>
                    <w:autoSpaceDE/>
                    <w:autoSpaceDN/>
                    <w:bidi w:val="0"/>
                    <w:adjustRightInd w:val="0"/>
                    <w:snapToGrid w:val="0"/>
                    <w:spacing w:before="0" w:line="240" w:lineRule="auto"/>
                    <w:ind w:left="0" w:right="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调节混凝絮凝后再经三级沉淀后回用于原料调配用水</w:t>
                  </w:r>
                </w:p>
              </w:tc>
            </w:tr>
            <w:tr w14:paraId="73DB3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2821" w:type="dxa"/>
                  <w:noWrap w:val="0"/>
                  <w:vAlign w:val="center"/>
                </w:tcPr>
                <w:p w14:paraId="6DC88D52">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cs="Times New Roman"/>
                      <w:b/>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卸料用水给排水</w:t>
                  </w:r>
                </w:p>
              </w:tc>
              <w:tc>
                <w:tcPr>
                  <w:tcW w:w="990" w:type="dxa"/>
                  <w:noWrap w:val="0"/>
                  <w:vAlign w:val="center"/>
                </w:tcPr>
                <w:p w14:paraId="4FA0E249">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2.54</w:t>
                  </w:r>
                </w:p>
              </w:tc>
              <w:tc>
                <w:tcPr>
                  <w:tcW w:w="795" w:type="dxa"/>
                  <w:noWrap w:val="0"/>
                  <w:vAlign w:val="center"/>
                </w:tcPr>
                <w:p w14:paraId="689C95FB">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915" w:type="dxa"/>
                  <w:noWrap w:val="0"/>
                  <w:vAlign w:val="center"/>
                </w:tcPr>
                <w:p w14:paraId="2438C6B7">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2.54</w:t>
                  </w:r>
                </w:p>
              </w:tc>
              <w:tc>
                <w:tcPr>
                  <w:tcW w:w="855" w:type="dxa"/>
                  <w:noWrap w:val="0"/>
                  <w:vAlign w:val="center"/>
                </w:tcPr>
                <w:p w14:paraId="352439BD">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2742" w:type="dxa"/>
                  <w:noWrap w:val="0"/>
                  <w:vAlign w:val="center"/>
                </w:tcPr>
                <w:p w14:paraId="3F9EB562">
                  <w:pPr>
                    <w:pStyle w:val="61"/>
                    <w:keepNext w:val="0"/>
                    <w:keepLines w:val="0"/>
                    <w:pageBreakBefore w:val="0"/>
                    <w:widowControl w:val="0"/>
                    <w:kinsoku/>
                    <w:wordWrap/>
                    <w:overflowPunct/>
                    <w:topLinePunct w:val="0"/>
                    <w:autoSpaceDE/>
                    <w:autoSpaceDN/>
                    <w:bidi w:val="0"/>
                    <w:adjustRightInd w:val="0"/>
                    <w:snapToGrid w:val="0"/>
                    <w:spacing w:before="0" w:line="240" w:lineRule="auto"/>
                    <w:ind w:left="0" w:right="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蒸发损耗</w:t>
                  </w:r>
                </w:p>
              </w:tc>
            </w:tr>
            <w:tr w14:paraId="1E461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2821" w:type="dxa"/>
                  <w:noWrap w:val="0"/>
                  <w:vAlign w:val="center"/>
                </w:tcPr>
                <w:p w14:paraId="714763AB">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cs="Times New Roman"/>
                      <w:b/>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养护用水给排水</w:t>
                  </w:r>
                </w:p>
              </w:tc>
              <w:tc>
                <w:tcPr>
                  <w:tcW w:w="990" w:type="dxa"/>
                  <w:noWrap w:val="0"/>
                  <w:vAlign w:val="center"/>
                </w:tcPr>
                <w:p w14:paraId="5D6DD26C">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0.403</w:t>
                  </w:r>
                </w:p>
              </w:tc>
              <w:tc>
                <w:tcPr>
                  <w:tcW w:w="795" w:type="dxa"/>
                  <w:noWrap w:val="0"/>
                  <w:vAlign w:val="center"/>
                </w:tcPr>
                <w:p w14:paraId="4E896B38">
                  <w:pPr>
                    <w:keepNext w:val="0"/>
                    <w:keepLines w:val="0"/>
                    <w:pageBreakBefore w:val="0"/>
                    <w:widowControl/>
                    <w:suppressLineNumbers w:val="0"/>
                    <w:kinsoku/>
                    <w:wordWrap/>
                    <w:overflowPunct/>
                    <w:topLinePunct w:val="0"/>
                    <w:autoSpaceDE/>
                    <w:autoSpaceDN/>
                    <w:bidi w:val="0"/>
                    <w:adjustRightInd w:val="0"/>
                    <w:snapToGrid w:val="0"/>
                    <w:ind w:left="0" w:lef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89.197</w:t>
                  </w:r>
                </w:p>
              </w:tc>
              <w:tc>
                <w:tcPr>
                  <w:tcW w:w="915" w:type="dxa"/>
                  <w:noWrap w:val="0"/>
                  <w:vAlign w:val="center"/>
                </w:tcPr>
                <w:p w14:paraId="2A970E51">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89.6</w:t>
                  </w:r>
                </w:p>
              </w:tc>
              <w:tc>
                <w:tcPr>
                  <w:tcW w:w="855" w:type="dxa"/>
                  <w:noWrap w:val="0"/>
                  <w:vAlign w:val="center"/>
                </w:tcPr>
                <w:p w14:paraId="274296B0">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2742" w:type="dxa"/>
                  <w:noWrap w:val="0"/>
                  <w:vAlign w:val="center"/>
                </w:tcPr>
                <w:p w14:paraId="30BAA4A9">
                  <w:pPr>
                    <w:pStyle w:val="61"/>
                    <w:keepNext w:val="0"/>
                    <w:keepLines w:val="0"/>
                    <w:pageBreakBefore w:val="0"/>
                    <w:widowControl w:val="0"/>
                    <w:kinsoku/>
                    <w:wordWrap/>
                    <w:overflowPunct/>
                    <w:topLinePunct w:val="0"/>
                    <w:autoSpaceDE/>
                    <w:autoSpaceDN/>
                    <w:bidi w:val="0"/>
                    <w:adjustRightInd w:val="0"/>
                    <w:snapToGrid w:val="0"/>
                    <w:spacing w:before="0" w:line="240" w:lineRule="auto"/>
                    <w:ind w:left="0" w:right="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蒸发损耗</w:t>
                  </w:r>
                </w:p>
              </w:tc>
            </w:tr>
            <w:tr w14:paraId="2531F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2821" w:type="dxa"/>
                  <w:noWrap w:val="0"/>
                  <w:vAlign w:val="center"/>
                </w:tcPr>
                <w:p w14:paraId="1C4D6969">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初期雨水</w:t>
                  </w:r>
                </w:p>
              </w:tc>
              <w:tc>
                <w:tcPr>
                  <w:tcW w:w="990" w:type="dxa"/>
                  <w:noWrap w:val="0"/>
                  <w:vAlign w:val="center"/>
                </w:tcPr>
                <w:p w14:paraId="73DA6792">
                  <w:pPr>
                    <w:keepNext w:val="0"/>
                    <w:keepLines w:val="0"/>
                    <w:pageBreakBefore w:val="0"/>
                    <w:widowControl/>
                    <w:suppressLineNumbers w:val="0"/>
                    <w:kinsoku/>
                    <w:wordWrap/>
                    <w:overflowPunct/>
                    <w:topLinePunct w:val="0"/>
                    <w:autoSpaceDE/>
                    <w:autoSpaceDN/>
                    <w:bidi w:val="0"/>
                    <w:adjustRightInd w:val="0"/>
                    <w:snapToGrid w:val="0"/>
                    <w:ind w:left="0"/>
                    <w:jc w:val="center"/>
                    <w:textAlignment w:val="center"/>
                    <w:rPr>
                      <w:rFonts w:hint="default" w:ascii="Times New Roman" w:hAnsi="Times New Roman" w:cs="Times New Roman"/>
                      <w:b/>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89.197</w:t>
                  </w:r>
                </w:p>
              </w:tc>
              <w:tc>
                <w:tcPr>
                  <w:tcW w:w="795" w:type="dxa"/>
                  <w:noWrap w:val="0"/>
                  <w:vAlign w:val="center"/>
                </w:tcPr>
                <w:p w14:paraId="05DBCFF5">
                  <w:pPr>
                    <w:keepNext w:val="0"/>
                    <w:keepLines w:val="0"/>
                    <w:pageBreakBefore w:val="0"/>
                    <w:kinsoku/>
                    <w:wordWrap/>
                    <w:overflowPunct/>
                    <w:topLinePunct w:val="0"/>
                    <w:autoSpaceDE/>
                    <w:autoSpaceDN/>
                    <w:bidi w:val="0"/>
                    <w:adjustRightInd w:val="0"/>
                    <w:snapToGrid w:val="0"/>
                    <w:ind w:left="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915" w:type="dxa"/>
                  <w:noWrap w:val="0"/>
                  <w:vAlign w:val="center"/>
                </w:tcPr>
                <w:p w14:paraId="19FD7EA2">
                  <w:pPr>
                    <w:keepNext w:val="0"/>
                    <w:keepLines w:val="0"/>
                    <w:pageBreakBefore w:val="0"/>
                    <w:widowControl/>
                    <w:suppressLineNumbers w:val="0"/>
                    <w:kinsoku/>
                    <w:wordWrap/>
                    <w:overflowPunct/>
                    <w:topLinePunct w:val="0"/>
                    <w:autoSpaceDE/>
                    <w:autoSpaceDN/>
                    <w:bidi w:val="0"/>
                    <w:adjustRightInd w:val="0"/>
                    <w:snapToGrid w:val="0"/>
                    <w:ind w:left="0" w:leftChars="0"/>
                    <w:jc w:val="center"/>
                    <w:textAlignment w:val="center"/>
                    <w:rPr>
                      <w:rFonts w:hint="default" w:ascii="Times New Roman" w:hAnsi="Times New Roman" w:cs="Times New Roman"/>
                      <w:b/>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89.197</w:t>
                  </w:r>
                </w:p>
              </w:tc>
              <w:tc>
                <w:tcPr>
                  <w:tcW w:w="855" w:type="dxa"/>
                  <w:noWrap w:val="0"/>
                  <w:vAlign w:val="center"/>
                </w:tcPr>
                <w:p w14:paraId="54C26E80">
                  <w:pPr>
                    <w:keepNext w:val="0"/>
                    <w:keepLines w:val="0"/>
                    <w:pageBreakBefore w:val="0"/>
                    <w:kinsoku/>
                    <w:wordWrap/>
                    <w:overflowPunct/>
                    <w:topLinePunct w:val="0"/>
                    <w:autoSpaceDE/>
                    <w:autoSpaceDN/>
                    <w:bidi w:val="0"/>
                    <w:adjustRightInd w:val="0"/>
                    <w:snapToGrid w:val="0"/>
                    <w:ind w:left="0"/>
                    <w:jc w:val="center"/>
                    <w:rPr>
                      <w:rFonts w:hint="default" w:ascii="Times New Roman" w:hAnsi="Times New Roman" w:cs="Times New Roman"/>
                      <w:b/>
                      <w:color w:val="auto"/>
                      <w:sz w:val="21"/>
                      <w:szCs w:val="21"/>
                      <w:highlight w:val="none"/>
                      <w:vertAlign w:val="baseline"/>
                      <w:lang w:val="en-US" w:eastAsia="zh-CN"/>
                    </w:rPr>
                  </w:pPr>
                  <w:r>
                    <w:rPr>
                      <w:rFonts w:hint="default" w:ascii="Times New Roman" w:hAnsi="Times New Roman" w:cs="Times New Roman"/>
                      <w:b w:val="0"/>
                      <w:bCs/>
                      <w:color w:val="auto"/>
                      <w:sz w:val="21"/>
                      <w:szCs w:val="21"/>
                      <w:highlight w:val="none"/>
                      <w:vertAlign w:val="baseline"/>
                      <w:lang w:val="en-US" w:eastAsia="zh-CN"/>
                    </w:rPr>
                    <w:t>0</w:t>
                  </w:r>
                </w:p>
              </w:tc>
              <w:tc>
                <w:tcPr>
                  <w:tcW w:w="2742" w:type="dxa"/>
                  <w:noWrap w:val="0"/>
                  <w:vAlign w:val="center"/>
                </w:tcPr>
                <w:p w14:paraId="0DF9BF9A">
                  <w:pPr>
                    <w:pStyle w:val="61"/>
                    <w:keepNext w:val="0"/>
                    <w:keepLines w:val="0"/>
                    <w:pageBreakBefore w:val="0"/>
                    <w:widowControl w:val="0"/>
                    <w:kinsoku/>
                    <w:wordWrap/>
                    <w:overflowPunct/>
                    <w:topLinePunct w:val="0"/>
                    <w:autoSpaceDE/>
                    <w:autoSpaceDN/>
                    <w:bidi w:val="0"/>
                    <w:adjustRightInd w:val="0"/>
                    <w:snapToGrid w:val="0"/>
                    <w:spacing w:before="0" w:line="240" w:lineRule="auto"/>
                    <w:ind w:left="0" w:right="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经雨水收集池沉淀后回用于养护用水</w:t>
                  </w:r>
                </w:p>
              </w:tc>
            </w:tr>
            <w:tr w14:paraId="560D5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821" w:type="dxa"/>
                  <w:noWrap w:val="0"/>
                  <w:vAlign w:val="center"/>
                </w:tcPr>
                <w:p w14:paraId="045B01E9">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生活用水给排水</w:t>
                  </w:r>
                </w:p>
              </w:tc>
              <w:tc>
                <w:tcPr>
                  <w:tcW w:w="990" w:type="dxa"/>
                  <w:noWrap w:val="0"/>
                  <w:vAlign w:val="center"/>
                </w:tcPr>
                <w:p w14:paraId="287C5E17">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795" w:type="dxa"/>
                  <w:noWrap w:val="0"/>
                  <w:vAlign w:val="center"/>
                </w:tcPr>
                <w:p w14:paraId="2A73D235">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915" w:type="dxa"/>
                  <w:noWrap w:val="0"/>
                  <w:vAlign w:val="center"/>
                </w:tcPr>
                <w:p w14:paraId="5DF69689">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0.2</w:t>
                  </w:r>
                </w:p>
              </w:tc>
              <w:tc>
                <w:tcPr>
                  <w:tcW w:w="855" w:type="dxa"/>
                  <w:noWrap w:val="0"/>
                  <w:vAlign w:val="center"/>
                </w:tcPr>
                <w:p w14:paraId="36ED7ADA">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jc w:val="center"/>
                    <w:textAlignment w:val="center"/>
                    <w:rPr>
                      <w:rFonts w:hint="default" w:ascii="Times New Roman" w:hAnsi="Times New Roman" w:cs="Times New Roman"/>
                      <w:b w:val="0"/>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1.8</w:t>
                  </w:r>
                </w:p>
              </w:tc>
              <w:tc>
                <w:tcPr>
                  <w:tcW w:w="2742" w:type="dxa"/>
                  <w:noWrap w:val="0"/>
                  <w:vAlign w:val="center"/>
                </w:tcPr>
                <w:p w14:paraId="6F863911">
                  <w:pPr>
                    <w:pStyle w:val="61"/>
                    <w:keepNext w:val="0"/>
                    <w:keepLines w:val="0"/>
                    <w:pageBreakBefore w:val="0"/>
                    <w:widowControl w:val="0"/>
                    <w:kinsoku/>
                    <w:wordWrap/>
                    <w:overflowPunct/>
                    <w:topLinePunct w:val="0"/>
                    <w:autoSpaceDE/>
                    <w:autoSpaceDN/>
                    <w:bidi w:val="0"/>
                    <w:adjustRightInd w:val="0"/>
                    <w:snapToGrid w:val="0"/>
                    <w:spacing w:before="0" w:line="240" w:lineRule="auto"/>
                    <w:ind w:left="0" w:leftChars="0" w:right="0" w:right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博罗县罗阳街道小金生活污水处理厂</w:t>
                  </w:r>
                </w:p>
              </w:tc>
            </w:tr>
            <w:tr w14:paraId="3E6EB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821" w:type="dxa"/>
                  <w:noWrap w:val="0"/>
                  <w:vAlign w:val="center"/>
                </w:tcPr>
                <w:p w14:paraId="5F0EB316">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总</w:t>
                  </w:r>
                </w:p>
              </w:tc>
              <w:tc>
                <w:tcPr>
                  <w:tcW w:w="990" w:type="dxa"/>
                  <w:noWrap w:val="0"/>
                  <w:vAlign w:val="center"/>
                </w:tcPr>
                <w:p w14:paraId="55043C9B">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186.</w:t>
                  </w:r>
                  <w:r>
                    <w:rPr>
                      <w:rFonts w:hint="eastAsia" w:ascii="Times New Roman" w:hAnsi="Times New Roman" w:eastAsia="宋体" w:cs="Times New Roman"/>
                      <w:b/>
                      <w:bCs/>
                      <w:i w:val="0"/>
                      <w:iCs w:val="0"/>
                      <w:color w:val="auto"/>
                      <w:kern w:val="0"/>
                      <w:sz w:val="21"/>
                      <w:szCs w:val="21"/>
                      <w:highlight w:val="none"/>
                      <w:u w:val="none"/>
                      <w:lang w:val="en-US" w:eastAsia="zh-CN" w:bidi="ar"/>
                    </w:rPr>
                    <w:t>409</w:t>
                  </w:r>
                </w:p>
              </w:tc>
              <w:tc>
                <w:tcPr>
                  <w:tcW w:w="795" w:type="dxa"/>
                  <w:noWrap w:val="0"/>
                  <w:vAlign w:val="center"/>
                </w:tcPr>
                <w:p w14:paraId="51B01A4A">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96.</w:t>
                  </w:r>
                  <w:r>
                    <w:rPr>
                      <w:rFonts w:hint="eastAsia" w:ascii="Times New Roman" w:hAnsi="Times New Roman" w:eastAsia="宋体" w:cs="Times New Roman"/>
                      <w:b/>
                      <w:bCs/>
                      <w:i w:val="0"/>
                      <w:iCs w:val="0"/>
                      <w:color w:val="auto"/>
                      <w:kern w:val="0"/>
                      <w:sz w:val="21"/>
                      <w:szCs w:val="21"/>
                      <w:highlight w:val="none"/>
                      <w:u w:val="none"/>
                      <w:lang w:val="en-US" w:eastAsia="zh-CN" w:bidi="ar"/>
                    </w:rPr>
                    <w:t>477</w:t>
                  </w:r>
                </w:p>
              </w:tc>
              <w:tc>
                <w:tcPr>
                  <w:tcW w:w="915" w:type="dxa"/>
                  <w:noWrap w:val="0"/>
                  <w:vAlign w:val="center"/>
                </w:tcPr>
                <w:p w14:paraId="24A73822">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273.806</w:t>
                  </w:r>
                </w:p>
              </w:tc>
              <w:tc>
                <w:tcPr>
                  <w:tcW w:w="855" w:type="dxa"/>
                  <w:noWrap w:val="0"/>
                  <w:vAlign w:val="center"/>
                </w:tcPr>
                <w:p w14:paraId="73CB5974">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9.08</w:t>
                  </w:r>
                </w:p>
              </w:tc>
              <w:tc>
                <w:tcPr>
                  <w:tcW w:w="2742" w:type="dxa"/>
                  <w:noWrap w:val="0"/>
                  <w:vAlign w:val="center"/>
                </w:tcPr>
                <w:p w14:paraId="58602E66">
                  <w:pPr>
                    <w:pStyle w:val="61"/>
                    <w:keepNext w:val="0"/>
                    <w:keepLines w:val="0"/>
                    <w:pageBreakBefore w:val="0"/>
                    <w:widowControl w:val="0"/>
                    <w:kinsoku/>
                    <w:wordWrap/>
                    <w:overflowPunct/>
                    <w:topLinePunct w:val="0"/>
                    <w:autoSpaceDE/>
                    <w:autoSpaceDN/>
                    <w:bidi w:val="0"/>
                    <w:adjustRightInd w:val="0"/>
                    <w:snapToGrid w:val="0"/>
                    <w:spacing w:before="0" w:line="240" w:lineRule="auto"/>
                    <w:ind w:left="0" w:leftChars="0" w:right="0" w:right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w:t>
                  </w:r>
                </w:p>
              </w:tc>
            </w:tr>
          </w:tbl>
          <w:p w14:paraId="28FCD4F7">
            <w:pPr>
              <w:pStyle w:val="33"/>
              <w:keepNext w:val="0"/>
              <w:keepLines w:val="0"/>
              <w:pageBreakBefore w:val="0"/>
              <w:widowControl w:val="0"/>
              <w:numPr>
                <w:ilvl w:val="0"/>
                <w:numId w:val="0"/>
              </w:numPr>
              <w:kinsoku/>
              <w:wordWrap/>
              <w:overflowPunct/>
              <w:topLinePunct w:val="0"/>
              <w:autoSpaceDE/>
              <w:autoSpaceDN/>
              <w:bidi w:val="0"/>
              <w:spacing w:after="0" w:line="240" w:lineRule="auto"/>
              <w:jc w:val="center"/>
              <w:textAlignment w:val="auto"/>
              <w:rPr>
                <w:rFonts w:hint="default" w:ascii="Times New Roman" w:hAnsi="Times New Roman" w:cs="Times New Roman"/>
                <w:color w:val="auto"/>
                <w:highlight w:val="none"/>
                <w:lang w:eastAsia="zh-CN"/>
              </w:rPr>
            </w:pPr>
            <w:r>
              <w:rPr>
                <w:color w:val="auto"/>
                <w:highlight w:val="none"/>
              </w:rPr>
              <w:drawing>
                <wp:inline distT="0" distB="0" distL="114300" distR="114300">
                  <wp:extent cx="5600700" cy="4933950"/>
                  <wp:effectExtent l="0" t="0" r="0" b="0"/>
                  <wp:docPr id="12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6"/>
                          <pic:cNvPicPr>
                            <a:picLocks noChangeAspect="1"/>
                          </pic:cNvPicPr>
                        </pic:nvPicPr>
                        <pic:blipFill>
                          <a:blip r:embed="rId14"/>
                          <a:stretch>
                            <a:fillRect/>
                          </a:stretch>
                        </pic:blipFill>
                        <pic:spPr>
                          <a:xfrm>
                            <a:off x="0" y="0"/>
                            <a:ext cx="5600700" cy="4933950"/>
                          </a:xfrm>
                          <a:prstGeom prst="rect">
                            <a:avLst/>
                          </a:prstGeom>
                          <a:noFill/>
                          <a:ln>
                            <a:noFill/>
                          </a:ln>
                        </pic:spPr>
                      </pic:pic>
                    </a:graphicData>
                  </a:graphic>
                </wp:inline>
              </w:drawing>
            </w:r>
          </w:p>
          <w:p w14:paraId="26F46CE7">
            <w:pPr>
              <w:pStyle w:val="43"/>
              <w:keepNext w:val="0"/>
              <w:keepLines w:val="0"/>
              <w:pageBreakBefore w:val="0"/>
              <w:widowControl w:val="0"/>
              <w:kinsoku/>
              <w:wordWrap/>
              <w:overflowPunct/>
              <w:topLinePunct w:val="0"/>
              <w:autoSpaceDE w:val="0"/>
              <w:autoSpaceDN w:val="0"/>
              <w:bidi w:val="0"/>
              <w:adjustRightInd w:val="0"/>
              <w:snapToGrid w:val="0"/>
              <w:spacing w:line="360" w:lineRule="auto"/>
              <w:jc w:val="center"/>
              <w:textAlignment w:val="baseline"/>
              <w:rPr>
                <w:rFonts w:hint="default" w:ascii="Times New Roman" w:hAnsi="Times New Roman" w:cs="Times New Roman"/>
                <w:color w:val="auto"/>
                <w:highlight w:val="none"/>
              </w:rPr>
            </w:pPr>
            <w:r>
              <w:rPr>
                <w:rFonts w:hint="default" w:ascii="Times New Roman" w:hAnsi="Times New Roman" w:cs="Times New Roman"/>
                <w:b/>
                <w:bCs/>
                <w:color w:val="auto"/>
                <w:sz w:val="21"/>
                <w:szCs w:val="21"/>
                <w:highlight w:val="none"/>
              </w:rPr>
              <w:t>图</w:t>
            </w:r>
            <w:r>
              <w:rPr>
                <w:rFonts w:hint="default" w:ascii="Times New Roman" w:hAnsi="Times New Roman" w:cs="Times New Roman"/>
                <w:b/>
                <w:bCs/>
                <w:color w:val="auto"/>
                <w:sz w:val="21"/>
                <w:szCs w:val="21"/>
                <w:highlight w:val="none"/>
                <w:lang w:val="en-US" w:eastAsia="zh-CN"/>
              </w:rPr>
              <w:t>2-2</w:t>
            </w:r>
            <w:r>
              <w:rPr>
                <w:rFonts w:hint="default" w:ascii="Times New Roman" w:hAnsi="Times New Roman" w:cs="Times New Roman"/>
                <w:b/>
                <w:bCs/>
                <w:color w:val="auto"/>
                <w:sz w:val="21"/>
                <w:szCs w:val="21"/>
                <w:highlight w:val="none"/>
              </w:rPr>
              <w:t xml:space="preserve"> </w:t>
            </w:r>
            <w:r>
              <w:rPr>
                <w:rFonts w:hint="default" w:ascii="Times New Roman" w:hAnsi="Times New Roman" w:cs="Times New Roman"/>
                <w:b/>
                <w:bCs/>
                <w:color w:val="auto"/>
                <w:sz w:val="21"/>
                <w:szCs w:val="21"/>
                <w:highlight w:val="none"/>
                <w:lang w:eastAsia="zh-CN"/>
              </w:rPr>
              <w:t>项目</w:t>
            </w:r>
            <w:r>
              <w:rPr>
                <w:rFonts w:hint="default" w:ascii="Times New Roman" w:hAnsi="Times New Roman" w:cs="Times New Roman"/>
                <w:b/>
                <w:bCs/>
                <w:color w:val="auto"/>
                <w:sz w:val="21"/>
                <w:szCs w:val="21"/>
                <w:highlight w:val="none"/>
                <w:lang w:val="en-US" w:eastAsia="zh-CN"/>
              </w:rPr>
              <w:t>非降雨期水</w:t>
            </w:r>
            <w:r>
              <w:rPr>
                <w:rFonts w:hint="default" w:ascii="Times New Roman" w:hAnsi="Times New Roman" w:cs="Times New Roman"/>
                <w:b/>
                <w:bCs/>
                <w:color w:val="auto"/>
                <w:sz w:val="21"/>
                <w:szCs w:val="21"/>
                <w:highlight w:val="none"/>
              </w:rPr>
              <w:t>平衡</w:t>
            </w:r>
            <w:r>
              <w:rPr>
                <w:rFonts w:hint="default" w:ascii="Times New Roman" w:hAnsi="Times New Roman" w:cs="Times New Roman"/>
                <w:b/>
                <w:bCs/>
                <w:color w:val="auto"/>
                <w:sz w:val="21"/>
                <w:szCs w:val="21"/>
                <w:highlight w:val="none"/>
                <w:lang w:eastAsia="zh-CN"/>
              </w:rPr>
              <w:t>图</w:t>
            </w:r>
            <w:r>
              <w:rPr>
                <w:rFonts w:hint="default" w:ascii="Times New Roman" w:hAnsi="Times New Roman" w:cs="Times New Roman"/>
                <w:b/>
                <w:bCs/>
                <w:color w:val="auto"/>
                <w:sz w:val="21"/>
                <w:szCs w:val="21"/>
                <w:highlight w:val="none"/>
              </w:rPr>
              <w:t>（t/d）</w:t>
            </w:r>
          </w:p>
          <w:p w14:paraId="58943752">
            <w:pPr>
              <w:pStyle w:val="5"/>
              <w:ind w:left="0" w:leftChars="0" w:firstLine="0" w:firstLineChars="0"/>
              <w:rPr>
                <w:rFonts w:hint="default" w:ascii="Times New Roman" w:hAnsi="Times New Roman" w:cs="Times New Roman"/>
                <w:color w:val="auto"/>
                <w:highlight w:val="none"/>
              </w:rPr>
            </w:pPr>
          </w:p>
          <w:p w14:paraId="1E20BF49">
            <w:pPr>
              <w:rPr>
                <w:rFonts w:hint="default"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lang w:val="en-US" w:eastAsia="zh-CN"/>
              </w:rPr>
              <w:t xml:space="preserve">   </w:t>
            </w:r>
          </w:p>
          <w:p w14:paraId="265FF3E3">
            <w:pPr>
              <w:pStyle w:val="43"/>
              <w:rPr>
                <w:rFonts w:hint="default" w:ascii="Times New Roman" w:hAnsi="Times New Roman" w:cs="Times New Roman"/>
                <w:color w:val="auto"/>
                <w:highlight w:val="none"/>
              </w:rPr>
            </w:pPr>
          </w:p>
          <w:p w14:paraId="02AAB6A3">
            <w:pPr>
              <w:pStyle w:val="5"/>
              <w:rPr>
                <w:rFonts w:hint="default" w:ascii="Times New Roman" w:hAnsi="Times New Roman" w:cs="Times New Roman"/>
                <w:color w:val="auto"/>
                <w:highlight w:val="none"/>
              </w:rPr>
            </w:pPr>
          </w:p>
          <w:p w14:paraId="5707AD8F">
            <w:pPr>
              <w:rPr>
                <w:rFonts w:hint="default" w:ascii="Times New Roman" w:hAnsi="Times New Roman" w:cs="Times New Roman"/>
                <w:color w:val="auto"/>
                <w:highlight w:val="none"/>
              </w:rPr>
            </w:pPr>
          </w:p>
          <w:p w14:paraId="3613CC4A">
            <w:pPr>
              <w:pStyle w:val="43"/>
              <w:rPr>
                <w:rFonts w:hint="default" w:ascii="Times New Roman" w:hAnsi="Times New Roman" w:cs="Times New Roman"/>
                <w:color w:val="auto"/>
                <w:highlight w:val="none"/>
              </w:rPr>
            </w:pPr>
          </w:p>
          <w:p w14:paraId="6EF2537E">
            <w:pPr>
              <w:pStyle w:val="5"/>
              <w:rPr>
                <w:rFonts w:hint="default" w:ascii="Times New Roman" w:hAnsi="Times New Roman" w:cs="Times New Roman"/>
                <w:color w:val="auto"/>
                <w:highlight w:val="none"/>
              </w:rPr>
            </w:pPr>
          </w:p>
          <w:p w14:paraId="1B2F37A0">
            <w:pPr>
              <w:rPr>
                <w:rFonts w:hint="default" w:ascii="Times New Roman" w:hAnsi="Times New Roman" w:cs="Times New Roman"/>
                <w:color w:val="auto"/>
                <w:highlight w:val="none"/>
              </w:rPr>
            </w:pPr>
          </w:p>
          <w:p w14:paraId="10C4624A">
            <w:pPr>
              <w:pStyle w:val="43"/>
              <w:rPr>
                <w:rFonts w:hint="default" w:ascii="Times New Roman" w:hAnsi="Times New Roman" w:cs="Times New Roman"/>
                <w:color w:val="auto"/>
                <w:highlight w:val="none"/>
              </w:rPr>
            </w:pPr>
          </w:p>
          <w:p w14:paraId="6AA49160">
            <w:pPr>
              <w:pStyle w:val="5"/>
              <w:rPr>
                <w:rFonts w:hint="default" w:ascii="Times New Roman" w:hAnsi="Times New Roman" w:cs="Times New Roman"/>
                <w:color w:val="auto"/>
                <w:highlight w:val="none"/>
              </w:rPr>
            </w:pPr>
          </w:p>
          <w:p w14:paraId="2D1039F3">
            <w:pPr>
              <w:rPr>
                <w:rFonts w:hint="default" w:ascii="Times New Roman" w:hAnsi="Times New Roman" w:cs="Times New Roman"/>
                <w:color w:val="auto"/>
                <w:highlight w:val="none"/>
              </w:rPr>
            </w:pPr>
          </w:p>
          <w:p w14:paraId="3FD00303">
            <w:pPr>
              <w:pStyle w:val="43"/>
              <w:rPr>
                <w:rFonts w:hint="default" w:ascii="Times New Roman" w:hAnsi="Times New Roman" w:cs="Times New Roman"/>
                <w:color w:val="auto"/>
                <w:highlight w:val="none"/>
              </w:rPr>
            </w:pPr>
          </w:p>
          <w:p w14:paraId="35B10E51">
            <w:pPr>
              <w:pStyle w:val="5"/>
              <w:rPr>
                <w:rFonts w:hint="default" w:ascii="Times New Roman" w:hAnsi="Times New Roman" w:cs="Times New Roman"/>
                <w:color w:val="auto"/>
                <w:highlight w:val="none"/>
              </w:rPr>
            </w:pPr>
          </w:p>
          <w:p w14:paraId="38385933">
            <w:pPr>
              <w:rPr>
                <w:rFonts w:hint="default" w:ascii="Times New Roman" w:hAnsi="Times New Roman" w:cs="Times New Roman"/>
                <w:color w:val="auto"/>
                <w:highlight w:val="none"/>
              </w:rPr>
            </w:pPr>
          </w:p>
          <w:p w14:paraId="227AF8A6">
            <w:pPr>
              <w:pStyle w:val="43"/>
              <w:rPr>
                <w:rFonts w:hint="default" w:ascii="Times New Roman" w:hAnsi="Times New Roman" w:cs="Times New Roman"/>
                <w:color w:val="auto"/>
                <w:highlight w:val="none"/>
              </w:rPr>
            </w:pPr>
          </w:p>
          <w:p w14:paraId="71A828E2">
            <w:pPr>
              <w:pStyle w:val="5"/>
              <w:rPr>
                <w:rFonts w:hint="default" w:ascii="Times New Roman" w:hAnsi="Times New Roman" w:cs="Times New Roman"/>
                <w:color w:val="auto"/>
                <w:highlight w:val="none"/>
              </w:rPr>
            </w:pPr>
          </w:p>
          <w:p w14:paraId="60E956C5">
            <w:pPr>
              <w:rPr>
                <w:rFonts w:hint="default" w:ascii="Times New Roman" w:hAnsi="Times New Roman" w:cs="Times New Roman"/>
                <w:color w:val="auto"/>
                <w:highlight w:val="none"/>
              </w:rPr>
            </w:pPr>
          </w:p>
          <w:p w14:paraId="1E4FA266">
            <w:pPr>
              <w:pStyle w:val="43"/>
              <w:rPr>
                <w:rFonts w:hint="default" w:ascii="Times New Roman" w:hAnsi="Times New Roman" w:cs="Times New Roman"/>
                <w:color w:val="auto"/>
                <w:highlight w:val="none"/>
              </w:rPr>
            </w:pPr>
          </w:p>
          <w:p w14:paraId="56F9B48F">
            <w:pPr>
              <w:pStyle w:val="5"/>
              <w:rPr>
                <w:rFonts w:hint="default" w:ascii="Times New Roman" w:hAnsi="Times New Roman" w:cs="Times New Roman"/>
                <w:color w:val="auto"/>
                <w:highlight w:val="none"/>
              </w:rPr>
            </w:pPr>
          </w:p>
          <w:p w14:paraId="581DCA20">
            <w:pPr>
              <w:rPr>
                <w:rFonts w:hint="default" w:ascii="Times New Roman" w:hAnsi="Times New Roman" w:cs="Times New Roman"/>
                <w:color w:val="auto"/>
                <w:highlight w:val="none"/>
              </w:rPr>
            </w:pPr>
          </w:p>
          <w:p w14:paraId="73F38E54">
            <w:pPr>
              <w:pStyle w:val="43"/>
              <w:rPr>
                <w:rFonts w:hint="default" w:ascii="Times New Roman" w:hAnsi="Times New Roman" w:cs="Times New Roman"/>
                <w:color w:val="auto"/>
                <w:highlight w:val="none"/>
              </w:rPr>
            </w:pPr>
          </w:p>
          <w:p w14:paraId="31C6CFF6">
            <w:pPr>
              <w:pStyle w:val="5"/>
              <w:rPr>
                <w:rFonts w:hint="default" w:ascii="Times New Roman" w:hAnsi="Times New Roman" w:cs="Times New Roman"/>
                <w:color w:val="auto"/>
                <w:highlight w:val="none"/>
              </w:rPr>
            </w:pPr>
          </w:p>
          <w:p w14:paraId="1BC093A9">
            <w:pPr>
              <w:rPr>
                <w:rFonts w:hint="default" w:ascii="Times New Roman" w:hAnsi="Times New Roman" w:cs="Times New Roman"/>
                <w:color w:val="auto"/>
                <w:highlight w:val="none"/>
              </w:rPr>
            </w:pPr>
          </w:p>
          <w:p w14:paraId="2FBDA8D2">
            <w:pPr>
              <w:pStyle w:val="43"/>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highlight w:val="none"/>
              </w:rPr>
            </w:pPr>
          </w:p>
          <w:p w14:paraId="227D6DF5">
            <w:pPr>
              <w:pStyle w:val="43"/>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b/>
                <w:bCs/>
                <w:color w:val="auto"/>
                <w:sz w:val="21"/>
                <w:szCs w:val="21"/>
                <w:highlight w:val="none"/>
              </w:rPr>
            </w:pPr>
            <w:r>
              <w:rPr>
                <w:color w:val="auto"/>
                <w:highlight w:val="none"/>
              </w:rPr>
              <w:drawing>
                <wp:inline distT="0" distB="0" distL="114300" distR="114300">
                  <wp:extent cx="5667375" cy="4781550"/>
                  <wp:effectExtent l="0" t="0" r="9525" b="0"/>
                  <wp:docPr id="11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5"/>
                          <pic:cNvPicPr>
                            <a:picLocks noChangeAspect="1"/>
                          </pic:cNvPicPr>
                        </pic:nvPicPr>
                        <pic:blipFill>
                          <a:blip r:embed="rId15"/>
                          <a:stretch>
                            <a:fillRect/>
                          </a:stretch>
                        </pic:blipFill>
                        <pic:spPr>
                          <a:xfrm>
                            <a:off x="0" y="0"/>
                            <a:ext cx="5667375" cy="4781550"/>
                          </a:xfrm>
                          <a:prstGeom prst="rect">
                            <a:avLst/>
                          </a:prstGeom>
                          <a:noFill/>
                          <a:ln>
                            <a:noFill/>
                          </a:ln>
                        </pic:spPr>
                      </pic:pic>
                    </a:graphicData>
                  </a:graphic>
                </wp:inline>
              </w:drawing>
            </w:r>
          </w:p>
          <w:p w14:paraId="20F21BD3">
            <w:pPr>
              <w:pStyle w:val="43"/>
              <w:keepNext w:val="0"/>
              <w:keepLines w:val="0"/>
              <w:pageBreakBefore w:val="0"/>
              <w:widowControl w:val="0"/>
              <w:kinsoku/>
              <w:wordWrap/>
              <w:overflowPunct/>
              <w:topLinePunct w:val="0"/>
              <w:autoSpaceDE w:val="0"/>
              <w:autoSpaceDN w:val="0"/>
              <w:bidi w:val="0"/>
              <w:adjustRightInd w:val="0"/>
              <w:snapToGrid w:val="0"/>
              <w:spacing w:line="360" w:lineRule="auto"/>
              <w:jc w:val="center"/>
              <w:textAlignment w:val="baseline"/>
              <w:rPr>
                <w:rFonts w:hint="default" w:ascii="Times New Roman" w:hAnsi="Times New Roman" w:eastAsia="宋体" w:cs="Times New Roman"/>
                <w:b/>
                <w:bCs/>
                <w:color w:val="auto"/>
                <w:sz w:val="21"/>
                <w:szCs w:val="21"/>
                <w:highlight w:val="none"/>
                <w:lang w:eastAsia="zh-CN"/>
              </w:rPr>
            </w:pPr>
            <w:r>
              <w:rPr>
                <w:rFonts w:hint="default" w:ascii="Times New Roman" w:hAnsi="Times New Roman" w:cs="Times New Roman"/>
                <w:b/>
                <w:bCs/>
                <w:color w:val="auto"/>
                <w:sz w:val="21"/>
                <w:szCs w:val="21"/>
                <w:highlight w:val="none"/>
              </w:rPr>
              <w:t>图</w:t>
            </w:r>
            <w:r>
              <w:rPr>
                <w:rFonts w:hint="default" w:ascii="Times New Roman" w:hAnsi="Times New Roman" w:cs="Times New Roman"/>
                <w:b/>
                <w:bCs/>
                <w:color w:val="auto"/>
                <w:sz w:val="21"/>
                <w:szCs w:val="21"/>
                <w:highlight w:val="none"/>
                <w:lang w:val="en-US" w:eastAsia="zh-CN"/>
              </w:rPr>
              <w:t>2-3</w:t>
            </w:r>
            <w:r>
              <w:rPr>
                <w:rFonts w:hint="default" w:ascii="Times New Roman" w:hAnsi="Times New Roman" w:cs="Times New Roman"/>
                <w:b/>
                <w:bCs/>
                <w:color w:val="auto"/>
                <w:sz w:val="21"/>
                <w:szCs w:val="21"/>
                <w:highlight w:val="none"/>
              </w:rPr>
              <w:t xml:space="preserve"> </w:t>
            </w:r>
            <w:r>
              <w:rPr>
                <w:rFonts w:hint="default" w:ascii="Times New Roman" w:hAnsi="Times New Roman" w:cs="Times New Roman"/>
                <w:b/>
                <w:bCs/>
                <w:color w:val="auto"/>
                <w:sz w:val="21"/>
                <w:szCs w:val="21"/>
                <w:highlight w:val="none"/>
                <w:lang w:eastAsia="zh-CN"/>
              </w:rPr>
              <w:t>项目</w:t>
            </w:r>
            <w:r>
              <w:rPr>
                <w:rFonts w:hint="default" w:ascii="Times New Roman" w:hAnsi="Times New Roman" w:cs="Times New Roman"/>
                <w:b/>
                <w:bCs/>
                <w:color w:val="auto"/>
                <w:sz w:val="21"/>
                <w:szCs w:val="21"/>
                <w:highlight w:val="none"/>
                <w:lang w:val="en-US" w:eastAsia="zh-CN"/>
              </w:rPr>
              <w:t>降雨期水</w:t>
            </w:r>
            <w:r>
              <w:rPr>
                <w:rFonts w:hint="default" w:ascii="Times New Roman" w:hAnsi="Times New Roman" w:cs="Times New Roman"/>
                <w:b/>
                <w:bCs/>
                <w:color w:val="auto"/>
                <w:sz w:val="21"/>
                <w:szCs w:val="21"/>
                <w:highlight w:val="none"/>
              </w:rPr>
              <w:t>平衡</w:t>
            </w:r>
            <w:r>
              <w:rPr>
                <w:rFonts w:hint="default" w:ascii="Times New Roman" w:hAnsi="Times New Roman" w:cs="Times New Roman"/>
                <w:b/>
                <w:bCs/>
                <w:color w:val="auto"/>
                <w:sz w:val="21"/>
                <w:szCs w:val="21"/>
                <w:highlight w:val="none"/>
                <w:lang w:eastAsia="zh-CN"/>
              </w:rPr>
              <w:t>图</w:t>
            </w:r>
            <w:r>
              <w:rPr>
                <w:rFonts w:hint="default" w:ascii="Times New Roman" w:hAnsi="Times New Roman" w:cs="Times New Roman"/>
                <w:b/>
                <w:bCs/>
                <w:color w:val="auto"/>
                <w:sz w:val="21"/>
                <w:szCs w:val="21"/>
                <w:highlight w:val="none"/>
              </w:rPr>
              <w:t>（t/d）</w:t>
            </w:r>
          </w:p>
          <w:p w14:paraId="7EC54B4F">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lang w:val="en-US" w:eastAsia="zh-CN"/>
              </w:rPr>
              <w:t>2.8</w:t>
            </w:r>
            <w:r>
              <w:rPr>
                <w:rFonts w:hint="default" w:ascii="Times New Roman" w:hAnsi="Times New Roman" w:cs="Times New Roman"/>
                <w:b/>
                <w:color w:val="auto"/>
                <w:sz w:val="24"/>
                <w:szCs w:val="24"/>
                <w:highlight w:val="none"/>
              </w:rPr>
              <w:t>、劳动定员及工作制度</w:t>
            </w:r>
          </w:p>
          <w:p w14:paraId="4FEE79D1">
            <w:pPr>
              <w:adjustRightInd w:val="0"/>
              <w:snapToGrid w:val="0"/>
              <w:ind w:firstLine="422" w:firstLineChars="20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表</w:t>
            </w:r>
            <w:r>
              <w:rPr>
                <w:rFonts w:hint="default" w:ascii="Times New Roman" w:hAnsi="Times New Roman" w:cs="Times New Roman"/>
                <w:b/>
                <w:color w:val="auto"/>
                <w:szCs w:val="21"/>
                <w:highlight w:val="none"/>
                <w:lang w:val="en-US" w:eastAsia="zh-CN"/>
              </w:rPr>
              <w:t>2-15 项目</w:t>
            </w:r>
            <w:r>
              <w:rPr>
                <w:rFonts w:hint="default" w:ascii="Times New Roman" w:hAnsi="Times New Roman" w:cs="Times New Roman"/>
                <w:b/>
                <w:color w:val="auto"/>
                <w:szCs w:val="21"/>
                <w:highlight w:val="none"/>
              </w:rPr>
              <w:t>劳动定员情况</w:t>
            </w:r>
          </w:p>
          <w:tbl>
            <w:tblPr>
              <w:tblStyle w:val="34"/>
              <w:tblW w:w="9079" w:type="dxa"/>
              <w:tblInd w:w="-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3"/>
              <w:gridCol w:w="1657"/>
              <w:gridCol w:w="6559"/>
            </w:tblGrid>
            <w:tr w14:paraId="2E8E0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863" w:type="dxa"/>
                  <w:noWrap w:val="0"/>
                  <w:vAlign w:val="center"/>
                </w:tcPr>
                <w:p w14:paraId="73C273D9">
                  <w:pPr>
                    <w:widowControl/>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序号</w:t>
                  </w:r>
                </w:p>
              </w:tc>
              <w:tc>
                <w:tcPr>
                  <w:tcW w:w="1657" w:type="dxa"/>
                  <w:noWrap w:val="0"/>
                  <w:vAlign w:val="center"/>
                </w:tcPr>
                <w:p w14:paraId="3080212A">
                  <w:pPr>
                    <w:widowControl/>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劳动定员</w:t>
                  </w:r>
                </w:p>
              </w:tc>
              <w:tc>
                <w:tcPr>
                  <w:tcW w:w="6559" w:type="dxa"/>
                  <w:noWrap w:val="0"/>
                  <w:vAlign w:val="center"/>
                </w:tcPr>
                <w:p w14:paraId="35E45381">
                  <w:pPr>
                    <w:widowControl/>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备注</w:t>
                  </w:r>
                </w:p>
              </w:tc>
            </w:tr>
            <w:tr w14:paraId="5EACA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863" w:type="dxa"/>
                  <w:noWrap w:val="0"/>
                  <w:vAlign w:val="center"/>
                </w:tcPr>
                <w:p w14:paraId="6A38C004">
                  <w:pPr>
                    <w:widowControl/>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c>
                <w:tcPr>
                  <w:tcW w:w="1657" w:type="dxa"/>
                  <w:noWrap w:val="0"/>
                  <w:vAlign w:val="center"/>
                </w:tcPr>
                <w:p w14:paraId="15FD0EFC">
                  <w:pPr>
                    <w:widowControl/>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60</w:t>
                  </w:r>
                  <w:r>
                    <w:rPr>
                      <w:rFonts w:hint="default" w:ascii="Times New Roman" w:hAnsi="Times New Roman" w:cs="Times New Roman"/>
                      <w:color w:val="auto"/>
                      <w:szCs w:val="21"/>
                      <w:highlight w:val="none"/>
                    </w:rPr>
                    <w:t>人</w:t>
                  </w:r>
                </w:p>
              </w:tc>
              <w:tc>
                <w:tcPr>
                  <w:tcW w:w="6559" w:type="dxa"/>
                  <w:noWrap w:val="0"/>
                  <w:vAlign w:val="center"/>
                </w:tcPr>
                <w:p w14:paraId="2CDFCB39">
                  <w:pPr>
                    <w:widowControl/>
                    <w:jc w:val="center"/>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 w:val="21"/>
                      <w:szCs w:val="21"/>
                      <w:highlight w:val="none"/>
                      <w:lang w:val="en-US" w:eastAsia="zh-CN"/>
                    </w:rPr>
                    <w:t>均不在项目内食宿，</w:t>
                  </w:r>
                  <w:r>
                    <w:rPr>
                      <w:rFonts w:hint="default" w:ascii="Times New Roman" w:hAnsi="Times New Roman" w:cs="Times New Roman"/>
                      <w:color w:val="auto"/>
                      <w:sz w:val="21"/>
                      <w:szCs w:val="21"/>
                      <w:highlight w:val="none"/>
                    </w:rPr>
                    <w:t>年工作</w:t>
                  </w:r>
                  <w:r>
                    <w:rPr>
                      <w:rFonts w:hint="default" w:ascii="Times New Roman" w:hAnsi="Times New Roman" w:cs="Times New Roman"/>
                      <w:color w:val="auto"/>
                      <w:sz w:val="21"/>
                      <w:szCs w:val="21"/>
                      <w:highlight w:val="none"/>
                      <w:lang w:val="en-US" w:eastAsia="zh-CN"/>
                    </w:rPr>
                    <w:t>300</w:t>
                  </w:r>
                  <w:r>
                    <w:rPr>
                      <w:rFonts w:hint="default" w:ascii="Times New Roman" w:hAnsi="Times New Roman" w:cs="Times New Roman"/>
                      <w:color w:val="auto"/>
                      <w:sz w:val="21"/>
                      <w:szCs w:val="21"/>
                      <w:highlight w:val="none"/>
                    </w:rPr>
                    <w:t>天，</w:t>
                  </w:r>
                  <w:r>
                    <w:rPr>
                      <w:rFonts w:hint="default" w:ascii="Times New Roman" w:hAnsi="Times New Roman" w:cs="Times New Roman"/>
                      <w:color w:val="auto"/>
                      <w:sz w:val="21"/>
                      <w:szCs w:val="21"/>
                      <w:highlight w:val="none"/>
                      <w:lang w:val="en-US" w:eastAsia="zh-CN"/>
                    </w:rPr>
                    <w:t>1</w:t>
                  </w:r>
                  <w:r>
                    <w:rPr>
                      <w:rFonts w:hint="default" w:ascii="Times New Roman" w:hAnsi="Times New Roman" w:cs="Times New Roman"/>
                      <w:color w:val="auto"/>
                      <w:sz w:val="21"/>
                      <w:szCs w:val="21"/>
                      <w:highlight w:val="none"/>
                    </w:rPr>
                    <w:t>班</w:t>
                  </w:r>
                  <w:r>
                    <w:rPr>
                      <w:rFonts w:hint="default" w:ascii="Times New Roman" w:hAnsi="Times New Roman" w:cs="Times New Roman"/>
                      <w:color w:val="auto"/>
                      <w:sz w:val="21"/>
                      <w:szCs w:val="21"/>
                      <w:highlight w:val="none"/>
                      <w:lang w:val="en-US" w:eastAsia="zh-CN"/>
                    </w:rPr>
                    <w:t>12</w:t>
                  </w:r>
                  <w:r>
                    <w:rPr>
                      <w:rFonts w:hint="default" w:ascii="Times New Roman" w:hAnsi="Times New Roman" w:cs="Times New Roman"/>
                      <w:color w:val="auto"/>
                      <w:sz w:val="21"/>
                      <w:szCs w:val="21"/>
                      <w:highlight w:val="none"/>
                    </w:rPr>
                    <w:t>小时制</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工作时间8:30-20:30</w:t>
                  </w:r>
                </w:p>
              </w:tc>
            </w:tr>
          </w:tbl>
          <w:p w14:paraId="65B9710A">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cs="Times New Roman"/>
                <w:b/>
                <w:color w:val="auto"/>
                <w:sz w:val="24"/>
                <w:szCs w:val="21"/>
                <w:highlight w:val="none"/>
              </w:rPr>
            </w:pPr>
            <w:r>
              <w:rPr>
                <w:rFonts w:hint="default" w:ascii="Times New Roman" w:hAnsi="Times New Roman" w:cs="Times New Roman"/>
                <w:b/>
                <w:color w:val="auto"/>
                <w:sz w:val="24"/>
                <w:szCs w:val="21"/>
                <w:highlight w:val="none"/>
                <w:lang w:val="en-US" w:eastAsia="zh-CN"/>
              </w:rPr>
              <w:t>2.9</w:t>
            </w:r>
            <w:r>
              <w:rPr>
                <w:rFonts w:hint="default" w:ascii="Times New Roman" w:hAnsi="Times New Roman" w:cs="Times New Roman"/>
                <w:b/>
                <w:color w:val="auto"/>
                <w:sz w:val="24"/>
                <w:szCs w:val="21"/>
                <w:highlight w:val="none"/>
              </w:rPr>
              <w:t>、厂区平面布置</w:t>
            </w:r>
            <w:r>
              <w:rPr>
                <w:rFonts w:hint="default" w:ascii="Times New Roman" w:hAnsi="Times New Roman" w:cs="Times New Roman"/>
                <w:b/>
                <w:color w:val="auto"/>
                <w:sz w:val="24"/>
                <w:szCs w:val="21"/>
                <w:highlight w:val="none"/>
                <w:lang w:eastAsia="zh-CN"/>
              </w:rPr>
              <w:t>合理性分析</w:t>
            </w:r>
          </w:p>
          <w:p w14:paraId="33C8A4BE">
            <w:pPr>
              <w:adjustRightInd w:val="0"/>
              <w:snapToGrid w:val="0"/>
              <w:spacing w:line="360" w:lineRule="auto"/>
              <w:ind w:firstLine="482" w:firstLineChars="200"/>
              <w:rPr>
                <w:rFonts w:hint="default" w:ascii="Times New Roman" w:hAnsi="Times New Roman" w:cs="Times New Roman"/>
                <w:color w:val="auto"/>
                <w:kern w:val="0"/>
                <w:sz w:val="24"/>
                <w:szCs w:val="21"/>
                <w:highlight w:val="none"/>
                <w:lang w:val="en-US" w:eastAsia="zh-CN"/>
              </w:rPr>
            </w:pPr>
            <w:r>
              <w:rPr>
                <w:rFonts w:hint="default" w:ascii="Times New Roman" w:hAnsi="Times New Roman" w:cs="Times New Roman"/>
                <w:b/>
                <w:bCs/>
                <w:color w:val="auto"/>
                <w:kern w:val="0"/>
                <w:sz w:val="24"/>
                <w:szCs w:val="21"/>
                <w:highlight w:val="none"/>
              </w:rPr>
              <w:t>平面布置：</w:t>
            </w:r>
            <w:r>
              <w:rPr>
                <w:rFonts w:hint="default" w:ascii="Times New Roman" w:hAnsi="Times New Roman" w:cs="Times New Roman"/>
                <w:b w:val="0"/>
                <w:bCs w:val="0"/>
                <w:color w:val="auto"/>
                <w:kern w:val="0"/>
                <w:sz w:val="24"/>
                <w:szCs w:val="21"/>
                <w:highlight w:val="none"/>
                <w:lang w:eastAsia="zh-CN"/>
              </w:rPr>
              <w:t>项目</w:t>
            </w:r>
            <w:r>
              <w:rPr>
                <w:rFonts w:hint="default" w:ascii="Times New Roman" w:hAnsi="Times New Roman" w:cs="Times New Roman"/>
                <w:b w:val="0"/>
                <w:bCs w:val="0"/>
                <w:color w:val="auto"/>
                <w:kern w:val="0"/>
                <w:sz w:val="24"/>
                <w:szCs w:val="21"/>
                <w:highlight w:val="none"/>
              </w:rPr>
              <w:t>主</w:t>
            </w:r>
            <w:r>
              <w:rPr>
                <w:rFonts w:hint="default" w:ascii="Times New Roman" w:hAnsi="Times New Roman" w:cs="Times New Roman"/>
                <w:color w:val="auto"/>
                <w:kern w:val="0"/>
                <w:sz w:val="24"/>
                <w:szCs w:val="21"/>
                <w:highlight w:val="none"/>
              </w:rPr>
              <w:t>要</w:t>
            </w:r>
            <w:r>
              <w:rPr>
                <w:rFonts w:hint="default" w:ascii="Times New Roman" w:hAnsi="Times New Roman" w:cs="Times New Roman"/>
                <w:color w:val="auto"/>
                <w:kern w:val="0"/>
                <w:sz w:val="24"/>
                <w:szCs w:val="21"/>
                <w:highlight w:val="none"/>
                <w:lang w:eastAsia="zh-CN"/>
              </w:rPr>
              <w:t>包含</w:t>
            </w:r>
            <w:r>
              <w:rPr>
                <w:rFonts w:hint="default" w:ascii="Times New Roman" w:hAnsi="Times New Roman" w:cs="Times New Roman"/>
                <w:color w:val="auto"/>
                <w:kern w:val="0"/>
                <w:sz w:val="24"/>
                <w:szCs w:val="21"/>
                <w:highlight w:val="none"/>
                <w:lang w:val="en-US" w:eastAsia="zh-CN"/>
              </w:rPr>
              <w:t>1</w:t>
            </w:r>
            <w:r>
              <w:rPr>
                <w:rFonts w:hint="default" w:ascii="Times New Roman" w:hAnsi="Times New Roman" w:cs="Times New Roman"/>
                <w:color w:val="auto"/>
                <w:kern w:val="0"/>
                <w:sz w:val="24"/>
                <w:szCs w:val="21"/>
                <w:highlight w:val="none"/>
              </w:rPr>
              <w:t>栋</w:t>
            </w:r>
            <w:r>
              <w:rPr>
                <w:rFonts w:hint="default" w:ascii="Times New Roman" w:hAnsi="Times New Roman" w:cs="Times New Roman"/>
                <w:color w:val="auto"/>
                <w:kern w:val="0"/>
                <w:sz w:val="24"/>
                <w:szCs w:val="21"/>
                <w:highlight w:val="none"/>
                <w:lang w:val="en-US" w:eastAsia="zh-CN"/>
              </w:rPr>
              <w:t>1层的生产厂房</w:t>
            </w:r>
            <w:r>
              <w:rPr>
                <w:rFonts w:hint="default" w:ascii="Times New Roman" w:hAnsi="Times New Roman" w:cs="Times New Roman"/>
                <w:color w:val="auto"/>
                <w:kern w:val="0"/>
                <w:sz w:val="24"/>
                <w:szCs w:val="24"/>
                <w:highlight w:val="none"/>
                <w:lang w:eastAsia="zh-CN"/>
              </w:rPr>
              <w:t>，</w:t>
            </w:r>
            <w:r>
              <w:rPr>
                <w:rFonts w:hint="default" w:ascii="Times New Roman" w:hAnsi="Times New Roman" w:cs="Times New Roman"/>
                <w:color w:val="auto"/>
                <w:kern w:val="0"/>
                <w:sz w:val="24"/>
                <w:szCs w:val="24"/>
                <w:highlight w:val="none"/>
                <w:lang w:val="en-US" w:eastAsia="zh-CN"/>
              </w:rPr>
              <w:t>1栋1层的锅炉房，1栋1层的配电房，另有搅拌筒仓区、砂料仓、碎石料仓、门卫室。其中生产厂房内</w:t>
            </w:r>
            <w:r>
              <w:rPr>
                <w:rFonts w:hint="default" w:ascii="Times New Roman" w:hAnsi="Times New Roman" w:eastAsia="宋体" w:cs="Times New Roman"/>
                <w:color w:val="auto"/>
                <w:kern w:val="0"/>
                <w:sz w:val="24"/>
                <w:szCs w:val="24"/>
                <w:highlight w:val="none"/>
                <w:lang w:val="en-US" w:eastAsia="zh-CN"/>
              </w:rPr>
              <w:t>主要包含钢筋堆放区、钢筋加工区、实验室、办公室、原料仓、一般固废暂存间、危险废物暂存间，锅炉燃烧废气</w:t>
            </w:r>
            <w:r>
              <w:rPr>
                <w:rFonts w:hint="default" w:ascii="Times New Roman" w:hAnsi="Times New Roman" w:cs="Times New Roman"/>
                <w:color w:val="auto"/>
                <w:kern w:val="0"/>
                <w:sz w:val="24"/>
                <w:szCs w:val="21"/>
                <w:highlight w:val="none"/>
                <w:lang w:val="en-US" w:eastAsia="zh-CN"/>
              </w:rPr>
              <w:t>排气筒DA001及DA001均位于锅炉房楼顶。</w:t>
            </w:r>
            <w:r>
              <w:rPr>
                <w:rFonts w:hint="default" w:ascii="Times New Roman" w:hAnsi="Times New Roman" w:cs="Times New Roman"/>
                <w:b w:val="0"/>
                <w:bCs/>
                <w:color w:val="auto"/>
                <w:sz w:val="24"/>
                <w:szCs w:val="21"/>
                <w:highlight w:val="none"/>
              </w:rPr>
              <w:t>从总的平面布置上看，本项目布局合理</w:t>
            </w:r>
            <w:r>
              <w:rPr>
                <w:rFonts w:hint="default" w:ascii="Times New Roman" w:hAnsi="Times New Roman" w:cs="Times New Roman"/>
                <w:b w:val="0"/>
                <w:bCs/>
                <w:color w:val="auto"/>
                <w:sz w:val="24"/>
                <w:szCs w:val="21"/>
                <w:highlight w:val="none"/>
                <w:lang w:eastAsia="zh-CN"/>
              </w:rPr>
              <w:t>，总平面布置图为附图</w:t>
            </w:r>
            <w:r>
              <w:rPr>
                <w:rFonts w:hint="default" w:ascii="Times New Roman" w:hAnsi="Times New Roman" w:cs="Times New Roman"/>
                <w:b w:val="0"/>
                <w:bCs/>
                <w:color w:val="auto"/>
                <w:sz w:val="24"/>
                <w:szCs w:val="21"/>
                <w:highlight w:val="none"/>
                <w:lang w:val="en-US" w:eastAsia="zh-CN"/>
              </w:rPr>
              <w:t>2</w:t>
            </w:r>
            <w:r>
              <w:rPr>
                <w:rFonts w:hint="default" w:ascii="Times New Roman" w:hAnsi="Times New Roman" w:cs="Times New Roman"/>
                <w:b w:val="0"/>
                <w:bCs/>
                <w:color w:val="auto"/>
                <w:sz w:val="24"/>
                <w:szCs w:val="21"/>
                <w:highlight w:val="none"/>
              </w:rPr>
              <w:t>；从生产厂房内部上看，本项目生产布置依照生产工艺流程呈线状布置，项目交通便利，布置合理。</w:t>
            </w:r>
          </w:p>
          <w:p w14:paraId="65F2ED94">
            <w:pPr>
              <w:adjustRightInd w:val="0"/>
              <w:snapToGrid w:val="0"/>
              <w:spacing w:line="360" w:lineRule="auto"/>
              <w:ind w:firstLine="482" w:firstLineChars="200"/>
              <w:rPr>
                <w:rFonts w:hint="default" w:ascii="Times New Roman" w:hAnsi="Times New Roman" w:cs="Times New Roman"/>
                <w:color w:val="auto"/>
                <w:highlight w:val="none"/>
                <w:lang w:val="en-US" w:eastAsia="zh-CN"/>
              </w:rPr>
            </w:pPr>
            <w:r>
              <w:rPr>
                <w:rFonts w:hint="default" w:ascii="Times New Roman" w:hAnsi="Times New Roman" w:cs="Times New Roman"/>
                <w:b/>
                <w:color w:val="auto"/>
                <w:sz w:val="24"/>
                <w:szCs w:val="21"/>
                <w:highlight w:val="none"/>
                <w:lang w:val="en-US" w:eastAsia="zh-CN"/>
              </w:rPr>
              <w:t>2.10</w:t>
            </w:r>
            <w:r>
              <w:rPr>
                <w:rFonts w:hint="default" w:ascii="Times New Roman" w:hAnsi="Times New Roman" w:cs="Times New Roman"/>
                <w:b/>
                <w:color w:val="auto"/>
                <w:sz w:val="24"/>
                <w:szCs w:val="21"/>
                <w:highlight w:val="none"/>
              </w:rPr>
              <w:t>、厂区四至情况</w:t>
            </w:r>
          </w:p>
          <w:p w14:paraId="2EFF7442">
            <w:pPr>
              <w:adjustRightInd w:val="0"/>
              <w:snapToGrid w:val="0"/>
              <w:spacing w:line="360" w:lineRule="auto"/>
              <w:ind w:firstLine="482" w:firstLineChars="200"/>
              <w:rPr>
                <w:rFonts w:hint="default" w:ascii="Times New Roman" w:hAnsi="Times New Roman" w:cs="Times New Roman"/>
                <w:bCs/>
                <w:color w:val="auto"/>
                <w:sz w:val="24"/>
                <w:szCs w:val="21"/>
                <w:highlight w:val="none"/>
                <w:lang w:val="en-US" w:eastAsia="zh-CN"/>
              </w:rPr>
            </w:pPr>
            <w:r>
              <w:rPr>
                <w:rFonts w:hint="default" w:ascii="Times New Roman" w:hAnsi="Times New Roman" w:cs="Times New Roman"/>
                <w:b/>
                <w:color w:val="auto"/>
                <w:sz w:val="24"/>
                <w:szCs w:val="21"/>
                <w:highlight w:val="none"/>
              </w:rPr>
              <w:t>四至情况：</w:t>
            </w:r>
            <w:r>
              <w:rPr>
                <w:rFonts w:hint="default" w:ascii="Times New Roman" w:hAnsi="Times New Roman" w:cs="Times New Roman"/>
                <w:bCs/>
                <w:color w:val="auto"/>
                <w:sz w:val="24"/>
                <w:szCs w:val="21"/>
                <w:highlight w:val="none"/>
              </w:rPr>
              <w:t>项目位于</w:t>
            </w:r>
            <w:r>
              <w:rPr>
                <w:rFonts w:hint="default" w:ascii="Times New Roman" w:hAnsi="Times New Roman" w:cs="Times New Roman"/>
                <w:bCs/>
                <w:color w:val="auto"/>
                <w:sz w:val="24"/>
                <w:szCs w:val="21"/>
                <w:highlight w:val="none"/>
                <w:lang w:eastAsia="zh-CN"/>
              </w:rPr>
              <w:t>广东省惠州市</w:t>
            </w:r>
            <w:r>
              <w:rPr>
                <w:rFonts w:hint="default" w:ascii="Times New Roman" w:hAnsi="Times New Roman" w:cs="Times New Roman"/>
                <w:color w:val="auto"/>
                <w:sz w:val="24"/>
                <w:szCs w:val="21"/>
                <w:highlight w:val="none"/>
                <w:u w:val="none"/>
                <w:lang w:eastAsia="zh-CN"/>
              </w:rPr>
              <w:t>博罗县罗阳街道小金村（大径小组地段桦泰工业园）</w:t>
            </w:r>
            <w:r>
              <w:rPr>
                <w:rFonts w:hint="default" w:ascii="Times New Roman" w:hAnsi="Times New Roman" w:cs="Times New Roman"/>
                <w:bCs/>
                <w:color w:val="auto"/>
                <w:sz w:val="24"/>
                <w:szCs w:val="21"/>
                <w:highlight w:val="none"/>
              </w:rPr>
              <w:t>，项目</w:t>
            </w:r>
            <w:r>
              <w:rPr>
                <w:rFonts w:hint="default" w:ascii="Times New Roman" w:hAnsi="Times New Roman" w:cs="Times New Roman"/>
                <w:bCs/>
                <w:color w:val="auto"/>
                <w:sz w:val="24"/>
                <w:szCs w:val="21"/>
                <w:highlight w:val="none"/>
                <w:lang w:eastAsia="zh-CN"/>
              </w:rPr>
              <w:t>厂界北</w:t>
            </w:r>
            <w:r>
              <w:rPr>
                <w:rFonts w:hint="default" w:ascii="Times New Roman" w:hAnsi="Times New Roman" w:eastAsia="宋体" w:cs="Times New Roman"/>
                <w:bCs/>
                <w:color w:val="auto"/>
                <w:sz w:val="24"/>
                <w:szCs w:val="21"/>
                <w:highlight w:val="none"/>
                <w:lang w:eastAsia="zh-CN"/>
              </w:rPr>
              <w:t>面为</w:t>
            </w:r>
            <w:r>
              <w:rPr>
                <w:rFonts w:hint="default" w:ascii="Times New Roman" w:hAnsi="Times New Roman" w:cs="Times New Roman"/>
                <w:color w:val="auto"/>
                <w:sz w:val="24"/>
                <w:szCs w:val="21"/>
                <w:highlight w:val="none"/>
                <w:u w:val="none"/>
                <w:lang w:eastAsia="zh-CN"/>
              </w:rPr>
              <w:t>惠州市沃特新材料有限公司</w:t>
            </w:r>
            <w:r>
              <w:rPr>
                <w:rFonts w:hint="default" w:ascii="Times New Roman" w:hAnsi="Times New Roman" w:eastAsia="宋体" w:cs="Times New Roman"/>
                <w:bCs/>
                <w:color w:val="auto"/>
                <w:sz w:val="24"/>
                <w:szCs w:val="21"/>
                <w:highlight w:val="none"/>
                <w:lang w:val="en-US" w:eastAsia="zh-CN"/>
              </w:rPr>
              <w:t>，</w:t>
            </w:r>
            <w:r>
              <w:rPr>
                <w:rFonts w:hint="default" w:ascii="Times New Roman" w:hAnsi="Times New Roman" w:cs="Times New Roman"/>
                <w:bCs/>
                <w:color w:val="auto"/>
                <w:sz w:val="24"/>
                <w:szCs w:val="21"/>
                <w:highlight w:val="none"/>
                <w:lang w:eastAsia="zh-CN"/>
              </w:rPr>
              <w:t>厂界</w:t>
            </w:r>
            <w:r>
              <w:rPr>
                <w:rFonts w:hint="default" w:ascii="Times New Roman" w:hAnsi="Times New Roman" w:cs="Times New Roman"/>
                <w:bCs/>
                <w:color w:val="auto"/>
                <w:sz w:val="24"/>
                <w:szCs w:val="21"/>
                <w:highlight w:val="none"/>
                <w:lang w:val="en-US" w:eastAsia="zh-CN"/>
              </w:rPr>
              <w:t>东面</w:t>
            </w:r>
            <w:r>
              <w:rPr>
                <w:rFonts w:hint="default" w:ascii="Times New Roman" w:hAnsi="Times New Roman" w:eastAsia="宋体" w:cs="Times New Roman"/>
                <w:bCs/>
                <w:color w:val="auto"/>
                <w:sz w:val="24"/>
                <w:szCs w:val="21"/>
                <w:highlight w:val="none"/>
                <w:lang w:val="en-US" w:eastAsia="zh-CN"/>
              </w:rPr>
              <w:t>为</w:t>
            </w:r>
            <w:r>
              <w:rPr>
                <w:rFonts w:hint="eastAsia" w:ascii="Times New Roman" w:hAnsi="Times New Roman" w:eastAsia="宋体" w:cs="Times New Roman"/>
                <w:bCs/>
                <w:color w:val="auto"/>
                <w:sz w:val="24"/>
                <w:szCs w:val="21"/>
                <w:highlight w:val="none"/>
                <w:lang w:val="en-US" w:eastAsia="zh-CN"/>
              </w:rPr>
              <w:t>空地</w:t>
            </w:r>
            <w:r>
              <w:rPr>
                <w:rFonts w:hint="default" w:ascii="Times New Roman" w:hAnsi="Times New Roman" w:eastAsia="宋体" w:cs="Times New Roman"/>
                <w:bCs/>
                <w:color w:val="auto"/>
                <w:sz w:val="24"/>
                <w:szCs w:val="21"/>
                <w:highlight w:val="none"/>
                <w:lang w:val="en-US" w:eastAsia="zh-CN"/>
              </w:rPr>
              <w:t>无名空置厂房，厂界南面为</w:t>
            </w:r>
            <w:r>
              <w:rPr>
                <w:rFonts w:hint="eastAsia" w:ascii="Times New Roman" w:hAnsi="Times New Roman" w:eastAsia="宋体" w:cs="Times New Roman"/>
                <w:bCs/>
                <w:color w:val="auto"/>
                <w:sz w:val="24"/>
                <w:szCs w:val="21"/>
                <w:highlight w:val="none"/>
                <w:lang w:val="en-US" w:eastAsia="zh-CN"/>
              </w:rPr>
              <w:t>广东吉鑫钢构有限公司</w:t>
            </w:r>
            <w:r>
              <w:rPr>
                <w:rFonts w:hint="default" w:ascii="Times New Roman" w:hAnsi="Times New Roman" w:eastAsia="宋体" w:cs="Times New Roman"/>
                <w:bCs/>
                <w:color w:val="auto"/>
                <w:sz w:val="24"/>
                <w:szCs w:val="21"/>
                <w:highlight w:val="none"/>
                <w:lang w:val="en-US" w:eastAsia="zh-CN"/>
              </w:rPr>
              <w:t>，</w:t>
            </w:r>
            <w:r>
              <w:rPr>
                <w:rFonts w:hint="default" w:ascii="Times New Roman" w:hAnsi="Times New Roman" w:cs="Times New Roman"/>
                <w:bCs/>
                <w:color w:val="auto"/>
                <w:sz w:val="24"/>
                <w:szCs w:val="21"/>
                <w:highlight w:val="none"/>
                <w:lang w:val="en-US" w:eastAsia="zh-CN"/>
              </w:rPr>
              <w:t>厂界西面为</w:t>
            </w:r>
            <w:r>
              <w:rPr>
                <w:rFonts w:hint="eastAsia" w:ascii="Times New Roman" w:hAnsi="Times New Roman" w:cs="Times New Roman"/>
                <w:bCs/>
                <w:color w:val="auto"/>
                <w:sz w:val="24"/>
                <w:szCs w:val="21"/>
                <w:highlight w:val="none"/>
                <w:lang w:val="en-US" w:eastAsia="zh-CN"/>
              </w:rPr>
              <w:t>广东鼎盛</w:t>
            </w:r>
            <w:r>
              <w:rPr>
                <w:rFonts w:hint="default" w:ascii="Times New Roman" w:hAnsi="Times New Roman" w:cs="Times New Roman"/>
                <w:bCs/>
                <w:color w:val="auto"/>
                <w:sz w:val="24"/>
                <w:szCs w:val="21"/>
                <w:highlight w:val="none"/>
                <w:lang w:val="en-US" w:eastAsia="zh-CN"/>
              </w:rPr>
              <w:t>筑力钢构有限公司，</w:t>
            </w:r>
            <w:r>
              <w:rPr>
                <w:rFonts w:hint="default" w:ascii="Times New Roman" w:hAnsi="Times New Roman" w:eastAsia="宋体" w:cs="Times New Roman"/>
                <w:bCs/>
                <w:color w:val="auto"/>
                <w:sz w:val="24"/>
                <w:szCs w:val="21"/>
                <w:highlight w:val="none"/>
                <w:lang w:val="en-US" w:eastAsia="zh-CN"/>
              </w:rPr>
              <w:t>距离项目最近的敏感点为西北面的</w:t>
            </w:r>
            <w:r>
              <w:rPr>
                <w:rFonts w:hint="eastAsia" w:ascii="Times New Roman" w:hAnsi="Times New Roman" w:eastAsia="宋体" w:cs="Times New Roman"/>
                <w:color w:val="auto"/>
                <w:sz w:val="24"/>
                <w:szCs w:val="21"/>
                <w:highlight w:val="none"/>
                <w:u w:val="none"/>
                <w:lang w:val="en-US" w:eastAsia="zh-CN"/>
              </w:rPr>
              <w:t>新屋村</w:t>
            </w:r>
            <w:r>
              <w:rPr>
                <w:rFonts w:hint="default" w:ascii="Times New Roman" w:hAnsi="Times New Roman" w:eastAsia="宋体" w:cs="Times New Roman"/>
                <w:color w:val="auto"/>
                <w:sz w:val="24"/>
                <w:szCs w:val="21"/>
                <w:highlight w:val="none"/>
                <w:u w:val="none"/>
                <w:lang w:val="en-US" w:eastAsia="zh-CN"/>
              </w:rPr>
              <w:t>散户</w:t>
            </w:r>
            <w:r>
              <w:rPr>
                <w:rFonts w:hint="default" w:ascii="Times New Roman" w:hAnsi="Times New Roman" w:eastAsia="宋体" w:cs="Times New Roman"/>
                <w:bCs/>
                <w:color w:val="auto"/>
                <w:sz w:val="24"/>
                <w:szCs w:val="21"/>
                <w:highlight w:val="none"/>
                <w:lang w:val="en-US" w:eastAsia="zh-CN"/>
              </w:rPr>
              <w:t>，距离厂界的距离为</w:t>
            </w:r>
            <w:r>
              <w:rPr>
                <w:rFonts w:hint="default" w:ascii="Times New Roman" w:hAnsi="Times New Roman" w:cs="Times New Roman"/>
                <w:bCs/>
                <w:color w:val="auto"/>
                <w:sz w:val="24"/>
                <w:szCs w:val="21"/>
                <w:highlight w:val="none"/>
                <w:lang w:val="en-US" w:eastAsia="zh-CN"/>
              </w:rPr>
              <w:t>8</w:t>
            </w:r>
            <w:r>
              <w:rPr>
                <w:rFonts w:hint="eastAsia" w:ascii="Times New Roman" w:hAnsi="Times New Roman" w:cs="Times New Roman"/>
                <w:bCs/>
                <w:color w:val="auto"/>
                <w:sz w:val="24"/>
                <w:szCs w:val="21"/>
                <w:highlight w:val="none"/>
                <w:lang w:val="en-US" w:eastAsia="zh-CN"/>
              </w:rPr>
              <w:t>6</w:t>
            </w:r>
            <w:r>
              <w:rPr>
                <w:rFonts w:hint="default" w:ascii="Times New Roman" w:hAnsi="Times New Roman" w:eastAsia="宋体" w:cs="Times New Roman"/>
                <w:bCs/>
                <w:color w:val="auto"/>
                <w:sz w:val="24"/>
                <w:szCs w:val="21"/>
                <w:highlight w:val="none"/>
                <w:lang w:val="en-US" w:eastAsia="zh-CN"/>
              </w:rPr>
              <w:t>m，距离产污车间约176m。</w:t>
            </w:r>
            <w:r>
              <w:rPr>
                <w:rFonts w:hint="default" w:ascii="Times New Roman" w:hAnsi="Times New Roman" w:cs="Times New Roman"/>
                <w:bCs/>
                <w:color w:val="auto"/>
                <w:sz w:val="24"/>
                <w:szCs w:val="21"/>
                <w:highlight w:val="none"/>
                <w:lang w:val="en-US" w:eastAsia="zh-CN"/>
              </w:rPr>
              <w:t>项目四至图见附图6。</w:t>
            </w:r>
          </w:p>
          <w:p w14:paraId="17D3A556">
            <w:pPr>
              <w:adjustRightInd w:val="0"/>
              <w:snapToGrid w:val="0"/>
              <w:spacing w:line="240" w:lineRule="auto"/>
              <w:ind w:firstLine="422" w:firstLineChars="20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表</w:t>
            </w:r>
            <w:r>
              <w:rPr>
                <w:rFonts w:hint="default" w:ascii="Times New Roman" w:hAnsi="Times New Roman" w:cs="Times New Roman"/>
                <w:b/>
                <w:color w:val="auto"/>
                <w:szCs w:val="21"/>
                <w:highlight w:val="none"/>
                <w:lang w:val="en-US" w:eastAsia="zh-CN"/>
              </w:rPr>
              <w:t xml:space="preserve">2-16 </w:t>
            </w:r>
            <w:r>
              <w:rPr>
                <w:rFonts w:hint="default" w:ascii="Times New Roman" w:hAnsi="Times New Roman" w:cs="Times New Roman"/>
                <w:b/>
                <w:color w:val="auto"/>
                <w:szCs w:val="21"/>
                <w:highlight w:val="none"/>
              </w:rPr>
              <w:t>项目四至关系一览表</w:t>
            </w:r>
          </w:p>
          <w:tbl>
            <w:tblPr>
              <w:tblStyle w:val="34"/>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1"/>
              <w:gridCol w:w="4133"/>
              <w:gridCol w:w="1616"/>
              <w:gridCol w:w="2209"/>
            </w:tblGrid>
            <w:tr w14:paraId="2AD3A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7" w:hRule="atLeast"/>
                <w:jc w:val="center"/>
              </w:trPr>
              <w:tc>
                <w:tcPr>
                  <w:tcW w:w="1081" w:type="dxa"/>
                  <w:tcBorders>
                    <w:left w:val="single" w:color="auto" w:sz="4" w:space="0"/>
                  </w:tcBorders>
                  <w:noWrap/>
                  <w:vAlign w:val="center"/>
                </w:tcPr>
                <w:p w14:paraId="738622D5">
                  <w:pPr>
                    <w:adjustRightInd w:val="0"/>
                    <w:snapToGrid w:val="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方位</w:t>
                  </w:r>
                </w:p>
              </w:tc>
              <w:tc>
                <w:tcPr>
                  <w:tcW w:w="4133" w:type="dxa"/>
                  <w:noWrap/>
                  <w:vAlign w:val="center"/>
                </w:tcPr>
                <w:p w14:paraId="235094F5">
                  <w:pPr>
                    <w:adjustRightInd w:val="0"/>
                    <w:snapToGrid w:val="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名称</w:t>
                  </w:r>
                </w:p>
              </w:tc>
              <w:tc>
                <w:tcPr>
                  <w:tcW w:w="1616" w:type="dxa"/>
                  <w:noWrap/>
                  <w:vAlign w:val="center"/>
                </w:tcPr>
                <w:p w14:paraId="67DAD1E2">
                  <w:pPr>
                    <w:adjustRightInd w:val="0"/>
                    <w:snapToGrid w:val="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与</w:t>
                  </w:r>
                  <w:r>
                    <w:rPr>
                      <w:rFonts w:hint="default" w:ascii="Times New Roman" w:hAnsi="Times New Roman" w:cs="Times New Roman"/>
                      <w:b/>
                      <w:bCs/>
                      <w:color w:val="auto"/>
                      <w:szCs w:val="21"/>
                      <w:highlight w:val="none"/>
                      <w:lang w:eastAsia="zh-CN"/>
                    </w:rPr>
                    <w:t>厂界</w:t>
                  </w:r>
                  <w:r>
                    <w:rPr>
                      <w:rFonts w:hint="default" w:ascii="Times New Roman" w:hAnsi="Times New Roman" w:cs="Times New Roman"/>
                      <w:b/>
                      <w:bCs/>
                      <w:color w:val="auto"/>
                      <w:szCs w:val="21"/>
                      <w:highlight w:val="none"/>
                    </w:rPr>
                    <w:t>距离</w:t>
                  </w:r>
                </w:p>
              </w:tc>
              <w:tc>
                <w:tcPr>
                  <w:tcW w:w="2209" w:type="dxa"/>
                  <w:noWrap/>
                  <w:vAlign w:val="center"/>
                </w:tcPr>
                <w:p w14:paraId="5683B60B">
                  <w:pPr>
                    <w:adjustRightInd w:val="0"/>
                    <w:snapToGrid w:val="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与</w:t>
                  </w:r>
                  <w:r>
                    <w:rPr>
                      <w:rFonts w:hint="default" w:ascii="Times New Roman" w:hAnsi="Times New Roman" w:cs="Times New Roman"/>
                      <w:b/>
                      <w:bCs/>
                      <w:color w:val="auto"/>
                      <w:szCs w:val="21"/>
                      <w:highlight w:val="none"/>
                      <w:lang w:eastAsia="zh-CN"/>
                    </w:rPr>
                    <w:t>产污</w:t>
                  </w:r>
                  <w:r>
                    <w:rPr>
                      <w:rFonts w:hint="default" w:ascii="Times New Roman" w:hAnsi="Times New Roman" w:cs="Times New Roman"/>
                      <w:b/>
                      <w:bCs/>
                      <w:color w:val="auto"/>
                      <w:szCs w:val="21"/>
                      <w:highlight w:val="none"/>
                    </w:rPr>
                    <w:t>车间距离</w:t>
                  </w:r>
                </w:p>
              </w:tc>
            </w:tr>
            <w:tr w14:paraId="31336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jc w:val="center"/>
              </w:trPr>
              <w:tc>
                <w:tcPr>
                  <w:tcW w:w="1081" w:type="dxa"/>
                  <w:tcBorders>
                    <w:left w:val="single" w:color="auto" w:sz="4" w:space="0"/>
                  </w:tcBorders>
                  <w:noWrap/>
                  <w:vAlign w:val="center"/>
                </w:tcPr>
                <w:p w14:paraId="1F576670">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东面</w:t>
                  </w:r>
                </w:p>
              </w:tc>
              <w:tc>
                <w:tcPr>
                  <w:tcW w:w="4133" w:type="dxa"/>
                  <w:noWrap/>
                  <w:vAlign w:val="center"/>
                </w:tcPr>
                <w:p w14:paraId="7F0835BA">
                  <w:pPr>
                    <w:adjustRightInd w:val="0"/>
                    <w:snapToGrid w:val="0"/>
                    <w:jc w:val="center"/>
                    <w:rPr>
                      <w:rFonts w:hint="default" w:ascii="Times New Roman" w:hAnsi="Times New Roman" w:eastAsia="宋体" w:cs="Times New Roman"/>
                      <w:color w:val="auto"/>
                      <w:sz w:val="21"/>
                      <w:szCs w:val="21"/>
                      <w:highlight w:val="none"/>
                      <w:u w:val="none"/>
                      <w:lang w:val="en-US" w:eastAsia="zh-CN"/>
                    </w:rPr>
                  </w:pPr>
                  <w:r>
                    <w:rPr>
                      <w:rFonts w:hint="eastAsia" w:ascii="Times New Roman" w:hAnsi="Times New Roman" w:eastAsia="宋体" w:cs="Times New Roman"/>
                      <w:bCs/>
                      <w:color w:val="auto"/>
                      <w:sz w:val="21"/>
                      <w:szCs w:val="21"/>
                      <w:highlight w:val="none"/>
                      <w:lang w:val="en-US" w:eastAsia="zh-CN"/>
                    </w:rPr>
                    <w:t>空地</w:t>
                  </w:r>
                  <w:r>
                    <w:rPr>
                      <w:rFonts w:hint="default" w:ascii="Times New Roman" w:hAnsi="Times New Roman" w:eastAsia="宋体" w:cs="Times New Roman"/>
                      <w:bCs/>
                      <w:color w:val="auto"/>
                      <w:sz w:val="21"/>
                      <w:szCs w:val="21"/>
                      <w:highlight w:val="none"/>
                      <w:lang w:val="en-US" w:eastAsia="zh-CN"/>
                    </w:rPr>
                    <w:t>无名空置厂房</w:t>
                  </w:r>
                </w:p>
              </w:tc>
              <w:tc>
                <w:tcPr>
                  <w:tcW w:w="1616" w:type="dxa"/>
                  <w:noWrap/>
                  <w:vAlign w:val="center"/>
                </w:tcPr>
                <w:p w14:paraId="3154FE5D">
                  <w:pPr>
                    <w:adjustRightInd w:val="0"/>
                    <w:snapToGrid w:val="0"/>
                    <w:jc w:val="center"/>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highlight w:val="none"/>
                      <w:lang w:val="en-US" w:eastAsia="zh-CN"/>
                    </w:rPr>
                    <w:t>12m</w:t>
                  </w:r>
                </w:p>
              </w:tc>
              <w:tc>
                <w:tcPr>
                  <w:tcW w:w="2209" w:type="dxa"/>
                  <w:noWrap/>
                  <w:vAlign w:val="center"/>
                </w:tcPr>
                <w:p w14:paraId="0741B9DA">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127m</w:t>
                  </w:r>
                </w:p>
              </w:tc>
            </w:tr>
            <w:tr w14:paraId="53639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jc w:val="center"/>
              </w:trPr>
              <w:tc>
                <w:tcPr>
                  <w:tcW w:w="1081" w:type="dxa"/>
                  <w:tcBorders>
                    <w:left w:val="single" w:color="auto" w:sz="4" w:space="0"/>
                  </w:tcBorders>
                  <w:noWrap/>
                  <w:vAlign w:val="center"/>
                </w:tcPr>
                <w:p w14:paraId="46BB84B6">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西面</w:t>
                  </w:r>
                </w:p>
              </w:tc>
              <w:tc>
                <w:tcPr>
                  <w:tcW w:w="4133" w:type="dxa"/>
                  <w:noWrap/>
                  <w:vAlign w:val="center"/>
                </w:tcPr>
                <w:p w14:paraId="619FBCD2">
                  <w:pPr>
                    <w:adjustRightInd w:val="0"/>
                    <w:snapToGrid w:val="0"/>
                    <w:jc w:val="center"/>
                    <w:rPr>
                      <w:rFonts w:hint="default" w:ascii="Times New Roman" w:hAnsi="Times New Roman" w:cs="Times New Roman"/>
                      <w:color w:val="auto"/>
                      <w:sz w:val="21"/>
                      <w:szCs w:val="21"/>
                      <w:highlight w:val="none"/>
                      <w:u w:val="none"/>
                      <w:lang w:val="en-US" w:eastAsia="zh-CN"/>
                    </w:rPr>
                  </w:pPr>
                  <w:r>
                    <w:rPr>
                      <w:rFonts w:hint="default" w:ascii="Times New Roman" w:hAnsi="Times New Roman" w:cs="Times New Roman"/>
                      <w:color w:val="auto"/>
                      <w:sz w:val="21"/>
                      <w:szCs w:val="21"/>
                      <w:highlight w:val="none"/>
                      <w:u w:val="none"/>
                      <w:lang w:eastAsia="zh-CN"/>
                    </w:rPr>
                    <w:t>广东鼎盛筑力钢构有限公司</w:t>
                  </w:r>
                </w:p>
              </w:tc>
              <w:tc>
                <w:tcPr>
                  <w:tcW w:w="1616" w:type="dxa"/>
                  <w:noWrap/>
                  <w:vAlign w:val="center"/>
                </w:tcPr>
                <w:p w14:paraId="11AF884F">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23m</w:t>
                  </w:r>
                </w:p>
              </w:tc>
              <w:tc>
                <w:tcPr>
                  <w:tcW w:w="2209" w:type="dxa"/>
                  <w:noWrap/>
                  <w:vAlign w:val="center"/>
                </w:tcPr>
                <w:p w14:paraId="631CBD1F">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52m</w:t>
                  </w:r>
                </w:p>
              </w:tc>
            </w:tr>
            <w:tr w14:paraId="0FE25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081" w:type="dxa"/>
                  <w:tcBorders>
                    <w:left w:val="single" w:color="auto" w:sz="4" w:space="0"/>
                  </w:tcBorders>
                  <w:noWrap/>
                  <w:vAlign w:val="center"/>
                </w:tcPr>
                <w:p w14:paraId="43F018C6">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南面</w:t>
                  </w:r>
                </w:p>
              </w:tc>
              <w:tc>
                <w:tcPr>
                  <w:tcW w:w="4133" w:type="dxa"/>
                  <w:noWrap/>
                  <w:vAlign w:val="center"/>
                </w:tcPr>
                <w:p w14:paraId="6C559347">
                  <w:pPr>
                    <w:adjustRightInd w:val="0"/>
                    <w:snapToGrid w:val="0"/>
                    <w:jc w:val="center"/>
                    <w:rPr>
                      <w:rFonts w:hint="default" w:ascii="Times New Roman" w:hAnsi="Times New Roman" w:cs="Times New Roman"/>
                      <w:color w:val="auto"/>
                      <w:sz w:val="21"/>
                      <w:szCs w:val="21"/>
                      <w:highlight w:val="none"/>
                      <w:u w:val="none"/>
                      <w:lang w:val="en-US" w:eastAsia="zh-CN"/>
                    </w:rPr>
                  </w:pPr>
                  <w:r>
                    <w:rPr>
                      <w:rFonts w:hint="default" w:ascii="Times New Roman" w:hAnsi="Times New Roman" w:cs="Times New Roman"/>
                      <w:color w:val="auto"/>
                      <w:sz w:val="21"/>
                      <w:szCs w:val="21"/>
                      <w:highlight w:val="none"/>
                      <w:u w:val="none"/>
                      <w:lang w:eastAsia="zh-CN"/>
                    </w:rPr>
                    <w:t>广东吉鑫钢构有限公司</w:t>
                  </w:r>
                </w:p>
              </w:tc>
              <w:tc>
                <w:tcPr>
                  <w:tcW w:w="1616" w:type="dxa"/>
                  <w:noWrap/>
                  <w:vAlign w:val="center"/>
                </w:tcPr>
                <w:p w14:paraId="448DCE8C">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10m</w:t>
                  </w:r>
                </w:p>
              </w:tc>
              <w:tc>
                <w:tcPr>
                  <w:tcW w:w="2209" w:type="dxa"/>
                  <w:noWrap/>
                  <w:vAlign w:val="center"/>
                </w:tcPr>
                <w:p w14:paraId="22C63A2D">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62m</w:t>
                  </w:r>
                </w:p>
              </w:tc>
            </w:tr>
            <w:tr w14:paraId="3F265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jc w:val="center"/>
              </w:trPr>
              <w:tc>
                <w:tcPr>
                  <w:tcW w:w="1081" w:type="dxa"/>
                  <w:tcBorders>
                    <w:left w:val="single" w:color="auto" w:sz="4" w:space="0"/>
                  </w:tcBorders>
                  <w:noWrap/>
                  <w:vAlign w:val="center"/>
                </w:tcPr>
                <w:p w14:paraId="71098B97">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北面</w:t>
                  </w:r>
                </w:p>
              </w:tc>
              <w:tc>
                <w:tcPr>
                  <w:tcW w:w="4133" w:type="dxa"/>
                  <w:noWrap/>
                  <w:vAlign w:val="center"/>
                </w:tcPr>
                <w:p w14:paraId="39CCEC2D">
                  <w:pPr>
                    <w:adjustRightInd w:val="0"/>
                    <w:snapToGrid w:val="0"/>
                    <w:jc w:val="center"/>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cs="Times New Roman"/>
                      <w:color w:val="auto"/>
                      <w:sz w:val="21"/>
                      <w:szCs w:val="21"/>
                      <w:highlight w:val="none"/>
                      <w:u w:val="none"/>
                      <w:lang w:eastAsia="zh-CN"/>
                    </w:rPr>
                    <w:t>惠州市沃特新材料有限公司</w:t>
                  </w:r>
                </w:p>
              </w:tc>
              <w:tc>
                <w:tcPr>
                  <w:tcW w:w="1616" w:type="dxa"/>
                  <w:noWrap/>
                  <w:vAlign w:val="center"/>
                </w:tcPr>
                <w:p w14:paraId="7A14A7EA">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14m</w:t>
                  </w:r>
                </w:p>
              </w:tc>
              <w:tc>
                <w:tcPr>
                  <w:tcW w:w="2209" w:type="dxa"/>
                  <w:noWrap/>
                  <w:vAlign w:val="center"/>
                </w:tcPr>
                <w:p w14:paraId="1054CD93">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163m</w:t>
                  </w:r>
                </w:p>
              </w:tc>
            </w:tr>
            <w:tr w14:paraId="7F14B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1081" w:type="dxa"/>
                  <w:tcBorders>
                    <w:left w:val="single" w:color="auto" w:sz="4" w:space="0"/>
                  </w:tcBorders>
                  <w:noWrap/>
                  <w:vAlign w:val="center"/>
                </w:tcPr>
                <w:p w14:paraId="5EEA3A5B">
                  <w:pPr>
                    <w:adjustRightInd w:val="0"/>
                    <w:snapToGrid w:val="0"/>
                    <w:jc w:val="center"/>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val="en-US" w:eastAsia="zh-CN"/>
                    </w:rPr>
                    <w:t>东</w:t>
                  </w:r>
                  <w:r>
                    <w:rPr>
                      <w:rFonts w:hint="default" w:ascii="Times New Roman" w:hAnsi="Times New Roman" w:cs="Times New Roman"/>
                      <w:color w:val="auto"/>
                      <w:szCs w:val="21"/>
                      <w:highlight w:val="none"/>
                      <w:lang w:eastAsia="zh-CN"/>
                    </w:rPr>
                    <w:t>北面</w:t>
                  </w:r>
                </w:p>
              </w:tc>
              <w:tc>
                <w:tcPr>
                  <w:tcW w:w="4133" w:type="dxa"/>
                  <w:noWrap/>
                  <w:vAlign w:val="center"/>
                </w:tcPr>
                <w:p w14:paraId="0D1ED4F5">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u w:val="none"/>
                      <w:lang w:val="en-US" w:eastAsia="zh-CN"/>
                    </w:rPr>
                    <w:t>新屋村散户</w:t>
                  </w:r>
                </w:p>
              </w:tc>
              <w:tc>
                <w:tcPr>
                  <w:tcW w:w="1616" w:type="dxa"/>
                  <w:noWrap/>
                  <w:vAlign w:val="center"/>
                </w:tcPr>
                <w:p w14:paraId="21360260">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86</w:t>
                  </w:r>
                  <w:r>
                    <w:rPr>
                      <w:rFonts w:hint="default" w:ascii="Times New Roman" w:hAnsi="Times New Roman" w:eastAsia="宋体" w:cs="Times New Roman"/>
                      <w:color w:val="auto"/>
                      <w:sz w:val="21"/>
                      <w:szCs w:val="21"/>
                      <w:highlight w:val="none"/>
                      <w:lang w:val="en-US" w:eastAsia="zh-CN"/>
                    </w:rPr>
                    <w:t>m</w:t>
                  </w:r>
                </w:p>
              </w:tc>
              <w:tc>
                <w:tcPr>
                  <w:tcW w:w="2209" w:type="dxa"/>
                  <w:noWrap/>
                  <w:vAlign w:val="center"/>
                </w:tcPr>
                <w:p w14:paraId="1AC01A57">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176</w:t>
                  </w:r>
                  <w:r>
                    <w:rPr>
                      <w:rFonts w:hint="default" w:ascii="Times New Roman" w:hAnsi="Times New Roman" w:eastAsia="宋体" w:cs="Times New Roman"/>
                      <w:color w:val="auto"/>
                      <w:sz w:val="21"/>
                      <w:szCs w:val="21"/>
                      <w:highlight w:val="none"/>
                      <w:lang w:val="en-US" w:eastAsia="zh-CN"/>
                    </w:rPr>
                    <w:t>m</w:t>
                  </w:r>
                </w:p>
              </w:tc>
            </w:tr>
          </w:tbl>
          <w:p w14:paraId="70EDB9CD">
            <w:pPr>
              <w:pStyle w:val="43"/>
              <w:numPr>
                <w:ilvl w:val="0"/>
                <w:numId w:val="0"/>
              </w:numPr>
              <w:snapToGrid w:val="0"/>
              <w:spacing w:line="240" w:lineRule="auto"/>
              <w:ind w:right="0" w:rightChars="0"/>
              <w:jc w:val="center"/>
              <w:rPr>
                <w:rFonts w:hint="default" w:ascii="Times New Roman" w:hAnsi="Times New Roman" w:eastAsia="宋体" w:cs="Times New Roman"/>
                <w:b/>
                <w:color w:val="auto"/>
                <w:sz w:val="24"/>
                <w:szCs w:val="21"/>
                <w:highlight w:val="none"/>
                <w:lang w:eastAsia="zh-CN"/>
              </w:rPr>
            </w:pPr>
          </w:p>
        </w:tc>
      </w:tr>
      <w:tr w14:paraId="322CD9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45" w:hRule="atLeast"/>
          <w:jc w:val="center"/>
        </w:trPr>
        <w:tc>
          <w:tcPr>
            <w:tcW w:w="497" w:type="dxa"/>
            <w:noWrap w:val="0"/>
            <w:vAlign w:val="center"/>
          </w:tcPr>
          <w:p w14:paraId="4A633946">
            <w:pPr>
              <w:pStyle w:val="29"/>
              <w:adjustRightInd w:val="0"/>
              <w:snapToGrid w:val="0"/>
              <w:spacing w:before="0" w:beforeAutospacing="0" w:after="0" w:afterAutospacing="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工艺流程和产排污环节</w:t>
            </w:r>
          </w:p>
        </w:tc>
        <w:tc>
          <w:tcPr>
            <w:tcW w:w="9180" w:type="dxa"/>
            <w:noWrap w:val="0"/>
            <w:vAlign w:val="top"/>
          </w:tcPr>
          <w:p w14:paraId="06576ABF">
            <w:pPr>
              <w:pStyle w:val="43"/>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Chars="0" w:right="0" w:rightChars="0" w:firstLine="241" w:firstLineChars="100"/>
              <w:textAlignment w:val="baseline"/>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lang w:eastAsia="zh-CN"/>
              </w:rPr>
              <w:t>项目的</w:t>
            </w:r>
            <w:r>
              <w:rPr>
                <w:rFonts w:hint="default" w:ascii="Times New Roman" w:hAnsi="Times New Roman" w:cs="Times New Roman"/>
                <w:b/>
                <w:color w:val="auto"/>
                <w:szCs w:val="21"/>
                <w:highlight w:val="none"/>
              </w:rPr>
              <w:t>主要</w:t>
            </w:r>
            <w:r>
              <w:rPr>
                <w:rFonts w:hint="default" w:ascii="Times New Roman" w:hAnsi="Times New Roman" w:cs="Times New Roman"/>
                <w:b/>
                <w:color w:val="auto"/>
                <w:szCs w:val="21"/>
                <w:highlight w:val="none"/>
                <w:lang w:eastAsia="zh-CN"/>
              </w:rPr>
              <w:t>生产</w:t>
            </w:r>
            <w:r>
              <w:rPr>
                <w:rFonts w:hint="default" w:ascii="Times New Roman" w:hAnsi="Times New Roman" w:cs="Times New Roman"/>
                <w:b/>
                <w:color w:val="auto"/>
                <w:szCs w:val="21"/>
                <w:highlight w:val="none"/>
              </w:rPr>
              <w:t>工艺流程</w:t>
            </w:r>
          </w:p>
          <w:p w14:paraId="1A1191AE">
            <w:pPr>
              <w:pStyle w:val="8"/>
              <w:keepNext w:val="0"/>
              <w:keepLines w:val="0"/>
              <w:pageBreakBefore w:val="0"/>
              <w:widowControl w:val="0"/>
              <w:kinsoku/>
              <w:wordWrap/>
              <w:overflowPunct/>
              <w:topLinePunct w:val="0"/>
              <w:bidi w:val="0"/>
              <w:adjustRightInd w:val="0"/>
              <w:snapToGrid w:val="0"/>
              <w:spacing w:line="240" w:lineRule="auto"/>
              <w:ind w:left="420" w:leftChars="0"/>
              <w:jc w:val="center"/>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rPr>
              <w:drawing>
                <wp:inline distT="0" distB="0" distL="114300" distR="114300">
                  <wp:extent cx="5076825" cy="4667250"/>
                  <wp:effectExtent l="0" t="0" r="9525" b="0"/>
                  <wp:docPr id="3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7"/>
                          <pic:cNvPicPr>
                            <a:picLocks noChangeAspect="1"/>
                          </pic:cNvPicPr>
                        </pic:nvPicPr>
                        <pic:blipFill>
                          <a:blip r:embed="rId16"/>
                          <a:stretch>
                            <a:fillRect/>
                          </a:stretch>
                        </pic:blipFill>
                        <pic:spPr>
                          <a:xfrm>
                            <a:off x="0" y="0"/>
                            <a:ext cx="5076825" cy="4667250"/>
                          </a:xfrm>
                          <a:prstGeom prst="rect">
                            <a:avLst/>
                          </a:prstGeom>
                          <a:noFill/>
                          <a:ln>
                            <a:noFill/>
                          </a:ln>
                        </pic:spPr>
                      </pic:pic>
                    </a:graphicData>
                  </a:graphic>
                </wp:inline>
              </w:drawing>
            </w:r>
          </w:p>
          <w:p w14:paraId="0B6F012F">
            <w:pPr>
              <w:pStyle w:val="43"/>
              <w:keepNext w:val="0"/>
              <w:keepLines w:val="0"/>
              <w:pageBreakBefore w:val="0"/>
              <w:widowControl w:val="0"/>
              <w:kinsoku/>
              <w:wordWrap/>
              <w:overflowPunct/>
              <w:topLinePunct w:val="0"/>
              <w:bidi w:val="0"/>
              <w:snapToGrid w:val="0"/>
              <w:spacing w:line="240" w:lineRule="auto"/>
              <w:ind w:left="0" w:leftChars="0"/>
              <w:jc w:val="center"/>
              <w:rPr>
                <w:rFonts w:hint="default" w:ascii="Times New Roman" w:hAnsi="Times New Roman" w:eastAsia="宋体" w:cs="Times New Roman"/>
                <w:b/>
                <w:color w:val="auto"/>
                <w:sz w:val="21"/>
                <w:szCs w:val="21"/>
                <w:highlight w:val="none"/>
                <w:lang w:eastAsia="zh-CN"/>
              </w:rPr>
            </w:pPr>
            <w:r>
              <w:rPr>
                <w:rFonts w:hint="default" w:ascii="Times New Roman" w:hAnsi="Times New Roman" w:cs="Times New Roman"/>
                <w:b/>
                <w:color w:val="auto"/>
                <w:sz w:val="21"/>
                <w:szCs w:val="21"/>
                <w:highlight w:val="none"/>
              </w:rPr>
              <w:t>图</w:t>
            </w:r>
            <w:r>
              <w:rPr>
                <w:rFonts w:hint="default" w:ascii="Times New Roman" w:hAnsi="Times New Roman" w:cs="Times New Roman"/>
                <w:b/>
                <w:color w:val="auto"/>
                <w:sz w:val="21"/>
                <w:szCs w:val="21"/>
                <w:highlight w:val="none"/>
                <w:lang w:val="en-US" w:eastAsia="zh-CN"/>
              </w:rPr>
              <w:t xml:space="preserve">2-4 </w:t>
            </w:r>
            <w:r>
              <w:rPr>
                <w:rFonts w:hint="default" w:ascii="Times New Roman" w:hAnsi="Times New Roman" w:cs="Times New Roman"/>
                <w:b/>
                <w:color w:val="auto"/>
                <w:sz w:val="21"/>
                <w:szCs w:val="21"/>
                <w:highlight w:val="none"/>
                <w:lang w:eastAsia="zh-CN"/>
              </w:rPr>
              <w:t>项目</w:t>
            </w:r>
            <w:r>
              <w:rPr>
                <w:rFonts w:hint="default" w:ascii="Times New Roman" w:hAnsi="Times New Roman" w:cs="Times New Roman"/>
                <w:b/>
                <w:color w:val="auto"/>
                <w:sz w:val="21"/>
                <w:szCs w:val="21"/>
                <w:highlight w:val="none"/>
              </w:rPr>
              <w:t>生产工艺流程图</w:t>
            </w:r>
          </w:p>
          <w:p w14:paraId="053867C1">
            <w:pPr>
              <w:pStyle w:val="5"/>
              <w:keepNext w:val="0"/>
              <w:keepLines w:val="0"/>
              <w:pageBreakBefore w:val="0"/>
              <w:widowControl w:val="0"/>
              <w:kinsoku/>
              <w:wordWrap/>
              <w:overflowPunct/>
              <w:topLinePunct w:val="0"/>
              <w:autoSpaceDE/>
              <w:autoSpaceDN/>
              <w:bidi w:val="0"/>
              <w:adjustRightInd w:val="0"/>
              <w:snapToGrid w:val="0"/>
              <w:spacing w:line="360" w:lineRule="auto"/>
              <w:ind w:left="0" w:leftChars="0" w:firstLine="482" w:firstLineChars="200"/>
              <w:textAlignment w:val="auto"/>
              <w:rPr>
                <w:rFonts w:hint="default" w:ascii="Times New Roman" w:hAnsi="Times New Roman" w:cs="Times New Roman"/>
                <w:b/>
                <w:color w:val="auto"/>
                <w:sz w:val="24"/>
                <w:szCs w:val="21"/>
                <w:highlight w:val="none"/>
              </w:rPr>
            </w:pPr>
            <w:r>
              <w:rPr>
                <w:rFonts w:hint="default" w:ascii="Times New Roman" w:hAnsi="Times New Roman" w:cs="Times New Roman"/>
                <w:b/>
                <w:color w:val="auto"/>
                <w:sz w:val="24"/>
                <w:szCs w:val="21"/>
                <w:highlight w:val="none"/>
              </w:rPr>
              <w:t>生产工艺简述：</w:t>
            </w:r>
          </w:p>
          <w:p w14:paraId="7A6A8B26">
            <w:pPr>
              <w:snapToGrid w:val="0"/>
              <w:spacing w:line="360" w:lineRule="auto"/>
              <w:ind w:firstLine="482" w:firstLineChars="20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rPr>
              <w:t>钢筋</w:t>
            </w:r>
            <w:r>
              <w:rPr>
                <w:rFonts w:hint="default" w:ascii="Times New Roman" w:hAnsi="Times New Roman" w:cs="Times New Roman"/>
                <w:b/>
                <w:bCs/>
                <w:color w:val="auto"/>
                <w:sz w:val="24"/>
                <w:highlight w:val="none"/>
                <w:lang w:val="en-US" w:eastAsia="zh-CN"/>
              </w:rPr>
              <w:t>加工</w:t>
            </w:r>
            <w:r>
              <w:rPr>
                <w:rFonts w:hint="default" w:ascii="Times New Roman" w:hAnsi="Times New Roman" w:cs="Times New Roman"/>
                <w:b/>
                <w:bCs/>
                <w:color w:val="auto"/>
                <w:sz w:val="24"/>
                <w:highlight w:val="none"/>
              </w:rPr>
              <w:t>：</w:t>
            </w:r>
            <w:r>
              <w:rPr>
                <w:rFonts w:hint="default" w:ascii="Times New Roman" w:hAnsi="Times New Roman" w:cs="Times New Roman"/>
                <w:color w:val="auto"/>
                <w:sz w:val="24"/>
                <w:highlight w:val="none"/>
              </w:rPr>
              <w:t>外购回来的</w:t>
            </w:r>
            <w:r>
              <w:rPr>
                <w:rFonts w:hint="eastAsia" w:ascii="Times New Roman" w:hAnsi="Times New Roman" w:cs="Times New Roman"/>
                <w:color w:val="auto"/>
                <w:sz w:val="24"/>
                <w:highlight w:val="none"/>
                <w:lang w:val="en-US" w:eastAsia="zh-CN"/>
              </w:rPr>
              <w:t>钢筋</w:t>
            </w:r>
            <w:r>
              <w:rPr>
                <w:rFonts w:hint="default" w:ascii="Times New Roman" w:hAnsi="Times New Roman" w:cs="Times New Roman"/>
                <w:color w:val="auto"/>
                <w:sz w:val="24"/>
                <w:highlight w:val="none"/>
              </w:rPr>
              <w:t>按规定尺寸</w:t>
            </w:r>
            <w:r>
              <w:rPr>
                <w:rFonts w:hint="default" w:ascii="Times New Roman" w:hAnsi="Times New Roman" w:cs="Times New Roman"/>
                <w:color w:val="auto"/>
                <w:sz w:val="24"/>
                <w:highlight w:val="none"/>
                <w:lang w:val="en-US" w:eastAsia="zh-CN"/>
              </w:rPr>
              <w:t>使用钢筋切断机等将其</w:t>
            </w:r>
            <w:r>
              <w:rPr>
                <w:rFonts w:hint="default" w:ascii="Times New Roman" w:hAnsi="Times New Roman" w:cs="Times New Roman"/>
                <w:color w:val="auto"/>
                <w:sz w:val="24"/>
                <w:highlight w:val="none"/>
              </w:rPr>
              <w:t>切断，再经</w:t>
            </w:r>
            <w:r>
              <w:rPr>
                <w:rFonts w:hint="default" w:ascii="Times New Roman" w:hAnsi="Times New Roman" w:eastAsia="宋体" w:cs="Times New Roman"/>
                <w:color w:val="auto"/>
                <w:sz w:val="24"/>
                <w:szCs w:val="24"/>
                <w:highlight w:val="none"/>
              </w:rPr>
              <w:t>液压钢筋墩头机</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液压钢筋弯箍机</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弯曲机</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自动调直切断机</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张拉系统等</w:t>
            </w:r>
            <w:r>
              <w:rPr>
                <w:rFonts w:hint="default" w:ascii="Times New Roman" w:hAnsi="Times New Roman" w:cs="Times New Roman"/>
                <w:color w:val="auto"/>
                <w:sz w:val="24"/>
                <w:highlight w:val="none"/>
              </w:rPr>
              <w:t>进行弯曲和调直</w:t>
            </w:r>
            <w:r>
              <w:rPr>
                <w:rFonts w:hint="default" w:ascii="Times New Roman" w:hAnsi="Times New Roman" w:cs="Times New Roman"/>
                <w:color w:val="auto"/>
                <w:sz w:val="24"/>
                <w:highlight w:val="none"/>
                <w:lang w:val="en-US" w:eastAsia="zh-CN"/>
              </w:rPr>
              <w:t>及拉伸</w:t>
            </w:r>
            <w:r>
              <w:rPr>
                <w:rFonts w:hint="default" w:ascii="Times New Roman" w:hAnsi="Times New Roman" w:cs="Times New Roman"/>
                <w:color w:val="auto"/>
                <w:sz w:val="24"/>
                <w:highlight w:val="none"/>
              </w:rPr>
              <w:t>。该过程会产生少量的钢材边角料及噪声。</w:t>
            </w:r>
          </w:p>
          <w:p w14:paraId="42176587">
            <w:pPr>
              <w:keepNext w:val="0"/>
              <w:keepLines w:val="0"/>
              <w:pageBreakBefore w:val="0"/>
              <w:widowControl w:val="0"/>
              <w:kinsoku/>
              <w:wordWrap/>
              <w:overflowPunct/>
              <w:topLinePunct w:val="0"/>
              <w:bidi w:val="0"/>
              <w:adjustRightInd w:val="0"/>
              <w:snapToGrid w:val="0"/>
              <w:spacing w:line="360" w:lineRule="auto"/>
              <w:ind w:firstLine="482" w:firstLineChars="20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rPr>
              <w:t>焊接：</w:t>
            </w:r>
            <w:r>
              <w:rPr>
                <w:rFonts w:hint="default" w:ascii="Times New Roman" w:hAnsi="Times New Roman" w:cs="Times New Roman"/>
                <w:color w:val="auto"/>
                <w:sz w:val="24"/>
                <w:highlight w:val="none"/>
              </w:rPr>
              <w:t>初步加工好后的钢材经</w:t>
            </w:r>
            <w:r>
              <w:rPr>
                <w:rFonts w:hint="default" w:ascii="Times New Roman" w:hAnsi="Times New Roman" w:cs="Times New Roman"/>
                <w:color w:val="auto"/>
                <w:sz w:val="24"/>
                <w:highlight w:val="none"/>
                <w:lang w:val="en-US" w:eastAsia="zh-CN"/>
              </w:rPr>
              <w:t>CO</w:t>
            </w:r>
            <w:r>
              <w:rPr>
                <w:rFonts w:hint="default" w:ascii="Times New Roman" w:hAnsi="Times New Roman" w:cs="Times New Roman"/>
                <w:color w:val="auto"/>
                <w:sz w:val="24"/>
                <w:highlight w:val="none"/>
                <w:vertAlign w:val="subscript"/>
                <w:lang w:val="en-US" w:eastAsia="zh-CN"/>
              </w:rPr>
              <w:t>2</w:t>
            </w:r>
            <w:r>
              <w:rPr>
                <w:rFonts w:hint="default" w:ascii="Times New Roman" w:hAnsi="Times New Roman" w:cs="Times New Roman"/>
                <w:color w:val="auto"/>
                <w:sz w:val="24"/>
                <w:highlight w:val="none"/>
                <w:lang w:val="en-US" w:eastAsia="zh-CN"/>
              </w:rPr>
              <w:t>气体保护焊及电焊机</w:t>
            </w:r>
            <w:r>
              <w:rPr>
                <w:rFonts w:hint="default" w:ascii="Times New Roman" w:hAnsi="Times New Roman" w:cs="Times New Roman"/>
                <w:color w:val="auto"/>
                <w:sz w:val="24"/>
                <w:highlight w:val="none"/>
              </w:rPr>
              <w:t>使用</w:t>
            </w:r>
            <w:r>
              <w:rPr>
                <w:rFonts w:hint="eastAsia" w:ascii="Times New Roman" w:hAnsi="Times New Roman" w:cs="Times New Roman"/>
                <w:color w:val="auto"/>
                <w:sz w:val="24"/>
                <w:highlight w:val="none"/>
                <w:lang w:val="en-US" w:eastAsia="zh-CN"/>
              </w:rPr>
              <w:t>无铅实心焊丝</w:t>
            </w:r>
            <w:r>
              <w:rPr>
                <w:rFonts w:hint="default" w:ascii="Times New Roman" w:hAnsi="Times New Roman" w:cs="Times New Roman"/>
                <w:color w:val="auto"/>
                <w:sz w:val="24"/>
                <w:highlight w:val="none"/>
              </w:rPr>
              <w:t>进行焊接成型，制成相应规格的钢筋</w:t>
            </w:r>
            <w:r>
              <w:rPr>
                <w:rFonts w:hint="default" w:ascii="Times New Roman" w:hAnsi="Times New Roman" w:cs="Times New Roman"/>
                <w:color w:val="auto"/>
                <w:sz w:val="24"/>
                <w:highlight w:val="none"/>
                <w:lang w:val="en-US" w:eastAsia="zh-CN"/>
              </w:rPr>
              <w:t>笼</w:t>
            </w:r>
            <w:r>
              <w:rPr>
                <w:rFonts w:hint="default" w:ascii="Times New Roman" w:hAnsi="Times New Roman" w:cs="Times New Roman"/>
                <w:color w:val="auto"/>
                <w:sz w:val="24"/>
                <w:highlight w:val="none"/>
              </w:rPr>
              <w:t>，此过程会产生焊接烟尘</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焊渣</w:t>
            </w:r>
            <w:r>
              <w:rPr>
                <w:rFonts w:hint="default" w:ascii="Times New Roman" w:hAnsi="Times New Roman" w:cs="Times New Roman"/>
                <w:color w:val="auto"/>
                <w:sz w:val="24"/>
                <w:highlight w:val="none"/>
              </w:rPr>
              <w:t xml:space="preserve">及噪声。 </w:t>
            </w:r>
          </w:p>
          <w:p w14:paraId="3D9437A0">
            <w:pPr>
              <w:pStyle w:val="43"/>
              <w:keepNext w:val="0"/>
              <w:keepLines w:val="0"/>
              <w:pageBreakBefore w:val="0"/>
              <w:widowControl w:val="0"/>
              <w:kinsoku/>
              <w:wordWrap/>
              <w:overflowPunct/>
              <w:topLinePunct w:val="0"/>
              <w:bidi w:val="0"/>
              <w:adjustRightInd w:val="0"/>
              <w:snapToGrid w:val="0"/>
              <w:spacing w:line="360" w:lineRule="auto"/>
              <w:ind w:firstLine="482" w:firstLineChars="200"/>
              <w:rPr>
                <w:rFonts w:hint="default" w:ascii="Times New Roman" w:hAnsi="Times New Roman" w:cs="Times New Roman"/>
                <w:color w:val="auto"/>
                <w:highlight w:val="none"/>
              </w:rPr>
            </w:pPr>
            <w:r>
              <w:rPr>
                <w:rFonts w:hint="default" w:ascii="Times New Roman" w:hAnsi="Times New Roman" w:cs="Times New Roman"/>
                <w:b/>
                <w:bCs/>
                <w:color w:val="auto"/>
                <w:sz w:val="24"/>
                <w:highlight w:val="none"/>
                <w:lang w:val="en-US" w:eastAsia="zh-CN"/>
              </w:rPr>
              <w:t>喷脱模剂</w:t>
            </w:r>
            <w:r>
              <w:rPr>
                <w:rFonts w:hint="default" w:ascii="Times New Roman" w:hAnsi="Times New Roman" w:cs="Times New Roman"/>
                <w:b/>
                <w:bCs/>
                <w:color w:val="auto"/>
                <w:sz w:val="24"/>
                <w:highlight w:val="none"/>
              </w:rPr>
              <w:t>：</w:t>
            </w:r>
            <w:r>
              <w:rPr>
                <w:rFonts w:hint="default" w:ascii="Times New Roman" w:hAnsi="Times New Roman" w:cs="Times New Roman"/>
                <w:color w:val="auto"/>
                <w:sz w:val="24"/>
                <w:highlight w:val="none"/>
              </w:rPr>
              <w:t>将</w:t>
            </w:r>
            <w:r>
              <w:rPr>
                <w:rFonts w:hint="default" w:ascii="Times New Roman" w:hAnsi="Times New Roman" w:cs="Times New Roman"/>
                <w:color w:val="auto"/>
                <w:sz w:val="24"/>
                <w:highlight w:val="none"/>
                <w:lang w:val="en-US" w:eastAsia="zh-CN"/>
              </w:rPr>
              <w:t>外购的</w:t>
            </w:r>
            <w:r>
              <w:rPr>
                <w:rFonts w:hint="default" w:ascii="Times New Roman" w:hAnsi="Times New Roman" w:cs="Times New Roman"/>
                <w:color w:val="auto"/>
                <w:sz w:val="24"/>
                <w:highlight w:val="none"/>
              </w:rPr>
              <w:t>模具</w:t>
            </w:r>
            <w:r>
              <w:rPr>
                <w:rFonts w:hint="default" w:ascii="Times New Roman" w:hAnsi="Times New Roman" w:cs="Times New Roman"/>
                <w:color w:val="auto"/>
                <w:sz w:val="24"/>
                <w:highlight w:val="none"/>
                <w:lang w:val="en-US" w:eastAsia="zh-CN"/>
              </w:rPr>
              <w:t>装上喷上脱模剂备用</w:t>
            </w:r>
            <w:r>
              <w:rPr>
                <w:rFonts w:hint="default" w:ascii="Times New Roman" w:hAnsi="Times New Roman" w:cs="Times New Roman"/>
                <w:color w:val="auto"/>
                <w:sz w:val="24"/>
                <w:highlight w:val="none"/>
              </w:rPr>
              <w:t>，根据项目使用脱模剂的</w:t>
            </w:r>
            <w:r>
              <w:rPr>
                <w:rFonts w:hint="default" w:ascii="Times New Roman" w:hAnsi="Times New Roman" w:cs="Times New Roman"/>
                <w:color w:val="auto"/>
                <w:sz w:val="24"/>
                <w:highlight w:val="none"/>
                <w:lang w:val="en-US" w:eastAsia="zh-CN"/>
              </w:rPr>
              <w:t>MSDS</w:t>
            </w:r>
            <w:r>
              <w:rPr>
                <w:rFonts w:hint="default" w:ascii="Times New Roman" w:hAnsi="Times New Roman" w:cs="Times New Roman"/>
                <w:color w:val="auto"/>
                <w:sz w:val="24"/>
                <w:highlight w:val="none"/>
              </w:rPr>
              <w:t>可知脱模剂在使用时无废气产生，</w:t>
            </w:r>
            <w:r>
              <w:rPr>
                <w:rFonts w:hint="eastAsia" w:ascii="Times New Roman" w:cs="Times New Roman"/>
                <w:color w:val="auto"/>
                <w:sz w:val="24"/>
                <w:highlight w:val="none"/>
                <w:lang w:val="en-US" w:eastAsia="zh-CN"/>
              </w:rPr>
              <w:t>且后续蒸养环节温度保持在</w:t>
            </w:r>
            <w:r>
              <w:rPr>
                <w:rFonts w:hint="default" w:ascii="Times New Roman" w:hAnsi="Times New Roman" w:cs="Times New Roman"/>
                <w:color w:val="auto"/>
                <w:sz w:val="24"/>
                <w:highlight w:val="none"/>
                <w:lang w:val="en-US" w:eastAsia="zh-CN"/>
              </w:rPr>
              <w:t>28</w:t>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lang w:val="en-US" w:eastAsia="zh-CN"/>
              </w:rPr>
              <w:t>3</w:t>
            </w:r>
            <w:r>
              <w:rPr>
                <w:rFonts w:hint="default" w:ascii="Times New Roman" w:hAnsi="Times New Roman" w:cs="Times New Roman"/>
                <w:color w:val="auto"/>
                <w:sz w:val="24"/>
                <w:highlight w:val="none"/>
              </w:rPr>
              <w:t>5℃</w:t>
            </w:r>
            <w:r>
              <w:rPr>
                <w:rFonts w:hint="default" w:ascii="Times New Roman" w:hAnsi="Times New Roman" w:cs="Times New Roman"/>
                <w:color w:val="auto"/>
                <w:sz w:val="24"/>
                <w:highlight w:val="none"/>
                <w:lang w:eastAsia="zh-CN"/>
              </w:rPr>
              <w:t>，</w:t>
            </w:r>
            <w:r>
              <w:rPr>
                <w:rFonts w:hint="eastAsia" w:ascii="Times New Roman" w:cs="Times New Roman"/>
                <w:color w:val="auto"/>
                <w:sz w:val="24"/>
                <w:highlight w:val="none"/>
                <w:lang w:val="en-US" w:eastAsia="zh-CN"/>
              </w:rPr>
              <w:t>不会涉及高温环节，</w:t>
            </w:r>
            <w:r>
              <w:rPr>
                <w:rFonts w:hint="default" w:ascii="Times New Roman" w:hAnsi="Times New Roman" w:cs="Times New Roman"/>
                <w:color w:val="auto"/>
                <w:sz w:val="24"/>
                <w:highlight w:val="none"/>
                <w:lang w:val="en-US" w:eastAsia="zh-CN"/>
              </w:rPr>
              <w:t>脱模剂含水部分蒸发损耗掉，其余部分沾在模具上可重复使用，少部分随产品工件带走损耗。</w:t>
            </w:r>
            <w:r>
              <w:rPr>
                <w:rFonts w:hint="default" w:ascii="Times New Roman" w:hAnsi="Times New Roman" w:cs="Times New Roman"/>
                <w:color w:val="auto"/>
                <w:sz w:val="24"/>
                <w:highlight w:val="none"/>
              </w:rPr>
              <w:t>此工序</w:t>
            </w:r>
            <w:r>
              <w:rPr>
                <w:rFonts w:hint="default" w:ascii="Times New Roman" w:hAnsi="Times New Roman" w:cs="Times New Roman"/>
                <w:color w:val="auto"/>
                <w:sz w:val="24"/>
                <w:highlight w:val="none"/>
                <w:lang w:val="en-US" w:eastAsia="zh-CN"/>
              </w:rPr>
              <w:t>使用完脱模剂后产生少量的废包装桶、模具破损产生的废模具及设备运行的</w:t>
            </w:r>
            <w:r>
              <w:rPr>
                <w:rFonts w:hint="default" w:ascii="Times New Roman" w:hAnsi="Times New Roman" w:cs="Times New Roman"/>
                <w:color w:val="auto"/>
                <w:sz w:val="24"/>
                <w:highlight w:val="none"/>
              </w:rPr>
              <w:t>噪声。</w:t>
            </w:r>
          </w:p>
          <w:p w14:paraId="22418A70">
            <w:pPr>
              <w:pStyle w:val="43"/>
              <w:keepNext w:val="0"/>
              <w:keepLines w:val="0"/>
              <w:pageBreakBefore w:val="0"/>
              <w:widowControl w:val="0"/>
              <w:kinsoku/>
              <w:wordWrap/>
              <w:overflowPunct/>
              <w:topLinePunct w:val="0"/>
              <w:bidi w:val="0"/>
              <w:adjustRightInd w:val="0"/>
              <w:snapToGrid w:val="0"/>
              <w:spacing w:line="360" w:lineRule="auto"/>
              <w:ind w:firstLine="482" w:firstLineChars="200"/>
              <w:rPr>
                <w:rFonts w:hint="default" w:ascii="Times New Roman" w:hAnsi="Times New Roman" w:cs="Times New Roman"/>
                <w:color w:val="auto"/>
                <w:highlight w:val="none"/>
              </w:rPr>
            </w:pPr>
            <w:r>
              <w:rPr>
                <w:rFonts w:hint="default" w:ascii="Times New Roman" w:hAnsi="Times New Roman" w:cs="Times New Roman"/>
                <w:b/>
                <w:bCs/>
                <w:color w:val="auto"/>
                <w:sz w:val="24"/>
                <w:highlight w:val="none"/>
              </w:rPr>
              <w:t>钢筋</w:t>
            </w:r>
            <w:r>
              <w:rPr>
                <w:rFonts w:hint="default" w:ascii="Times New Roman" w:hAnsi="Times New Roman" w:cs="Times New Roman"/>
                <w:b/>
                <w:bCs/>
                <w:color w:val="auto"/>
                <w:sz w:val="24"/>
                <w:highlight w:val="none"/>
                <w:lang w:val="en-US" w:eastAsia="zh-CN"/>
              </w:rPr>
              <w:t>笼</w:t>
            </w:r>
            <w:r>
              <w:rPr>
                <w:rFonts w:hint="default" w:ascii="Times New Roman" w:hAnsi="Times New Roman" w:cs="Times New Roman"/>
                <w:b/>
                <w:bCs/>
                <w:color w:val="auto"/>
                <w:sz w:val="24"/>
                <w:highlight w:val="none"/>
              </w:rPr>
              <w:t>入</w:t>
            </w:r>
            <w:r>
              <w:rPr>
                <w:rFonts w:hint="default" w:ascii="Times New Roman" w:hAnsi="Times New Roman" w:cs="Times New Roman"/>
                <w:b/>
                <w:bCs/>
                <w:color w:val="auto"/>
                <w:sz w:val="24"/>
                <w:highlight w:val="none"/>
                <w:lang w:eastAsia="zh-CN"/>
              </w:rPr>
              <w:t>模</w:t>
            </w:r>
            <w:r>
              <w:rPr>
                <w:rFonts w:hint="default" w:ascii="Times New Roman" w:hAnsi="Times New Roman" w:cs="Times New Roman"/>
                <w:b/>
                <w:bCs/>
                <w:color w:val="auto"/>
                <w:sz w:val="24"/>
                <w:highlight w:val="none"/>
              </w:rPr>
              <w:t>：</w:t>
            </w:r>
            <w:r>
              <w:rPr>
                <w:rFonts w:hint="default" w:ascii="Times New Roman" w:hAnsi="Times New Roman" w:cs="Times New Roman"/>
                <w:color w:val="auto"/>
                <w:sz w:val="24"/>
                <w:highlight w:val="none"/>
              </w:rPr>
              <w:t>将喷了脱模剂后的模具</w:t>
            </w:r>
            <w:r>
              <w:rPr>
                <w:rFonts w:hint="eastAsia" w:ascii="Times New Roman" w:cs="Times New Roman"/>
                <w:color w:val="auto"/>
                <w:sz w:val="24"/>
                <w:highlight w:val="none"/>
                <w:lang w:val="en-US" w:eastAsia="zh-CN"/>
              </w:rPr>
              <w:t>与</w:t>
            </w:r>
            <w:r>
              <w:rPr>
                <w:rFonts w:hint="default" w:ascii="Times New Roman" w:hAnsi="Times New Roman" w:cs="Times New Roman"/>
                <w:color w:val="auto"/>
                <w:sz w:val="24"/>
                <w:highlight w:val="none"/>
              </w:rPr>
              <w:t>焊接成型后的钢筋</w:t>
            </w:r>
            <w:r>
              <w:rPr>
                <w:rFonts w:hint="default" w:ascii="Times New Roman" w:hAnsi="Times New Roman" w:cs="Times New Roman"/>
                <w:color w:val="auto"/>
                <w:sz w:val="24"/>
                <w:highlight w:val="none"/>
                <w:lang w:val="en-US" w:eastAsia="zh-CN"/>
              </w:rPr>
              <w:t>笼</w:t>
            </w:r>
            <w:r>
              <w:rPr>
                <w:rFonts w:hint="default" w:ascii="Times New Roman" w:hAnsi="Times New Roman" w:cs="Times New Roman"/>
                <w:color w:val="auto"/>
                <w:sz w:val="24"/>
                <w:highlight w:val="none"/>
              </w:rPr>
              <w:t>入模组装，此工序会产生噪声。</w:t>
            </w:r>
          </w:p>
          <w:p w14:paraId="195C9B88">
            <w:pPr>
              <w:keepNext w:val="0"/>
              <w:keepLines w:val="0"/>
              <w:pageBreakBefore w:val="0"/>
              <w:widowControl w:val="0"/>
              <w:kinsoku/>
              <w:wordWrap/>
              <w:overflowPunct/>
              <w:topLinePunct w:val="0"/>
              <w:bidi w:val="0"/>
              <w:adjustRightInd w:val="0"/>
              <w:snapToGrid w:val="0"/>
              <w:spacing w:line="360" w:lineRule="auto"/>
              <w:ind w:firstLine="482" w:firstLineChars="200"/>
              <w:rPr>
                <w:rFonts w:hint="default" w:ascii="Times New Roman" w:hAnsi="Times New Roman" w:cs="Times New Roman"/>
                <w:b/>
                <w:bCs/>
                <w:color w:val="auto"/>
                <w:sz w:val="24"/>
                <w:highlight w:val="none"/>
                <w:lang w:eastAsia="zh-CN"/>
              </w:rPr>
            </w:pPr>
            <w:r>
              <w:rPr>
                <w:rFonts w:hint="default" w:ascii="Times New Roman" w:hAnsi="Times New Roman" w:cs="Times New Roman"/>
                <w:b/>
                <w:bCs/>
                <w:color w:val="auto"/>
                <w:sz w:val="24"/>
                <w:highlight w:val="none"/>
              </w:rPr>
              <w:t>混凝土搅拌</w:t>
            </w:r>
            <w:r>
              <w:rPr>
                <w:rFonts w:hint="default" w:ascii="Times New Roman" w:hAnsi="Times New Roman" w:cs="Times New Roman"/>
                <w:b/>
                <w:bCs/>
                <w:color w:val="auto"/>
                <w:sz w:val="24"/>
                <w:highlight w:val="none"/>
                <w:lang w:eastAsia="zh-CN"/>
              </w:rPr>
              <w:t>：</w:t>
            </w:r>
          </w:p>
          <w:p w14:paraId="4EAD8F3B">
            <w:pPr>
              <w:keepNext w:val="0"/>
              <w:keepLines w:val="0"/>
              <w:pageBreakBefore w:val="0"/>
              <w:widowControl w:val="0"/>
              <w:kinsoku/>
              <w:wordWrap/>
              <w:overflowPunct/>
              <w:topLinePunct w:val="0"/>
              <w:bidi w:val="0"/>
              <w:adjustRightInd w:val="0"/>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b w:val="0"/>
                <w:bCs w:val="0"/>
                <w:color w:val="auto"/>
                <w:sz w:val="24"/>
                <w:highlight w:val="none"/>
                <w:lang w:val="en-US" w:eastAsia="zh-CN"/>
              </w:rPr>
              <w:t>1）</w:t>
            </w:r>
            <w:r>
              <w:rPr>
                <w:rFonts w:hint="default" w:ascii="Times New Roman" w:hAnsi="Times New Roman" w:cs="Times New Roman"/>
                <w:color w:val="auto"/>
                <w:sz w:val="24"/>
                <w:highlight w:val="none"/>
                <w:lang w:val="en-US" w:eastAsia="zh-CN"/>
              </w:rPr>
              <w:t>砂</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碎石运输及</w:t>
            </w:r>
            <w:r>
              <w:rPr>
                <w:rFonts w:hint="default" w:ascii="Times New Roman" w:hAnsi="Times New Roman" w:cs="Times New Roman"/>
                <w:color w:val="auto"/>
                <w:sz w:val="24"/>
                <w:highlight w:val="none"/>
                <w:lang w:eastAsia="zh-CN"/>
              </w:rPr>
              <w:t>储存：</w:t>
            </w:r>
            <w:r>
              <w:rPr>
                <w:rFonts w:hint="default" w:ascii="Times New Roman" w:hAnsi="Times New Roman" w:cs="Times New Roman"/>
                <w:color w:val="auto"/>
                <w:sz w:val="24"/>
                <w:highlight w:val="none"/>
                <w:lang w:val="en-US" w:eastAsia="zh-CN"/>
              </w:rPr>
              <w:t>砂</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碎石</w:t>
            </w:r>
            <w:r>
              <w:rPr>
                <w:rFonts w:hint="default" w:ascii="Times New Roman" w:hAnsi="Times New Roman" w:cs="Times New Roman"/>
                <w:color w:val="auto"/>
                <w:sz w:val="24"/>
                <w:highlight w:val="none"/>
                <w:lang w:eastAsia="zh-CN"/>
              </w:rPr>
              <w:t>由</w:t>
            </w:r>
            <w:r>
              <w:rPr>
                <w:rFonts w:hint="default" w:ascii="Times New Roman" w:hAnsi="Times New Roman" w:cs="Times New Roman"/>
                <w:color w:val="auto"/>
                <w:sz w:val="24"/>
                <w:highlight w:val="none"/>
                <w:lang w:val="en-US" w:eastAsia="zh-CN"/>
              </w:rPr>
              <w:t>篷布完全封闭遮盖的运输车辆运入封闭式的原料仓内待用，砂</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碎石</w:t>
            </w:r>
            <w:r>
              <w:rPr>
                <w:rFonts w:hint="default" w:ascii="Times New Roman" w:hAnsi="Times New Roman" w:cs="Times New Roman"/>
                <w:color w:val="auto"/>
                <w:sz w:val="24"/>
                <w:highlight w:val="none"/>
                <w:lang w:eastAsia="zh-CN"/>
              </w:rPr>
              <w:t>由全封闭式皮带给料机</w:t>
            </w:r>
            <w:r>
              <w:rPr>
                <w:rFonts w:hint="default" w:ascii="Times New Roman" w:hAnsi="Times New Roman" w:cs="Times New Roman"/>
                <w:color w:val="auto"/>
                <w:sz w:val="24"/>
                <w:highlight w:val="none"/>
                <w:lang w:val="en-US" w:eastAsia="zh-CN"/>
              </w:rPr>
              <w:t>分别</w:t>
            </w:r>
            <w:r>
              <w:rPr>
                <w:rFonts w:hint="default" w:ascii="Times New Roman" w:hAnsi="Times New Roman" w:cs="Times New Roman"/>
                <w:color w:val="auto"/>
                <w:sz w:val="24"/>
                <w:highlight w:val="none"/>
                <w:lang w:eastAsia="zh-CN"/>
              </w:rPr>
              <w:t>输送至</w:t>
            </w:r>
            <w:r>
              <w:rPr>
                <w:rFonts w:hint="default" w:ascii="Times New Roman" w:hAnsi="Times New Roman" w:cs="Times New Roman"/>
                <w:color w:val="auto"/>
                <w:sz w:val="24"/>
                <w:highlight w:val="none"/>
                <w:lang w:val="en-US" w:eastAsia="zh-CN"/>
              </w:rPr>
              <w:t>砂石中间料仓</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中间料仓输送至搅拌设备也为密闭输送带输送，</w:t>
            </w:r>
            <w:r>
              <w:rPr>
                <w:rFonts w:hint="default" w:ascii="Times New Roman" w:hAnsi="Times New Roman" w:cs="Times New Roman"/>
                <w:color w:val="auto"/>
                <w:sz w:val="24"/>
                <w:highlight w:val="none"/>
                <w:lang w:eastAsia="zh-CN"/>
              </w:rPr>
              <w:t>由于砂</w:t>
            </w:r>
            <w:r>
              <w:rPr>
                <w:rFonts w:hint="default" w:ascii="Times New Roman" w:hAnsi="Times New Roman" w:cs="Times New Roman"/>
                <w:color w:val="auto"/>
                <w:sz w:val="24"/>
                <w:highlight w:val="none"/>
                <w:lang w:val="en-US" w:eastAsia="zh-CN"/>
              </w:rPr>
              <w:t>和碎石均有一定</w:t>
            </w:r>
            <w:r>
              <w:rPr>
                <w:rFonts w:hint="default" w:ascii="Times New Roman" w:hAnsi="Times New Roman" w:cs="Times New Roman"/>
                <w:color w:val="auto"/>
                <w:sz w:val="24"/>
                <w:highlight w:val="none"/>
                <w:lang w:eastAsia="zh-CN"/>
              </w:rPr>
              <w:t>含水率（</w:t>
            </w:r>
            <w:r>
              <w:rPr>
                <w:rFonts w:hint="default" w:ascii="Times New Roman" w:hAnsi="Times New Roman" w:cs="Times New Roman"/>
                <w:color w:val="auto"/>
                <w:sz w:val="24"/>
                <w:highlight w:val="none"/>
                <w:lang w:val="en-US" w:eastAsia="zh-CN"/>
              </w:rPr>
              <w:t>指的是物料表面沾有的水分</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且碎石颗粒较大，</w:t>
            </w:r>
            <w:r>
              <w:rPr>
                <w:rFonts w:hint="eastAsia" w:ascii="Times New Roman" w:hAnsi="Times New Roman" w:cs="Times New Roman"/>
                <w:color w:val="auto"/>
                <w:sz w:val="24"/>
                <w:highlight w:val="none"/>
                <w:lang w:val="en-US" w:eastAsia="zh-CN"/>
              </w:rPr>
              <w:t>故该环节仅少量的粉尘逸散</w:t>
            </w:r>
            <w:r>
              <w:rPr>
                <w:rFonts w:hint="default" w:ascii="Times New Roman" w:hAnsi="Times New Roman" w:cs="Times New Roman"/>
                <w:color w:val="auto"/>
                <w:sz w:val="24"/>
                <w:highlight w:val="none"/>
                <w:lang w:val="en-US" w:eastAsia="zh-CN"/>
              </w:rPr>
              <w:t>，此工序</w:t>
            </w:r>
            <w:r>
              <w:rPr>
                <w:rFonts w:hint="eastAsia" w:ascii="Times New Roman" w:hAnsi="Times New Roman" w:cs="Times New Roman"/>
                <w:color w:val="auto"/>
                <w:sz w:val="24"/>
                <w:highlight w:val="none"/>
                <w:lang w:val="en-US" w:eastAsia="zh-CN"/>
              </w:rPr>
              <w:t>还</w:t>
            </w:r>
            <w:r>
              <w:rPr>
                <w:rFonts w:hint="default" w:ascii="Times New Roman" w:hAnsi="Times New Roman" w:cs="Times New Roman"/>
                <w:color w:val="auto"/>
                <w:sz w:val="24"/>
                <w:highlight w:val="none"/>
                <w:lang w:val="en-US" w:eastAsia="zh-CN"/>
              </w:rPr>
              <w:t>会产生噪声及卸料粉尘，道路运输扬尘、堆场扬尘和噪声；</w:t>
            </w:r>
          </w:p>
          <w:p w14:paraId="06941434">
            <w:pPr>
              <w:adjustRightInd w:val="0"/>
              <w:snapToGri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b w:val="0"/>
                <w:bCs w:val="0"/>
                <w:color w:val="auto"/>
                <w:sz w:val="24"/>
                <w:highlight w:val="none"/>
                <w:lang w:val="en-US" w:eastAsia="zh-CN"/>
              </w:rPr>
              <w:t>2）</w:t>
            </w:r>
            <w:r>
              <w:rPr>
                <w:rFonts w:hint="default" w:ascii="Times New Roman" w:hAnsi="Times New Roman" w:cs="Times New Roman"/>
                <w:color w:val="auto"/>
                <w:sz w:val="24"/>
                <w:highlight w:val="none"/>
                <w:lang w:eastAsia="zh-CN"/>
              </w:rPr>
              <w:t>水泥、</w:t>
            </w:r>
            <w:r>
              <w:rPr>
                <w:rFonts w:hint="default" w:ascii="Times New Roman" w:hAnsi="Times New Roman" w:cs="Times New Roman"/>
                <w:color w:val="auto"/>
                <w:sz w:val="24"/>
                <w:highlight w:val="none"/>
                <w:lang w:val="en-US" w:eastAsia="zh-CN"/>
              </w:rPr>
              <w:t>粉煤灰等粉状物料运输及储存</w:t>
            </w:r>
            <w:r>
              <w:rPr>
                <w:rFonts w:hint="default" w:ascii="Times New Roman" w:hAnsi="Times New Roman" w:cs="Times New Roman"/>
                <w:color w:val="auto"/>
                <w:sz w:val="24"/>
                <w:highlight w:val="none"/>
                <w:lang w:eastAsia="zh-CN"/>
              </w:rPr>
              <w:t>：进厂</w:t>
            </w:r>
            <w:r>
              <w:rPr>
                <w:rFonts w:hint="default" w:ascii="Times New Roman" w:hAnsi="Times New Roman" w:cs="Times New Roman"/>
                <w:color w:val="auto"/>
                <w:sz w:val="24"/>
                <w:highlight w:val="none"/>
                <w:lang w:val="en-US" w:eastAsia="zh-CN"/>
              </w:rPr>
              <w:t>粉状物料均</w:t>
            </w:r>
            <w:r>
              <w:rPr>
                <w:rFonts w:hint="default" w:ascii="Times New Roman" w:hAnsi="Times New Roman" w:cs="Times New Roman"/>
                <w:color w:val="auto"/>
                <w:sz w:val="24"/>
                <w:highlight w:val="none"/>
                <w:lang w:eastAsia="zh-CN"/>
              </w:rPr>
              <w:t>为散装泥，经散装罐车直接用车上自备的气泵</w:t>
            </w:r>
            <w:r>
              <w:rPr>
                <w:rFonts w:hint="default" w:ascii="Times New Roman" w:hAnsi="Times New Roman" w:cs="Times New Roman"/>
                <w:color w:val="auto"/>
                <w:sz w:val="24"/>
                <w:highlight w:val="none"/>
                <w:lang w:val="en-US" w:eastAsia="zh-CN"/>
              </w:rPr>
              <w:t>通过料仓进料入口密封泵入</w:t>
            </w:r>
            <w:r>
              <w:rPr>
                <w:rFonts w:hint="default" w:ascii="Times New Roman" w:hAnsi="Times New Roman" w:cs="Times New Roman"/>
                <w:color w:val="auto"/>
                <w:sz w:val="24"/>
                <w:highlight w:val="none"/>
                <w:lang w:eastAsia="zh-CN"/>
              </w:rPr>
              <w:t>料仓中待用，</w:t>
            </w:r>
            <w:r>
              <w:rPr>
                <w:rFonts w:hint="default" w:ascii="Times New Roman" w:hAnsi="Times New Roman" w:cs="Times New Roman"/>
                <w:color w:val="auto"/>
                <w:sz w:val="24"/>
                <w:highlight w:val="none"/>
                <w:lang w:val="en-US" w:eastAsia="zh-CN"/>
              </w:rPr>
              <w:t>泵料过程各筒仓会产生呼吸粉尘，故此工序会产生粉尘、</w:t>
            </w:r>
            <w:r>
              <w:rPr>
                <w:rFonts w:hint="eastAsia" w:ascii="Times New Roman" w:hAnsi="Times New Roman" w:cs="Times New Roman"/>
                <w:color w:val="auto"/>
                <w:sz w:val="24"/>
                <w:highlight w:val="none"/>
                <w:lang w:val="en-US" w:eastAsia="zh-CN"/>
              </w:rPr>
              <w:t>运输车辆产生的动力扬尘、</w:t>
            </w:r>
            <w:r>
              <w:rPr>
                <w:rFonts w:hint="default" w:ascii="Times New Roman" w:hAnsi="Times New Roman" w:cs="Times New Roman"/>
                <w:color w:val="auto"/>
                <w:sz w:val="24"/>
                <w:highlight w:val="none"/>
                <w:lang w:val="en-US" w:eastAsia="zh-CN"/>
              </w:rPr>
              <w:t>噪声</w:t>
            </w:r>
            <w:r>
              <w:rPr>
                <w:rFonts w:hint="default" w:ascii="Times New Roman" w:hAnsi="Times New Roman" w:cs="Times New Roman"/>
                <w:color w:val="auto"/>
                <w:sz w:val="24"/>
                <w:highlight w:val="none"/>
                <w:lang w:eastAsia="zh-CN"/>
              </w:rPr>
              <w:t>；</w:t>
            </w:r>
          </w:p>
          <w:p w14:paraId="448D44D2">
            <w:pPr>
              <w:adjustRightInd w:val="0"/>
              <w:snapToGrid w:val="0"/>
              <w:spacing w:line="360" w:lineRule="auto"/>
              <w:ind w:firstLine="480" w:firstLineChars="200"/>
              <w:rPr>
                <w:rFonts w:hint="default" w:ascii="Times New Roman" w:hAnsi="Times New Roman" w:eastAsia="宋体" w:cs="Times New Roman"/>
                <w:color w:val="auto"/>
                <w:sz w:val="24"/>
                <w:highlight w:val="none"/>
                <w:lang w:eastAsia="zh-CN"/>
              </w:rPr>
            </w:pPr>
            <w:r>
              <w:rPr>
                <w:rFonts w:hint="default" w:ascii="Times New Roman" w:hAnsi="Times New Roman" w:cs="Times New Roman"/>
                <w:color w:val="auto"/>
                <w:sz w:val="24"/>
                <w:highlight w:val="none"/>
                <w:lang w:val="en-US" w:eastAsia="zh-CN"/>
              </w:rPr>
              <w:t>3）</w:t>
            </w:r>
            <w:r>
              <w:rPr>
                <w:rFonts w:hint="default" w:ascii="Times New Roman" w:hAnsi="Times New Roman" w:cs="Times New Roman"/>
                <w:color w:val="auto"/>
                <w:sz w:val="24"/>
                <w:highlight w:val="none"/>
                <w:lang w:eastAsia="zh-CN"/>
              </w:rPr>
              <w:t>计量、搅拌：砂、</w:t>
            </w:r>
            <w:r>
              <w:rPr>
                <w:rFonts w:hint="default" w:ascii="Times New Roman" w:hAnsi="Times New Roman" w:cs="Times New Roman"/>
                <w:color w:val="auto"/>
                <w:sz w:val="24"/>
                <w:highlight w:val="none"/>
                <w:lang w:val="en-US" w:eastAsia="zh-CN"/>
              </w:rPr>
              <w:t>碎石、水泥、粉煤灰通过螺旋输送到配料搅拌罐里</w:t>
            </w:r>
            <w:r>
              <w:rPr>
                <w:rFonts w:hint="default" w:ascii="Times New Roman" w:hAnsi="Times New Roman" w:cs="Times New Roman"/>
                <w:color w:val="auto"/>
                <w:sz w:val="24"/>
                <w:highlight w:val="none"/>
                <w:lang w:eastAsia="zh-CN"/>
              </w:rPr>
              <w:t>计量</w:t>
            </w:r>
            <w:r>
              <w:rPr>
                <w:rFonts w:hint="default" w:ascii="Times New Roman" w:hAnsi="Times New Roman" w:cs="Times New Roman"/>
                <w:color w:val="auto"/>
                <w:sz w:val="24"/>
                <w:highlight w:val="none"/>
                <w:lang w:val="en-US" w:eastAsia="zh-CN"/>
              </w:rPr>
              <w:t>称重，通过全封闭输送管道输送至</w:t>
            </w:r>
            <w:r>
              <w:rPr>
                <w:rFonts w:hint="default" w:ascii="Times New Roman" w:hAnsi="Times New Roman" w:cs="Times New Roman"/>
                <w:color w:val="auto"/>
                <w:sz w:val="24"/>
                <w:highlight w:val="none"/>
                <w:lang w:eastAsia="zh-CN"/>
              </w:rPr>
              <w:t>全密闭式的浇注搅拌机，</w:t>
            </w:r>
            <w:r>
              <w:rPr>
                <w:rFonts w:hint="default" w:ascii="Times New Roman" w:hAnsi="Times New Roman" w:cs="Times New Roman"/>
                <w:color w:val="auto"/>
                <w:sz w:val="24"/>
                <w:highlight w:val="none"/>
                <w:lang w:val="en-US" w:eastAsia="zh-CN"/>
              </w:rPr>
              <w:t>与水在搅拌机内混合搅拌，</w:t>
            </w:r>
            <w:r>
              <w:rPr>
                <w:rFonts w:hint="eastAsia" w:ascii="Times New Roman" w:hAnsi="Times New Roman" w:cs="Times New Roman"/>
                <w:color w:val="auto"/>
                <w:sz w:val="24"/>
                <w:highlight w:val="none"/>
                <w:lang w:val="en-US" w:eastAsia="zh-CN"/>
              </w:rPr>
              <w:t>但在由于使用的物料含粉料，未完全搅拌混合完成时会</w:t>
            </w:r>
            <w:r>
              <w:rPr>
                <w:rFonts w:hint="default" w:ascii="Times New Roman" w:hAnsi="Times New Roman" w:cs="Times New Roman"/>
                <w:color w:val="auto"/>
                <w:sz w:val="24"/>
                <w:highlight w:val="none"/>
                <w:lang w:val="en-US" w:eastAsia="zh-CN"/>
              </w:rPr>
              <w:t>产生粉尘</w:t>
            </w:r>
            <w:r>
              <w:rPr>
                <w:rFonts w:hint="eastAsia" w:ascii="Times New Roman" w:hAnsi="Times New Roman" w:cs="Times New Roman"/>
                <w:color w:val="auto"/>
                <w:sz w:val="24"/>
                <w:highlight w:val="none"/>
                <w:lang w:val="en-US" w:eastAsia="zh-CN"/>
              </w:rPr>
              <w:t>，该工序还会产生</w:t>
            </w:r>
            <w:r>
              <w:rPr>
                <w:rFonts w:hint="default" w:ascii="Times New Roman" w:hAnsi="Times New Roman" w:cs="Times New Roman"/>
                <w:color w:val="auto"/>
                <w:sz w:val="24"/>
                <w:highlight w:val="none"/>
                <w:lang w:val="en-US" w:eastAsia="zh-CN"/>
              </w:rPr>
              <w:t>设备运行噪声及搅拌机清洗废水；</w:t>
            </w:r>
          </w:p>
          <w:p w14:paraId="31581731">
            <w:pPr>
              <w:keepNext w:val="0"/>
              <w:keepLines w:val="0"/>
              <w:pageBreakBefore w:val="0"/>
              <w:widowControl w:val="0"/>
              <w:kinsoku/>
              <w:wordWrap/>
              <w:overflowPunct/>
              <w:topLinePunct w:val="0"/>
              <w:bidi w:val="0"/>
              <w:snapToGrid w:val="0"/>
              <w:spacing w:line="360" w:lineRule="auto"/>
              <w:ind w:firstLine="482" w:firstLineChars="20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rPr>
              <w:t>浇</w:t>
            </w:r>
            <w:r>
              <w:rPr>
                <w:rFonts w:hint="default" w:ascii="Times New Roman" w:hAnsi="Times New Roman" w:cs="Times New Roman"/>
                <w:b/>
                <w:bCs/>
                <w:color w:val="auto"/>
                <w:sz w:val="24"/>
                <w:highlight w:val="none"/>
                <w:lang w:val="en-US" w:eastAsia="zh-CN"/>
              </w:rPr>
              <w:t>筑</w:t>
            </w:r>
            <w:r>
              <w:rPr>
                <w:rFonts w:hint="default" w:ascii="Times New Roman" w:hAnsi="Times New Roman" w:cs="Times New Roman"/>
                <w:b/>
                <w:bCs/>
                <w:color w:val="auto"/>
                <w:sz w:val="24"/>
                <w:highlight w:val="none"/>
                <w:lang w:eastAsia="zh-CN"/>
              </w:rPr>
              <w:t>、</w:t>
            </w:r>
            <w:r>
              <w:rPr>
                <w:rFonts w:hint="default" w:ascii="Times New Roman" w:hAnsi="Times New Roman" w:cs="Times New Roman"/>
                <w:b/>
                <w:bCs/>
                <w:color w:val="auto"/>
                <w:sz w:val="24"/>
                <w:highlight w:val="none"/>
              </w:rPr>
              <w:t>振捣：</w:t>
            </w:r>
            <w:r>
              <w:rPr>
                <w:rFonts w:hint="default" w:ascii="Times New Roman" w:hAnsi="Times New Roman" w:cs="Times New Roman"/>
                <w:color w:val="auto"/>
                <w:sz w:val="24"/>
                <w:highlight w:val="none"/>
              </w:rPr>
              <w:t>搅拌好的混凝土运至组装好的</w:t>
            </w:r>
            <w:r>
              <w:rPr>
                <w:rFonts w:hint="default" w:ascii="Times New Roman" w:hAnsi="Times New Roman" w:cs="Times New Roman"/>
                <w:color w:val="auto"/>
                <w:sz w:val="24"/>
                <w:highlight w:val="none"/>
                <w:lang w:val="en-US" w:eastAsia="zh-CN"/>
              </w:rPr>
              <w:t>钢筋笼的</w:t>
            </w:r>
            <w:r>
              <w:rPr>
                <w:rFonts w:hint="default" w:ascii="Times New Roman" w:hAnsi="Times New Roman" w:cs="Times New Roman"/>
                <w:color w:val="auto"/>
                <w:sz w:val="24"/>
                <w:highlight w:val="none"/>
              </w:rPr>
              <w:t>模具内进行浇注，再经附着式振捣器振动成型，振捣后的半成品需</w:t>
            </w:r>
            <w:r>
              <w:rPr>
                <w:rFonts w:hint="eastAsia" w:ascii="Times New Roman" w:hAnsi="Times New Roman" w:cs="Times New Roman"/>
                <w:color w:val="auto"/>
                <w:sz w:val="24"/>
                <w:highlight w:val="none"/>
                <w:lang w:val="en-US" w:eastAsia="zh-CN"/>
              </w:rPr>
              <w:t>常温</w:t>
            </w:r>
            <w:r>
              <w:rPr>
                <w:rFonts w:hint="default" w:ascii="Times New Roman" w:hAnsi="Times New Roman" w:cs="Times New Roman"/>
                <w:color w:val="auto"/>
                <w:sz w:val="24"/>
                <w:highlight w:val="none"/>
              </w:rPr>
              <w:t>静置约2h，</w:t>
            </w:r>
            <w:r>
              <w:rPr>
                <w:rFonts w:hint="default" w:ascii="Times New Roman" w:hAnsi="Times New Roman" w:cs="Times New Roman"/>
                <w:color w:val="auto"/>
                <w:sz w:val="24"/>
                <w:highlight w:val="none"/>
                <w:lang w:val="en-US" w:eastAsia="zh-CN"/>
              </w:rPr>
              <w:t>由于浇注振捣过程的混凝土湿度较高，故不会产生粉尘，</w:t>
            </w:r>
            <w:r>
              <w:rPr>
                <w:rFonts w:hint="default" w:ascii="Times New Roman" w:hAnsi="Times New Roman" w:cs="Times New Roman"/>
                <w:color w:val="auto"/>
                <w:sz w:val="24"/>
                <w:highlight w:val="none"/>
              </w:rPr>
              <w:t>该工序会产生</w:t>
            </w:r>
            <w:r>
              <w:rPr>
                <w:rFonts w:hint="default" w:ascii="Times New Roman" w:hAnsi="Times New Roman" w:cs="Times New Roman"/>
                <w:color w:val="auto"/>
                <w:sz w:val="24"/>
                <w:highlight w:val="none"/>
                <w:lang w:val="en-US" w:eastAsia="zh-CN"/>
              </w:rPr>
              <w:t>废混凝土块、</w:t>
            </w:r>
            <w:r>
              <w:rPr>
                <w:rFonts w:hint="default" w:ascii="Times New Roman" w:hAnsi="Times New Roman" w:cs="Times New Roman"/>
                <w:color w:val="auto"/>
                <w:sz w:val="24"/>
                <w:highlight w:val="none"/>
              </w:rPr>
              <w:t>噪声。</w:t>
            </w:r>
          </w:p>
          <w:p w14:paraId="4431A2D3">
            <w:pPr>
              <w:snapToGrid w:val="0"/>
              <w:spacing w:line="360" w:lineRule="auto"/>
              <w:ind w:firstLine="482" w:firstLineChars="20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lang w:val="en-US" w:eastAsia="zh-CN"/>
              </w:rPr>
              <w:t>自然养护/</w:t>
            </w:r>
            <w:r>
              <w:rPr>
                <w:rFonts w:hint="default" w:ascii="Times New Roman" w:hAnsi="Times New Roman" w:cs="Times New Roman"/>
                <w:b/>
                <w:bCs/>
                <w:color w:val="auto"/>
                <w:sz w:val="24"/>
                <w:highlight w:val="none"/>
              </w:rPr>
              <w:t>蒸养：</w:t>
            </w:r>
            <w:r>
              <w:rPr>
                <w:rFonts w:hint="default" w:ascii="Times New Roman" w:hAnsi="Times New Roman" w:cs="Times New Roman"/>
                <w:color w:val="auto"/>
                <w:sz w:val="24"/>
                <w:highlight w:val="none"/>
                <w:lang w:val="en-US" w:eastAsia="zh-CN"/>
              </w:rPr>
              <w:t>产品的养护温度一般</w:t>
            </w:r>
            <w:r>
              <w:rPr>
                <w:rFonts w:hint="default" w:ascii="Times New Roman" w:hAnsi="Times New Roman" w:cs="Times New Roman"/>
                <w:color w:val="auto"/>
                <w:sz w:val="24"/>
                <w:highlight w:val="none"/>
              </w:rPr>
              <w:t>为</w:t>
            </w:r>
            <w:r>
              <w:rPr>
                <w:rFonts w:hint="default" w:ascii="Times New Roman" w:hAnsi="Times New Roman" w:cs="Times New Roman"/>
                <w:color w:val="auto"/>
                <w:sz w:val="24"/>
                <w:highlight w:val="none"/>
                <w:lang w:val="en-US" w:eastAsia="zh-CN"/>
              </w:rPr>
              <w:t>28</w:t>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lang w:val="en-US" w:eastAsia="zh-CN"/>
              </w:rPr>
              <w:t>3</w:t>
            </w:r>
            <w:r>
              <w:rPr>
                <w:rFonts w:hint="default" w:ascii="Times New Roman" w:hAnsi="Times New Roman" w:cs="Times New Roman"/>
                <w:color w:val="auto"/>
                <w:sz w:val="24"/>
                <w:highlight w:val="none"/>
              </w:rPr>
              <w:t>5℃</w:t>
            </w:r>
            <w:r>
              <w:rPr>
                <w:rFonts w:hint="default" w:ascii="Times New Roman" w:hAnsi="Times New Roman"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由于广东的夏季及春秋季部分时间温度较高，产品均可自然放置养护即可，冬季及春秋季节部分时间温度相对较低，</w:t>
            </w:r>
            <w:r>
              <w:rPr>
                <w:rFonts w:hint="default" w:ascii="Times New Roman" w:hAnsi="Times New Roman" w:cs="Times New Roman"/>
                <w:color w:val="auto"/>
                <w:sz w:val="24"/>
                <w:highlight w:val="none"/>
              </w:rPr>
              <w:t>为提高混凝土脱模强度，缩短</w:t>
            </w:r>
            <w:r>
              <w:rPr>
                <w:rFonts w:hint="default" w:ascii="Times New Roman" w:hAnsi="Times New Roman" w:cs="Times New Roman"/>
                <w:color w:val="auto"/>
                <w:sz w:val="24"/>
                <w:highlight w:val="none"/>
                <w:lang w:val="en-US" w:eastAsia="zh-CN"/>
              </w:rPr>
              <w:t>低温</w:t>
            </w:r>
            <w:r>
              <w:rPr>
                <w:rFonts w:hint="default" w:ascii="Times New Roman" w:hAnsi="Times New Roman" w:cs="Times New Roman"/>
                <w:color w:val="auto"/>
                <w:sz w:val="24"/>
                <w:highlight w:val="none"/>
              </w:rPr>
              <w:t>养护周期，</w:t>
            </w:r>
            <w:r>
              <w:rPr>
                <w:rFonts w:hint="default" w:ascii="Times New Roman" w:hAnsi="Times New Roman" w:cs="Times New Roman"/>
                <w:color w:val="auto"/>
                <w:sz w:val="24"/>
                <w:highlight w:val="none"/>
                <w:lang w:val="en-US" w:eastAsia="zh-CN"/>
              </w:rPr>
              <w:t>轨道板及轨枕</w:t>
            </w:r>
            <w:r>
              <w:rPr>
                <w:rFonts w:hint="default" w:ascii="Times New Roman" w:hAnsi="Times New Roman" w:eastAsia="宋体" w:cs="Times New Roman"/>
                <w:color w:val="auto"/>
                <w:sz w:val="24"/>
                <w:highlight w:val="none"/>
                <w:lang w:val="en-US" w:eastAsia="zh-CN"/>
              </w:rPr>
              <w:t>冬季</w:t>
            </w:r>
            <w:r>
              <w:rPr>
                <w:rFonts w:hint="default" w:ascii="Times New Roman" w:hAnsi="Times New Roman" w:cs="Times New Roman"/>
                <w:color w:val="auto"/>
                <w:sz w:val="24"/>
                <w:highlight w:val="none"/>
                <w:lang w:val="en-US" w:eastAsia="zh-CN"/>
              </w:rPr>
              <w:t>及春秋季部分温度较低的时候需</w:t>
            </w:r>
            <w:r>
              <w:rPr>
                <w:rFonts w:hint="default" w:ascii="Times New Roman" w:hAnsi="Times New Roman" w:cs="Times New Roman"/>
                <w:color w:val="auto"/>
                <w:sz w:val="24"/>
                <w:highlight w:val="none"/>
              </w:rPr>
              <w:t>在蒸汽养护</w:t>
            </w:r>
            <w:r>
              <w:rPr>
                <w:rFonts w:hint="default" w:ascii="Times New Roman" w:hAnsi="Times New Roman" w:cs="Times New Roman"/>
                <w:color w:val="auto"/>
                <w:sz w:val="24"/>
                <w:highlight w:val="none"/>
                <w:lang w:val="en-US" w:eastAsia="zh-CN"/>
              </w:rPr>
              <w:t>房</w:t>
            </w:r>
            <w:r>
              <w:rPr>
                <w:rFonts w:hint="default" w:ascii="Times New Roman" w:hAnsi="Times New Roman" w:cs="Times New Roman"/>
                <w:color w:val="auto"/>
                <w:sz w:val="24"/>
                <w:highlight w:val="none"/>
              </w:rPr>
              <w:t>内进行蒸汽养护（蒸汽由</w:t>
            </w:r>
            <w:r>
              <w:rPr>
                <w:rFonts w:hint="default" w:ascii="Times New Roman" w:hAnsi="Times New Roman" w:cs="Times New Roman"/>
                <w:color w:val="auto"/>
                <w:sz w:val="24"/>
                <w:highlight w:val="none"/>
                <w:lang w:val="en-US" w:eastAsia="zh-CN"/>
              </w:rPr>
              <w:t>1</w:t>
            </w:r>
            <w:r>
              <w:rPr>
                <w:rFonts w:hint="default" w:ascii="Times New Roman" w:hAnsi="Times New Roman" w:cs="Times New Roman"/>
                <w:color w:val="auto"/>
                <w:sz w:val="24"/>
                <w:highlight w:val="none"/>
              </w:rPr>
              <w:t>t/h</w:t>
            </w:r>
            <w:r>
              <w:rPr>
                <w:rFonts w:hint="default" w:ascii="Times New Roman" w:hAnsi="Times New Roman" w:cs="Times New Roman"/>
                <w:color w:val="auto"/>
                <w:sz w:val="24"/>
                <w:highlight w:val="none"/>
                <w:lang w:val="en-US" w:eastAsia="zh-CN"/>
              </w:rPr>
              <w:t>的天然气锅炉</w:t>
            </w:r>
            <w:r>
              <w:rPr>
                <w:rFonts w:hint="default" w:ascii="Times New Roman" w:hAnsi="Times New Roman" w:cs="Times New Roman"/>
                <w:color w:val="auto"/>
                <w:sz w:val="24"/>
                <w:highlight w:val="none"/>
              </w:rPr>
              <w:t>提供）</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全年需要蒸汽养护时间约100天</w:t>
            </w:r>
            <w:r>
              <w:rPr>
                <w:rFonts w:hint="default" w:ascii="Times New Roman" w:hAnsi="Times New Roman" w:cs="Times New Roman"/>
                <w:color w:val="auto"/>
                <w:sz w:val="24"/>
                <w:highlight w:val="none"/>
              </w:rPr>
              <w:t>。</w:t>
            </w:r>
            <w:r>
              <w:rPr>
                <w:rFonts w:hint="eastAsia" w:ascii="Times New Roman" w:hAnsi="Times New Roman" w:cs="Times New Roman"/>
                <w:color w:val="auto"/>
                <w:sz w:val="24"/>
                <w:highlight w:val="none"/>
                <w:lang w:val="en-US" w:eastAsia="zh-CN"/>
              </w:rPr>
              <w:t>蒸汽</w:t>
            </w:r>
            <w:r>
              <w:rPr>
                <w:rFonts w:hint="default" w:ascii="Times New Roman" w:hAnsi="Times New Roman" w:cs="Times New Roman"/>
                <w:color w:val="auto"/>
                <w:sz w:val="24"/>
                <w:highlight w:val="none"/>
              </w:rPr>
              <w:t>养护时，给</w:t>
            </w:r>
            <w:r>
              <w:rPr>
                <w:rFonts w:hint="default" w:ascii="Times New Roman" w:hAnsi="Times New Roman" w:cs="Times New Roman"/>
                <w:color w:val="auto"/>
                <w:sz w:val="24"/>
                <w:highlight w:val="none"/>
                <w:lang w:val="en-US" w:eastAsia="zh-CN"/>
              </w:rPr>
              <w:t>轨道板及轨枕</w:t>
            </w:r>
            <w:r>
              <w:rPr>
                <w:rFonts w:hint="default" w:ascii="Times New Roman" w:hAnsi="Times New Roman" w:cs="Times New Roman"/>
                <w:color w:val="auto"/>
                <w:sz w:val="24"/>
                <w:highlight w:val="none"/>
              </w:rPr>
              <w:t>的表面覆盖一层塑料薄膜，防止蒸汽养护时产生</w:t>
            </w:r>
            <w:r>
              <w:rPr>
                <w:rFonts w:hint="default" w:ascii="Times New Roman" w:hAnsi="Times New Roman" w:cs="Times New Roman"/>
                <w:color w:val="auto"/>
                <w:sz w:val="24"/>
                <w:highlight w:val="none"/>
                <w:lang w:eastAsia="zh-CN"/>
              </w:rPr>
              <w:t>的水蒸气</w:t>
            </w:r>
            <w:r>
              <w:rPr>
                <w:rFonts w:hint="default" w:ascii="Times New Roman" w:hAnsi="Times New Roman" w:cs="Times New Roman"/>
                <w:color w:val="auto"/>
                <w:sz w:val="24"/>
                <w:highlight w:val="none"/>
              </w:rPr>
              <w:t>冷却后出现水珠而影响</w:t>
            </w:r>
            <w:r>
              <w:rPr>
                <w:rFonts w:hint="default" w:ascii="Times New Roman" w:hAnsi="Times New Roman" w:cs="Times New Roman"/>
                <w:color w:val="auto"/>
                <w:sz w:val="24"/>
                <w:highlight w:val="none"/>
                <w:lang w:val="en-US" w:eastAsia="zh-CN"/>
              </w:rPr>
              <w:t>轨道板及轨枕</w:t>
            </w:r>
            <w:r>
              <w:rPr>
                <w:rFonts w:hint="default" w:ascii="Times New Roman" w:hAnsi="Times New Roman" w:cs="Times New Roman"/>
                <w:color w:val="auto"/>
                <w:sz w:val="24"/>
                <w:highlight w:val="none"/>
              </w:rPr>
              <w:t>的外观质量，蒸养温度为</w:t>
            </w:r>
            <w:r>
              <w:rPr>
                <w:rFonts w:hint="default" w:ascii="Times New Roman" w:hAnsi="Times New Roman" w:cs="Times New Roman"/>
                <w:color w:val="auto"/>
                <w:sz w:val="24"/>
                <w:highlight w:val="none"/>
                <w:lang w:val="en-US" w:eastAsia="zh-CN"/>
              </w:rPr>
              <w:t>30</w:t>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lang w:val="en-US" w:eastAsia="zh-CN"/>
              </w:rPr>
              <w:t>38</w:t>
            </w:r>
            <w:r>
              <w:rPr>
                <w:rFonts w:hint="default" w:ascii="Times New Roman" w:hAnsi="Times New Roman" w:cs="Times New Roman"/>
                <w:color w:val="auto"/>
                <w:sz w:val="24"/>
                <w:highlight w:val="none"/>
              </w:rPr>
              <w:t>℃，</w:t>
            </w:r>
            <w:r>
              <w:rPr>
                <w:rFonts w:hint="default" w:ascii="Times New Roman" w:hAnsi="Times New Roman" w:cs="Times New Roman"/>
                <w:color w:val="auto"/>
                <w:sz w:val="24"/>
                <w:szCs w:val="24"/>
                <w:highlight w:val="none"/>
                <w:lang w:val="en-US" w:eastAsia="zh-CN"/>
              </w:rPr>
              <w:t>每批次</w:t>
            </w:r>
            <w:r>
              <w:rPr>
                <w:rFonts w:hint="default" w:ascii="Times New Roman" w:hAnsi="Times New Roman" w:cs="Times New Roman"/>
                <w:color w:val="auto"/>
                <w:sz w:val="24"/>
                <w:highlight w:val="none"/>
                <w:lang w:val="en-US" w:eastAsia="zh-CN"/>
              </w:rPr>
              <w:t>蒸养时间约3h，每天约4批次。</w:t>
            </w:r>
            <w:r>
              <w:rPr>
                <w:rFonts w:hint="default" w:ascii="Times New Roman" w:hAnsi="Times New Roman" w:cs="Times New Roman"/>
                <w:color w:val="auto"/>
                <w:sz w:val="24"/>
                <w:highlight w:val="none"/>
              </w:rPr>
              <w:t>该过程会产生锅炉排污水及软化再生废水</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废塑料膜</w:t>
            </w:r>
            <w:r>
              <w:rPr>
                <w:rFonts w:hint="default" w:ascii="Times New Roman" w:hAnsi="Times New Roman" w:cs="Times New Roman"/>
                <w:color w:val="auto"/>
                <w:sz w:val="24"/>
                <w:highlight w:val="none"/>
              </w:rPr>
              <w:t>。</w:t>
            </w:r>
          </w:p>
          <w:p w14:paraId="1444EC10">
            <w:pPr>
              <w:snapToGrid w:val="0"/>
              <w:spacing w:line="360" w:lineRule="auto"/>
              <w:ind w:firstLine="482" w:firstLineChars="20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rPr>
              <w:t>脱模：</w:t>
            </w:r>
            <w:r>
              <w:rPr>
                <w:rFonts w:hint="default" w:ascii="Times New Roman" w:hAnsi="Times New Roman" w:cs="Times New Roman"/>
                <w:color w:val="auto"/>
                <w:sz w:val="24"/>
                <w:highlight w:val="none"/>
              </w:rPr>
              <w:t>利用</w:t>
            </w:r>
            <w:r>
              <w:rPr>
                <w:rFonts w:hint="default" w:ascii="Times New Roman" w:hAnsi="Times New Roman" w:cs="Times New Roman"/>
                <w:color w:val="auto"/>
                <w:sz w:val="24"/>
                <w:highlight w:val="none"/>
                <w:lang w:val="en-US" w:eastAsia="zh-CN"/>
              </w:rPr>
              <w:t>行吊</w:t>
            </w:r>
            <w:r>
              <w:rPr>
                <w:rFonts w:hint="default" w:ascii="Times New Roman" w:hAnsi="Times New Roman" w:cs="Times New Roman"/>
                <w:color w:val="auto"/>
                <w:sz w:val="24"/>
                <w:highlight w:val="none"/>
              </w:rPr>
              <w:t>对养护后的</w:t>
            </w:r>
            <w:r>
              <w:rPr>
                <w:rFonts w:hint="default" w:ascii="Times New Roman" w:hAnsi="Times New Roman" w:cs="Times New Roman"/>
                <w:color w:val="auto"/>
                <w:sz w:val="24"/>
                <w:highlight w:val="none"/>
                <w:lang w:val="en-US" w:eastAsia="zh-CN"/>
              </w:rPr>
              <w:t>轨道板及轨枕</w:t>
            </w:r>
            <w:r>
              <w:rPr>
                <w:rFonts w:hint="default" w:ascii="Times New Roman" w:hAnsi="Times New Roman" w:cs="Times New Roman"/>
                <w:color w:val="auto"/>
                <w:sz w:val="24"/>
                <w:highlight w:val="none"/>
              </w:rPr>
              <w:t>脱模</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模具脱落后表面清洁</w:t>
            </w:r>
            <w:r>
              <w:rPr>
                <w:rFonts w:hint="default" w:ascii="Times New Roman" w:hAnsi="Times New Roman" w:cs="Times New Roman"/>
                <w:color w:val="auto"/>
                <w:sz w:val="24"/>
                <w:highlight w:val="none"/>
                <w:lang w:eastAsia="zh-CN"/>
              </w:rPr>
              <w:t>无须</w:t>
            </w:r>
            <w:r>
              <w:rPr>
                <w:rFonts w:hint="default" w:ascii="Times New Roman" w:hAnsi="Times New Roman" w:cs="Times New Roman"/>
                <w:color w:val="auto"/>
                <w:sz w:val="24"/>
                <w:highlight w:val="none"/>
              </w:rPr>
              <w:t>清理，循环使用，</w:t>
            </w:r>
            <w:r>
              <w:rPr>
                <w:rFonts w:hint="eastAsia" w:ascii="Times New Roman" w:hAnsi="Times New Roman" w:cs="Times New Roman"/>
                <w:color w:val="auto"/>
                <w:sz w:val="24"/>
                <w:highlight w:val="none"/>
                <w:lang w:val="en-US" w:eastAsia="zh-CN"/>
              </w:rPr>
              <w:t>使用过程会存在破损，产生少量的废模具，该过程还会</w:t>
            </w:r>
            <w:r>
              <w:rPr>
                <w:rFonts w:hint="default" w:ascii="Times New Roman" w:hAnsi="Times New Roman" w:cs="Times New Roman"/>
                <w:color w:val="auto"/>
                <w:sz w:val="24"/>
                <w:highlight w:val="none"/>
              </w:rPr>
              <w:t>产生</w:t>
            </w:r>
            <w:r>
              <w:rPr>
                <w:rFonts w:hint="eastAsia" w:ascii="Times New Roman" w:hAnsi="Times New Roman" w:cs="Times New Roman"/>
                <w:color w:val="auto"/>
                <w:sz w:val="24"/>
                <w:highlight w:val="none"/>
                <w:lang w:val="en-US" w:eastAsia="zh-CN"/>
              </w:rPr>
              <w:t>设备运行的</w:t>
            </w:r>
            <w:r>
              <w:rPr>
                <w:rFonts w:hint="default" w:ascii="Times New Roman" w:hAnsi="Times New Roman" w:cs="Times New Roman"/>
                <w:color w:val="auto"/>
                <w:sz w:val="24"/>
                <w:highlight w:val="none"/>
                <w:lang w:val="en-US" w:eastAsia="zh-CN"/>
              </w:rPr>
              <w:t>噪声</w:t>
            </w:r>
            <w:r>
              <w:rPr>
                <w:rFonts w:hint="default" w:ascii="Times New Roman" w:hAnsi="Times New Roman" w:cs="Times New Roman"/>
                <w:color w:val="auto"/>
                <w:sz w:val="24"/>
                <w:highlight w:val="none"/>
              </w:rPr>
              <w:t>。</w:t>
            </w:r>
          </w:p>
          <w:p w14:paraId="27423787">
            <w:pPr>
              <w:snapToGrid w:val="0"/>
              <w:spacing w:line="360" w:lineRule="auto"/>
              <w:ind w:firstLine="482" w:firstLineChars="200"/>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b/>
                <w:bCs/>
                <w:color w:val="auto"/>
                <w:sz w:val="24"/>
                <w:highlight w:val="none"/>
                <w:lang w:val="en-US" w:eastAsia="zh-CN"/>
              </w:rPr>
              <w:t>水养</w:t>
            </w:r>
            <w:r>
              <w:rPr>
                <w:rFonts w:hint="default" w:ascii="Times New Roman" w:hAnsi="Times New Roman" w:cs="Times New Roman"/>
                <w:b/>
                <w:bCs/>
                <w:color w:val="auto"/>
                <w:sz w:val="24"/>
                <w:highlight w:val="none"/>
              </w:rPr>
              <w:t>：</w:t>
            </w:r>
            <w:r>
              <w:rPr>
                <w:rFonts w:hint="default" w:ascii="Times New Roman" w:hAnsi="Times New Roman" w:cs="Times New Roman"/>
                <w:color w:val="auto"/>
                <w:sz w:val="24"/>
                <w:highlight w:val="none"/>
              </w:rPr>
              <w:t>将产品卸载至养护池进行</w:t>
            </w:r>
            <w:r>
              <w:rPr>
                <w:rFonts w:hint="eastAsia" w:ascii="Times New Roman" w:hAnsi="Times New Roman" w:cs="Times New Roman"/>
                <w:color w:val="auto"/>
                <w:sz w:val="24"/>
                <w:highlight w:val="none"/>
                <w:lang w:val="en-US" w:eastAsia="zh-CN"/>
              </w:rPr>
              <w:t>常温</w:t>
            </w:r>
            <w:r>
              <w:rPr>
                <w:rFonts w:hint="default" w:ascii="Times New Roman" w:hAnsi="Times New Roman" w:cs="Times New Roman"/>
                <w:color w:val="auto"/>
                <w:sz w:val="24"/>
                <w:highlight w:val="none"/>
              </w:rPr>
              <w:t>水养，</w:t>
            </w:r>
            <w:r>
              <w:rPr>
                <w:rFonts w:hint="eastAsia" w:ascii="Times New Roman" w:hAnsi="Times New Roman" w:cs="Times New Roman"/>
                <w:color w:val="auto"/>
                <w:sz w:val="24"/>
                <w:highlight w:val="none"/>
                <w:lang w:val="en-US" w:eastAsia="zh-CN"/>
              </w:rPr>
              <w:t>水养用水来源于自来水及处理后的初期雨水，无需添加任何药剂等。</w:t>
            </w:r>
            <w:r>
              <w:rPr>
                <w:rFonts w:hint="default" w:ascii="Times New Roman" w:hAnsi="Times New Roman" w:cs="Times New Roman"/>
                <w:color w:val="auto"/>
                <w:sz w:val="24"/>
                <w:highlight w:val="none"/>
              </w:rPr>
              <w:t>水池养护</w:t>
            </w:r>
            <w:r>
              <w:rPr>
                <w:rFonts w:hint="default" w:ascii="Times New Roman" w:hAnsi="Times New Roman" w:cs="Times New Roman"/>
                <w:color w:val="auto"/>
                <w:sz w:val="24"/>
                <w:highlight w:val="none"/>
                <w:lang w:eastAsia="zh-CN"/>
              </w:rPr>
              <w:t>约</w:t>
            </w:r>
            <w:r>
              <w:rPr>
                <w:rFonts w:hint="default" w:ascii="Times New Roman" w:hAnsi="Times New Roman" w:cs="Times New Roman"/>
                <w:color w:val="auto"/>
                <w:sz w:val="24"/>
                <w:highlight w:val="none"/>
                <w:lang w:val="en-US" w:eastAsia="zh-CN"/>
              </w:rPr>
              <w:t>4</w:t>
            </w:r>
            <w:r>
              <w:rPr>
                <w:rFonts w:hint="default" w:ascii="Times New Roman" w:hAnsi="Times New Roman" w:cs="Times New Roman"/>
                <w:color w:val="auto"/>
                <w:sz w:val="24"/>
                <w:highlight w:val="none"/>
              </w:rPr>
              <w:t>天，</w:t>
            </w:r>
            <w:r>
              <w:rPr>
                <w:rFonts w:hint="default" w:ascii="Times New Roman" w:hAnsi="Times New Roman" w:cs="Times New Roman"/>
                <w:color w:val="auto"/>
                <w:sz w:val="24"/>
                <w:highlight w:val="none"/>
                <w:lang w:val="en-US" w:eastAsia="zh-CN"/>
              </w:rPr>
              <w:t>即可放置成品仓暂存出厂</w:t>
            </w:r>
            <w:r>
              <w:rPr>
                <w:rFonts w:hint="default" w:ascii="Times New Roman" w:hAnsi="Times New Roman" w:cs="Times New Roman"/>
                <w:color w:val="auto"/>
                <w:sz w:val="24"/>
                <w:szCs w:val="24"/>
                <w:highlight w:val="none"/>
                <w:lang w:val="en-US" w:eastAsia="zh-CN"/>
              </w:rPr>
              <w:t>。</w:t>
            </w:r>
          </w:p>
          <w:p w14:paraId="5DA86600">
            <w:pPr>
              <w:pStyle w:val="43"/>
              <w:rPr>
                <w:rFonts w:hint="default" w:ascii="Times New Roman" w:hAnsi="Times New Roman" w:cs="Times New Roman"/>
                <w:color w:val="auto"/>
                <w:highlight w:val="none"/>
                <w:lang w:val="en-US" w:eastAsia="zh-CN"/>
              </w:rPr>
            </w:pPr>
          </w:p>
          <w:p w14:paraId="687426C9">
            <w:pPr>
              <w:pStyle w:val="43"/>
              <w:snapToGrid w:val="0"/>
              <w:jc w:val="center"/>
              <w:rPr>
                <w:rFonts w:hint="default" w:ascii="Times New Roman" w:hAnsi="Times New Roman" w:cs="Times New Roman"/>
                <w:b/>
                <w:color w:val="auto"/>
                <w:kern w:val="2"/>
                <w:sz w:val="21"/>
                <w:szCs w:val="21"/>
                <w:highlight w:val="none"/>
              </w:rPr>
            </w:pPr>
            <w:r>
              <w:rPr>
                <w:rFonts w:hint="default" w:ascii="Times New Roman" w:hAnsi="Times New Roman" w:cs="Times New Roman"/>
                <w:b/>
                <w:color w:val="auto"/>
                <w:kern w:val="2"/>
                <w:sz w:val="21"/>
                <w:szCs w:val="21"/>
                <w:highlight w:val="none"/>
              </w:rPr>
              <w:t>表</w:t>
            </w:r>
            <w:r>
              <w:rPr>
                <w:rFonts w:hint="default" w:ascii="Times New Roman" w:hAnsi="Times New Roman" w:cs="Times New Roman"/>
                <w:b/>
                <w:color w:val="auto"/>
                <w:kern w:val="2"/>
                <w:sz w:val="21"/>
                <w:szCs w:val="21"/>
                <w:highlight w:val="none"/>
                <w:lang w:val="en-US" w:eastAsia="zh-CN"/>
              </w:rPr>
              <w:t>2-17 项目</w:t>
            </w:r>
            <w:r>
              <w:rPr>
                <w:rFonts w:hint="default" w:ascii="Times New Roman" w:hAnsi="Times New Roman" w:cs="Times New Roman"/>
                <w:b/>
                <w:color w:val="auto"/>
                <w:kern w:val="2"/>
                <w:sz w:val="21"/>
                <w:szCs w:val="21"/>
                <w:highlight w:val="none"/>
              </w:rPr>
              <w:t>主要产污环节</w:t>
            </w:r>
          </w:p>
          <w:tbl>
            <w:tblPr>
              <w:tblStyle w:val="34"/>
              <w:tblW w:w="9119" w:type="dxa"/>
              <w:tblInd w:w="-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0"/>
              <w:gridCol w:w="1013"/>
              <w:gridCol w:w="1920"/>
              <w:gridCol w:w="1215"/>
              <w:gridCol w:w="2606"/>
              <w:gridCol w:w="1845"/>
            </w:tblGrid>
            <w:tr w14:paraId="41F23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520" w:type="dxa"/>
                  <w:noWrap w:val="0"/>
                  <w:vAlign w:val="center"/>
                </w:tcPr>
                <w:p w14:paraId="3A8A4B38">
                  <w:pPr>
                    <w:pStyle w:val="65"/>
                    <w:snapToGrid w:val="0"/>
                    <w:spacing w:line="240" w:lineRule="auto"/>
                    <w:ind w:firstLine="0" w:firstLineChars="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类别</w:t>
                  </w:r>
                </w:p>
              </w:tc>
              <w:tc>
                <w:tcPr>
                  <w:tcW w:w="2933" w:type="dxa"/>
                  <w:gridSpan w:val="2"/>
                  <w:noWrap w:val="0"/>
                  <w:vAlign w:val="center"/>
                </w:tcPr>
                <w:p w14:paraId="16E13F34">
                  <w:pPr>
                    <w:pStyle w:val="65"/>
                    <w:snapToGrid w:val="0"/>
                    <w:spacing w:line="240" w:lineRule="auto"/>
                    <w:ind w:firstLine="0" w:firstLineChars="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污染源名称</w:t>
                  </w:r>
                </w:p>
              </w:tc>
              <w:tc>
                <w:tcPr>
                  <w:tcW w:w="1215" w:type="dxa"/>
                  <w:noWrap w:val="0"/>
                  <w:vAlign w:val="center"/>
                </w:tcPr>
                <w:p w14:paraId="61C16212">
                  <w:pPr>
                    <w:pStyle w:val="65"/>
                    <w:snapToGrid w:val="0"/>
                    <w:spacing w:line="240" w:lineRule="auto"/>
                    <w:ind w:firstLine="0" w:firstLineChars="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污染因子</w:t>
                  </w:r>
                </w:p>
              </w:tc>
              <w:tc>
                <w:tcPr>
                  <w:tcW w:w="2606" w:type="dxa"/>
                  <w:noWrap w:val="0"/>
                  <w:vAlign w:val="center"/>
                </w:tcPr>
                <w:p w14:paraId="397D67E9">
                  <w:pPr>
                    <w:pStyle w:val="65"/>
                    <w:snapToGrid w:val="0"/>
                    <w:spacing w:line="240" w:lineRule="auto"/>
                    <w:ind w:firstLine="0" w:firstLineChars="0"/>
                    <w:jc w:val="center"/>
                    <w:rPr>
                      <w:rFonts w:hint="default" w:ascii="Times New Roman" w:hAnsi="Times New Roman" w:eastAsia="宋体" w:cs="Times New Roman"/>
                      <w:b/>
                      <w:bCs/>
                      <w:color w:val="auto"/>
                      <w:szCs w:val="21"/>
                      <w:highlight w:val="none"/>
                      <w:lang w:eastAsia="zh-CN"/>
                    </w:rPr>
                  </w:pPr>
                  <w:r>
                    <w:rPr>
                      <w:rFonts w:hint="default" w:ascii="Times New Roman" w:hAnsi="Times New Roman" w:cs="Times New Roman"/>
                      <w:b/>
                      <w:bCs/>
                      <w:color w:val="auto"/>
                      <w:szCs w:val="21"/>
                      <w:highlight w:val="none"/>
                      <w:lang w:eastAsia="zh-CN"/>
                    </w:rPr>
                    <w:t>治理措施</w:t>
                  </w:r>
                </w:p>
              </w:tc>
              <w:tc>
                <w:tcPr>
                  <w:tcW w:w="1845" w:type="dxa"/>
                  <w:noWrap w:val="0"/>
                  <w:vAlign w:val="center"/>
                </w:tcPr>
                <w:p w14:paraId="79CB565F">
                  <w:pPr>
                    <w:pStyle w:val="65"/>
                    <w:snapToGrid w:val="0"/>
                    <w:spacing w:line="240" w:lineRule="auto"/>
                    <w:ind w:firstLine="0" w:firstLineChars="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产生环节</w:t>
                  </w:r>
                </w:p>
              </w:tc>
            </w:tr>
            <w:tr w14:paraId="74A4C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520" w:type="dxa"/>
                  <w:vMerge w:val="restart"/>
                  <w:noWrap w:val="0"/>
                  <w:vAlign w:val="center"/>
                </w:tcPr>
                <w:p w14:paraId="42AB28B3">
                  <w:pPr>
                    <w:pStyle w:val="65"/>
                    <w:snapToGrid w:val="0"/>
                    <w:spacing w:line="240" w:lineRule="auto"/>
                    <w:ind w:firstLine="0" w:firstLine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废气</w:t>
                  </w:r>
                </w:p>
              </w:tc>
              <w:tc>
                <w:tcPr>
                  <w:tcW w:w="2933" w:type="dxa"/>
                  <w:gridSpan w:val="2"/>
                  <w:noWrap w:val="0"/>
                  <w:vAlign w:val="center"/>
                </w:tcPr>
                <w:p w14:paraId="44D9C10B">
                  <w:pPr>
                    <w:adjustRightInd w:val="0"/>
                    <w:snapToGrid w:val="0"/>
                    <w:jc w:val="center"/>
                    <w:textAlignment w:val="baseline"/>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 w:val="21"/>
                      <w:szCs w:val="21"/>
                      <w:highlight w:val="none"/>
                      <w:lang w:val="en-US" w:eastAsia="zh-CN"/>
                    </w:rPr>
                    <w:t>锅炉</w:t>
                  </w:r>
                  <w:r>
                    <w:rPr>
                      <w:rFonts w:hint="eastAsia" w:ascii="Times New Roman" w:hAnsi="Times New Roman" w:cs="Times New Roman"/>
                      <w:color w:val="auto"/>
                      <w:sz w:val="21"/>
                      <w:szCs w:val="21"/>
                      <w:highlight w:val="none"/>
                      <w:lang w:val="en-US" w:eastAsia="zh-CN"/>
                    </w:rPr>
                    <w:t>燃烧</w:t>
                  </w:r>
                  <w:r>
                    <w:rPr>
                      <w:rFonts w:hint="default" w:ascii="Times New Roman" w:hAnsi="Times New Roman" w:cs="Times New Roman"/>
                      <w:color w:val="auto"/>
                      <w:sz w:val="21"/>
                      <w:szCs w:val="21"/>
                      <w:highlight w:val="none"/>
                      <w:lang w:val="en-US" w:eastAsia="zh-CN"/>
                    </w:rPr>
                    <w:t>废气</w:t>
                  </w:r>
                </w:p>
              </w:tc>
              <w:tc>
                <w:tcPr>
                  <w:tcW w:w="1215" w:type="dxa"/>
                  <w:noWrap w:val="0"/>
                  <w:vAlign w:val="center"/>
                </w:tcPr>
                <w:p w14:paraId="008A59DE">
                  <w:pPr>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二氧化硫、氮氧化物、烟尘</w:t>
                  </w:r>
                </w:p>
              </w:tc>
              <w:tc>
                <w:tcPr>
                  <w:tcW w:w="2606" w:type="dxa"/>
                  <w:noWrap w:val="0"/>
                  <w:vAlign w:val="center"/>
                </w:tcPr>
                <w:p w14:paraId="576994EB">
                  <w:pPr>
                    <w:adjustRightInd w:val="0"/>
                    <w:snapToGrid w:val="0"/>
                    <w:jc w:val="center"/>
                    <w:textAlignment w:val="baseline"/>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安装低氮燃烧装置后于15m排气筒DA001、DA002排放</w:t>
                  </w:r>
                </w:p>
              </w:tc>
              <w:tc>
                <w:tcPr>
                  <w:tcW w:w="1845" w:type="dxa"/>
                  <w:noWrap w:val="0"/>
                  <w:vAlign w:val="center"/>
                </w:tcPr>
                <w:p w14:paraId="08895EC2">
                  <w:pPr>
                    <w:adjustRightInd w:val="0"/>
                    <w:snapToGrid w:val="0"/>
                    <w:jc w:val="center"/>
                    <w:textAlignment w:val="baseline"/>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蒸汽养护</w:t>
                  </w:r>
                </w:p>
              </w:tc>
            </w:tr>
            <w:tr w14:paraId="734D9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520" w:type="dxa"/>
                  <w:vMerge w:val="continue"/>
                  <w:noWrap w:val="0"/>
                  <w:vAlign w:val="center"/>
                </w:tcPr>
                <w:p w14:paraId="7D013644">
                  <w:pPr>
                    <w:pStyle w:val="65"/>
                    <w:snapToGrid w:val="0"/>
                    <w:spacing w:line="240" w:lineRule="auto"/>
                    <w:ind w:firstLine="0" w:firstLineChars="0"/>
                    <w:jc w:val="center"/>
                    <w:rPr>
                      <w:rFonts w:hint="default" w:ascii="Times New Roman" w:hAnsi="Times New Roman" w:cs="Times New Roman"/>
                      <w:color w:val="auto"/>
                      <w:szCs w:val="21"/>
                      <w:highlight w:val="none"/>
                    </w:rPr>
                  </w:pPr>
                </w:p>
              </w:tc>
              <w:tc>
                <w:tcPr>
                  <w:tcW w:w="2933" w:type="dxa"/>
                  <w:gridSpan w:val="2"/>
                  <w:noWrap w:val="0"/>
                  <w:vAlign w:val="center"/>
                </w:tcPr>
                <w:p w14:paraId="553BD24B">
                  <w:pPr>
                    <w:adjustRightInd w:val="0"/>
                    <w:snapToGrid w:val="0"/>
                    <w:jc w:val="center"/>
                    <w:textAlignment w:val="baseline"/>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 w:val="21"/>
                      <w:szCs w:val="21"/>
                      <w:highlight w:val="none"/>
                      <w:lang w:val="en-US" w:eastAsia="zh-CN"/>
                    </w:rPr>
                    <w:t>水泥、粉煤灰筒仓呼吸废气</w:t>
                  </w:r>
                </w:p>
              </w:tc>
              <w:tc>
                <w:tcPr>
                  <w:tcW w:w="1215" w:type="dxa"/>
                  <w:noWrap w:val="0"/>
                  <w:vAlign w:val="center"/>
                </w:tcPr>
                <w:p w14:paraId="1E00ECB9">
                  <w:pPr>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lang w:val="en-US" w:eastAsia="zh-CN"/>
                    </w:rPr>
                    <w:t>颗粒物</w:t>
                  </w:r>
                </w:p>
              </w:tc>
              <w:tc>
                <w:tcPr>
                  <w:tcW w:w="2606" w:type="dxa"/>
                  <w:noWrap w:val="0"/>
                  <w:vAlign w:val="center"/>
                </w:tcPr>
                <w:p w14:paraId="13D6CE1D">
                  <w:pPr>
                    <w:adjustRightInd w:val="0"/>
                    <w:snapToGrid w:val="0"/>
                    <w:jc w:val="center"/>
                    <w:textAlignment w:val="baseline"/>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设备自带脉冲布袋除尘器处理后无组织排放</w:t>
                  </w:r>
                </w:p>
              </w:tc>
              <w:tc>
                <w:tcPr>
                  <w:tcW w:w="1845" w:type="dxa"/>
                  <w:noWrap w:val="0"/>
                  <w:vAlign w:val="center"/>
                </w:tcPr>
                <w:p w14:paraId="490B6585">
                  <w:pPr>
                    <w:adjustRightInd w:val="0"/>
                    <w:snapToGrid w:val="0"/>
                    <w:jc w:val="center"/>
                    <w:textAlignment w:val="baseline"/>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筒仓呼吸</w:t>
                  </w:r>
                </w:p>
              </w:tc>
            </w:tr>
            <w:tr w14:paraId="68FA5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520" w:type="dxa"/>
                  <w:vMerge w:val="continue"/>
                  <w:noWrap w:val="0"/>
                  <w:vAlign w:val="center"/>
                </w:tcPr>
                <w:p w14:paraId="3D6E31CB">
                  <w:pPr>
                    <w:pStyle w:val="65"/>
                    <w:snapToGrid w:val="0"/>
                    <w:spacing w:line="240" w:lineRule="auto"/>
                    <w:ind w:firstLine="0" w:firstLineChars="0"/>
                    <w:jc w:val="center"/>
                    <w:rPr>
                      <w:rFonts w:hint="default" w:ascii="Times New Roman" w:hAnsi="Times New Roman" w:cs="Times New Roman"/>
                      <w:color w:val="auto"/>
                      <w:szCs w:val="21"/>
                      <w:highlight w:val="none"/>
                    </w:rPr>
                  </w:pPr>
                </w:p>
              </w:tc>
              <w:tc>
                <w:tcPr>
                  <w:tcW w:w="2933" w:type="dxa"/>
                  <w:gridSpan w:val="2"/>
                  <w:noWrap w:val="0"/>
                  <w:vAlign w:val="center"/>
                </w:tcPr>
                <w:p w14:paraId="6E3BDB63">
                  <w:pPr>
                    <w:adjustRightInd w:val="0"/>
                    <w:snapToGrid w:val="0"/>
                    <w:jc w:val="center"/>
                    <w:textAlignment w:val="baseline"/>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搅拌废气</w:t>
                  </w:r>
                </w:p>
              </w:tc>
              <w:tc>
                <w:tcPr>
                  <w:tcW w:w="1215" w:type="dxa"/>
                  <w:noWrap w:val="0"/>
                  <w:vAlign w:val="center"/>
                </w:tcPr>
                <w:p w14:paraId="43870480">
                  <w:pPr>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颗粒物</w:t>
                  </w:r>
                </w:p>
              </w:tc>
              <w:tc>
                <w:tcPr>
                  <w:tcW w:w="2606" w:type="dxa"/>
                  <w:noWrap w:val="0"/>
                  <w:vAlign w:val="center"/>
                </w:tcPr>
                <w:p w14:paraId="13E3BA6F">
                  <w:pPr>
                    <w:adjustRightInd w:val="0"/>
                    <w:snapToGrid w:val="0"/>
                    <w:jc w:val="center"/>
                    <w:textAlignment w:val="baseline"/>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经搅拌设备自带脉冲布袋除尘器处理后无组织排放</w:t>
                  </w:r>
                </w:p>
              </w:tc>
              <w:tc>
                <w:tcPr>
                  <w:tcW w:w="1845" w:type="dxa"/>
                  <w:noWrap w:val="0"/>
                  <w:vAlign w:val="center"/>
                </w:tcPr>
                <w:p w14:paraId="614C06BE">
                  <w:pPr>
                    <w:adjustRightInd w:val="0"/>
                    <w:snapToGrid w:val="0"/>
                    <w:jc w:val="center"/>
                    <w:textAlignment w:val="baseline"/>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混凝土搅拌</w:t>
                  </w:r>
                </w:p>
              </w:tc>
            </w:tr>
            <w:tr w14:paraId="5920A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20" w:type="dxa"/>
                  <w:vMerge w:val="continue"/>
                  <w:noWrap w:val="0"/>
                  <w:vAlign w:val="center"/>
                </w:tcPr>
                <w:p w14:paraId="11266252">
                  <w:pPr>
                    <w:pStyle w:val="65"/>
                    <w:snapToGrid w:val="0"/>
                    <w:spacing w:line="240" w:lineRule="auto"/>
                    <w:ind w:firstLine="0" w:firstLineChars="0"/>
                    <w:jc w:val="center"/>
                    <w:rPr>
                      <w:rFonts w:hint="default" w:ascii="Times New Roman" w:hAnsi="Times New Roman" w:cs="Times New Roman"/>
                      <w:color w:val="auto"/>
                      <w:szCs w:val="21"/>
                      <w:highlight w:val="none"/>
                    </w:rPr>
                  </w:pPr>
                </w:p>
              </w:tc>
              <w:tc>
                <w:tcPr>
                  <w:tcW w:w="2933" w:type="dxa"/>
                  <w:gridSpan w:val="2"/>
                  <w:noWrap w:val="0"/>
                  <w:vAlign w:val="center"/>
                </w:tcPr>
                <w:p w14:paraId="0F5E8E03">
                  <w:pPr>
                    <w:pStyle w:val="29"/>
                    <w:widowControl w:val="0"/>
                    <w:adjustRightInd w:val="0"/>
                    <w:spacing w:before="0" w:beforeAutospacing="0" w:after="0" w:afterAutospacing="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 w:val="21"/>
                      <w:szCs w:val="21"/>
                      <w:highlight w:val="none"/>
                      <w:lang w:val="en-US" w:eastAsia="zh-CN"/>
                    </w:rPr>
                    <w:t>砂石卸料粉尘</w:t>
                  </w:r>
                </w:p>
              </w:tc>
              <w:tc>
                <w:tcPr>
                  <w:tcW w:w="1215" w:type="dxa"/>
                  <w:noWrap w:val="0"/>
                  <w:vAlign w:val="center"/>
                </w:tcPr>
                <w:p w14:paraId="102E625E">
                  <w:pPr>
                    <w:adjustRightInd w:val="0"/>
                    <w:snapToGrid w:val="0"/>
                    <w:jc w:val="center"/>
                    <w:textAlignment w:val="baseline"/>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颗粒物</w:t>
                  </w:r>
                </w:p>
              </w:tc>
              <w:tc>
                <w:tcPr>
                  <w:tcW w:w="2606" w:type="dxa"/>
                  <w:noWrap w:val="0"/>
                  <w:vAlign w:val="center"/>
                </w:tcPr>
                <w:p w14:paraId="2266A60C">
                  <w:pPr>
                    <w:adjustRightInd w:val="0"/>
                    <w:snapToGrid w:val="0"/>
                    <w:jc w:val="center"/>
                    <w:textAlignment w:val="baseline"/>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洒水抑尘后无组织排放</w:t>
                  </w:r>
                </w:p>
              </w:tc>
              <w:tc>
                <w:tcPr>
                  <w:tcW w:w="1845" w:type="dxa"/>
                  <w:noWrap w:val="0"/>
                  <w:vAlign w:val="center"/>
                </w:tcPr>
                <w:p w14:paraId="32CA867B">
                  <w:pPr>
                    <w:adjustRightInd w:val="0"/>
                    <w:snapToGrid w:val="0"/>
                    <w:jc w:val="center"/>
                    <w:textAlignment w:val="baseline"/>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卸料</w:t>
                  </w:r>
                </w:p>
              </w:tc>
            </w:tr>
            <w:tr w14:paraId="6852A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520" w:type="dxa"/>
                  <w:vMerge w:val="continue"/>
                  <w:noWrap w:val="0"/>
                  <w:vAlign w:val="center"/>
                </w:tcPr>
                <w:p w14:paraId="0FE24196">
                  <w:pPr>
                    <w:pStyle w:val="65"/>
                    <w:snapToGrid w:val="0"/>
                    <w:spacing w:line="240" w:lineRule="auto"/>
                    <w:ind w:firstLine="0" w:firstLineChars="0"/>
                    <w:jc w:val="center"/>
                    <w:rPr>
                      <w:rFonts w:hint="default" w:ascii="Times New Roman" w:hAnsi="Times New Roman" w:cs="Times New Roman"/>
                      <w:color w:val="auto"/>
                      <w:szCs w:val="21"/>
                      <w:highlight w:val="none"/>
                    </w:rPr>
                  </w:pPr>
                </w:p>
              </w:tc>
              <w:tc>
                <w:tcPr>
                  <w:tcW w:w="2933" w:type="dxa"/>
                  <w:gridSpan w:val="2"/>
                  <w:noWrap w:val="0"/>
                  <w:vAlign w:val="center"/>
                </w:tcPr>
                <w:p w14:paraId="00BBE43E">
                  <w:pPr>
                    <w:pStyle w:val="29"/>
                    <w:widowControl w:val="0"/>
                    <w:adjustRightInd w:val="0"/>
                    <w:spacing w:before="0" w:beforeAutospacing="0" w:after="0" w:afterAutospacing="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 w:val="21"/>
                      <w:szCs w:val="21"/>
                      <w:highlight w:val="none"/>
                      <w:lang w:val="en-US" w:eastAsia="zh-CN"/>
                    </w:rPr>
                    <w:t>砂石物料输送粉尘</w:t>
                  </w:r>
                </w:p>
              </w:tc>
              <w:tc>
                <w:tcPr>
                  <w:tcW w:w="1215" w:type="dxa"/>
                  <w:noWrap w:val="0"/>
                  <w:vAlign w:val="center"/>
                </w:tcPr>
                <w:p w14:paraId="152E4BC7">
                  <w:pPr>
                    <w:adjustRightInd w:val="0"/>
                    <w:snapToGrid w:val="0"/>
                    <w:jc w:val="center"/>
                    <w:textAlignment w:val="baseline"/>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颗粒物</w:t>
                  </w:r>
                </w:p>
              </w:tc>
              <w:tc>
                <w:tcPr>
                  <w:tcW w:w="2606" w:type="dxa"/>
                  <w:noWrap w:val="0"/>
                  <w:vAlign w:val="center"/>
                </w:tcPr>
                <w:p w14:paraId="711A08C7">
                  <w:pPr>
                    <w:adjustRightInd w:val="0"/>
                    <w:snapToGrid w:val="0"/>
                    <w:jc w:val="center"/>
                    <w:textAlignment w:val="baseline"/>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洒水抑尘后无组织排放</w:t>
                  </w:r>
                </w:p>
              </w:tc>
              <w:tc>
                <w:tcPr>
                  <w:tcW w:w="1845" w:type="dxa"/>
                  <w:noWrap w:val="0"/>
                  <w:vAlign w:val="center"/>
                </w:tcPr>
                <w:p w14:paraId="188D47D9">
                  <w:pPr>
                    <w:adjustRightInd w:val="0"/>
                    <w:snapToGrid w:val="0"/>
                    <w:jc w:val="center"/>
                    <w:textAlignment w:val="baseline"/>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车辆运输</w:t>
                  </w:r>
                </w:p>
              </w:tc>
            </w:tr>
            <w:tr w14:paraId="53BED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520" w:type="dxa"/>
                  <w:vMerge w:val="continue"/>
                  <w:noWrap w:val="0"/>
                  <w:vAlign w:val="center"/>
                </w:tcPr>
                <w:p w14:paraId="7E611C6F">
                  <w:pPr>
                    <w:pStyle w:val="65"/>
                    <w:snapToGrid w:val="0"/>
                    <w:spacing w:line="240" w:lineRule="auto"/>
                    <w:ind w:firstLine="0" w:firstLineChars="0"/>
                    <w:jc w:val="center"/>
                    <w:rPr>
                      <w:rFonts w:hint="default" w:ascii="Times New Roman" w:hAnsi="Times New Roman" w:cs="Times New Roman"/>
                      <w:color w:val="auto"/>
                      <w:szCs w:val="21"/>
                      <w:highlight w:val="none"/>
                    </w:rPr>
                  </w:pPr>
                </w:p>
              </w:tc>
              <w:tc>
                <w:tcPr>
                  <w:tcW w:w="2933" w:type="dxa"/>
                  <w:gridSpan w:val="2"/>
                  <w:noWrap w:val="0"/>
                  <w:vAlign w:val="center"/>
                </w:tcPr>
                <w:p w14:paraId="571DF899">
                  <w:pPr>
                    <w:pStyle w:val="29"/>
                    <w:widowControl w:val="0"/>
                    <w:adjustRightInd w:val="0"/>
                    <w:spacing w:before="0" w:beforeAutospacing="0" w:after="0" w:afterAutospacing="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 w:val="21"/>
                      <w:szCs w:val="21"/>
                      <w:highlight w:val="none"/>
                      <w:lang w:val="en-US" w:eastAsia="zh-CN"/>
                    </w:rPr>
                    <w:t>砂石料仓扬尘</w:t>
                  </w:r>
                </w:p>
              </w:tc>
              <w:tc>
                <w:tcPr>
                  <w:tcW w:w="1215" w:type="dxa"/>
                  <w:noWrap w:val="0"/>
                  <w:vAlign w:val="center"/>
                </w:tcPr>
                <w:p w14:paraId="1055EA0A">
                  <w:pPr>
                    <w:adjustRightInd w:val="0"/>
                    <w:snapToGrid w:val="0"/>
                    <w:jc w:val="center"/>
                    <w:textAlignment w:val="baseline"/>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颗粒物</w:t>
                  </w:r>
                </w:p>
              </w:tc>
              <w:tc>
                <w:tcPr>
                  <w:tcW w:w="2606" w:type="dxa"/>
                  <w:noWrap w:val="0"/>
                  <w:vAlign w:val="center"/>
                </w:tcPr>
                <w:p w14:paraId="7CAAE051">
                  <w:pPr>
                    <w:adjustRightInd w:val="0"/>
                    <w:snapToGrid w:val="0"/>
                    <w:jc w:val="center"/>
                    <w:textAlignment w:val="baseline"/>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洒水抑尘后无组织排放</w:t>
                  </w:r>
                </w:p>
              </w:tc>
              <w:tc>
                <w:tcPr>
                  <w:tcW w:w="1845" w:type="dxa"/>
                  <w:noWrap w:val="0"/>
                  <w:vAlign w:val="center"/>
                </w:tcPr>
                <w:p w14:paraId="06EB6F76">
                  <w:pPr>
                    <w:adjustRightInd w:val="0"/>
                    <w:snapToGrid w:val="0"/>
                    <w:jc w:val="center"/>
                    <w:textAlignment w:val="baseline"/>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堆场</w:t>
                  </w:r>
                </w:p>
              </w:tc>
            </w:tr>
            <w:tr w14:paraId="38815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0" w:type="dxa"/>
                  <w:vMerge w:val="continue"/>
                  <w:noWrap w:val="0"/>
                  <w:vAlign w:val="center"/>
                </w:tcPr>
                <w:p w14:paraId="7A734537">
                  <w:pPr>
                    <w:pStyle w:val="65"/>
                    <w:snapToGrid w:val="0"/>
                    <w:spacing w:line="240" w:lineRule="auto"/>
                    <w:ind w:firstLine="0" w:firstLineChars="0"/>
                    <w:jc w:val="center"/>
                    <w:rPr>
                      <w:rFonts w:hint="default" w:ascii="Times New Roman" w:hAnsi="Times New Roman" w:cs="Times New Roman"/>
                      <w:color w:val="auto"/>
                      <w:szCs w:val="21"/>
                      <w:highlight w:val="none"/>
                    </w:rPr>
                  </w:pPr>
                </w:p>
              </w:tc>
              <w:tc>
                <w:tcPr>
                  <w:tcW w:w="2933" w:type="dxa"/>
                  <w:gridSpan w:val="2"/>
                  <w:noWrap w:val="0"/>
                  <w:vAlign w:val="center"/>
                </w:tcPr>
                <w:p w14:paraId="4F5F1284">
                  <w:pPr>
                    <w:pStyle w:val="29"/>
                    <w:widowControl w:val="0"/>
                    <w:adjustRightInd w:val="0"/>
                    <w:spacing w:before="0" w:beforeAutospacing="0" w:after="0" w:afterAutospacing="0"/>
                    <w:jc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kern w:val="2"/>
                      <w:sz w:val="21"/>
                      <w:szCs w:val="21"/>
                      <w:highlight w:val="none"/>
                    </w:rPr>
                    <w:t>运输车辆动力扬尘</w:t>
                  </w:r>
                </w:p>
              </w:tc>
              <w:tc>
                <w:tcPr>
                  <w:tcW w:w="1215" w:type="dxa"/>
                  <w:noWrap w:val="0"/>
                  <w:vAlign w:val="center"/>
                </w:tcPr>
                <w:p w14:paraId="27308108">
                  <w:pPr>
                    <w:adjustRightInd w:val="0"/>
                    <w:snapToGrid w:val="0"/>
                    <w:jc w:val="center"/>
                    <w:textAlignment w:val="baseline"/>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颗粒物</w:t>
                  </w:r>
                </w:p>
              </w:tc>
              <w:tc>
                <w:tcPr>
                  <w:tcW w:w="2606" w:type="dxa"/>
                  <w:noWrap w:val="0"/>
                  <w:vAlign w:val="center"/>
                </w:tcPr>
                <w:p w14:paraId="3FFEE5EF">
                  <w:pPr>
                    <w:adjustRightInd w:val="0"/>
                    <w:snapToGrid w:val="0"/>
                    <w:jc w:val="center"/>
                    <w:textAlignment w:val="baseline"/>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无组织排放</w:t>
                  </w:r>
                </w:p>
              </w:tc>
              <w:tc>
                <w:tcPr>
                  <w:tcW w:w="1845" w:type="dxa"/>
                  <w:noWrap w:val="0"/>
                  <w:vAlign w:val="center"/>
                </w:tcPr>
                <w:p w14:paraId="71E75FFC">
                  <w:pPr>
                    <w:adjustRightInd w:val="0"/>
                    <w:snapToGrid w:val="0"/>
                    <w:jc w:val="center"/>
                    <w:textAlignment w:val="baseline"/>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车辆运输</w:t>
                  </w:r>
                </w:p>
              </w:tc>
            </w:tr>
            <w:tr w14:paraId="007DD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520" w:type="dxa"/>
                  <w:vMerge w:val="continue"/>
                  <w:noWrap w:val="0"/>
                  <w:vAlign w:val="center"/>
                </w:tcPr>
                <w:p w14:paraId="753EBC93">
                  <w:pPr>
                    <w:pStyle w:val="65"/>
                    <w:snapToGrid w:val="0"/>
                    <w:spacing w:line="240" w:lineRule="auto"/>
                    <w:ind w:firstLine="0" w:firstLineChars="0"/>
                    <w:jc w:val="center"/>
                    <w:rPr>
                      <w:rFonts w:hint="default" w:ascii="Times New Roman" w:hAnsi="Times New Roman" w:cs="Times New Roman"/>
                      <w:color w:val="auto"/>
                      <w:szCs w:val="21"/>
                      <w:highlight w:val="none"/>
                    </w:rPr>
                  </w:pPr>
                </w:p>
              </w:tc>
              <w:tc>
                <w:tcPr>
                  <w:tcW w:w="2933" w:type="dxa"/>
                  <w:gridSpan w:val="2"/>
                  <w:noWrap w:val="0"/>
                  <w:vAlign w:val="center"/>
                </w:tcPr>
                <w:p w14:paraId="0B829C5F">
                  <w:pPr>
                    <w:adjustRightInd w:val="0"/>
                    <w:snapToGrid w:val="0"/>
                    <w:jc w:val="center"/>
                    <w:textAlignment w:val="baseline"/>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汽车运输尾气</w:t>
                  </w:r>
                </w:p>
              </w:tc>
              <w:tc>
                <w:tcPr>
                  <w:tcW w:w="1215" w:type="dxa"/>
                  <w:noWrap w:val="0"/>
                  <w:vAlign w:val="center"/>
                </w:tcPr>
                <w:p w14:paraId="0A550D7F">
                  <w:pPr>
                    <w:adjustRightInd w:val="0"/>
                    <w:snapToGrid w:val="0"/>
                    <w:jc w:val="center"/>
                    <w:textAlignment w:val="baseline"/>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CO、NOx、THC</w:t>
                  </w:r>
                </w:p>
              </w:tc>
              <w:tc>
                <w:tcPr>
                  <w:tcW w:w="2606" w:type="dxa"/>
                  <w:noWrap w:val="0"/>
                  <w:vAlign w:val="center"/>
                </w:tcPr>
                <w:p w14:paraId="67F2919D">
                  <w:pPr>
                    <w:adjustRightInd w:val="0"/>
                    <w:snapToGrid w:val="0"/>
                    <w:jc w:val="center"/>
                    <w:textAlignment w:val="baseline"/>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洒水抑尘后无组织排放</w:t>
                  </w:r>
                </w:p>
              </w:tc>
              <w:tc>
                <w:tcPr>
                  <w:tcW w:w="1845" w:type="dxa"/>
                  <w:noWrap w:val="0"/>
                  <w:vAlign w:val="center"/>
                </w:tcPr>
                <w:p w14:paraId="17B3D3B0">
                  <w:pPr>
                    <w:adjustRightInd w:val="0"/>
                    <w:snapToGrid w:val="0"/>
                    <w:jc w:val="center"/>
                    <w:textAlignment w:val="baseline"/>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车辆运输</w:t>
                  </w:r>
                </w:p>
              </w:tc>
            </w:tr>
            <w:tr w14:paraId="064DA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520" w:type="dxa"/>
                  <w:vMerge w:val="continue"/>
                  <w:noWrap w:val="0"/>
                  <w:vAlign w:val="center"/>
                </w:tcPr>
                <w:p w14:paraId="4CD832FB">
                  <w:pPr>
                    <w:pStyle w:val="65"/>
                    <w:snapToGrid w:val="0"/>
                    <w:spacing w:line="240" w:lineRule="auto"/>
                    <w:ind w:firstLine="0" w:firstLineChars="0"/>
                    <w:jc w:val="center"/>
                    <w:rPr>
                      <w:rFonts w:hint="default" w:ascii="Times New Roman" w:hAnsi="Times New Roman" w:cs="Times New Roman"/>
                      <w:color w:val="auto"/>
                      <w:szCs w:val="21"/>
                      <w:highlight w:val="none"/>
                    </w:rPr>
                  </w:pPr>
                </w:p>
              </w:tc>
              <w:tc>
                <w:tcPr>
                  <w:tcW w:w="2933" w:type="dxa"/>
                  <w:gridSpan w:val="2"/>
                  <w:noWrap w:val="0"/>
                  <w:vAlign w:val="center"/>
                </w:tcPr>
                <w:p w14:paraId="792D62D1">
                  <w:pPr>
                    <w:adjustRightInd w:val="0"/>
                    <w:snapToGrid w:val="0"/>
                    <w:jc w:val="center"/>
                    <w:textAlignment w:val="baseline"/>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焊接烟尘</w:t>
                  </w:r>
                </w:p>
              </w:tc>
              <w:tc>
                <w:tcPr>
                  <w:tcW w:w="1215" w:type="dxa"/>
                  <w:noWrap w:val="0"/>
                  <w:vAlign w:val="center"/>
                </w:tcPr>
                <w:p w14:paraId="011B4868">
                  <w:pPr>
                    <w:adjustRightInd w:val="0"/>
                    <w:snapToGrid w:val="0"/>
                    <w:jc w:val="center"/>
                    <w:textAlignment w:val="baseline"/>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颗粒物</w:t>
                  </w:r>
                </w:p>
              </w:tc>
              <w:tc>
                <w:tcPr>
                  <w:tcW w:w="2606" w:type="dxa"/>
                  <w:noWrap w:val="0"/>
                  <w:vAlign w:val="center"/>
                </w:tcPr>
                <w:p w14:paraId="36EE1E73">
                  <w:pPr>
                    <w:adjustRightInd w:val="0"/>
                    <w:snapToGrid w:val="0"/>
                    <w:jc w:val="center"/>
                    <w:textAlignment w:val="baseline"/>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移动式烟尘净化器处理后无组织排放</w:t>
                  </w:r>
                </w:p>
              </w:tc>
              <w:tc>
                <w:tcPr>
                  <w:tcW w:w="1845" w:type="dxa"/>
                  <w:noWrap w:val="0"/>
                  <w:vAlign w:val="center"/>
                </w:tcPr>
                <w:p w14:paraId="61558562">
                  <w:pPr>
                    <w:adjustRightInd w:val="0"/>
                    <w:snapToGrid w:val="0"/>
                    <w:jc w:val="center"/>
                    <w:textAlignment w:val="baseline"/>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钢筋笼加工</w:t>
                  </w:r>
                </w:p>
              </w:tc>
            </w:tr>
            <w:tr w14:paraId="22C9E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20" w:type="dxa"/>
                  <w:vMerge w:val="restart"/>
                  <w:noWrap w:val="0"/>
                  <w:vAlign w:val="center"/>
                </w:tcPr>
                <w:p w14:paraId="141E49BC">
                  <w:pPr>
                    <w:pStyle w:val="65"/>
                    <w:snapToGrid w:val="0"/>
                    <w:spacing w:line="240" w:lineRule="auto"/>
                    <w:ind w:firstLine="0" w:firstLine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废水</w:t>
                  </w:r>
                </w:p>
              </w:tc>
              <w:tc>
                <w:tcPr>
                  <w:tcW w:w="2933" w:type="dxa"/>
                  <w:gridSpan w:val="2"/>
                  <w:noWrap w:val="0"/>
                  <w:vAlign w:val="center"/>
                </w:tcPr>
                <w:p w14:paraId="0B5C3296">
                  <w:pPr>
                    <w:pStyle w:val="65"/>
                    <w:snapToGrid w:val="0"/>
                    <w:spacing w:line="240" w:lineRule="auto"/>
                    <w:ind w:firstLine="0" w:firstLineChars="0"/>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生活污水</w:t>
                  </w:r>
                </w:p>
              </w:tc>
              <w:tc>
                <w:tcPr>
                  <w:tcW w:w="1215" w:type="dxa"/>
                  <w:noWrap w:val="0"/>
                  <w:vAlign w:val="center"/>
                </w:tcPr>
                <w:p w14:paraId="2BF7E9EB">
                  <w:pPr>
                    <w:pStyle w:val="65"/>
                    <w:snapToGrid w:val="0"/>
                    <w:spacing w:line="240" w:lineRule="auto"/>
                    <w:ind w:firstLine="0" w:firstLineChars="0"/>
                    <w:jc w:val="center"/>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highlight w:val="none"/>
                    </w:rPr>
                    <w:t>CODcr、BOD</w:t>
                  </w:r>
                  <w:r>
                    <w:rPr>
                      <w:rFonts w:hint="default" w:ascii="Times New Roman" w:hAnsi="Times New Roman" w:cs="Times New Roman"/>
                      <w:color w:val="auto"/>
                      <w:highlight w:val="none"/>
                      <w:vertAlign w:val="subscript"/>
                    </w:rPr>
                    <w:t>5</w:t>
                  </w:r>
                  <w:r>
                    <w:rPr>
                      <w:rFonts w:hint="default" w:ascii="Times New Roman" w:hAnsi="Times New Roman" w:cs="Times New Roman"/>
                      <w:color w:val="auto"/>
                      <w:highlight w:val="none"/>
                    </w:rPr>
                    <w:t>、NH</w:t>
                  </w:r>
                  <w:r>
                    <w:rPr>
                      <w:rFonts w:hint="default" w:ascii="Times New Roman" w:hAnsi="Times New Roman" w:cs="Times New Roman"/>
                      <w:color w:val="auto"/>
                      <w:highlight w:val="none"/>
                      <w:vertAlign w:val="subscript"/>
                    </w:rPr>
                    <w:t>3</w:t>
                  </w:r>
                  <w:r>
                    <w:rPr>
                      <w:rFonts w:hint="default" w:ascii="Times New Roman" w:hAnsi="Times New Roman" w:cs="Times New Roman"/>
                      <w:color w:val="auto"/>
                      <w:highlight w:val="none"/>
                    </w:rPr>
                    <w:t>-N</w:t>
                  </w:r>
                  <w:r>
                    <w:rPr>
                      <w:rFonts w:hint="default" w:ascii="Times New Roman" w:hAnsi="Times New Roman" w:cs="Times New Roman"/>
                      <w:color w:val="auto"/>
                      <w:highlight w:val="none"/>
                      <w:lang w:eastAsia="zh-CN"/>
                    </w:rPr>
                    <w:t>等</w:t>
                  </w:r>
                </w:p>
              </w:tc>
              <w:tc>
                <w:tcPr>
                  <w:tcW w:w="2606" w:type="dxa"/>
                  <w:noWrap w:val="0"/>
                  <w:vAlign w:val="center"/>
                </w:tcPr>
                <w:p w14:paraId="4184278F">
                  <w:pPr>
                    <w:pStyle w:val="65"/>
                    <w:snapToGrid w:val="0"/>
                    <w:spacing w:line="240" w:lineRule="auto"/>
                    <w:ind w:firstLine="0" w:firstLineChars="0"/>
                    <w:jc w:val="center"/>
                    <w:rPr>
                      <w:rFonts w:hint="default" w:ascii="Times New Roman" w:hAnsi="Times New Roman" w:cs="Times New Roman"/>
                      <w:color w:val="auto"/>
                      <w:highlight w:val="none"/>
                    </w:rPr>
                  </w:pPr>
                  <w:r>
                    <w:rPr>
                      <w:rFonts w:hint="default" w:ascii="Times New Roman" w:hAnsi="Times New Roman" w:cs="Times New Roman"/>
                      <w:color w:val="auto"/>
                      <w:sz w:val="21"/>
                      <w:szCs w:val="21"/>
                      <w:highlight w:val="none"/>
                      <w:lang w:eastAsia="zh-CN" w:bidi="ar"/>
                    </w:rPr>
                    <w:t>预处理后通过市政管网排入</w:t>
                  </w:r>
                  <w:r>
                    <w:rPr>
                      <w:rFonts w:hint="default" w:ascii="Times New Roman" w:hAnsi="Times New Roman" w:cs="Times New Roman"/>
                      <w:color w:val="auto"/>
                      <w:szCs w:val="21"/>
                      <w:highlight w:val="none"/>
                      <w:lang w:val="en-US" w:eastAsia="zh-CN"/>
                    </w:rPr>
                    <w:t>博罗县罗阳街道小金生活污水处理厂</w:t>
                  </w:r>
                  <w:r>
                    <w:rPr>
                      <w:rFonts w:hint="default" w:ascii="Times New Roman" w:hAnsi="Times New Roman" w:cs="Times New Roman"/>
                      <w:color w:val="auto"/>
                      <w:sz w:val="21"/>
                      <w:szCs w:val="21"/>
                      <w:highlight w:val="none"/>
                      <w:lang w:eastAsia="zh-CN" w:bidi="ar"/>
                    </w:rPr>
                    <w:t>处理</w:t>
                  </w:r>
                </w:p>
              </w:tc>
              <w:tc>
                <w:tcPr>
                  <w:tcW w:w="1845" w:type="dxa"/>
                  <w:noWrap w:val="0"/>
                  <w:vAlign w:val="center"/>
                </w:tcPr>
                <w:p w14:paraId="18414DD7">
                  <w:pPr>
                    <w:pStyle w:val="65"/>
                    <w:snapToGrid w:val="0"/>
                    <w:spacing w:line="240" w:lineRule="auto"/>
                    <w:ind w:firstLine="0" w:firstLineChars="0"/>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员工生活</w:t>
                  </w:r>
                </w:p>
              </w:tc>
            </w:tr>
            <w:tr w14:paraId="37EF6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520" w:type="dxa"/>
                  <w:vMerge w:val="continue"/>
                  <w:noWrap w:val="0"/>
                  <w:vAlign w:val="center"/>
                </w:tcPr>
                <w:p w14:paraId="219AEB0E">
                  <w:pPr>
                    <w:pStyle w:val="65"/>
                    <w:snapToGrid w:val="0"/>
                    <w:spacing w:line="240" w:lineRule="auto"/>
                    <w:ind w:firstLine="0" w:firstLineChars="0"/>
                    <w:jc w:val="center"/>
                    <w:rPr>
                      <w:rFonts w:hint="default" w:ascii="Times New Roman" w:hAnsi="Times New Roman" w:cs="Times New Roman"/>
                      <w:color w:val="auto"/>
                      <w:szCs w:val="21"/>
                      <w:highlight w:val="none"/>
                    </w:rPr>
                  </w:pPr>
                </w:p>
              </w:tc>
              <w:tc>
                <w:tcPr>
                  <w:tcW w:w="2933" w:type="dxa"/>
                  <w:gridSpan w:val="2"/>
                  <w:noWrap w:val="0"/>
                  <w:vAlign w:val="center"/>
                </w:tcPr>
                <w:p w14:paraId="5E489586">
                  <w:pPr>
                    <w:pStyle w:val="65"/>
                    <w:snapToGrid w:val="0"/>
                    <w:spacing w:line="240" w:lineRule="auto"/>
                    <w:ind w:firstLine="0" w:firstLineChars="0"/>
                    <w:jc w:val="center"/>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初期雨水</w:t>
                  </w:r>
                </w:p>
              </w:tc>
              <w:tc>
                <w:tcPr>
                  <w:tcW w:w="1215" w:type="dxa"/>
                  <w:noWrap w:val="0"/>
                  <w:vAlign w:val="center"/>
                </w:tcPr>
                <w:p w14:paraId="5776C2A4">
                  <w:pPr>
                    <w:pStyle w:val="65"/>
                    <w:snapToGrid w:val="0"/>
                    <w:spacing w:line="240" w:lineRule="auto"/>
                    <w:ind w:firstLine="0" w:firstLineChars="0"/>
                    <w:jc w:val="center"/>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color w:val="auto"/>
                      <w:highlight w:val="none"/>
                      <w:lang w:val="en-US" w:eastAsia="zh-CN"/>
                    </w:rPr>
                    <w:t>SS等</w:t>
                  </w:r>
                </w:p>
              </w:tc>
              <w:tc>
                <w:tcPr>
                  <w:tcW w:w="2606" w:type="dxa"/>
                  <w:noWrap w:val="0"/>
                  <w:vAlign w:val="center"/>
                </w:tcPr>
                <w:p w14:paraId="394ED1DF">
                  <w:pPr>
                    <w:pStyle w:val="65"/>
                    <w:snapToGrid w:val="0"/>
                    <w:spacing w:line="240" w:lineRule="auto"/>
                    <w:ind w:firstLine="0" w:firstLineChars="0"/>
                    <w:jc w:val="center"/>
                    <w:rPr>
                      <w:rFonts w:hint="default" w:ascii="Times New Roman" w:hAnsi="Times New Roman" w:cs="Times New Roman"/>
                      <w:color w:val="auto"/>
                      <w:sz w:val="21"/>
                      <w:szCs w:val="21"/>
                      <w:highlight w:val="none"/>
                      <w:lang w:val="en-US" w:eastAsia="zh-CN" w:bidi="ar"/>
                    </w:rPr>
                  </w:pPr>
                  <w:r>
                    <w:rPr>
                      <w:rFonts w:hint="default" w:ascii="Times New Roman" w:hAnsi="Times New Roman" w:cs="Times New Roman"/>
                      <w:color w:val="auto"/>
                      <w:sz w:val="21"/>
                      <w:szCs w:val="21"/>
                      <w:highlight w:val="none"/>
                      <w:lang w:val="en-US" w:eastAsia="zh-CN" w:bidi="ar"/>
                    </w:rPr>
                    <w:t>经初期雨水收集池沉淀后回用于养护用水</w:t>
                  </w:r>
                </w:p>
              </w:tc>
              <w:tc>
                <w:tcPr>
                  <w:tcW w:w="1845" w:type="dxa"/>
                  <w:noWrap w:val="0"/>
                  <w:vAlign w:val="center"/>
                </w:tcPr>
                <w:p w14:paraId="3D11638D">
                  <w:pPr>
                    <w:pStyle w:val="65"/>
                    <w:snapToGrid w:val="0"/>
                    <w:spacing w:line="240" w:lineRule="auto"/>
                    <w:ind w:firstLine="0" w:firstLineChars="0"/>
                    <w:jc w:val="center"/>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初期雨水</w:t>
                  </w:r>
                </w:p>
              </w:tc>
            </w:tr>
            <w:tr w14:paraId="3CDE7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20" w:type="dxa"/>
                  <w:vMerge w:val="continue"/>
                  <w:noWrap w:val="0"/>
                  <w:vAlign w:val="center"/>
                </w:tcPr>
                <w:p w14:paraId="5A1EA02E">
                  <w:pPr>
                    <w:pStyle w:val="65"/>
                    <w:snapToGrid w:val="0"/>
                    <w:spacing w:line="240" w:lineRule="auto"/>
                    <w:ind w:firstLine="0" w:firstLineChars="0"/>
                    <w:jc w:val="center"/>
                    <w:rPr>
                      <w:rFonts w:hint="default" w:ascii="Times New Roman" w:hAnsi="Times New Roman" w:cs="Times New Roman"/>
                      <w:color w:val="auto"/>
                      <w:szCs w:val="21"/>
                      <w:highlight w:val="none"/>
                    </w:rPr>
                  </w:pPr>
                </w:p>
              </w:tc>
              <w:tc>
                <w:tcPr>
                  <w:tcW w:w="2933" w:type="dxa"/>
                  <w:gridSpan w:val="2"/>
                  <w:noWrap w:val="0"/>
                  <w:vAlign w:val="center"/>
                </w:tcPr>
                <w:p w14:paraId="7E6FB6D2">
                  <w:pPr>
                    <w:pStyle w:val="65"/>
                    <w:snapToGrid w:val="0"/>
                    <w:spacing w:line="240" w:lineRule="auto"/>
                    <w:ind w:firstLine="0" w:firstLineChars="0"/>
                    <w:jc w:val="center"/>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搅拌机清洗废水</w:t>
                  </w:r>
                </w:p>
              </w:tc>
              <w:tc>
                <w:tcPr>
                  <w:tcW w:w="1215" w:type="dxa"/>
                  <w:vMerge w:val="restart"/>
                  <w:noWrap w:val="0"/>
                  <w:vAlign w:val="center"/>
                </w:tcPr>
                <w:p w14:paraId="19E88207">
                  <w:pPr>
                    <w:pStyle w:val="65"/>
                    <w:snapToGrid w:val="0"/>
                    <w:spacing w:line="240" w:lineRule="auto"/>
                    <w:ind w:firstLine="0" w:firstLineChars="0"/>
                    <w:jc w:val="center"/>
                    <w:rPr>
                      <w:rFonts w:hint="default" w:ascii="Times New Roman" w:hAnsi="Times New Roman" w:cs="Times New Roman"/>
                      <w:color w:val="auto"/>
                      <w:highlight w:val="none"/>
                    </w:rPr>
                  </w:pPr>
                  <w:r>
                    <w:rPr>
                      <w:rFonts w:hint="default" w:ascii="Times New Roman" w:hAnsi="Times New Roman" w:eastAsia="宋体" w:cs="Times New Roman"/>
                      <w:color w:val="auto"/>
                      <w:kern w:val="2"/>
                      <w:sz w:val="21"/>
                      <w:szCs w:val="21"/>
                      <w:highlight w:val="none"/>
                      <w:lang w:val="en-US" w:eastAsia="zh-CN"/>
                    </w:rPr>
                    <w:t>Ca</w:t>
                  </w:r>
                  <w:r>
                    <w:rPr>
                      <w:rFonts w:hint="default" w:ascii="Times New Roman" w:hAnsi="Times New Roman" w:eastAsia="宋体" w:cs="Times New Roman"/>
                      <w:color w:val="auto"/>
                      <w:kern w:val="2"/>
                      <w:sz w:val="21"/>
                      <w:szCs w:val="21"/>
                      <w:highlight w:val="none"/>
                      <w:vertAlign w:val="superscript"/>
                      <w:lang w:val="en-US" w:eastAsia="zh-CN"/>
                    </w:rPr>
                    <w:t>2+</w:t>
                  </w:r>
                  <w:r>
                    <w:rPr>
                      <w:rFonts w:hint="default" w:ascii="Times New Roman" w:hAnsi="Times New Roman" w:eastAsia="宋体" w:cs="Times New Roman"/>
                      <w:color w:val="auto"/>
                      <w:kern w:val="2"/>
                      <w:sz w:val="21"/>
                      <w:szCs w:val="21"/>
                      <w:highlight w:val="none"/>
                      <w:lang w:val="en-US" w:eastAsia="zh-CN"/>
                    </w:rPr>
                    <w:t>、Mg</w:t>
                  </w:r>
                  <w:r>
                    <w:rPr>
                      <w:rFonts w:hint="default" w:ascii="Times New Roman" w:hAnsi="Times New Roman" w:eastAsia="宋体" w:cs="Times New Roman"/>
                      <w:color w:val="auto"/>
                      <w:kern w:val="2"/>
                      <w:sz w:val="21"/>
                      <w:szCs w:val="21"/>
                      <w:highlight w:val="none"/>
                      <w:vertAlign w:val="superscript"/>
                      <w:lang w:val="en-US" w:eastAsia="zh-CN"/>
                    </w:rPr>
                    <w:t>2+</w:t>
                  </w:r>
                  <w:r>
                    <w:rPr>
                      <w:rFonts w:hint="default" w:ascii="Times New Roman" w:hAnsi="Times New Roman" w:eastAsia="宋体" w:cs="Times New Roman"/>
                      <w:color w:val="auto"/>
                      <w:kern w:val="2"/>
                      <w:sz w:val="21"/>
                      <w:szCs w:val="21"/>
                      <w:highlight w:val="none"/>
                      <w:lang w:val="en-US" w:eastAsia="zh-CN"/>
                    </w:rPr>
                    <w:t>、SS</w:t>
                  </w:r>
                  <w:r>
                    <w:rPr>
                      <w:rFonts w:hint="default" w:ascii="Times New Roman" w:hAnsi="Times New Roman" w:cs="Times New Roman"/>
                      <w:color w:val="auto"/>
                      <w:highlight w:val="none"/>
                      <w:lang w:eastAsia="zh-CN"/>
                    </w:rPr>
                    <w:t>等</w:t>
                  </w:r>
                </w:p>
              </w:tc>
              <w:tc>
                <w:tcPr>
                  <w:tcW w:w="2606" w:type="dxa"/>
                  <w:vMerge w:val="restart"/>
                  <w:noWrap w:val="0"/>
                  <w:vAlign w:val="center"/>
                </w:tcPr>
                <w:p w14:paraId="704B1D80">
                  <w:pPr>
                    <w:pStyle w:val="65"/>
                    <w:snapToGrid w:val="0"/>
                    <w:spacing w:line="240" w:lineRule="auto"/>
                    <w:ind w:firstLine="0" w:firstLineChars="0"/>
                    <w:jc w:val="center"/>
                    <w:rPr>
                      <w:rFonts w:hint="default" w:ascii="Times New Roman" w:hAnsi="Times New Roman" w:cs="Times New Roman"/>
                      <w:color w:val="auto"/>
                      <w:sz w:val="21"/>
                      <w:szCs w:val="21"/>
                      <w:highlight w:val="none"/>
                      <w:lang w:val="en-US" w:eastAsia="zh-CN" w:bidi="ar"/>
                    </w:rPr>
                  </w:pPr>
                  <w:r>
                    <w:rPr>
                      <w:rFonts w:hint="default" w:ascii="Times New Roman" w:hAnsi="Times New Roman" w:cs="Times New Roman"/>
                      <w:color w:val="auto"/>
                      <w:sz w:val="21"/>
                      <w:szCs w:val="21"/>
                      <w:highlight w:val="none"/>
                      <w:lang w:val="en-US" w:eastAsia="zh-CN" w:bidi="ar"/>
                    </w:rPr>
                    <w:t>锅炉排污水先经“调节混凝絮凝”处理与其余废水经三级沉淀池沉淀后回用于</w:t>
                  </w:r>
                  <w:r>
                    <w:rPr>
                      <w:rFonts w:hint="default" w:ascii="Times New Roman" w:hAnsi="Times New Roman" w:eastAsia="宋体" w:cs="Times New Roman"/>
                      <w:b w:val="0"/>
                      <w:bCs/>
                      <w:color w:val="auto"/>
                      <w:sz w:val="21"/>
                      <w:szCs w:val="21"/>
                      <w:highlight w:val="none"/>
                      <w:vertAlign w:val="baseline"/>
                      <w:lang w:val="en-US" w:eastAsia="zh-CN"/>
                    </w:rPr>
                    <w:t>原料调配用水</w:t>
                  </w:r>
                </w:p>
              </w:tc>
              <w:tc>
                <w:tcPr>
                  <w:tcW w:w="1845" w:type="dxa"/>
                  <w:noWrap w:val="0"/>
                  <w:vAlign w:val="center"/>
                </w:tcPr>
                <w:p w14:paraId="7411FF4D">
                  <w:pPr>
                    <w:pStyle w:val="65"/>
                    <w:snapToGrid w:val="0"/>
                    <w:spacing w:line="240" w:lineRule="auto"/>
                    <w:ind w:firstLine="0" w:firstLineChars="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搅拌机清洗</w:t>
                  </w:r>
                </w:p>
              </w:tc>
            </w:tr>
            <w:tr w14:paraId="4F55B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20" w:type="dxa"/>
                  <w:vMerge w:val="continue"/>
                  <w:noWrap w:val="0"/>
                  <w:vAlign w:val="center"/>
                </w:tcPr>
                <w:p w14:paraId="19C6BAD0">
                  <w:pPr>
                    <w:pStyle w:val="65"/>
                    <w:snapToGrid w:val="0"/>
                    <w:spacing w:line="240" w:lineRule="auto"/>
                    <w:ind w:firstLine="0" w:firstLineChars="0"/>
                    <w:jc w:val="center"/>
                    <w:rPr>
                      <w:rFonts w:hint="default" w:ascii="Times New Roman" w:hAnsi="Times New Roman" w:cs="Times New Roman"/>
                      <w:color w:val="auto"/>
                      <w:szCs w:val="21"/>
                      <w:highlight w:val="none"/>
                    </w:rPr>
                  </w:pPr>
                </w:p>
              </w:tc>
              <w:tc>
                <w:tcPr>
                  <w:tcW w:w="2933" w:type="dxa"/>
                  <w:gridSpan w:val="2"/>
                  <w:noWrap w:val="0"/>
                  <w:vAlign w:val="center"/>
                </w:tcPr>
                <w:p w14:paraId="53ACBC70">
                  <w:pPr>
                    <w:pStyle w:val="65"/>
                    <w:snapToGrid w:val="0"/>
                    <w:spacing w:line="240" w:lineRule="auto"/>
                    <w:ind w:firstLine="0" w:firstLineChars="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运输原材料车辆清洗废水</w:t>
                  </w:r>
                </w:p>
              </w:tc>
              <w:tc>
                <w:tcPr>
                  <w:tcW w:w="1215" w:type="dxa"/>
                  <w:vMerge w:val="continue"/>
                  <w:noWrap w:val="0"/>
                  <w:vAlign w:val="center"/>
                </w:tcPr>
                <w:p w14:paraId="4E28BBD2">
                  <w:pPr>
                    <w:pStyle w:val="65"/>
                    <w:snapToGrid w:val="0"/>
                    <w:spacing w:line="240" w:lineRule="auto"/>
                    <w:ind w:firstLine="0" w:firstLineChars="0"/>
                    <w:jc w:val="center"/>
                    <w:rPr>
                      <w:rFonts w:hint="default" w:ascii="Times New Roman" w:hAnsi="Times New Roman" w:cs="Times New Roman"/>
                      <w:color w:val="auto"/>
                      <w:highlight w:val="none"/>
                    </w:rPr>
                  </w:pPr>
                </w:p>
              </w:tc>
              <w:tc>
                <w:tcPr>
                  <w:tcW w:w="2606" w:type="dxa"/>
                  <w:vMerge w:val="continue"/>
                  <w:noWrap w:val="0"/>
                  <w:vAlign w:val="center"/>
                </w:tcPr>
                <w:p w14:paraId="54C26211">
                  <w:pPr>
                    <w:pStyle w:val="65"/>
                    <w:snapToGrid w:val="0"/>
                    <w:spacing w:line="240" w:lineRule="auto"/>
                    <w:ind w:firstLine="0" w:firstLineChars="0"/>
                    <w:jc w:val="center"/>
                    <w:rPr>
                      <w:rFonts w:hint="default" w:ascii="Times New Roman" w:hAnsi="Times New Roman" w:cs="Times New Roman"/>
                      <w:color w:val="auto"/>
                      <w:sz w:val="21"/>
                      <w:szCs w:val="21"/>
                      <w:highlight w:val="none"/>
                      <w:lang w:val="en-US" w:eastAsia="zh-CN" w:bidi="ar"/>
                    </w:rPr>
                  </w:pPr>
                </w:p>
              </w:tc>
              <w:tc>
                <w:tcPr>
                  <w:tcW w:w="1845" w:type="dxa"/>
                  <w:noWrap w:val="0"/>
                  <w:vAlign w:val="center"/>
                </w:tcPr>
                <w:p w14:paraId="4A116E70">
                  <w:pPr>
                    <w:pStyle w:val="65"/>
                    <w:snapToGrid w:val="0"/>
                    <w:spacing w:line="240" w:lineRule="auto"/>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运输车辆清</w:t>
                  </w:r>
                  <w:r>
                    <w:rPr>
                      <w:rFonts w:hint="default" w:ascii="Times New Roman" w:hAnsi="Times New Roman" w:eastAsia="宋体" w:cs="Times New Roman"/>
                      <w:i w:val="0"/>
                      <w:iCs w:val="0"/>
                      <w:color w:val="auto"/>
                      <w:kern w:val="0"/>
                      <w:sz w:val="21"/>
                      <w:szCs w:val="21"/>
                      <w:highlight w:val="none"/>
                      <w:u w:val="none"/>
                      <w:lang w:val="en-US" w:eastAsia="zh-CN" w:bidi="ar"/>
                    </w:rPr>
                    <w:t>洗</w:t>
                  </w:r>
                </w:p>
              </w:tc>
            </w:tr>
            <w:tr w14:paraId="21BD6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520" w:type="dxa"/>
                  <w:vMerge w:val="continue"/>
                  <w:noWrap w:val="0"/>
                  <w:vAlign w:val="center"/>
                </w:tcPr>
                <w:p w14:paraId="557E61CC">
                  <w:pPr>
                    <w:pStyle w:val="65"/>
                    <w:snapToGrid w:val="0"/>
                    <w:spacing w:line="240" w:lineRule="auto"/>
                    <w:ind w:firstLine="0" w:firstLineChars="0"/>
                    <w:jc w:val="center"/>
                    <w:rPr>
                      <w:rFonts w:hint="default" w:ascii="Times New Roman" w:hAnsi="Times New Roman" w:cs="Times New Roman"/>
                      <w:color w:val="auto"/>
                      <w:szCs w:val="21"/>
                      <w:highlight w:val="none"/>
                    </w:rPr>
                  </w:pPr>
                </w:p>
              </w:tc>
              <w:tc>
                <w:tcPr>
                  <w:tcW w:w="2933" w:type="dxa"/>
                  <w:gridSpan w:val="2"/>
                  <w:noWrap w:val="0"/>
                  <w:vAlign w:val="center"/>
                </w:tcPr>
                <w:p w14:paraId="63D3FA97">
                  <w:pPr>
                    <w:pStyle w:val="65"/>
                    <w:snapToGrid w:val="0"/>
                    <w:spacing w:line="240" w:lineRule="auto"/>
                    <w:ind w:firstLine="0" w:firstLineChars="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地面清洗废水</w:t>
                  </w:r>
                </w:p>
              </w:tc>
              <w:tc>
                <w:tcPr>
                  <w:tcW w:w="1215" w:type="dxa"/>
                  <w:vMerge w:val="continue"/>
                  <w:noWrap w:val="0"/>
                  <w:vAlign w:val="center"/>
                </w:tcPr>
                <w:p w14:paraId="6A2A0230">
                  <w:pPr>
                    <w:pStyle w:val="65"/>
                    <w:snapToGrid w:val="0"/>
                    <w:spacing w:line="240" w:lineRule="auto"/>
                    <w:ind w:firstLine="0" w:firstLineChars="0"/>
                    <w:jc w:val="center"/>
                    <w:rPr>
                      <w:rFonts w:hint="default" w:ascii="Times New Roman" w:hAnsi="Times New Roman" w:cs="Times New Roman"/>
                      <w:color w:val="auto"/>
                      <w:highlight w:val="none"/>
                    </w:rPr>
                  </w:pPr>
                </w:p>
              </w:tc>
              <w:tc>
                <w:tcPr>
                  <w:tcW w:w="2606" w:type="dxa"/>
                  <w:vMerge w:val="continue"/>
                  <w:noWrap w:val="0"/>
                  <w:vAlign w:val="center"/>
                </w:tcPr>
                <w:p w14:paraId="12B3FFE6">
                  <w:pPr>
                    <w:pStyle w:val="65"/>
                    <w:snapToGrid w:val="0"/>
                    <w:spacing w:line="240" w:lineRule="auto"/>
                    <w:ind w:firstLine="0" w:firstLineChars="0"/>
                    <w:jc w:val="center"/>
                    <w:rPr>
                      <w:rFonts w:hint="default" w:ascii="Times New Roman" w:hAnsi="Times New Roman" w:cs="Times New Roman"/>
                      <w:color w:val="auto"/>
                      <w:sz w:val="21"/>
                      <w:szCs w:val="21"/>
                      <w:highlight w:val="none"/>
                      <w:lang w:eastAsia="zh-CN" w:bidi="ar"/>
                    </w:rPr>
                  </w:pPr>
                </w:p>
              </w:tc>
              <w:tc>
                <w:tcPr>
                  <w:tcW w:w="1845" w:type="dxa"/>
                  <w:noWrap w:val="0"/>
                  <w:vAlign w:val="center"/>
                </w:tcPr>
                <w:p w14:paraId="3696DD5A">
                  <w:pPr>
                    <w:pStyle w:val="65"/>
                    <w:snapToGrid w:val="0"/>
                    <w:spacing w:line="240" w:lineRule="auto"/>
                    <w:ind w:firstLine="0" w:firstLine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搅拌区地面清</w:t>
                  </w:r>
                  <w:r>
                    <w:rPr>
                      <w:rFonts w:hint="default" w:ascii="Times New Roman" w:hAnsi="Times New Roman" w:eastAsia="宋体" w:cs="Times New Roman"/>
                      <w:i w:val="0"/>
                      <w:iCs w:val="0"/>
                      <w:color w:val="auto"/>
                      <w:kern w:val="0"/>
                      <w:sz w:val="21"/>
                      <w:szCs w:val="21"/>
                      <w:highlight w:val="none"/>
                      <w:u w:val="none"/>
                      <w:lang w:val="en-US" w:eastAsia="zh-CN" w:bidi="ar"/>
                    </w:rPr>
                    <w:t>洗</w:t>
                  </w:r>
                </w:p>
              </w:tc>
            </w:tr>
            <w:tr w14:paraId="00CEB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520" w:type="dxa"/>
                  <w:vMerge w:val="continue"/>
                  <w:noWrap w:val="0"/>
                  <w:vAlign w:val="center"/>
                </w:tcPr>
                <w:p w14:paraId="3E544734">
                  <w:pPr>
                    <w:pStyle w:val="65"/>
                    <w:snapToGrid w:val="0"/>
                    <w:spacing w:line="240" w:lineRule="auto"/>
                    <w:ind w:firstLine="0" w:firstLineChars="0"/>
                    <w:jc w:val="center"/>
                    <w:rPr>
                      <w:rFonts w:hint="default" w:ascii="Times New Roman" w:hAnsi="Times New Roman" w:cs="Times New Roman"/>
                      <w:color w:val="auto"/>
                      <w:szCs w:val="21"/>
                      <w:highlight w:val="none"/>
                    </w:rPr>
                  </w:pPr>
                </w:p>
              </w:tc>
              <w:tc>
                <w:tcPr>
                  <w:tcW w:w="2933" w:type="dxa"/>
                  <w:gridSpan w:val="2"/>
                  <w:noWrap w:val="0"/>
                  <w:vAlign w:val="center"/>
                </w:tcPr>
                <w:p w14:paraId="7C2A6061">
                  <w:pPr>
                    <w:pStyle w:val="65"/>
                    <w:snapToGrid w:val="0"/>
                    <w:spacing w:line="240" w:lineRule="auto"/>
                    <w:ind w:firstLine="0" w:firstLineChars="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锅炉排污水及软化再生废水</w:t>
                  </w:r>
                </w:p>
              </w:tc>
              <w:tc>
                <w:tcPr>
                  <w:tcW w:w="1215" w:type="dxa"/>
                  <w:vMerge w:val="continue"/>
                  <w:noWrap w:val="0"/>
                  <w:vAlign w:val="center"/>
                </w:tcPr>
                <w:p w14:paraId="4A6B4CBB">
                  <w:pPr>
                    <w:pStyle w:val="65"/>
                    <w:snapToGrid w:val="0"/>
                    <w:spacing w:line="240" w:lineRule="auto"/>
                    <w:ind w:firstLine="0" w:firstLineChars="0"/>
                    <w:jc w:val="center"/>
                    <w:rPr>
                      <w:rFonts w:hint="default" w:ascii="Times New Roman" w:hAnsi="Times New Roman" w:cs="Times New Roman"/>
                      <w:color w:val="auto"/>
                      <w:highlight w:val="none"/>
                    </w:rPr>
                  </w:pPr>
                </w:p>
              </w:tc>
              <w:tc>
                <w:tcPr>
                  <w:tcW w:w="2606" w:type="dxa"/>
                  <w:vMerge w:val="continue"/>
                  <w:noWrap w:val="0"/>
                  <w:vAlign w:val="center"/>
                </w:tcPr>
                <w:p w14:paraId="635B6E32">
                  <w:pPr>
                    <w:pStyle w:val="65"/>
                    <w:snapToGrid w:val="0"/>
                    <w:spacing w:line="240" w:lineRule="auto"/>
                    <w:ind w:firstLine="0" w:firstLineChars="0"/>
                    <w:jc w:val="center"/>
                    <w:rPr>
                      <w:rFonts w:hint="default" w:ascii="Times New Roman" w:hAnsi="Times New Roman" w:cs="Times New Roman"/>
                      <w:color w:val="auto"/>
                      <w:sz w:val="21"/>
                      <w:szCs w:val="21"/>
                      <w:highlight w:val="none"/>
                      <w:lang w:eastAsia="zh-CN" w:bidi="ar"/>
                    </w:rPr>
                  </w:pPr>
                </w:p>
              </w:tc>
              <w:tc>
                <w:tcPr>
                  <w:tcW w:w="1845" w:type="dxa"/>
                  <w:noWrap w:val="0"/>
                  <w:vAlign w:val="center"/>
                </w:tcPr>
                <w:p w14:paraId="7180CE39">
                  <w:pPr>
                    <w:pStyle w:val="65"/>
                    <w:snapToGrid w:val="0"/>
                    <w:spacing w:line="240" w:lineRule="auto"/>
                    <w:ind w:firstLine="0" w:firstLineChars="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锅炉</w:t>
                  </w:r>
                </w:p>
              </w:tc>
            </w:tr>
            <w:tr w14:paraId="60832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520" w:type="dxa"/>
                  <w:noWrap w:val="0"/>
                  <w:vAlign w:val="center"/>
                </w:tcPr>
                <w:p w14:paraId="3D250EB4">
                  <w:pPr>
                    <w:pStyle w:val="65"/>
                    <w:snapToGrid w:val="0"/>
                    <w:spacing w:line="240" w:lineRule="auto"/>
                    <w:ind w:firstLine="0" w:firstLine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噪声</w:t>
                  </w:r>
                </w:p>
              </w:tc>
              <w:tc>
                <w:tcPr>
                  <w:tcW w:w="2933" w:type="dxa"/>
                  <w:gridSpan w:val="2"/>
                  <w:noWrap w:val="0"/>
                  <w:vAlign w:val="center"/>
                </w:tcPr>
                <w:p w14:paraId="1774E8E9">
                  <w:pPr>
                    <w:pStyle w:val="65"/>
                    <w:snapToGrid w:val="0"/>
                    <w:spacing w:line="240" w:lineRule="auto"/>
                    <w:ind w:firstLine="0" w:firstLine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搅拌机、浇筑振捣机、钢筋切断机</w:t>
                  </w:r>
                  <w:r>
                    <w:rPr>
                      <w:rFonts w:hint="default" w:ascii="Times New Roman" w:hAnsi="Times New Roman" w:cs="Times New Roman"/>
                      <w:color w:val="auto"/>
                      <w:szCs w:val="21"/>
                      <w:highlight w:val="none"/>
                    </w:rPr>
                    <w:t>等设备噪声</w:t>
                  </w:r>
                </w:p>
              </w:tc>
              <w:tc>
                <w:tcPr>
                  <w:tcW w:w="1215" w:type="dxa"/>
                  <w:noWrap w:val="0"/>
                  <w:vAlign w:val="center"/>
                </w:tcPr>
                <w:p w14:paraId="755DD1A1">
                  <w:pPr>
                    <w:pStyle w:val="65"/>
                    <w:snapToGrid w:val="0"/>
                    <w:spacing w:line="240" w:lineRule="auto"/>
                    <w:ind w:firstLine="0" w:firstLine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噪声</w:t>
                  </w:r>
                </w:p>
              </w:tc>
              <w:tc>
                <w:tcPr>
                  <w:tcW w:w="2606" w:type="dxa"/>
                  <w:noWrap w:val="0"/>
                  <w:vAlign w:val="center"/>
                </w:tcPr>
                <w:p w14:paraId="53DE78AD">
                  <w:pPr>
                    <w:pStyle w:val="65"/>
                    <w:snapToGrid w:val="0"/>
                    <w:spacing w:line="240" w:lineRule="auto"/>
                    <w:ind w:firstLine="0" w:firstLine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 w:val="21"/>
                      <w:szCs w:val="21"/>
                      <w:highlight w:val="none"/>
                    </w:rPr>
                    <w:t>隔声、基础减振等</w:t>
                  </w:r>
                </w:p>
              </w:tc>
              <w:tc>
                <w:tcPr>
                  <w:tcW w:w="1845" w:type="dxa"/>
                  <w:noWrap w:val="0"/>
                  <w:vAlign w:val="center"/>
                </w:tcPr>
                <w:p w14:paraId="002A5AA8">
                  <w:pPr>
                    <w:pStyle w:val="65"/>
                    <w:snapToGrid w:val="0"/>
                    <w:spacing w:line="240" w:lineRule="auto"/>
                    <w:ind w:firstLine="0" w:firstLine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生产过程</w:t>
                  </w:r>
                </w:p>
              </w:tc>
            </w:tr>
            <w:tr w14:paraId="31CF4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520" w:type="dxa"/>
                  <w:vMerge w:val="restart"/>
                  <w:noWrap w:val="0"/>
                  <w:vAlign w:val="center"/>
                </w:tcPr>
                <w:p w14:paraId="609435F2">
                  <w:pPr>
                    <w:pStyle w:val="65"/>
                    <w:snapToGrid w:val="0"/>
                    <w:spacing w:line="240" w:lineRule="auto"/>
                    <w:ind w:firstLine="0" w:firstLine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固废</w:t>
                  </w:r>
                </w:p>
              </w:tc>
              <w:tc>
                <w:tcPr>
                  <w:tcW w:w="1013" w:type="dxa"/>
                  <w:vMerge w:val="restart"/>
                  <w:tcBorders>
                    <w:right w:val="single" w:color="000000" w:sz="4" w:space="0"/>
                  </w:tcBorders>
                  <w:noWrap w:val="0"/>
                  <w:vAlign w:val="center"/>
                </w:tcPr>
                <w:p w14:paraId="619CF3BE">
                  <w:pPr>
                    <w:pStyle w:val="65"/>
                    <w:snapToGrid w:val="0"/>
                    <w:spacing w:line="240" w:lineRule="auto"/>
                    <w:ind w:firstLine="0" w:firstLine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危险废物</w:t>
                  </w:r>
                </w:p>
              </w:tc>
              <w:tc>
                <w:tcPr>
                  <w:tcW w:w="1920" w:type="dxa"/>
                  <w:tcBorders>
                    <w:left w:val="single" w:color="000000" w:sz="4" w:space="0"/>
                  </w:tcBorders>
                  <w:noWrap w:val="0"/>
                  <w:vAlign w:val="center"/>
                </w:tcPr>
                <w:p w14:paraId="75B17ADA">
                  <w:pPr>
                    <w:adjustRightInd w:val="0"/>
                    <w:snapToGrid w:val="0"/>
                    <w:jc w:val="center"/>
                    <w:rPr>
                      <w:rFonts w:hint="default" w:ascii="Times New Roman" w:hAnsi="Times New Roman" w:eastAsia="宋体" w:cs="Times New Roman"/>
                      <w:color w:val="auto"/>
                      <w:szCs w:val="21"/>
                      <w:highlight w:val="none"/>
                      <w:lang w:eastAsia="zh-CN"/>
                    </w:rPr>
                  </w:pPr>
                  <w:r>
                    <w:rPr>
                      <w:rStyle w:val="37"/>
                      <w:rFonts w:hint="default" w:ascii="Times New Roman" w:hAnsi="Times New Roman" w:cs="Times New Roman"/>
                      <w:b w:val="0"/>
                      <w:color w:val="auto"/>
                      <w:szCs w:val="21"/>
                      <w:highlight w:val="none"/>
                      <w:lang w:eastAsia="zh-CN"/>
                    </w:rPr>
                    <w:t>含油手套及废抹布</w:t>
                  </w:r>
                </w:p>
              </w:tc>
              <w:tc>
                <w:tcPr>
                  <w:tcW w:w="1215" w:type="dxa"/>
                  <w:noWrap w:val="0"/>
                  <w:vAlign w:val="center"/>
                </w:tcPr>
                <w:p w14:paraId="3154D9F9">
                  <w:pPr>
                    <w:pStyle w:val="65"/>
                    <w:snapToGrid w:val="0"/>
                    <w:spacing w:line="240" w:lineRule="auto"/>
                    <w:ind w:firstLine="0" w:firstLine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c>
                <w:tcPr>
                  <w:tcW w:w="2606" w:type="dxa"/>
                  <w:vMerge w:val="restart"/>
                  <w:noWrap w:val="0"/>
                  <w:vAlign w:val="center"/>
                </w:tcPr>
                <w:p w14:paraId="5BE49B1A">
                  <w:pPr>
                    <w:pStyle w:val="65"/>
                    <w:snapToGrid w:val="0"/>
                    <w:spacing w:line="240" w:lineRule="auto"/>
                    <w:ind w:firstLine="0" w:firstLineChars="0"/>
                    <w:jc w:val="center"/>
                    <w:rPr>
                      <w:rFonts w:hint="default" w:ascii="Times New Roman" w:hAnsi="Times New Roman" w:cs="Times New Roman"/>
                      <w:color w:val="auto"/>
                      <w:szCs w:val="21"/>
                      <w:highlight w:val="none"/>
                      <w:lang w:eastAsia="zh-CN"/>
                    </w:rPr>
                  </w:pPr>
                  <w:r>
                    <w:rPr>
                      <w:rFonts w:hint="default" w:ascii="Times New Roman" w:hAnsi="Times New Roman" w:cs="Times New Roman"/>
                      <w:color w:val="auto"/>
                      <w:szCs w:val="21"/>
                      <w:highlight w:val="none"/>
                      <w:lang w:eastAsia="zh-CN"/>
                    </w:rPr>
                    <w:t>交由有危险废物处理资质的单位处理</w:t>
                  </w:r>
                </w:p>
              </w:tc>
              <w:tc>
                <w:tcPr>
                  <w:tcW w:w="1845" w:type="dxa"/>
                  <w:noWrap w:val="0"/>
                  <w:vAlign w:val="center"/>
                </w:tcPr>
                <w:p w14:paraId="2676516D">
                  <w:pPr>
                    <w:pStyle w:val="65"/>
                    <w:snapToGrid w:val="0"/>
                    <w:spacing w:line="240" w:lineRule="auto"/>
                    <w:ind w:firstLine="0" w:firstLine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eastAsia="zh-CN"/>
                    </w:rPr>
                    <w:t>设备维修保养</w:t>
                  </w:r>
                </w:p>
              </w:tc>
            </w:tr>
            <w:tr w14:paraId="1AE99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520" w:type="dxa"/>
                  <w:vMerge w:val="continue"/>
                  <w:noWrap w:val="0"/>
                  <w:vAlign w:val="center"/>
                </w:tcPr>
                <w:p w14:paraId="56FA78DD">
                  <w:pPr>
                    <w:pStyle w:val="65"/>
                    <w:snapToGrid w:val="0"/>
                    <w:spacing w:line="240" w:lineRule="auto"/>
                    <w:ind w:firstLine="0" w:firstLineChars="0"/>
                    <w:jc w:val="center"/>
                    <w:rPr>
                      <w:rFonts w:hint="default" w:ascii="Times New Roman" w:hAnsi="Times New Roman" w:cs="Times New Roman"/>
                      <w:color w:val="auto"/>
                      <w:szCs w:val="21"/>
                      <w:highlight w:val="none"/>
                    </w:rPr>
                  </w:pPr>
                </w:p>
              </w:tc>
              <w:tc>
                <w:tcPr>
                  <w:tcW w:w="1013" w:type="dxa"/>
                  <w:vMerge w:val="continue"/>
                  <w:tcBorders>
                    <w:right w:val="single" w:color="000000" w:sz="4" w:space="0"/>
                  </w:tcBorders>
                  <w:noWrap w:val="0"/>
                  <w:vAlign w:val="center"/>
                </w:tcPr>
                <w:p w14:paraId="2DEAE00D">
                  <w:pPr>
                    <w:pStyle w:val="65"/>
                    <w:snapToGrid w:val="0"/>
                    <w:spacing w:line="240" w:lineRule="auto"/>
                    <w:ind w:firstLine="0" w:firstLineChars="0"/>
                    <w:jc w:val="center"/>
                    <w:rPr>
                      <w:rFonts w:hint="default" w:ascii="Times New Roman" w:hAnsi="Times New Roman" w:cs="Times New Roman"/>
                      <w:color w:val="auto"/>
                      <w:szCs w:val="21"/>
                      <w:highlight w:val="none"/>
                    </w:rPr>
                  </w:pPr>
                </w:p>
              </w:tc>
              <w:tc>
                <w:tcPr>
                  <w:tcW w:w="1920" w:type="dxa"/>
                  <w:tcBorders>
                    <w:left w:val="single" w:color="000000" w:sz="4" w:space="0"/>
                  </w:tcBorders>
                  <w:noWrap w:val="0"/>
                  <w:vAlign w:val="center"/>
                </w:tcPr>
                <w:p w14:paraId="3F03F95B">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废机油</w:t>
                  </w:r>
                </w:p>
              </w:tc>
              <w:tc>
                <w:tcPr>
                  <w:tcW w:w="1215" w:type="dxa"/>
                  <w:noWrap w:val="0"/>
                  <w:vAlign w:val="center"/>
                </w:tcPr>
                <w:p w14:paraId="74CDF701">
                  <w:pPr>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c>
                <w:tcPr>
                  <w:tcW w:w="2606" w:type="dxa"/>
                  <w:vMerge w:val="continue"/>
                  <w:noWrap w:val="0"/>
                  <w:vAlign w:val="center"/>
                </w:tcPr>
                <w:p w14:paraId="3A440294">
                  <w:pPr>
                    <w:pStyle w:val="65"/>
                    <w:snapToGrid w:val="0"/>
                    <w:spacing w:line="240" w:lineRule="auto"/>
                    <w:ind w:firstLine="0" w:firstLineChars="0"/>
                    <w:jc w:val="center"/>
                    <w:rPr>
                      <w:rFonts w:hint="default" w:ascii="Times New Roman" w:hAnsi="Times New Roman" w:cs="Times New Roman"/>
                      <w:color w:val="auto"/>
                      <w:szCs w:val="21"/>
                      <w:highlight w:val="none"/>
                      <w:lang w:eastAsia="zh-CN"/>
                    </w:rPr>
                  </w:pPr>
                </w:p>
              </w:tc>
              <w:tc>
                <w:tcPr>
                  <w:tcW w:w="1845" w:type="dxa"/>
                  <w:noWrap w:val="0"/>
                  <w:vAlign w:val="center"/>
                </w:tcPr>
                <w:p w14:paraId="31C6B0CA">
                  <w:pPr>
                    <w:pStyle w:val="65"/>
                    <w:snapToGrid w:val="0"/>
                    <w:spacing w:line="240" w:lineRule="auto"/>
                    <w:ind w:firstLine="0" w:firstLineChars="0"/>
                    <w:jc w:val="center"/>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eastAsia="zh-CN"/>
                    </w:rPr>
                    <w:t>设备维修保养</w:t>
                  </w:r>
                </w:p>
              </w:tc>
            </w:tr>
            <w:tr w14:paraId="74EEE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520" w:type="dxa"/>
                  <w:vMerge w:val="continue"/>
                  <w:noWrap w:val="0"/>
                  <w:vAlign w:val="center"/>
                </w:tcPr>
                <w:p w14:paraId="230C55B5">
                  <w:pPr>
                    <w:pStyle w:val="65"/>
                    <w:snapToGrid w:val="0"/>
                    <w:spacing w:line="240" w:lineRule="auto"/>
                    <w:ind w:firstLine="0" w:firstLineChars="0"/>
                    <w:jc w:val="center"/>
                    <w:rPr>
                      <w:rFonts w:hint="default" w:ascii="Times New Roman" w:hAnsi="Times New Roman" w:cs="Times New Roman"/>
                      <w:color w:val="auto"/>
                      <w:szCs w:val="21"/>
                      <w:highlight w:val="none"/>
                    </w:rPr>
                  </w:pPr>
                </w:p>
              </w:tc>
              <w:tc>
                <w:tcPr>
                  <w:tcW w:w="1013" w:type="dxa"/>
                  <w:vMerge w:val="continue"/>
                  <w:tcBorders>
                    <w:right w:val="single" w:color="000000" w:sz="4" w:space="0"/>
                  </w:tcBorders>
                  <w:noWrap w:val="0"/>
                  <w:vAlign w:val="center"/>
                </w:tcPr>
                <w:p w14:paraId="69C06F0A">
                  <w:pPr>
                    <w:pStyle w:val="65"/>
                    <w:snapToGrid w:val="0"/>
                    <w:spacing w:line="240" w:lineRule="auto"/>
                    <w:ind w:firstLine="0" w:firstLineChars="0"/>
                    <w:jc w:val="center"/>
                    <w:rPr>
                      <w:rFonts w:hint="default" w:ascii="Times New Roman" w:hAnsi="Times New Roman" w:cs="Times New Roman"/>
                      <w:color w:val="auto"/>
                      <w:szCs w:val="21"/>
                      <w:highlight w:val="none"/>
                    </w:rPr>
                  </w:pPr>
                </w:p>
              </w:tc>
              <w:tc>
                <w:tcPr>
                  <w:tcW w:w="1920" w:type="dxa"/>
                  <w:tcBorders>
                    <w:left w:val="single" w:color="000000" w:sz="4" w:space="0"/>
                  </w:tcBorders>
                  <w:noWrap w:val="0"/>
                  <w:vAlign w:val="center"/>
                </w:tcPr>
                <w:p w14:paraId="4CB734EE">
                  <w:pPr>
                    <w:adjustRightInd w:val="0"/>
                    <w:snapToGrid w:val="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废机油桶</w:t>
                  </w:r>
                </w:p>
              </w:tc>
              <w:tc>
                <w:tcPr>
                  <w:tcW w:w="1215" w:type="dxa"/>
                  <w:noWrap w:val="0"/>
                  <w:vAlign w:val="center"/>
                </w:tcPr>
                <w:p w14:paraId="769A4B4D">
                  <w:pPr>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w:t>
                  </w:r>
                </w:p>
              </w:tc>
              <w:tc>
                <w:tcPr>
                  <w:tcW w:w="2606" w:type="dxa"/>
                  <w:vMerge w:val="continue"/>
                  <w:noWrap w:val="0"/>
                  <w:vAlign w:val="center"/>
                </w:tcPr>
                <w:p w14:paraId="196735B2">
                  <w:pPr>
                    <w:pStyle w:val="65"/>
                    <w:snapToGrid w:val="0"/>
                    <w:spacing w:line="240" w:lineRule="auto"/>
                    <w:ind w:firstLine="0" w:firstLineChars="0"/>
                    <w:jc w:val="center"/>
                    <w:rPr>
                      <w:rFonts w:hint="default" w:ascii="Times New Roman" w:hAnsi="Times New Roman" w:cs="Times New Roman"/>
                      <w:color w:val="auto"/>
                      <w:szCs w:val="21"/>
                      <w:highlight w:val="none"/>
                      <w:lang w:eastAsia="zh-CN"/>
                    </w:rPr>
                  </w:pPr>
                </w:p>
              </w:tc>
              <w:tc>
                <w:tcPr>
                  <w:tcW w:w="1845" w:type="dxa"/>
                  <w:noWrap w:val="0"/>
                  <w:vAlign w:val="center"/>
                </w:tcPr>
                <w:p w14:paraId="2C60F279">
                  <w:pPr>
                    <w:pStyle w:val="65"/>
                    <w:snapToGrid w:val="0"/>
                    <w:spacing w:line="240" w:lineRule="auto"/>
                    <w:ind w:firstLine="0" w:firstLineChars="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eastAsia="zh-CN"/>
                    </w:rPr>
                    <w:t>设备维修保养</w:t>
                  </w:r>
                </w:p>
              </w:tc>
            </w:tr>
            <w:tr w14:paraId="3B180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520" w:type="dxa"/>
                  <w:vMerge w:val="continue"/>
                  <w:noWrap w:val="0"/>
                  <w:vAlign w:val="center"/>
                </w:tcPr>
                <w:p w14:paraId="68307397">
                  <w:pPr>
                    <w:pStyle w:val="65"/>
                    <w:snapToGrid w:val="0"/>
                    <w:spacing w:line="240" w:lineRule="auto"/>
                    <w:ind w:firstLine="0" w:firstLineChars="0"/>
                    <w:jc w:val="center"/>
                    <w:rPr>
                      <w:rFonts w:hint="default" w:ascii="Times New Roman" w:hAnsi="Times New Roman" w:cs="Times New Roman"/>
                      <w:color w:val="auto"/>
                      <w:szCs w:val="21"/>
                      <w:highlight w:val="none"/>
                    </w:rPr>
                  </w:pPr>
                </w:p>
              </w:tc>
              <w:tc>
                <w:tcPr>
                  <w:tcW w:w="1013" w:type="dxa"/>
                  <w:tcBorders>
                    <w:right w:val="single" w:color="000000" w:sz="4" w:space="0"/>
                  </w:tcBorders>
                  <w:noWrap w:val="0"/>
                  <w:vAlign w:val="center"/>
                </w:tcPr>
                <w:p w14:paraId="1169B2FE">
                  <w:pPr>
                    <w:pStyle w:val="65"/>
                    <w:snapToGrid w:val="0"/>
                    <w:spacing w:line="240" w:lineRule="auto"/>
                    <w:ind w:firstLine="0" w:firstLine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生活垃圾</w:t>
                  </w:r>
                </w:p>
              </w:tc>
              <w:tc>
                <w:tcPr>
                  <w:tcW w:w="1920" w:type="dxa"/>
                  <w:tcBorders>
                    <w:left w:val="single" w:color="000000" w:sz="4" w:space="0"/>
                  </w:tcBorders>
                  <w:noWrap w:val="0"/>
                  <w:vAlign w:val="center"/>
                </w:tcPr>
                <w:p w14:paraId="6FB70F86">
                  <w:pPr>
                    <w:pStyle w:val="65"/>
                    <w:snapToGrid w:val="0"/>
                    <w:spacing w:line="240" w:lineRule="auto"/>
                    <w:ind w:firstLine="0" w:firstLine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生活垃圾</w:t>
                  </w:r>
                </w:p>
              </w:tc>
              <w:tc>
                <w:tcPr>
                  <w:tcW w:w="1215" w:type="dxa"/>
                  <w:noWrap w:val="0"/>
                  <w:vAlign w:val="center"/>
                </w:tcPr>
                <w:p w14:paraId="7987176E">
                  <w:pPr>
                    <w:pStyle w:val="65"/>
                    <w:snapToGrid w:val="0"/>
                    <w:spacing w:line="240" w:lineRule="auto"/>
                    <w:ind w:firstLine="0" w:firstLine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c>
                <w:tcPr>
                  <w:tcW w:w="2606" w:type="dxa"/>
                  <w:noWrap w:val="0"/>
                  <w:vAlign w:val="center"/>
                </w:tcPr>
                <w:p w14:paraId="4F05B416">
                  <w:pPr>
                    <w:pStyle w:val="65"/>
                    <w:snapToGrid w:val="0"/>
                    <w:spacing w:line="240" w:lineRule="auto"/>
                    <w:ind w:firstLine="0" w:firstLine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 w:val="21"/>
                      <w:szCs w:val="21"/>
                      <w:highlight w:val="none"/>
                      <w:lang w:eastAsia="zh-CN"/>
                    </w:rPr>
                    <w:t>环卫部门统一清运处理</w:t>
                  </w:r>
                </w:p>
              </w:tc>
              <w:tc>
                <w:tcPr>
                  <w:tcW w:w="1845" w:type="dxa"/>
                  <w:noWrap w:val="0"/>
                  <w:vAlign w:val="center"/>
                </w:tcPr>
                <w:p w14:paraId="1F7E68B4">
                  <w:pPr>
                    <w:pStyle w:val="65"/>
                    <w:snapToGrid w:val="0"/>
                    <w:spacing w:line="240" w:lineRule="auto"/>
                    <w:ind w:firstLine="0" w:firstLine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员工生活</w:t>
                  </w:r>
                </w:p>
              </w:tc>
            </w:tr>
            <w:tr w14:paraId="195C1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520" w:type="dxa"/>
                  <w:vMerge w:val="continue"/>
                  <w:noWrap w:val="0"/>
                  <w:vAlign w:val="center"/>
                </w:tcPr>
                <w:p w14:paraId="788F94C7">
                  <w:pPr>
                    <w:pStyle w:val="65"/>
                    <w:snapToGrid w:val="0"/>
                    <w:spacing w:line="240" w:lineRule="auto"/>
                    <w:ind w:firstLine="0" w:firstLineChars="0"/>
                    <w:jc w:val="center"/>
                    <w:rPr>
                      <w:rFonts w:hint="default" w:ascii="Times New Roman" w:hAnsi="Times New Roman" w:cs="Times New Roman"/>
                      <w:color w:val="auto"/>
                      <w:szCs w:val="21"/>
                      <w:highlight w:val="none"/>
                    </w:rPr>
                  </w:pPr>
                </w:p>
              </w:tc>
              <w:tc>
                <w:tcPr>
                  <w:tcW w:w="1013" w:type="dxa"/>
                  <w:vMerge w:val="restart"/>
                  <w:tcBorders>
                    <w:right w:val="single" w:color="000000" w:sz="4" w:space="0"/>
                  </w:tcBorders>
                  <w:noWrap w:val="0"/>
                  <w:vAlign w:val="center"/>
                </w:tcPr>
                <w:p w14:paraId="1964521B">
                  <w:pPr>
                    <w:pStyle w:val="65"/>
                    <w:snapToGrid w:val="0"/>
                    <w:spacing w:line="240" w:lineRule="auto"/>
                    <w:ind w:firstLine="0" w:firstLine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一般固废</w:t>
                  </w:r>
                </w:p>
              </w:tc>
              <w:tc>
                <w:tcPr>
                  <w:tcW w:w="1920" w:type="dxa"/>
                  <w:tcBorders>
                    <w:left w:val="single" w:color="000000" w:sz="4" w:space="0"/>
                  </w:tcBorders>
                  <w:noWrap w:val="0"/>
                  <w:vAlign w:val="center"/>
                </w:tcPr>
                <w:p w14:paraId="5AB6792E">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布袋收集的粉尘</w:t>
                  </w:r>
                </w:p>
              </w:tc>
              <w:tc>
                <w:tcPr>
                  <w:tcW w:w="1215" w:type="dxa"/>
                  <w:noWrap w:val="0"/>
                  <w:vAlign w:val="center"/>
                </w:tcPr>
                <w:p w14:paraId="47956990">
                  <w:pPr>
                    <w:adjustRightInd w:val="0"/>
                    <w:snapToGrid w:val="0"/>
                    <w:jc w:val="center"/>
                    <w:textAlignment w:val="baseline"/>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w:t>
                  </w:r>
                </w:p>
              </w:tc>
              <w:tc>
                <w:tcPr>
                  <w:tcW w:w="2606" w:type="dxa"/>
                  <w:noWrap w:val="0"/>
                  <w:vAlign w:val="center"/>
                </w:tcPr>
                <w:p w14:paraId="123168B3">
                  <w:pPr>
                    <w:adjustRightInd w:val="0"/>
                    <w:snapToGrid w:val="0"/>
                    <w:jc w:val="center"/>
                    <w:textAlignment w:val="baseline"/>
                    <w:rPr>
                      <w:rFonts w:hint="default" w:ascii="Times New Roman" w:hAnsi="Times New Roman" w:eastAsia="宋体" w:cs="Times New Roman"/>
                      <w:color w:val="auto"/>
                      <w:highlight w:val="none"/>
                      <w:lang w:eastAsia="zh-CN"/>
                    </w:rPr>
                  </w:pPr>
                  <w:r>
                    <w:rPr>
                      <w:rFonts w:hint="default" w:ascii="Times New Roman" w:hAnsi="Times New Roman" w:cs="Times New Roman"/>
                      <w:color w:val="auto"/>
                      <w:highlight w:val="none"/>
                      <w:lang w:val="en-US" w:eastAsia="zh-CN"/>
                    </w:rPr>
                    <w:t>收集后回用于生产</w:t>
                  </w:r>
                </w:p>
              </w:tc>
              <w:tc>
                <w:tcPr>
                  <w:tcW w:w="1845" w:type="dxa"/>
                  <w:noWrap w:val="0"/>
                  <w:vAlign w:val="center"/>
                </w:tcPr>
                <w:p w14:paraId="1E5F6E80">
                  <w:pPr>
                    <w:adjustRightInd w:val="0"/>
                    <w:snapToGrid w:val="0"/>
                    <w:jc w:val="center"/>
                    <w:textAlignment w:val="baseline"/>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生产过程</w:t>
                  </w:r>
                </w:p>
              </w:tc>
            </w:tr>
            <w:tr w14:paraId="6716C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520" w:type="dxa"/>
                  <w:vMerge w:val="continue"/>
                  <w:noWrap w:val="0"/>
                  <w:vAlign w:val="center"/>
                </w:tcPr>
                <w:p w14:paraId="15D26EC4">
                  <w:pPr>
                    <w:pStyle w:val="65"/>
                    <w:snapToGrid w:val="0"/>
                    <w:spacing w:line="240" w:lineRule="auto"/>
                    <w:ind w:firstLine="0" w:firstLineChars="0"/>
                    <w:jc w:val="center"/>
                    <w:rPr>
                      <w:rFonts w:hint="default" w:ascii="Times New Roman" w:hAnsi="Times New Roman" w:cs="Times New Roman"/>
                      <w:color w:val="auto"/>
                      <w:szCs w:val="21"/>
                      <w:highlight w:val="none"/>
                    </w:rPr>
                  </w:pPr>
                </w:p>
              </w:tc>
              <w:tc>
                <w:tcPr>
                  <w:tcW w:w="1013" w:type="dxa"/>
                  <w:vMerge w:val="continue"/>
                  <w:tcBorders>
                    <w:right w:val="single" w:color="000000" w:sz="4" w:space="0"/>
                  </w:tcBorders>
                  <w:noWrap w:val="0"/>
                  <w:vAlign w:val="center"/>
                </w:tcPr>
                <w:p w14:paraId="582B5B67">
                  <w:pPr>
                    <w:pStyle w:val="65"/>
                    <w:snapToGrid w:val="0"/>
                    <w:spacing w:line="240" w:lineRule="auto"/>
                    <w:ind w:firstLine="0" w:firstLineChars="0"/>
                    <w:jc w:val="center"/>
                    <w:rPr>
                      <w:rFonts w:hint="default" w:ascii="Times New Roman" w:hAnsi="Times New Roman" w:cs="Times New Roman"/>
                      <w:color w:val="auto"/>
                      <w:szCs w:val="21"/>
                      <w:highlight w:val="none"/>
                    </w:rPr>
                  </w:pPr>
                </w:p>
              </w:tc>
              <w:tc>
                <w:tcPr>
                  <w:tcW w:w="1920" w:type="dxa"/>
                  <w:tcBorders>
                    <w:left w:val="single" w:color="000000" w:sz="4" w:space="0"/>
                  </w:tcBorders>
                  <w:noWrap w:val="0"/>
                  <w:vAlign w:val="center"/>
                </w:tcPr>
                <w:p w14:paraId="0D67052E">
                  <w:pPr>
                    <w:adjustRightInd w:val="0"/>
                    <w:snapToGrid w:val="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雨水沉渣</w:t>
                  </w:r>
                </w:p>
              </w:tc>
              <w:tc>
                <w:tcPr>
                  <w:tcW w:w="1215" w:type="dxa"/>
                  <w:noWrap w:val="0"/>
                  <w:vAlign w:val="center"/>
                </w:tcPr>
                <w:p w14:paraId="484EF408">
                  <w:pPr>
                    <w:adjustRightInd w:val="0"/>
                    <w:snapToGrid w:val="0"/>
                    <w:jc w:val="center"/>
                    <w:textAlignment w:val="baseline"/>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2606" w:type="dxa"/>
                  <w:vMerge w:val="restart"/>
                  <w:noWrap w:val="0"/>
                  <w:vAlign w:val="center"/>
                </w:tcPr>
                <w:p w14:paraId="041EF204">
                  <w:pPr>
                    <w:adjustRightInd w:val="0"/>
                    <w:snapToGrid w:val="0"/>
                    <w:jc w:val="center"/>
                    <w:textAlignment w:val="baseline"/>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交有相应处理工艺的资质单位处理</w:t>
                  </w:r>
                </w:p>
              </w:tc>
              <w:tc>
                <w:tcPr>
                  <w:tcW w:w="1845" w:type="dxa"/>
                  <w:noWrap w:val="0"/>
                  <w:vAlign w:val="center"/>
                </w:tcPr>
                <w:p w14:paraId="6220AAEE">
                  <w:pPr>
                    <w:adjustRightInd w:val="0"/>
                    <w:snapToGrid w:val="0"/>
                    <w:jc w:val="center"/>
                    <w:textAlignment w:val="baseline"/>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初期雨水处理</w:t>
                  </w:r>
                </w:p>
              </w:tc>
            </w:tr>
            <w:tr w14:paraId="409D0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520" w:type="dxa"/>
                  <w:vMerge w:val="continue"/>
                  <w:noWrap w:val="0"/>
                  <w:vAlign w:val="center"/>
                </w:tcPr>
                <w:p w14:paraId="68462F21">
                  <w:pPr>
                    <w:pStyle w:val="65"/>
                    <w:snapToGrid w:val="0"/>
                    <w:spacing w:line="240" w:lineRule="auto"/>
                    <w:ind w:firstLine="0" w:firstLineChars="0"/>
                    <w:jc w:val="center"/>
                    <w:rPr>
                      <w:rFonts w:hint="default" w:ascii="Times New Roman" w:hAnsi="Times New Roman" w:cs="Times New Roman"/>
                      <w:color w:val="auto"/>
                      <w:szCs w:val="21"/>
                      <w:highlight w:val="none"/>
                    </w:rPr>
                  </w:pPr>
                </w:p>
              </w:tc>
              <w:tc>
                <w:tcPr>
                  <w:tcW w:w="1013" w:type="dxa"/>
                  <w:vMerge w:val="continue"/>
                  <w:tcBorders>
                    <w:right w:val="single" w:color="000000" w:sz="4" w:space="0"/>
                  </w:tcBorders>
                  <w:noWrap w:val="0"/>
                  <w:vAlign w:val="center"/>
                </w:tcPr>
                <w:p w14:paraId="5AC56ECE">
                  <w:pPr>
                    <w:pStyle w:val="65"/>
                    <w:snapToGrid w:val="0"/>
                    <w:spacing w:line="240" w:lineRule="auto"/>
                    <w:ind w:firstLine="0" w:firstLineChars="0"/>
                    <w:jc w:val="center"/>
                    <w:rPr>
                      <w:rFonts w:hint="default" w:ascii="Times New Roman" w:hAnsi="Times New Roman" w:cs="Times New Roman"/>
                      <w:color w:val="auto"/>
                      <w:szCs w:val="21"/>
                      <w:highlight w:val="none"/>
                    </w:rPr>
                  </w:pPr>
                </w:p>
              </w:tc>
              <w:tc>
                <w:tcPr>
                  <w:tcW w:w="1920" w:type="dxa"/>
                  <w:tcBorders>
                    <w:left w:val="single" w:color="000000" w:sz="4" w:space="0"/>
                  </w:tcBorders>
                  <w:noWrap w:val="0"/>
                  <w:vAlign w:val="center"/>
                </w:tcPr>
                <w:p w14:paraId="5545384B">
                  <w:pPr>
                    <w:adjustRightInd w:val="0"/>
                    <w:snapToGrid w:val="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沉淀池沉渣</w:t>
                  </w:r>
                </w:p>
              </w:tc>
              <w:tc>
                <w:tcPr>
                  <w:tcW w:w="1215" w:type="dxa"/>
                  <w:noWrap w:val="0"/>
                  <w:vAlign w:val="center"/>
                </w:tcPr>
                <w:p w14:paraId="5FF76E17">
                  <w:pPr>
                    <w:adjustRightInd w:val="0"/>
                    <w:snapToGrid w:val="0"/>
                    <w:jc w:val="center"/>
                    <w:textAlignment w:val="baseline"/>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2606" w:type="dxa"/>
                  <w:vMerge w:val="continue"/>
                  <w:noWrap w:val="0"/>
                  <w:vAlign w:val="center"/>
                </w:tcPr>
                <w:p w14:paraId="1F44B444">
                  <w:pPr>
                    <w:adjustRightInd w:val="0"/>
                    <w:snapToGrid w:val="0"/>
                    <w:jc w:val="center"/>
                    <w:textAlignment w:val="baseline"/>
                    <w:rPr>
                      <w:rFonts w:hint="default" w:ascii="Times New Roman" w:hAnsi="Times New Roman" w:cs="Times New Roman"/>
                      <w:color w:val="auto"/>
                      <w:highlight w:val="none"/>
                      <w:lang w:eastAsia="zh-CN"/>
                    </w:rPr>
                  </w:pPr>
                </w:p>
              </w:tc>
              <w:tc>
                <w:tcPr>
                  <w:tcW w:w="1845" w:type="dxa"/>
                  <w:noWrap w:val="0"/>
                  <w:vAlign w:val="center"/>
                </w:tcPr>
                <w:p w14:paraId="75A653E4">
                  <w:pPr>
                    <w:adjustRightInd w:val="0"/>
                    <w:snapToGrid w:val="0"/>
                    <w:jc w:val="center"/>
                    <w:textAlignment w:val="baseline"/>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废水处理</w:t>
                  </w:r>
                </w:p>
              </w:tc>
            </w:tr>
            <w:tr w14:paraId="74D2F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520" w:type="dxa"/>
                  <w:vMerge w:val="continue"/>
                  <w:noWrap w:val="0"/>
                  <w:vAlign w:val="center"/>
                </w:tcPr>
                <w:p w14:paraId="78AAB8D3">
                  <w:pPr>
                    <w:pStyle w:val="65"/>
                    <w:snapToGrid w:val="0"/>
                    <w:spacing w:line="240" w:lineRule="auto"/>
                    <w:ind w:firstLine="0" w:firstLineChars="0"/>
                    <w:jc w:val="center"/>
                    <w:rPr>
                      <w:rFonts w:hint="default" w:ascii="Times New Roman" w:hAnsi="Times New Roman" w:cs="Times New Roman"/>
                      <w:color w:val="auto"/>
                      <w:szCs w:val="21"/>
                      <w:highlight w:val="none"/>
                    </w:rPr>
                  </w:pPr>
                </w:p>
              </w:tc>
              <w:tc>
                <w:tcPr>
                  <w:tcW w:w="1013" w:type="dxa"/>
                  <w:vMerge w:val="continue"/>
                  <w:tcBorders>
                    <w:right w:val="single" w:color="000000" w:sz="4" w:space="0"/>
                  </w:tcBorders>
                  <w:noWrap w:val="0"/>
                  <w:vAlign w:val="center"/>
                </w:tcPr>
                <w:p w14:paraId="657ED814">
                  <w:pPr>
                    <w:pStyle w:val="65"/>
                    <w:snapToGrid w:val="0"/>
                    <w:spacing w:line="240" w:lineRule="auto"/>
                    <w:ind w:firstLine="0" w:firstLineChars="0"/>
                    <w:jc w:val="center"/>
                    <w:rPr>
                      <w:rFonts w:hint="default" w:ascii="Times New Roman" w:hAnsi="Times New Roman" w:cs="Times New Roman"/>
                      <w:color w:val="auto"/>
                      <w:szCs w:val="21"/>
                      <w:highlight w:val="none"/>
                    </w:rPr>
                  </w:pPr>
                </w:p>
              </w:tc>
              <w:tc>
                <w:tcPr>
                  <w:tcW w:w="1920" w:type="dxa"/>
                  <w:tcBorders>
                    <w:left w:val="single" w:color="000000" w:sz="4" w:space="0"/>
                  </w:tcBorders>
                  <w:noWrap w:val="0"/>
                  <w:vAlign w:val="center"/>
                </w:tcPr>
                <w:p w14:paraId="2FB81286">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废混凝土块</w:t>
                  </w:r>
                </w:p>
              </w:tc>
              <w:tc>
                <w:tcPr>
                  <w:tcW w:w="1215" w:type="dxa"/>
                  <w:noWrap w:val="0"/>
                  <w:vAlign w:val="center"/>
                </w:tcPr>
                <w:p w14:paraId="648E39A7">
                  <w:pPr>
                    <w:adjustRightInd w:val="0"/>
                    <w:snapToGrid w:val="0"/>
                    <w:jc w:val="center"/>
                    <w:textAlignment w:val="baseline"/>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2606" w:type="dxa"/>
                  <w:vMerge w:val="restart"/>
                  <w:noWrap w:val="0"/>
                  <w:vAlign w:val="center"/>
                </w:tcPr>
                <w:p w14:paraId="03F9016D">
                  <w:pPr>
                    <w:adjustRightInd w:val="0"/>
                    <w:snapToGrid w:val="0"/>
                    <w:jc w:val="center"/>
                    <w:textAlignment w:val="baseline"/>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交给专业回收公司处理</w:t>
                  </w:r>
                </w:p>
              </w:tc>
              <w:tc>
                <w:tcPr>
                  <w:tcW w:w="1845" w:type="dxa"/>
                  <w:noWrap w:val="0"/>
                  <w:vAlign w:val="center"/>
                </w:tcPr>
                <w:p w14:paraId="35447460">
                  <w:pPr>
                    <w:adjustRightInd w:val="0"/>
                    <w:snapToGrid w:val="0"/>
                    <w:jc w:val="center"/>
                    <w:textAlignment w:val="baseline"/>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highlight w:val="none"/>
                    </w:rPr>
                    <w:t>生产过程</w:t>
                  </w:r>
                </w:p>
              </w:tc>
            </w:tr>
            <w:tr w14:paraId="21268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520" w:type="dxa"/>
                  <w:vMerge w:val="continue"/>
                  <w:noWrap w:val="0"/>
                  <w:vAlign w:val="center"/>
                </w:tcPr>
                <w:p w14:paraId="6861E656">
                  <w:pPr>
                    <w:pStyle w:val="65"/>
                    <w:snapToGrid w:val="0"/>
                    <w:spacing w:line="240" w:lineRule="auto"/>
                    <w:ind w:firstLine="0" w:firstLineChars="0"/>
                    <w:jc w:val="center"/>
                    <w:rPr>
                      <w:rFonts w:hint="default" w:ascii="Times New Roman" w:hAnsi="Times New Roman" w:cs="Times New Roman"/>
                      <w:color w:val="auto"/>
                      <w:szCs w:val="21"/>
                      <w:highlight w:val="none"/>
                    </w:rPr>
                  </w:pPr>
                </w:p>
              </w:tc>
              <w:tc>
                <w:tcPr>
                  <w:tcW w:w="1013" w:type="dxa"/>
                  <w:vMerge w:val="continue"/>
                  <w:tcBorders>
                    <w:right w:val="single" w:color="000000" w:sz="4" w:space="0"/>
                  </w:tcBorders>
                  <w:noWrap w:val="0"/>
                  <w:vAlign w:val="center"/>
                </w:tcPr>
                <w:p w14:paraId="26906305">
                  <w:pPr>
                    <w:pStyle w:val="65"/>
                    <w:snapToGrid w:val="0"/>
                    <w:spacing w:line="240" w:lineRule="auto"/>
                    <w:ind w:firstLine="0" w:firstLineChars="0"/>
                    <w:jc w:val="center"/>
                    <w:rPr>
                      <w:rFonts w:hint="default" w:ascii="Times New Roman" w:hAnsi="Times New Roman" w:cs="Times New Roman"/>
                      <w:color w:val="auto"/>
                      <w:szCs w:val="21"/>
                      <w:highlight w:val="none"/>
                    </w:rPr>
                  </w:pPr>
                </w:p>
              </w:tc>
              <w:tc>
                <w:tcPr>
                  <w:tcW w:w="1920" w:type="dxa"/>
                  <w:tcBorders>
                    <w:left w:val="single" w:color="000000" w:sz="4" w:space="0"/>
                  </w:tcBorders>
                  <w:noWrap w:val="0"/>
                  <w:vAlign w:val="center"/>
                </w:tcPr>
                <w:p w14:paraId="061567B0">
                  <w:pPr>
                    <w:adjustRightInd w:val="0"/>
                    <w:snapToGrid w:val="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废包装材料</w:t>
                  </w:r>
                </w:p>
              </w:tc>
              <w:tc>
                <w:tcPr>
                  <w:tcW w:w="1215" w:type="dxa"/>
                  <w:noWrap w:val="0"/>
                  <w:vAlign w:val="center"/>
                </w:tcPr>
                <w:p w14:paraId="678E9904">
                  <w:pPr>
                    <w:adjustRightInd w:val="0"/>
                    <w:snapToGrid w:val="0"/>
                    <w:jc w:val="center"/>
                    <w:textAlignment w:val="baseline"/>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2606" w:type="dxa"/>
                  <w:vMerge w:val="continue"/>
                  <w:noWrap w:val="0"/>
                  <w:vAlign w:val="center"/>
                </w:tcPr>
                <w:p w14:paraId="6348865D">
                  <w:pPr>
                    <w:adjustRightInd w:val="0"/>
                    <w:snapToGrid w:val="0"/>
                    <w:jc w:val="center"/>
                    <w:textAlignment w:val="baseline"/>
                    <w:rPr>
                      <w:rFonts w:hint="default" w:ascii="Times New Roman" w:hAnsi="Times New Roman" w:cs="Times New Roman"/>
                      <w:color w:val="auto"/>
                      <w:highlight w:val="none"/>
                      <w:lang w:eastAsia="zh-CN"/>
                    </w:rPr>
                  </w:pPr>
                </w:p>
              </w:tc>
              <w:tc>
                <w:tcPr>
                  <w:tcW w:w="1845" w:type="dxa"/>
                  <w:noWrap w:val="0"/>
                  <w:vAlign w:val="center"/>
                </w:tcPr>
                <w:p w14:paraId="59D4E348">
                  <w:pPr>
                    <w:adjustRightInd w:val="0"/>
                    <w:snapToGrid w:val="0"/>
                    <w:jc w:val="center"/>
                    <w:textAlignment w:val="baseline"/>
                    <w:rPr>
                      <w:rFonts w:hint="default" w:ascii="Times New Roman" w:hAnsi="Times New Roman" w:cs="Times New Roman"/>
                      <w:color w:val="auto"/>
                      <w:highlight w:val="none"/>
                    </w:rPr>
                  </w:pPr>
                  <w:r>
                    <w:rPr>
                      <w:rFonts w:hint="default" w:ascii="Times New Roman" w:hAnsi="Times New Roman" w:cs="Times New Roman"/>
                      <w:color w:val="auto"/>
                      <w:highlight w:val="none"/>
                    </w:rPr>
                    <w:t>生产过程</w:t>
                  </w:r>
                </w:p>
              </w:tc>
            </w:tr>
            <w:tr w14:paraId="2A130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520" w:type="dxa"/>
                  <w:vMerge w:val="continue"/>
                  <w:noWrap w:val="0"/>
                  <w:vAlign w:val="center"/>
                </w:tcPr>
                <w:p w14:paraId="088BEFA9">
                  <w:pPr>
                    <w:pStyle w:val="65"/>
                    <w:snapToGrid w:val="0"/>
                    <w:spacing w:line="240" w:lineRule="auto"/>
                    <w:ind w:firstLine="0" w:firstLineChars="0"/>
                    <w:jc w:val="center"/>
                    <w:rPr>
                      <w:rFonts w:hint="default" w:ascii="Times New Roman" w:hAnsi="Times New Roman" w:cs="Times New Roman"/>
                      <w:color w:val="auto"/>
                      <w:szCs w:val="21"/>
                      <w:highlight w:val="none"/>
                    </w:rPr>
                  </w:pPr>
                </w:p>
              </w:tc>
              <w:tc>
                <w:tcPr>
                  <w:tcW w:w="1013" w:type="dxa"/>
                  <w:vMerge w:val="continue"/>
                  <w:tcBorders>
                    <w:right w:val="single" w:color="000000" w:sz="4" w:space="0"/>
                  </w:tcBorders>
                  <w:noWrap w:val="0"/>
                  <w:vAlign w:val="center"/>
                </w:tcPr>
                <w:p w14:paraId="7D75306D">
                  <w:pPr>
                    <w:pStyle w:val="65"/>
                    <w:snapToGrid w:val="0"/>
                    <w:spacing w:line="240" w:lineRule="auto"/>
                    <w:ind w:firstLine="0" w:firstLineChars="0"/>
                    <w:jc w:val="center"/>
                    <w:rPr>
                      <w:rFonts w:hint="default" w:ascii="Times New Roman" w:hAnsi="Times New Roman" w:cs="Times New Roman"/>
                      <w:color w:val="auto"/>
                      <w:szCs w:val="21"/>
                      <w:highlight w:val="none"/>
                    </w:rPr>
                  </w:pPr>
                </w:p>
              </w:tc>
              <w:tc>
                <w:tcPr>
                  <w:tcW w:w="1920" w:type="dxa"/>
                  <w:tcBorders>
                    <w:left w:val="single" w:color="000000" w:sz="4" w:space="0"/>
                  </w:tcBorders>
                  <w:noWrap w:val="0"/>
                  <w:vAlign w:val="center"/>
                </w:tcPr>
                <w:p w14:paraId="7436F6DB">
                  <w:pPr>
                    <w:adjustRightInd w:val="0"/>
                    <w:snapToGrid w:val="0"/>
                    <w:jc w:val="center"/>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lang w:val="en-US" w:eastAsia="zh-CN"/>
                    </w:rPr>
                    <w:t>废脱模剂桶</w:t>
                  </w:r>
                </w:p>
              </w:tc>
              <w:tc>
                <w:tcPr>
                  <w:tcW w:w="1215" w:type="dxa"/>
                  <w:noWrap w:val="0"/>
                  <w:vAlign w:val="center"/>
                </w:tcPr>
                <w:p w14:paraId="5C436E81">
                  <w:pPr>
                    <w:adjustRightInd w:val="0"/>
                    <w:snapToGrid w:val="0"/>
                    <w:jc w:val="center"/>
                    <w:textAlignment w:val="baseline"/>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2606" w:type="dxa"/>
                  <w:vMerge w:val="continue"/>
                  <w:noWrap w:val="0"/>
                  <w:vAlign w:val="center"/>
                </w:tcPr>
                <w:p w14:paraId="56FC8631">
                  <w:pPr>
                    <w:adjustRightInd w:val="0"/>
                    <w:snapToGrid w:val="0"/>
                    <w:jc w:val="center"/>
                    <w:textAlignment w:val="baseline"/>
                    <w:rPr>
                      <w:rFonts w:hint="default" w:ascii="Times New Roman" w:hAnsi="Times New Roman" w:cs="Times New Roman"/>
                      <w:color w:val="auto"/>
                      <w:highlight w:val="none"/>
                      <w:lang w:eastAsia="zh-CN"/>
                    </w:rPr>
                  </w:pPr>
                </w:p>
              </w:tc>
              <w:tc>
                <w:tcPr>
                  <w:tcW w:w="1845" w:type="dxa"/>
                  <w:noWrap w:val="0"/>
                  <w:vAlign w:val="center"/>
                </w:tcPr>
                <w:p w14:paraId="21C5BB09">
                  <w:pPr>
                    <w:adjustRightInd w:val="0"/>
                    <w:snapToGrid w:val="0"/>
                    <w:jc w:val="center"/>
                    <w:textAlignment w:val="baseline"/>
                    <w:rPr>
                      <w:rFonts w:hint="default" w:ascii="Times New Roman" w:hAnsi="Times New Roman" w:cs="Times New Roman"/>
                      <w:color w:val="auto"/>
                      <w:highlight w:val="none"/>
                    </w:rPr>
                  </w:pPr>
                  <w:r>
                    <w:rPr>
                      <w:rFonts w:hint="default" w:ascii="Times New Roman" w:hAnsi="Times New Roman" w:cs="Times New Roman"/>
                      <w:color w:val="auto"/>
                      <w:highlight w:val="none"/>
                    </w:rPr>
                    <w:t>生产过程</w:t>
                  </w:r>
                </w:p>
              </w:tc>
            </w:tr>
            <w:tr w14:paraId="12929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520" w:type="dxa"/>
                  <w:vMerge w:val="continue"/>
                  <w:noWrap w:val="0"/>
                  <w:vAlign w:val="center"/>
                </w:tcPr>
                <w:p w14:paraId="6FEF34B5">
                  <w:pPr>
                    <w:pStyle w:val="65"/>
                    <w:snapToGrid w:val="0"/>
                    <w:spacing w:line="240" w:lineRule="auto"/>
                    <w:ind w:firstLine="0" w:firstLineChars="0"/>
                    <w:jc w:val="center"/>
                    <w:rPr>
                      <w:rFonts w:hint="default" w:ascii="Times New Roman" w:hAnsi="Times New Roman" w:cs="Times New Roman"/>
                      <w:color w:val="auto"/>
                      <w:szCs w:val="21"/>
                      <w:highlight w:val="none"/>
                    </w:rPr>
                  </w:pPr>
                </w:p>
              </w:tc>
              <w:tc>
                <w:tcPr>
                  <w:tcW w:w="1013" w:type="dxa"/>
                  <w:vMerge w:val="continue"/>
                  <w:tcBorders>
                    <w:right w:val="single" w:color="000000" w:sz="4" w:space="0"/>
                  </w:tcBorders>
                  <w:noWrap w:val="0"/>
                  <w:vAlign w:val="center"/>
                </w:tcPr>
                <w:p w14:paraId="1EAC40AB">
                  <w:pPr>
                    <w:pStyle w:val="65"/>
                    <w:snapToGrid w:val="0"/>
                    <w:spacing w:line="240" w:lineRule="auto"/>
                    <w:ind w:firstLine="0" w:firstLineChars="0"/>
                    <w:jc w:val="center"/>
                    <w:rPr>
                      <w:rFonts w:hint="default" w:ascii="Times New Roman" w:hAnsi="Times New Roman" w:cs="Times New Roman"/>
                      <w:color w:val="auto"/>
                      <w:szCs w:val="21"/>
                      <w:highlight w:val="none"/>
                    </w:rPr>
                  </w:pPr>
                </w:p>
              </w:tc>
              <w:tc>
                <w:tcPr>
                  <w:tcW w:w="1920" w:type="dxa"/>
                  <w:tcBorders>
                    <w:left w:val="single" w:color="000000" w:sz="4" w:space="0"/>
                  </w:tcBorders>
                  <w:noWrap w:val="0"/>
                  <w:vAlign w:val="center"/>
                </w:tcPr>
                <w:p w14:paraId="2270A5E8">
                  <w:pPr>
                    <w:adjustRightInd w:val="0"/>
                    <w:snapToGrid w:val="0"/>
                    <w:jc w:val="center"/>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lang w:val="en-US" w:eastAsia="zh-CN"/>
                    </w:rPr>
                    <w:t>废塑料膜</w:t>
                  </w:r>
                </w:p>
              </w:tc>
              <w:tc>
                <w:tcPr>
                  <w:tcW w:w="1215" w:type="dxa"/>
                  <w:noWrap w:val="0"/>
                  <w:vAlign w:val="center"/>
                </w:tcPr>
                <w:p w14:paraId="12BD1668">
                  <w:pPr>
                    <w:adjustRightInd w:val="0"/>
                    <w:snapToGrid w:val="0"/>
                    <w:jc w:val="center"/>
                    <w:textAlignment w:val="baseline"/>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2606" w:type="dxa"/>
                  <w:vMerge w:val="continue"/>
                  <w:noWrap w:val="0"/>
                  <w:vAlign w:val="center"/>
                </w:tcPr>
                <w:p w14:paraId="215074D7">
                  <w:pPr>
                    <w:adjustRightInd w:val="0"/>
                    <w:snapToGrid w:val="0"/>
                    <w:jc w:val="center"/>
                    <w:textAlignment w:val="baseline"/>
                    <w:rPr>
                      <w:rFonts w:hint="default" w:ascii="Times New Roman" w:hAnsi="Times New Roman" w:cs="Times New Roman"/>
                      <w:color w:val="auto"/>
                      <w:highlight w:val="none"/>
                      <w:lang w:eastAsia="zh-CN"/>
                    </w:rPr>
                  </w:pPr>
                </w:p>
              </w:tc>
              <w:tc>
                <w:tcPr>
                  <w:tcW w:w="1845" w:type="dxa"/>
                  <w:noWrap w:val="0"/>
                  <w:vAlign w:val="center"/>
                </w:tcPr>
                <w:p w14:paraId="33C11210">
                  <w:pPr>
                    <w:adjustRightInd w:val="0"/>
                    <w:snapToGrid w:val="0"/>
                    <w:jc w:val="center"/>
                    <w:textAlignment w:val="baseline"/>
                    <w:rPr>
                      <w:rFonts w:hint="default" w:ascii="Times New Roman" w:hAnsi="Times New Roman" w:cs="Times New Roman"/>
                      <w:color w:val="auto"/>
                      <w:highlight w:val="none"/>
                    </w:rPr>
                  </w:pPr>
                  <w:r>
                    <w:rPr>
                      <w:rFonts w:hint="default" w:ascii="Times New Roman" w:hAnsi="Times New Roman" w:cs="Times New Roman"/>
                      <w:color w:val="auto"/>
                      <w:highlight w:val="none"/>
                    </w:rPr>
                    <w:t>生产过程</w:t>
                  </w:r>
                </w:p>
              </w:tc>
            </w:tr>
            <w:tr w14:paraId="36887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520" w:type="dxa"/>
                  <w:vMerge w:val="continue"/>
                  <w:noWrap w:val="0"/>
                  <w:vAlign w:val="center"/>
                </w:tcPr>
                <w:p w14:paraId="3AA2FF7F">
                  <w:pPr>
                    <w:pStyle w:val="65"/>
                    <w:snapToGrid w:val="0"/>
                    <w:spacing w:line="240" w:lineRule="auto"/>
                    <w:ind w:firstLine="0" w:firstLineChars="0"/>
                    <w:jc w:val="center"/>
                    <w:rPr>
                      <w:rFonts w:hint="default" w:ascii="Times New Roman" w:hAnsi="Times New Roman" w:cs="Times New Roman"/>
                      <w:color w:val="auto"/>
                      <w:szCs w:val="21"/>
                      <w:highlight w:val="none"/>
                    </w:rPr>
                  </w:pPr>
                </w:p>
              </w:tc>
              <w:tc>
                <w:tcPr>
                  <w:tcW w:w="1013" w:type="dxa"/>
                  <w:vMerge w:val="continue"/>
                  <w:tcBorders>
                    <w:right w:val="single" w:color="000000" w:sz="4" w:space="0"/>
                  </w:tcBorders>
                  <w:noWrap w:val="0"/>
                  <w:vAlign w:val="center"/>
                </w:tcPr>
                <w:p w14:paraId="3E7607C8">
                  <w:pPr>
                    <w:pStyle w:val="65"/>
                    <w:snapToGrid w:val="0"/>
                    <w:spacing w:line="240" w:lineRule="auto"/>
                    <w:ind w:firstLine="0" w:firstLineChars="0"/>
                    <w:jc w:val="center"/>
                    <w:rPr>
                      <w:rFonts w:hint="default" w:ascii="Times New Roman" w:hAnsi="Times New Roman" w:cs="Times New Roman"/>
                      <w:color w:val="auto"/>
                      <w:szCs w:val="21"/>
                      <w:highlight w:val="none"/>
                    </w:rPr>
                  </w:pPr>
                </w:p>
              </w:tc>
              <w:tc>
                <w:tcPr>
                  <w:tcW w:w="1920" w:type="dxa"/>
                  <w:tcBorders>
                    <w:left w:val="single" w:color="000000" w:sz="4" w:space="0"/>
                  </w:tcBorders>
                  <w:noWrap w:val="0"/>
                  <w:vAlign w:val="center"/>
                </w:tcPr>
                <w:p w14:paraId="10CF759D">
                  <w:pPr>
                    <w:adjustRightInd w:val="0"/>
                    <w:snapToGrid w:val="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废模具</w:t>
                  </w:r>
                </w:p>
              </w:tc>
              <w:tc>
                <w:tcPr>
                  <w:tcW w:w="1215" w:type="dxa"/>
                  <w:noWrap w:val="0"/>
                  <w:vAlign w:val="center"/>
                </w:tcPr>
                <w:p w14:paraId="4DC3C3F6">
                  <w:pPr>
                    <w:adjustRightInd w:val="0"/>
                    <w:snapToGrid w:val="0"/>
                    <w:jc w:val="center"/>
                    <w:textAlignment w:val="baseline"/>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2606" w:type="dxa"/>
                  <w:vMerge w:val="continue"/>
                  <w:noWrap w:val="0"/>
                  <w:vAlign w:val="center"/>
                </w:tcPr>
                <w:p w14:paraId="4F30B70F">
                  <w:pPr>
                    <w:adjustRightInd w:val="0"/>
                    <w:snapToGrid w:val="0"/>
                    <w:jc w:val="center"/>
                    <w:textAlignment w:val="baseline"/>
                    <w:rPr>
                      <w:rFonts w:hint="default" w:ascii="Times New Roman" w:hAnsi="Times New Roman" w:cs="Times New Roman"/>
                      <w:color w:val="auto"/>
                      <w:highlight w:val="none"/>
                      <w:lang w:eastAsia="zh-CN"/>
                    </w:rPr>
                  </w:pPr>
                </w:p>
              </w:tc>
              <w:tc>
                <w:tcPr>
                  <w:tcW w:w="1845" w:type="dxa"/>
                  <w:noWrap w:val="0"/>
                  <w:vAlign w:val="center"/>
                </w:tcPr>
                <w:p w14:paraId="5C08AF8F">
                  <w:pPr>
                    <w:adjustRightInd w:val="0"/>
                    <w:snapToGrid w:val="0"/>
                    <w:jc w:val="center"/>
                    <w:textAlignment w:val="baseline"/>
                    <w:rPr>
                      <w:rFonts w:hint="default" w:ascii="Times New Roman" w:hAnsi="Times New Roman" w:cs="Times New Roman"/>
                      <w:color w:val="auto"/>
                      <w:highlight w:val="none"/>
                    </w:rPr>
                  </w:pPr>
                  <w:r>
                    <w:rPr>
                      <w:rFonts w:hint="default" w:ascii="Times New Roman" w:hAnsi="Times New Roman" w:cs="Times New Roman"/>
                      <w:color w:val="auto"/>
                      <w:highlight w:val="none"/>
                    </w:rPr>
                    <w:t>生产过程</w:t>
                  </w:r>
                </w:p>
              </w:tc>
            </w:tr>
            <w:tr w14:paraId="30C80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520" w:type="dxa"/>
                  <w:vMerge w:val="continue"/>
                  <w:noWrap w:val="0"/>
                  <w:vAlign w:val="center"/>
                </w:tcPr>
                <w:p w14:paraId="43ACCC9D">
                  <w:pPr>
                    <w:pStyle w:val="65"/>
                    <w:snapToGrid w:val="0"/>
                    <w:spacing w:line="240" w:lineRule="auto"/>
                    <w:ind w:firstLine="0" w:firstLineChars="0"/>
                    <w:jc w:val="center"/>
                    <w:rPr>
                      <w:rFonts w:hint="default" w:ascii="Times New Roman" w:hAnsi="Times New Roman" w:cs="Times New Roman"/>
                      <w:color w:val="auto"/>
                      <w:szCs w:val="21"/>
                      <w:highlight w:val="none"/>
                    </w:rPr>
                  </w:pPr>
                </w:p>
              </w:tc>
              <w:tc>
                <w:tcPr>
                  <w:tcW w:w="1013" w:type="dxa"/>
                  <w:vMerge w:val="continue"/>
                  <w:tcBorders>
                    <w:right w:val="single" w:color="000000" w:sz="4" w:space="0"/>
                  </w:tcBorders>
                  <w:noWrap w:val="0"/>
                  <w:vAlign w:val="center"/>
                </w:tcPr>
                <w:p w14:paraId="1CBD4CD4">
                  <w:pPr>
                    <w:pStyle w:val="65"/>
                    <w:snapToGrid w:val="0"/>
                    <w:spacing w:line="240" w:lineRule="auto"/>
                    <w:ind w:firstLine="0" w:firstLineChars="0"/>
                    <w:jc w:val="center"/>
                    <w:rPr>
                      <w:rFonts w:hint="default" w:ascii="Times New Roman" w:hAnsi="Times New Roman" w:cs="Times New Roman"/>
                      <w:color w:val="auto"/>
                      <w:szCs w:val="21"/>
                      <w:highlight w:val="none"/>
                    </w:rPr>
                  </w:pPr>
                </w:p>
              </w:tc>
              <w:tc>
                <w:tcPr>
                  <w:tcW w:w="1920" w:type="dxa"/>
                  <w:tcBorders>
                    <w:left w:val="single" w:color="000000" w:sz="4" w:space="0"/>
                  </w:tcBorders>
                  <w:noWrap w:val="0"/>
                  <w:vAlign w:val="center"/>
                </w:tcPr>
                <w:p w14:paraId="62183DF9">
                  <w:pPr>
                    <w:adjustRightInd w:val="0"/>
                    <w:snapToGrid w:val="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焊渣</w:t>
                  </w:r>
                </w:p>
              </w:tc>
              <w:tc>
                <w:tcPr>
                  <w:tcW w:w="1215" w:type="dxa"/>
                  <w:noWrap w:val="0"/>
                  <w:vAlign w:val="center"/>
                </w:tcPr>
                <w:p w14:paraId="14F0A0E2">
                  <w:pPr>
                    <w:adjustRightInd w:val="0"/>
                    <w:snapToGrid w:val="0"/>
                    <w:jc w:val="center"/>
                    <w:textAlignment w:val="baseline"/>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2606" w:type="dxa"/>
                  <w:vMerge w:val="continue"/>
                  <w:noWrap w:val="0"/>
                  <w:vAlign w:val="center"/>
                </w:tcPr>
                <w:p w14:paraId="5D56012C">
                  <w:pPr>
                    <w:adjustRightInd w:val="0"/>
                    <w:snapToGrid w:val="0"/>
                    <w:jc w:val="center"/>
                    <w:textAlignment w:val="baseline"/>
                    <w:rPr>
                      <w:rFonts w:hint="default" w:ascii="Times New Roman" w:hAnsi="Times New Roman" w:cs="Times New Roman"/>
                      <w:color w:val="auto"/>
                      <w:highlight w:val="none"/>
                      <w:lang w:eastAsia="zh-CN"/>
                    </w:rPr>
                  </w:pPr>
                </w:p>
              </w:tc>
              <w:tc>
                <w:tcPr>
                  <w:tcW w:w="1845" w:type="dxa"/>
                  <w:noWrap w:val="0"/>
                  <w:vAlign w:val="center"/>
                </w:tcPr>
                <w:p w14:paraId="5263CF73">
                  <w:pPr>
                    <w:adjustRightInd w:val="0"/>
                    <w:snapToGrid w:val="0"/>
                    <w:jc w:val="center"/>
                    <w:textAlignment w:val="baseline"/>
                    <w:rPr>
                      <w:rFonts w:hint="default" w:ascii="Times New Roman" w:hAnsi="Times New Roman" w:cs="Times New Roman"/>
                      <w:color w:val="auto"/>
                      <w:highlight w:val="none"/>
                    </w:rPr>
                  </w:pPr>
                  <w:r>
                    <w:rPr>
                      <w:rFonts w:hint="default" w:ascii="Times New Roman" w:hAnsi="Times New Roman" w:cs="Times New Roman"/>
                      <w:color w:val="auto"/>
                      <w:highlight w:val="none"/>
                    </w:rPr>
                    <w:t>生产过程</w:t>
                  </w:r>
                </w:p>
              </w:tc>
            </w:tr>
            <w:tr w14:paraId="2685D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520" w:type="dxa"/>
                  <w:vMerge w:val="continue"/>
                  <w:noWrap w:val="0"/>
                  <w:vAlign w:val="center"/>
                </w:tcPr>
                <w:p w14:paraId="0609E093">
                  <w:pPr>
                    <w:pStyle w:val="65"/>
                    <w:snapToGrid w:val="0"/>
                    <w:spacing w:line="240" w:lineRule="auto"/>
                    <w:ind w:firstLine="0" w:firstLineChars="0"/>
                    <w:jc w:val="center"/>
                    <w:rPr>
                      <w:rFonts w:hint="default" w:ascii="Times New Roman" w:hAnsi="Times New Roman" w:cs="Times New Roman"/>
                      <w:color w:val="auto"/>
                      <w:szCs w:val="21"/>
                      <w:highlight w:val="none"/>
                    </w:rPr>
                  </w:pPr>
                </w:p>
              </w:tc>
              <w:tc>
                <w:tcPr>
                  <w:tcW w:w="1013" w:type="dxa"/>
                  <w:vMerge w:val="continue"/>
                  <w:tcBorders>
                    <w:right w:val="single" w:color="000000" w:sz="4" w:space="0"/>
                  </w:tcBorders>
                  <w:noWrap w:val="0"/>
                  <w:vAlign w:val="center"/>
                </w:tcPr>
                <w:p w14:paraId="2E832B9D">
                  <w:pPr>
                    <w:pStyle w:val="65"/>
                    <w:snapToGrid w:val="0"/>
                    <w:spacing w:line="240" w:lineRule="auto"/>
                    <w:ind w:firstLine="0" w:firstLineChars="0"/>
                    <w:jc w:val="center"/>
                    <w:rPr>
                      <w:rFonts w:hint="default" w:ascii="Times New Roman" w:hAnsi="Times New Roman" w:cs="Times New Roman"/>
                      <w:color w:val="auto"/>
                      <w:szCs w:val="21"/>
                      <w:highlight w:val="none"/>
                    </w:rPr>
                  </w:pPr>
                </w:p>
              </w:tc>
              <w:tc>
                <w:tcPr>
                  <w:tcW w:w="1920" w:type="dxa"/>
                  <w:tcBorders>
                    <w:left w:val="single" w:color="000000" w:sz="4" w:space="0"/>
                  </w:tcBorders>
                  <w:noWrap w:val="0"/>
                  <w:vAlign w:val="center"/>
                </w:tcPr>
                <w:p w14:paraId="3CDB9093">
                  <w:pPr>
                    <w:adjustRightInd w:val="0"/>
                    <w:snapToGrid w:val="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废滤袋</w:t>
                  </w:r>
                </w:p>
              </w:tc>
              <w:tc>
                <w:tcPr>
                  <w:tcW w:w="1215" w:type="dxa"/>
                  <w:noWrap w:val="0"/>
                  <w:vAlign w:val="center"/>
                </w:tcPr>
                <w:p w14:paraId="2E28D67E">
                  <w:pPr>
                    <w:adjustRightInd w:val="0"/>
                    <w:snapToGrid w:val="0"/>
                    <w:jc w:val="center"/>
                    <w:textAlignment w:val="baseline"/>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2606" w:type="dxa"/>
                  <w:vMerge w:val="continue"/>
                  <w:noWrap w:val="0"/>
                  <w:vAlign w:val="center"/>
                </w:tcPr>
                <w:p w14:paraId="3D53F4CE">
                  <w:pPr>
                    <w:adjustRightInd w:val="0"/>
                    <w:snapToGrid w:val="0"/>
                    <w:jc w:val="center"/>
                    <w:textAlignment w:val="baseline"/>
                    <w:rPr>
                      <w:rFonts w:hint="default" w:ascii="Times New Roman" w:hAnsi="Times New Roman" w:cs="Times New Roman"/>
                      <w:color w:val="auto"/>
                      <w:highlight w:val="none"/>
                      <w:lang w:eastAsia="zh-CN"/>
                    </w:rPr>
                  </w:pPr>
                </w:p>
              </w:tc>
              <w:tc>
                <w:tcPr>
                  <w:tcW w:w="1845" w:type="dxa"/>
                  <w:noWrap w:val="0"/>
                  <w:vAlign w:val="center"/>
                </w:tcPr>
                <w:p w14:paraId="4BDD783F">
                  <w:pPr>
                    <w:adjustRightInd w:val="0"/>
                    <w:snapToGrid w:val="0"/>
                    <w:jc w:val="center"/>
                    <w:textAlignment w:val="baseline"/>
                    <w:rPr>
                      <w:rFonts w:hint="default" w:ascii="Times New Roman" w:hAnsi="Times New Roman" w:cs="Times New Roman"/>
                      <w:color w:val="auto"/>
                      <w:highlight w:val="none"/>
                    </w:rPr>
                  </w:pPr>
                  <w:r>
                    <w:rPr>
                      <w:rFonts w:hint="default" w:ascii="Times New Roman" w:hAnsi="Times New Roman" w:cs="Times New Roman"/>
                      <w:color w:val="auto"/>
                      <w:highlight w:val="none"/>
                    </w:rPr>
                    <w:t>生产过程</w:t>
                  </w:r>
                </w:p>
              </w:tc>
            </w:tr>
            <w:tr w14:paraId="58981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520" w:type="dxa"/>
                  <w:vMerge w:val="continue"/>
                  <w:noWrap w:val="0"/>
                  <w:vAlign w:val="center"/>
                </w:tcPr>
                <w:p w14:paraId="671D648D">
                  <w:pPr>
                    <w:pStyle w:val="65"/>
                    <w:snapToGrid w:val="0"/>
                    <w:spacing w:line="240" w:lineRule="auto"/>
                    <w:ind w:firstLine="0" w:firstLineChars="0"/>
                    <w:jc w:val="center"/>
                    <w:rPr>
                      <w:rFonts w:hint="default" w:ascii="Times New Roman" w:hAnsi="Times New Roman" w:cs="Times New Roman"/>
                      <w:color w:val="auto"/>
                      <w:szCs w:val="21"/>
                      <w:highlight w:val="none"/>
                    </w:rPr>
                  </w:pPr>
                </w:p>
              </w:tc>
              <w:tc>
                <w:tcPr>
                  <w:tcW w:w="1013" w:type="dxa"/>
                  <w:vMerge w:val="continue"/>
                  <w:tcBorders>
                    <w:right w:val="single" w:color="000000" w:sz="4" w:space="0"/>
                  </w:tcBorders>
                  <w:noWrap w:val="0"/>
                  <w:vAlign w:val="center"/>
                </w:tcPr>
                <w:p w14:paraId="4561EA59">
                  <w:pPr>
                    <w:pStyle w:val="65"/>
                    <w:snapToGrid w:val="0"/>
                    <w:spacing w:line="240" w:lineRule="auto"/>
                    <w:ind w:firstLine="0" w:firstLineChars="0"/>
                    <w:jc w:val="center"/>
                    <w:rPr>
                      <w:rFonts w:hint="default" w:ascii="Times New Roman" w:hAnsi="Times New Roman" w:cs="Times New Roman"/>
                      <w:color w:val="auto"/>
                      <w:szCs w:val="21"/>
                      <w:highlight w:val="none"/>
                    </w:rPr>
                  </w:pPr>
                </w:p>
              </w:tc>
              <w:tc>
                <w:tcPr>
                  <w:tcW w:w="1920" w:type="dxa"/>
                  <w:tcBorders>
                    <w:left w:val="single" w:color="000000" w:sz="4" w:space="0"/>
                  </w:tcBorders>
                  <w:noWrap w:val="0"/>
                  <w:vAlign w:val="center"/>
                </w:tcPr>
                <w:p w14:paraId="6AC5CC2E">
                  <w:pPr>
                    <w:adjustRightInd w:val="0"/>
                    <w:snapToGrid w:val="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钢材边角料</w:t>
                  </w:r>
                </w:p>
              </w:tc>
              <w:tc>
                <w:tcPr>
                  <w:tcW w:w="1215" w:type="dxa"/>
                  <w:noWrap w:val="0"/>
                  <w:vAlign w:val="center"/>
                </w:tcPr>
                <w:p w14:paraId="2DF1E580">
                  <w:pPr>
                    <w:adjustRightInd w:val="0"/>
                    <w:snapToGrid w:val="0"/>
                    <w:jc w:val="center"/>
                    <w:textAlignment w:val="baseline"/>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2606" w:type="dxa"/>
                  <w:vMerge w:val="continue"/>
                  <w:noWrap w:val="0"/>
                  <w:vAlign w:val="center"/>
                </w:tcPr>
                <w:p w14:paraId="548DEBEF">
                  <w:pPr>
                    <w:adjustRightInd w:val="0"/>
                    <w:snapToGrid w:val="0"/>
                    <w:jc w:val="center"/>
                    <w:textAlignment w:val="baseline"/>
                    <w:rPr>
                      <w:rFonts w:hint="default" w:ascii="Times New Roman" w:hAnsi="Times New Roman" w:cs="Times New Roman"/>
                      <w:color w:val="auto"/>
                      <w:highlight w:val="none"/>
                      <w:lang w:eastAsia="zh-CN"/>
                    </w:rPr>
                  </w:pPr>
                </w:p>
              </w:tc>
              <w:tc>
                <w:tcPr>
                  <w:tcW w:w="1845" w:type="dxa"/>
                  <w:noWrap w:val="0"/>
                  <w:vAlign w:val="center"/>
                </w:tcPr>
                <w:p w14:paraId="074F3D9D">
                  <w:pPr>
                    <w:adjustRightInd w:val="0"/>
                    <w:snapToGrid w:val="0"/>
                    <w:jc w:val="center"/>
                    <w:textAlignment w:val="baseline"/>
                    <w:rPr>
                      <w:rFonts w:hint="default" w:ascii="Times New Roman" w:hAnsi="Times New Roman" w:cs="Times New Roman"/>
                      <w:color w:val="auto"/>
                      <w:highlight w:val="none"/>
                    </w:rPr>
                  </w:pPr>
                  <w:r>
                    <w:rPr>
                      <w:rFonts w:hint="default" w:ascii="Times New Roman" w:hAnsi="Times New Roman" w:cs="Times New Roman"/>
                      <w:color w:val="auto"/>
                      <w:highlight w:val="none"/>
                    </w:rPr>
                    <w:t>生产过程</w:t>
                  </w:r>
                </w:p>
              </w:tc>
            </w:tr>
          </w:tbl>
          <w:p w14:paraId="23B47A95">
            <w:pPr>
              <w:adjustRightInd w:val="0"/>
              <w:snapToGrid w:val="0"/>
              <w:rPr>
                <w:rFonts w:hint="default" w:ascii="Times New Roman" w:hAnsi="Times New Roman" w:cs="Times New Roman"/>
                <w:bCs/>
                <w:color w:val="auto"/>
                <w:sz w:val="24"/>
                <w:szCs w:val="21"/>
                <w:highlight w:val="none"/>
              </w:rPr>
            </w:pPr>
          </w:p>
        </w:tc>
      </w:tr>
      <w:tr w14:paraId="574893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377" w:hRule="atLeast"/>
          <w:jc w:val="center"/>
        </w:trPr>
        <w:tc>
          <w:tcPr>
            <w:tcW w:w="497" w:type="dxa"/>
            <w:noWrap w:val="0"/>
            <w:vAlign w:val="center"/>
          </w:tcPr>
          <w:p w14:paraId="3EC4FE82">
            <w:pPr>
              <w:pStyle w:val="29"/>
              <w:adjustRightInd w:val="0"/>
              <w:snapToGrid w:val="0"/>
              <w:spacing w:before="0" w:beforeAutospacing="0" w:after="0" w:afterAutospacing="0"/>
              <w:jc w:val="center"/>
              <w:rPr>
                <w:rFonts w:hint="default" w:ascii="Times New Roman" w:hAnsi="Times New Roman" w:cs="Times New Roman"/>
                <w:color w:val="auto"/>
                <w:szCs w:val="21"/>
                <w:highlight w:val="none"/>
              </w:rPr>
            </w:pPr>
            <w:r>
              <w:rPr>
                <w:rFonts w:hint="default" w:ascii="Times New Roman" w:hAnsi="Times New Roman" w:cs="Times New Roman"/>
                <w:bCs/>
                <w:color w:val="auto"/>
                <w:kern w:val="2"/>
                <w:szCs w:val="21"/>
                <w:highlight w:val="none"/>
              </w:rPr>
              <w:t>与项目有关的原有环境污染问题</w:t>
            </w:r>
          </w:p>
        </w:tc>
        <w:tc>
          <w:tcPr>
            <w:tcW w:w="9180" w:type="dxa"/>
            <w:noWrap w:val="0"/>
            <w:vAlign w:val="center"/>
          </w:tcPr>
          <w:p w14:paraId="31805042">
            <w:pPr>
              <w:pStyle w:val="43"/>
              <w:spacing w:line="360" w:lineRule="auto"/>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无</w:t>
            </w:r>
          </w:p>
        </w:tc>
      </w:tr>
    </w:tbl>
    <w:p w14:paraId="3837880C">
      <w:pPr>
        <w:pStyle w:val="43"/>
        <w:rPr>
          <w:rFonts w:hint="default" w:ascii="Times New Roman" w:hAnsi="Times New Roman" w:cs="Times New Roman"/>
          <w:color w:val="auto"/>
        </w:rPr>
        <w:sectPr>
          <w:pgSz w:w="11906" w:h="16838"/>
          <w:pgMar w:top="1440" w:right="1247" w:bottom="1440" w:left="1247" w:header="851" w:footer="1077" w:gutter="0"/>
          <w:pgNumType w:fmt="decimal"/>
          <w:cols w:space="720" w:num="1"/>
          <w:docGrid w:linePitch="312" w:charSpace="0"/>
        </w:sectPr>
      </w:pPr>
    </w:p>
    <w:p w14:paraId="7CB4D384">
      <w:pPr>
        <w:pStyle w:val="29"/>
        <w:numPr>
          <w:ilvl w:val="0"/>
          <w:numId w:val="0"/>
        </w:numPr>
        <w:adjustRightInd w:val="0"/>
        <w:snapToGrid w:val="0"/>
        <w:spacing w:before="0" w:beforeAutospacing="0" w:after="0" w:afterAutospacing="0"/>
        <w:ind w:leftChars="0"/>
        <w:jc w:val="center"/>
        <w:outlineLvl w:val="0"/>
        <w:rPr>
          <w:rFonts w:hint="default" w:ascii="Times New Roman" w:hAnsi="Times New Roman" w:eastAsia="黑体" w:cs="Times New Roman"/>
          <w:snapToGrid w:val="0"/>
          <w:color w:val="auto"/>
          <w:sz w:val="30"/>
          <w:szCs w:val="30"/>
          <w:highlight w:val="none"/>
        </w:rPr>
      </w:pPr>
      <w:r>
        <w:rPr>
          <w:rFonts w:hint="default" w:ascii="Times New Roman" w:hAnsi="Times New Roman" w:eastAsia="黑体" w:cs="Times New Roman"/>
          <w:snapToGrid w:val="0"/>
          <w:color w:val="auto"/>
          <w:sz w:val="30"/>
          <w:szCs w:val="30"/>
          <w:highlight w:val="none"/>
          <w:lang w:val="en-US" w:eastAsia="zh-CN"/>
        </w:rPr>
        <w:t>三、</w:t>
      </w:r>
      <w:r>
        <w:rPr>
          <w:rFonts w:hint="default" w:ascii="Times New Roman" w:hAnsi="Times New Roman" w:eastAsia="黑体" w:cs="Times New Roman"/>
          <w:snapToGrid w:val="0"/>
          <w:color w:val="auto"/>
          <w:sz w:val="30"/>
          <w:szCs w:val="30"/>
          <w:highlight w:val="none"/>
        </w:rPr>
        <w:t>区域环境</w:t>
      </w:r>
      <w:r>
        <w:rPr>
          <w:rFonts w:hint="default" w:ascii="Times New Roman" w:hAnsi="Times New Roman" w:eastAsia="宋体" w:cs="Times New Roman"/>
          <w:b/>
          <w:bCs/>
          <w:snapToGrid w:val="0"/>
          <w:color w:val="auto"/>
          <w:sz w:val="30"/>
          <w:szCs w:val="30"/>
          <w:highlight w:val="none"/>
        </w:rPr>
        <w:t>质量</w:t>
      </w:r>
      <w:r>
        <w:rPr>
          <w:rFonts w:hint="default" w:ascii="Times New Roman" w:hAnsi="Times New Roman" w:eastAsia="黑体" w:cs="Times New Roman"/>
          <w:snapToGrid w:val="0"/>
          <w:color w:val="auto"/>
          <w:sz w:val="30"/>
          <w:szCs w:val="30"/>
          <w:highlight w:val="none"/>
        </w:rPr>
        <w:t>现状、环境保护目标及评价标准</w:t>
      </w:r>
    </w:p>
    <w:tbl>
      <w:tblPr>
        <w:tblStyle w:val="34"/>
        <w:tblW w:w="965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45"/>
        <w:gridCol w:w="9213"/>
      </w:tblGrid>
      <w:tr w14:paraId="01A152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35" w:hRule="atLeast"/>
          <w:jc w:val="center"/>
        </w:trPr>
        <w:tc>
          <w:tcPr>
            <w:tcW w:w="445" w:type="dxa"/>
            <w:noWrap w:val="0"/>
            <w:vAlign w:val="center"/>
          </w:tcPr>
          <w:p w14:paraId="77539C38">
            <w:pPr>
              <w:adjustRightInd w:val="0"/>
              <w:snapToGrid w:val="0"/>
              <w:jc w:val="center"/>
              <w:rPr>
                <w:rFonts w:hint="default" w:ascii="Times New Roman" w:hAnsi="Times New Roman" w:cs="Times New Roman"/>
                <w:color w:val="auto"/>
                <w:kern w:val="0"/>
                <w:sz w:val="24"/>
                <w:szCs w:val="21"/>
                <w:highlight w:val="none"/>
              </w:rPr>
            </w:pPr>
            <w:r>
              <w:rPr>
                <w:rFonts w:hint="default" w:ascii="Times New Roman" w:hAnsi="Times New Roman" w:cs="Times New Roman"/>
                <w:color w:val="auto"/>
                <w:kern w:val="0"/>
                <w:sz w:val="24"/>
                <w:szCs w:val="21"/>
                <w:highlight w:val="none"/>
              </w:rPr>
              <w:t>区域</w:t>
            </w:r>
          </w:p>
          <w:p w14:paraId="1EB84E1E">
            <w:pPr>
              <w:adjustRightInd w:val="0"/>
              <w:snapToGrid w:val="0"/>
              <w:jc w:val="center"/>
              <w:rPr>
                <w:rFonts w:hint="default" w:ascii="Times New Roman" w:hAnsi="Times New Roman" w:cs="Times New Roman"/>
                <w:color w:val="auto"/>
                <w:kern w:val="0"/>
                <w:sz w:val="24"/>
                <w:szCs w:val="21"/>
                <w:highlight w:val="none"/>
              </w:rPr>
            </w:pPr>
            <w:r>
              <w:rPr>
                <w:rFonts w:hint="default" w:ascii="Times New Roman" w:hAnsi="Times New Roman" w:cs="Times New Roman"/>
                <w:color w:val="auto"/>
                <w:kern w:val="0"/>
                <w:sz w:val="24"/>
                <w:szCs w:val="21"/>
                <w:highlight w:val="none"/>
              </w:rPr>
              <w:t>环境</w:t>
            </w:r>
          </w:p>
          <w:p w14:paraId="76D5674A">
            <w:pPr>
              <w:adjustRightInd w:val="0"/>
              <w:snapToGrid w:val="0"/>
              <w:jc w:val="center"/>
              <w:rPr>
                <w:rFonts w:hint="default" w:ascii="Times New Roman" w:hAnsi="Times New Roman" w:cs="Times New Roman"/>
                <w:color w:val="auto"/>
                <w:kern w:val="0"/>
                <w:sz w:val="24"/>
                <w:szCs w:val="21"/>
                <w:highlight w:val="none"/>
              </w:rPr>
            </w:pPr>
            <w:r>
              <w:rPr>
                <w:rFonts w:hint="default" w:ascii="Times New Roman" w:hAnsi="Times New Roman" w:cs="Times New Roman"/>
                <w:color w:val="auto"/>
                <w:kern w:val="0"/>
                <w:sz w:val="24"/>
                <w:szCs w:val="21"/>
                <w:highlight w:val="none"/>
              </w:rPr>
              <w:t>质量</w:t>
            </w:r>
          </w:p>
          <w:p w14:paraId="76725ED0">
            <w:pPr>
              <w:adjustRightInd w:val="0"/>
              <w:snapToGrid w:val="0"/>
              <w:jc w:val="center"/>
              <w:rPr>
                <w:rFonts w:hint="default" w:ascii="Times New Roman" w:hAnsi="Times New Roman" w:cs="Times New Roman"/>
                <w:color w:val="auto"/>
                <w:kern w:val="0"/>
                <w:sz w:val="24"/>
                <w:szCs w:val="21"/>
                <w:highlight w:val="none"/>
              </w:rPr>
            </w:pPr>
            <w:r>
              <w:rPr>
                <w:rFonts w:hint="default" w:ascii="Times New Roman" w:hAnsi="Times New Roman" w:cs="Times New Roman"/>
                <w:color w:val="auto"/>
                <w:kern w:val="0"/>
                <w:sz w:val="24"/>
                <w:szCs w:val="21"/>
                <w:highlight w:val="none"/>
              </w:rPr>
              <w:t>现状</w:t>
            </w:r>
          </w:p>
        </w:tc>
        <w:tc>
          <w:tcPr>
            <w:tcW w:w="9213" w:type="dxa"/>
            <w:noWrap w:val="0"/>
            <w:vAlign w:val="center"/>
          </w:tcPr>
          <w:p w14:paraId="675251FB">
            <w:pPr>
              <w:adjustRightInd w:val="0"/>
              <w:snapToGrid w:val="0"/>
              <w:spacing w:line="360" w:lineRule="auto"/>
              <w:ind w:firstLine="482" w:firstLineChars="200"/>
              <w:jc w:val="left"/>
              <w:rPr>
                <w:rFonts w:hint="default" w:ascii="Times New Roman" w:hAnsi="Times New Roman" w:cs="Times New Roman"/>
                <w:b/>
                <w:bCs/>
                <w:color w:val="auto"/>
                <w:kern w:val="0"/>
                <w:sz w:val="24"/>
                <w:szCs w:val="21"/>
                <w:highlight w:val="none"/>
              </w:rPr>
            </w:pPr>
            <w:r>
              <w:rPr>
                <w:rFonts w:hint="default" w:ascii="Times New Roman" w:hAnsi="Times New Roman" w:cs="Times New Roman"/>
                <w:b/>
                <w:bCs/>
                <w:color w:val="auto"/>
                <w:kern w:val="0"/>
                <w:sz w:val="24"/>
                <w:szCs w:val="21"/>
                <w:highlight w:val="none"/>
              </w:rPr>
              <w:t>1、大气环境</w:t>
            </w:r>
          </w:p>
          <w:p w14:paraId="30BAAB18">
            <w:pPr>
              <w:adjustRightInd w:val="0"/>
              <w:snapToGrid w:val="0"/>
              <w:spacing w:line="360" w:lineRule="auto"/>
              <w:ind w:firstLine="482" w:firstLineChars="200"/>
              <w:jc w:val="left"/>
              <w:rPr>
                <w:rFonts w:hint="default" w:ascii="Times New Roman" w:hAnsi="Times New Roman" w:cs="Times New Roman"/>
                <w:b/>
                <w:bCs/>
                <w:color w:val="auto"/>
                <w:kern w:val="0"/>
                <w:sz w:val="24"/>
                <w:szCs w:val="21"/>
                <w:highlight w:val="none"/>
              </w:rPr>
            </w:pPr>
            <w:r>
              <w:rPr>
                <w:rFonts w:hint="default" w:ascii="Times New Roman" w:hAnsi="Times New Roman" w:cs="Times New Roman"/>
                <w:b/>
                <w:color w:val="auto"/>
                <w:kern w:val="0"/>
                <w:sz w:val="24"/>
                <w:szCs w:val="21"/>
                <w:highlight w:val="none"/>
              </w:rPr>
              <w:t>（1）常规污染物</w:t>
            </w:r>
          </w:p>
          <w:p w14:paraId="7DF6D553">
            <w:pPr>
              <w:widowControl/>
              <w:adjustRightInd w:val="0"/>
              <w:snapToGrid w:val="0"/>
              <w:spacing w:line="360" w:lineRule="auto"/>
              <w:ind w:firstLine="480" w:firstLineChars="200"/>
              <w:jc w:val="left"/>
              <w:rPr>
                <w:rFonts w:hint="default" w:ascii="Times New Roman" w:hAnsi="Times New Roman" w:eastAsia="宋体" w:cs="Times New Roman"/>
                <w:color w:val="auto"/>
                <w:sz w:val="24"/>
                <w:highlight w:val="none"/>
                <w:shd w:val="clear" w:color="auto" w:fill="FFFFFF"/>
                <w:lang w:eastAsia="zh-CN"/>
              </w:rPr>
            </w:pPr>
            <w:r>
              <w:rPr>
                <w:rFonts w:hint="default" w:ascii="Times New Roman" w:hAnsi="Times New Roman" w:cs="Times New Roman"/>
                <w:color w:val="auto"/>
                <w:sz w:val="24"/>
                <w:highlight w:val="none"/>
                <w:shd w:val="clear" w:color="auto" w:fill="FFFFFF"/>
              </w:rPr>
              <w:t>根据</w:t>
            </w:r>
            <w:r>
              <w:rPr>
                <w:rFonts w:hint="default" w:ascii="Times New Roman" w:hAnsi="Times New Roman" w:cs="Times New Roman"/>
                <w:color w:val="auto"/>
                <w:sz w:val="24"/>
                <w:highlight w:val="none"/>
                <w:shd w:val="clear" w:color="auto" w:fill="FFFFFF"/>
                <w:lang w:eastAsia="zh-CN"/>
              </w:rPr>
              <w:t>惠州市生态环境局关于</w:t>
            </w:r>
            <w:r>
              <w:rPr>
                <w:rFonts w:hint="default" w:ascii="Times New Roman" w:hAnsi="Times New Roman" w:cs="Times New Roman"/>
                <w:color w:val="auto"/>
                <w:sz w:val="24"/>
                <w:highlight w:val="none"/>
                <w:shd w:val="clear" w:color="auto" w:fill="FFFFFF"/>
              </w:rPr>
              <w:t>《</w:t>
            </w:r>
            <w:r>
              <w:rPr>
                <w:rFonts w:hint="default" w:ascii="Times New Roman" w:hAnsi="Times New Roman" w:cs="Times New Roman"/>
                <w:color w:val="auto"/>
                <w:sz w:val="24"/>
                <w:highlight w:val="none"/>
                <w:shd w:val="clear" w:color="auto" w:fill="FFFFFF"/>
                <w:lang w:eastAsia="zh-CN"/>
              </w:rPr>
              <w:t>202</w:t>
            </w:r>
            <w:r>
              <w:rPr>
                <w:rFonts w:hint="default" w:ascii="Times New Roman" w:hAnsi="Times New Roman" w:cs="Times New Roman"/>
                <w:color w:val="auto"/>
                <w:sz w:val="24"/>
                <w:highlight w:val="none"/>
                <w:shd w:val="clear" w:color="auto" w:fill="FFFFFF"/>
                <w:lang w:val="en-US" w:eastAsia="zh-CN"/>
              </w:rPr>
              <w:t>3</w:t>
            </w:r>
            <w:r>
              <w:rPr>
                <w:rFonts w:hint="default" w:ascii="Times New Roman" w:hAnsi="Times New Roman" w:cs="Times New Roman"/>
                <w:color w:val="auto"/>
                <w:sz w:val="24"/>
                <w:highlight w:val="none"/>
                <w:shd w:val="clear" w:color="auto" w:fill="FFFFFF"/>
                <w:lang w:eastAsia="zh-CN"/>
              </w:rPr>
              <w:t>年惠州市生态环境状况公报</w:t>
            </w:r>
            <w:r>
              <w:rPr>
                <w:rFonts w:hint="default" w:ascii="Times New Roman" w:hAnsi="Times New Roman" w:cs="Times New Roman"/>
                <w:color w:val="auto"/>
                <w:sz w:val="24"/>
                <w:highlight w:val="none"/>
                <w:shd w:val="clear" w:color="auto" w:fill="FFFFFF"/>
              </w:rPr>
              <w:t>》</w:t>
            </w:r>
            <w:r>
              <w:rPr>
                <w:rFonts w:hint="default" w:ascii="Times New Roman" w:hAnsi="Times New Roman" w:cs="Times New Roman"/>
                <w:color w:val="auto"/>
                <w:sz w:val="24"/>
                <w:highlight w:val="none"/>
                <w:shd w:val="clear" w:color="auto" w:fill="FFFFFF"/>
                <w:lang w:eastAsia="zh-CN"/>
              </w:rPr>
              <w:t>中</w:t>
            </w:r>
            <w:r>
              <w:rPr>
                <w:rFonts w:hint="default" w:ascii="Times New Roman" w:hAnsi="Times New Roman" w:cs="Times New Roman"/>
                <w:color w:val="auto"/>
                <w:sz w:val="24"/>
                <w:highlight w:val="none"/>
                <w:shd w:val="clear" w:color="auto" w:fill="FFFFFF"/>
              </w:rPr>
              <w:t>空气质量状况</w:t>
            </w:r>
            <w:r>
              <w:rPr>
                <w:rFonts w:hint="default" w:ascii="Times New Roman" w:hAnsi="Times New Roman" w:cs="Times New Roman"/>
                <w:color w:val="auto"/>
                <w:sz w:val="24"/>
                <w:highlight w:val="none"/>
                <w:shd w:val="clear" w:color="auto" w:fill="FFFFFF"/>
                <w:lang w:eastAsia="zh-CN"/>
              </w:rPr>
              <w:t>为：</w:t>
            </w:r>
          </w:p>
          <w:p w14:paraId="0D58C1C2">
            <w:pPr>
              <w:adjustRightInd w:val="0"/>
              <w:snapToGrid w:val="0"/>
              <w:spacing w:line="360" w:lineRule="auto"/>
              <w:ind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cs="Times New Roman"/>
                <w:color w:val="auto"/>
                <w:sz w:val="24"/>
                <w:highlight w:val="none"/>
                <w:shd w:val="clear" w:color="auto" w:fill="FFFFFF"/>
              </w:rPr>
              <w:t>1.城市空气：</w:t>
            </w:r>
            <w:r>
              <w:rPr>
                <w:rFonts w:hint="default" w:ascii="Times New Roman" w:hAnsi="Times New Roman" w:eastAsia="宋体" w:cs="Times New Roman"/>
                <w:color w:val="auto"/>
                <w:sz w:val="24"/>
                <w:szCs w:val="24"/>
                <w:highlight w:val="none"/>
              </w:rPr>
              <w:t>2023年，惠州市环境空气质量优良。六项污染物年评价浓度均达标，其中，二氧化硫、二氧化氮、一氧化碳和可吸入颗粒物PM10年评价浓度达到国家一级标准；细颗粒物PM2.5和臭氧年评价浓度达到国家二级标准。综合指数为2.56，AQI达标率为98.4%，其中，优225天，良134天，轻度污染6天，无中度及以上污染，超标污染物为臭氧。</w:t>
            </w:r>
          </w:p>
          <w:p w14:paraId="6C8BDF39">
            <w:pPr>
              <w:adjustRightInd w:val="0"/>
              <w:snapToGrid w:val="0"/>
              <w:spacing w:line="360" w:lineRule="auto"/>
              <w:ind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与2022年相比，惠州市环境空气质量有所改善。综合指数下降0.8%，AQI达标率上升4.7个百分点，臭氧下降13.9%，一氧化碳和二氧化氮持平，可吸入颗粒物PM10、细颗粒物PM2.5、二氧化硫分别上升9.1%、11.8%、20.0%。</w:t>
            </w:r>
          </w:p>
          <w:p w14:paraId="4486DAC4">
            <w:pPr>
              <w:adjustRightInd w:val="0"/>
              <w:snapToGrid w:val="0"/>
              <w:spacing w:line="360" w:lineRule="auto"/>
              <w:ind w:firstLine="480" w:firstLineChars="200"/>
              <w:rPr>
                <w:rFonts w:hint="default" w:ascii="Times New Roman" w:hAnsi="Times New Roman" w:cs="Times New Roman"/>
                <w:color w:val="auto"/>
                <w:sz w:val="24"/>
                <w:highlight w:val="none"/>
                <w:shd w:val="clear" w:color="auto" w:fill="FFFFFF"/>
              </w:rPr>
            </w:pPr>
            <w:r>
              <w:rPr>
                <w:rFonts w:hint="default" w:ascii="Times New Roman" w:hAnsi="Times New Roman" w:cs="Times New Roman"/>
                <w:color w:val="auto"/>
                <w:sz w:val="24"/>
                <w:highlight w:val="none"/>
                <w:shd w:val="clear" w:color="auto" w:fill="FFFFFF"/>
              </w:rPr>
              <w:t>2.各县区空气：</w:t>
            </w:r>
            <w:r>
              <w:rPr>
                <w:rFonts w:hint="default" w:ascii="Times New Roman" w:hAnsi="Times New Roman" w:eastAsia="宋体" w:cs="Times New Roman"/>
                <w:color w:val="auto"/>
                <w:sz w:val="24"/>
                <w:szCs w:val="24"/>
                <w:highlight w:val="none"/>
              </w:rPr>
              <w:t>2023年，各县区环境空气质量总体优良。六项污染物年评价浓度均达标，综合指数2.06（龙门县）～2.75（博罗县），AQI达标率94.4%（仲恺区）～99.5%（大亚湾区），超标污染物均为臭氧。按环境空气质量综合指数排名，由好到差依次为龙门县、大亚湾区、惠东县、惠阳区、仲恺区、惠城区、博罗县。与2022年相比，惠东县、大亚湾区、博罗县空气质量略微变差，其余县区空气质量略有改善。</w:t>
            </w:r>
          </w:p>
          <w:p w14:paraId="059A1523">
            <w:pPr>
              <w:adjustRightInd w:val="0"/>
              <w:snapToGrid w:val="0"/>
              <w:spacing w:line="360" w:lineRule="auto"/>
              <w:jc w:val="center"/>
              <w:rPr>
                <w:rFonts w:hint="default" w:ascii="Times New Roman" w:hAnsi="Times New Roman" w:cs="Times New Roman"/>
                <w:b/>
                <w:color w:val="auto"/>
                <w:kern w:val="0"/>
                <w:sz w:val="24"/>
                <w:szCs w:val="21"/>
                <w:highlight w:val="none"/>
              </w:rPr>
            </w:pPr>
            <w:r>
              <w:rPr>
                <w:rFonts w:hint="default" w:ascii="Times New Roman" w:hAnsi="Times New Roman" w:cs="Times New Roman"/>
                <w:color w:val="auto"/>
                <w:highlight w:val="none"/>
              </w:rPr>
              <w:drawing>
                <wp:inline distT="0" distB="0" distL="114300" distR="114300">
                  <wp:extent cx="3918585" cy="3023235"/>
                  <wp:effectExtent l="0" t="0" r="5715" b="5715"/>
                  <wp:docPr id="96"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18"/>
                          <pic:cNvPicPr>
                            <a:picLocks noChangeAspect="1"/>
                          </pic:cNvPicPr>
                        </pic:nvPicPr>
                        <pic:blipFill>
                          <a:blip r:embed="rId17"/>
                          <a:stretch>
                            <a:fillRect/>
                          </a:stretch>
                        </pic:blipFill>
                        <pic:spPr>
                          <a:xfrm>
                            <a:off x="0" y="0"/>
                            <a:ext cx="3918585" cy="3023235"/>
                          </a:xfrm>
                          <a:prstGeom prst="rect">
                            <a:avLst/>
                          </a:prstGeom>
                          <a:noFill/>
                          <a:ln>
                            <a:noFill/>
                          </a:ln>
                        </pic:spPr>
                      </pic:pic>
                    </a:graphicData>
                  </a:graphic>
                </wp:inline>
              </w:drawing>
            </w:r>
          </w:p>
          <w:p w14:paraId="248FF00E">
            <w:pPr>
              <w:adjustRightInd w:val="0"/>
              <w:snapToGrid w:val="0"/>
              <w:spacing w:line="360" w:lineRule="auto"/>
              <w:ind w:firstLine="422" w:firstLineChars="200"/>
              <w:jc w:val="center"/>
              <w:rPr>
                <w:rFonts w:hint="default" w:ascii="Times New Roman" w:hAnsi="Times New Roman" w:eastAsia="宋体" w:cs="Times New Roman"/>
                <w:b/>
                <w:color w:val="auto"/>
                <w:kern w:val="0"/>
                <w:sz w:val="21"/>
                <w:szCs w:val="21"/>
                <w:highlight w:val="none"/>
                <w:lang w:val="en-US" w:eastAsia="zh-CN"/>
              </w:rPr>
            </w:pPr>
            <w:r>
              <w:rPr>
                <w:rFonts w:hint="default" w:ascii="Times New Roman" w:hAnsi="Times New Roman" w:cs="Times New Roman"/>
                <w:b/>
                <w:color w:val="auto"/>
                <w:kern w:val="0"/>
                <w:sz w:val="21"/>
                <w:szCs w:val="21"/>
                <w:highlight w:val="none"/>
                <w:lang w:val="en-US" w:eastAsia="zh-CN"/>
              </w:rPr>
              <w:t>图3-1  2023年惠州市环境质量状况公报截图</w:t>
            </w:r>
          </w:p>
          <w:p w14:paraId="2A3A6AF3">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left"/>
              <w:textAlignment w:val="auto"/>
              <w:rPr>
                <w:rFonts w:hint="default" w:ascii="Times New Roman" w:hAnsi="Times New Roman" w:cs="Times New Roman"/>
                <w:b/>
                <w:color w:val="auto"/>
                <w:kern w:val="0"/>
                <w:sz w:val="24"/>
                <w:szCs w:val="21"/>
                <w:highlight w:val="none"/>
              </w:rPr>
            </w:pPr>
            <w:r>
              <w:rPr>
                <w:rFonts w:hint="default" w:ascii="Times New Roman" w:hAnsi="Times New Roman" w:cs="Times New Roman"/>
                <w:b/>
                <w:color w:val="auto"/>
                <w:kern w:val="0"/>
                <w:sz w:val="24"/>
                <w:szCs w:val="21"/>
                <w:highlight w:val="none"/>
              </w:rPr>
              <w:t>（2）特征污染物</w:t>
            </w:r>
          </w:p>
          <w:p w14:paraId="5722C52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rPr>
              <w:t>为进一步了解项目所在地环境空气的现状，</w:t>
            </w:r>
            <w:r>
              <w:rPr>
                <w:rFonts w:hint="default" w:ascii="Times New Roman" w:hAnsi="Times New Roman" w:eastAsia="宋体" w:cs="Times New Roman"/>
                <w:color w:val="auto"/>
                <w:sz w:val="24"/>
                <w:highlight w:val="none"/>
                <w:lang w:eastAsia="zh-CN"/>
              </w:rPr>
              <w:t>本项目</w:t>
            </w:r>
            <w:r>
              <w:rPr>
                <w:rFonts w:hint="default" w:ascii="Times New Roman" w:hAnsi="Times New Roman" w:eastAsia="宋体" w:cs="Times New Roman"/>
                <w:color w:val="auto"/>
                <w:sz w:val="24"/>
                <w:highlight w:val="none"/>
                <w:lang w:val="en-US" w:eastAsia="zh-CN"/>
              </w:rPr>
              <w:t>特征污染因子TSP</w:t>
            </w:r>
            <w:r>
              <w:rPr>
                <w:rFonts w:hint="default" w:ascii="Times New Roman" w:hAnsi="Times New Roman" w:eastAsia="宋体" w:cs="Times New Roman"/>
                <w:color w:val="auto"/>
                <w:sz w:val="24"/>
                <w:highlight w:val="none"/>
                <w:lang w:eastAsia="zh-CN"/>
              </w:rPr>
              <w:t>引用</w:t>
            </w:r>
            <w:r>
              <w:rPr>
                <w:rFonts w:hint="default" w:ascii="Times New Roman" w:hAnsi="Times New Roman" w:eastAsia="宋体" w:cs="Times New Roman"/>
                <w:color w:val="auto"/>
                <w:sz w:val="24"/>
                <w:highlight w:val="none"/>
                <w:lang w:val="en-US" w:eastAsia="zh-CN"/>
              </w:rPr>
              <w:t>《惠州市沃特新材料有限公司年产5000t改性工程塑料建设项目报告表》</w:t>
            </w:r>
            <w:r>
              <w:rPr>
                <w:rFonts w:hint="default"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批复号：</w:t>
            </w:r>
            <w:r>
              <w:rPr>
                <w:rFonts w:hint="default" w:ascii="Times New Roman" w:hAnsi="Times New Roman" w:cs="Times New Roman"/>
                <w:color w:val="auto"/>
                <w:sz w:val="24"/>
                <w:szCs w:val="24"/>
                <w:highlight w:val="none"/>
                <w:lang w:eastAsia="zh-CN"/>
              </w:rPr>
              <w:t>惠市环（博罗）建〔2025﹞17号）</w:t>
            </w:r>
            <w:r>
              <w:rPr>
                <w:rFonts w:hint="default" w:ascii="Times New Roman" w:hAnsi="Times New Roman" w:eastAsia="宋体" w:cs="Times New Roman"/>
                <w:bCs/>
                <w:color w:val="auto"/>
                <w:kern w:val="28"/>
                <w:sz w:val="24"/>
                <w:highlight w:val="none"/>
              </w:rPr>
              <w:t>中</w:t>
            </w:r>
            <w:r>
              <w:rPr>
                <w:rFonts w:hint="default" w:ascii="Times New Roman" w:hAnsi="Times New Roman" w:eastAsia="宋体" w:cs="Times New Roman"/>
                <w:bCs/>
                <w:color w:val="auto"/>
                <w:kern w:val="28"/>
                <w:sz w:val="24"/>
                <w:highlight w:val="none"/>
                <w:lang w:val="en-US" w:eastAsia="zh-CN"/>
              </w:rPr>
              <w:t>委托广东君正检测技术有限公司于2024 年10月30日～11月1日连续3日对 A1（柏岗布）的总悬浮颗粒物进行的监测（报告编号：JZ2410084）</w:t>
            </w:r>
            <w:r>
              <w:rPr>
                <w:rFonts w:hint="default" w:ascii="Times New Roman" w:hAnsi="Times New Roman" w:eastAsia="宋体" w:cs="Times New Roman"/>
                <w:bCs/>
                <w:color w:val="auto"/>
                <w:kern w:val="28"/>
                <w:sz w:val="24"/>
                <w:highlight w:val="none"/>
              </w:rPr>
              <w:t>。监测点位为</w:t>
            </w:r>
            <w:r>
              <w:rPr>
                <w:rFonts w:hint="default" w:ascii="Times New Roman" w:hAnsi="Times New Roman" w:eastAsia="宋体" w:cs="Times New Roman"/>
                <w:bCs/>
                <w:color w:val="auto"/>
                <w:kern w:val="28"/>
                <w:sz w:val="24"/>
                <w:highlight w:val="none"/>
                <w:lang w:eastAsia="zh-CN"/>
              </w:rPr>
              <w:t>本项目</w:t>
            </w:r>
            <w:r>
              <w:rPr>
                <w:rFonts w:hint="default" w:ascii="Times New Roman" w:hAnsi="Times New Roman" w:eastAsia="宋体" w:cs="Times New Roman"/>
                <w:bCs/>
                <w:color w:val="auto"/>
                <w:kern w:val="28"/>
                <w:sz w:val="24"/>
                <w:highlight w:val="none"/>
                <w:lang w:val="en-US" w:eastAsia="zh-CN"/>
              </w:rPr>
              <w:t>西南面</w:t>
            </w:r>
            <w:r>
              <w:rPr>
                <w:rFonts w:hint="default" w:ascii="Times New Roman" w:hAnsi="Times New Roman" w:eastAsia="宋体" w:cs="Times New Roman"/>
                <w:bCs/>
                <w:color w:val="auto"/>
                <w:kern w:val="28"/>
                <w:sz w:val="24"/>
                <w:highlight w:val="none"/>
              </w:rPr>
              <w:t>约</w:t>
            </w:r>
            <w:r>
              <w:rPr>
                <w:rFonts w:hint="default" w:ascii="Times New Roman" w:hAnsi="Times New Roman" w:eastAsia="宋体" w:cs="Times New Roman"/>
                <w:bCs/>
                <w:color w:val="auto"/>
                <w:kern w:val="28"/>
                <w:sz w:val="24"/>
                <w:highlight w:val="none"/>
                <w:lang w:val="en-US" w:eastAsia="zh-CN"/>
              </w:rPr>
              <w:t>182</w:t>
            </w:r>
            <w:r>
              <w:rPr>
                <w:rFonts w:hint="eastAsia" w:ascii="Times New Roman" w:hAnsi="Times New Roman" w:eastAsia="宋体" w:cs="Times New Roman"/>
                <w:bCs/>
                <w:color w:val="auto"/>
                <w:kern w:val="28"/>
                <w:sz w:val="24"/>
                <w:highlight w:val="none"/>
                <w:lang w:val="en-US" w:eastAsia="zh-CN"/>
              </w:rPr>
              <w:t>m；本项目氮氧化物引用惠州市博罗精工五金制品有限公司委托广东宏科检测技术有限公司于2024年1月30日对厂界下风向4#监测点的监测</w:t>
            </w:r>
            <w:r>
              <w:rPr>
                <w:rFonts w:hint="default" w:ascii="Times New Roman" w:hAnsi="Times New Roman" w:eastAsia="宋体" w:cs="Times New Roman"/>
                <w:bCs/>
                <w:color w:val="auto"/>
                <w:kern w:val="28"/>
                <w:sz w:val="24"/>
                <w:highlight w:val="none"/>
                <w:lang w:val="en-US" w:eastAsia="zh-CN"/>
              </w:rPr>
              <w:t>（报告编号：</w:t>
            </w:r>
            <w:r>
              <w:rPr>
                <w:rFonts w:hint="eastAsia" w:ascii="Times New Roman" w:hAnsi="Times New Roman" w:eastAsia="宋体" w:cs="Times New Roman"/>
                <w:bCs/>
                <w:color w:val="auto"/>
                <w:kern w:val="28"/>
                <w:sz w:val="24"/>
                <w:highlight w:val="none"/>
                <w:lang w:val="en-US" w:eastAsia="zh-CN"/>
              </w:rPr>
              <w:t>HK2401E0350-2</w:t>
            </w:r>
            <w:r>
              <w:rPr>
                <w:rFonts w:hint="default" w:ascii="Times New Roman" w:hAnsi="Times New Roman" w:eastAsia="宋体" w:cs="Times New Roman"/>
                <w:bCs/>
                <w:color w:val="auto"/>
                <w:kern w:val="28"/>
                <w:sz w:val="24"/>
                <w:highlight w:val="none"/>
                <w:lang w:val="en-US" w:eastAsia="zh-CN"/>
              </w:rPr>
              <w:t>）</w:t>
            </w:r>
            <w:r>
              <w:rPr>
                <w:rFonts w:hint="eastAsia" w:ascii="Times New Roman" w:hAnsi="Times New Roman" w:eastAsia="宋体" w:cs="Times New Roman"/>
                <w:bCs/>
                <w:color w:val="auto"/>
                <w:kern w:val="28"/>
                <w:sz w:val="24"/>
                <w:highlight w:val="none"/>
                <w:lang w:val="en-US" w:eastAsia="zh-CN"/>
              </w:rPr>
              <w:t>，监测报告见附件11，</w:t>
            </w:r>
            <w:r>
              <w:rPr>
                <w:rFonts w:hint="default" w:ascii="Times New Roman" w:hAnsi="Times New Roman" w:eastAsia="宋体" w:cs="Times New Roman"/>
                <w:bCs/>
                <w:color w:val="auto"/>
                <w:kern w:val="28"/>
                <w:sz w:val="24"/>
                <w:highlight w:val="none"/>
              </w:rPr>
              <w:t>监测点位为</w:t>
            </w:r>
            <w:r>
              <w:rPr>
                <w:rFonts w:hint="default" w:ascii="Times New Roman" w:hAnsi="Times New Roman" w:eastAsia="宋体" w:cs="Times New Roman"/>
                <w:bCs/>
                <w:color w:val="auto"/>
                <w:kern w:val="28"/>
                <w:sz w:val="24"/>
                <w:highlight w:val="none"/>
                <w:lang w:eastAsia="zh-CN"/>
              </w:rPr>
              <w:t>本项目</w:t>
            </w:r>
            <w:r>
              <w:rPr>
                <w:rFonts w:hint="default" w:ascii="Times New Roman" w:hAnsi="Times New Roman" w:eastAsia="宋体" w:cs="Times New Roman"/>
                <w:bCs/>
                <w:color w:val="auto"/>
                <w:kern w:val="28"/>
                <w:sz w:val="24"/>
                <w:highlight w:val="none"/>
                <w:lang w:val="en-US" w:eastAsia="zh-CN"/>
              </w:rPr>
              <w:t>西南面</w:t>
            </w:r>
            <w:r>
              <w:rPr>
                <w:rFonts w:hint="default" w:ascii="Times New Roman" w:hAnsi="Times New Roman" w:eastAsia="宋体" w:cs="Times New Roman"/>
                <w:bCs/>
                <w:color w:val="auto"/>
                <w:kern w:val="28"/>
                <w:sz w:val="24"/>
                <w:highlight w:val="none"/>
              </w:rPr>
              <w:t>约</w:t>
            </w:r>
            <w:r>
              <w:rPr>
                <w:rFonts w:hint="eastAsia" w:ascii="Times New Roman" w:hAnsi="Times New Roman" w:eastAsia="宋体" w:cs="Times New Roman"/>
                <w:bCs/>
                <w:color w:val="auto"/>
                <w:kern w:val="28"/>
                <w:sz w:val="24"/>
                <w:highlight w:val="none"/>
                <w:lang w:val="en-US" w:eastAsia="zh-CN"/>
              </w:rPr>
              <w:t>1606m；</w:t>
            </w:r>
            <w:r>
              <w:rPr>
                <w:rFonts w:hint="default" w:ascii="Times New Roman" w:hAnsi="Times New Roman" w:eastAsia="宋体" w:cs="Times New Roman"/>
                <w:bCs/>
                <w:color w:val="auto"/>
                <w:kern w:val="28"/>
                <w:sz w:val="24"/>
                <w:highlight w:val="none"/>
              </w:rPr>
              <w:t>该</w:t>
            </w:r>
            <w:r>
              <w:rPr>
                <w:rFonts w:hint="eastAsia" w:ascii="Times New Roman" w:hAnsi="Times New Roman" w:eastAsia="宋体" w:cs="Times New Roman"/>
                <w:bCs/>
                <w:color w:val="auto"/>
                <w:kern w:val="28"/>
                <w:sz w:val="24"/>
                <w:highlight w:val="none"/>
                <w:lang w:val="en-US" w:eastAsia="zh-CN"/>
              </w:rPr>
              <w:t>两个</w:t>
            </w:r>
            <w:r>
              <w:rPr>
                <w:rFonts w:hint="default" w:ascii="Times New Roman" w:hAnsi="Times New Roman" w:eastAsia="宋体" w:cs="Times New Roman"/>
                <w:bCs/>
                <w:color w:val="auto"/>
                <w:kern w:val="28"/>
                <w:sz w:val="24"/>
                <w:highlight w:val="none"/>
                <w:lang w:val="en-US" w:eastAsia="zh-CN"/>
              </w:rPr>
              <w:t>点位</w:t>
            </w:r>
            <w:r>
              <w:rPr>
                <w:rFonts w:hint="default" w:ascii="Times New Roman" w:hAnsi="Times New Roman" w:eastAsia="宋体" w:cs="Times New Roman"/>
                <w:bCs/>
                <w:color w:val="auto"/>
                <w:kern w:val="28"/>
                <w:sz w:val="24"/>
                <w:highlight w:val="none"/>
              </w:rPr>
              <w:t>位于</w:t>
            </w:r>
            <w:r>
              <w:rPr>
                <w:rFonts w:hint="default" w:ascii="Times New Roman" w:hAnsi="Times New Roman" w:eastAsia="宋体" w:cs="Times New Roman"/>
                <w:bCs/>
                <w:color w:val="auto"/>
                <w:kern w:val="28"/>
                <w:sz w:val="24"/>
                <w:highlight w:val="none"/>
                <w:lang w:eastAsia="zh-CN"/>
              </w:rPr>
              <w:t>本项目</w:t>
            </w:r>
            <w:r>
              <w:rPr>
                <w:rFonts w:hint="default" w:ascii="Times New Roman" w:hAnsi="Times New Roman" w:eastAsia="宋体" w:cs="Times New Roman"/>
                <w:bCs/>
                <w:color w:val="auto"/>
                <w:kern w:val="28"/>
                <w:sz w:val="24"/>
                <w:highlight w:val="none"/>
              </w:rPr>
              <w:t>厂址周边5km范围内，因此，引用该监测数据是可行的</w:t>
            </w:r>
            <w:r>
              <w:rPr>
                <w:rFonts w:hint="default" w:ascii="Times New Roman" w:hAnsi="Times New Roman" w:eastAsia="宋体" w:cs="Times New Roman"/>
                <w:color w:val="auto"/>
                <w:sz w:val="24"/>
                <w:highlight w:val="none"/>
                <w:lang w:eastAsia="zh-CN"/>
              </w:rPr>
              <w:t>，具体监测内容和监测数据见下表：</w:t>
            </w:r>
          </w:p>
          <w:p w14:paraId="724F7189">
            <w:pPr>
              <w:ind w:firstLine="422" w:firstLineChars="200"/>
              <w:jc w:val="center"/>
              <w:rPr>
                <w:rFonts w:hint="eastAsia"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Cs w:val="21"/>
                <w:highlight w:val="none"/>
              </w:rPr>
              <w:t>表3-1 环境空气质量现状监测结果</w:t>
            </w:r>
            <w:r>
              <w:rPr>
                <w:rFonts w:hint="eastAsia" w:ascii="Times New Roman" w:hAnsi="Times New Roman" w:eastAsia="宋体" w:cs="Times New Roman"/>
                <w:b/>
                <w:bCs/>
                <w:color w:val="auto"/>
                <w:szCs w:val="21"/>
                <w:highlight w:val="none"/>
                <w:lang w:val="en-US" w:eastAsia="zh-CN"/>
              </w:rPr>
              <w:t>1</w:t>
            </w:r>
          </w:p>
          <w:tbl>
            <w:tblPr>
              <w:tblStyle w:val="34"/>
              <w:tblW w:w="90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2"/>
              <w:gridCol w:w="1350"/>
              <w:gridCol w:w="690"/>
              <w:gridCol w:w="2250"/>
              <w:gridCol w:w="1405"/>
              <w:gridCol w:w="1508"/>
              <w:gridCol w:w="983"/>
            </w:tblGrid>
            <w:tr w14:paraId="293D0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872" w:type="dxa"/>
                  <w:vMerge w:val="restart"/>
                  <w:tcBorders>
                    <w:top w:val="single" w:color="auto" w:sz="4" w:space="0"/>
                    <w:left w:val="single" w:color="auto" w:sz="4" w:space="0"/>
                    <w:right w:val="single" w:color="auto" w:sz="4" w:space="0"/>
                  </w:tcBorders>
                  <w:noWrap/>
                  <w:vAlign w:val="center"/>
                </w:tcPr>
                <w:p w14:paraId="44D0D06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pacing w:val="-2"/>
                      <w:szCs w:val="21"/>
                      <w:highlight w:val="none"/>
                    </w:rPr>
                  </w:pPr>
                  <w:r>
                    <w:rPr>
                      <w:rFonts w:hint="default" w:ascii="Times New Roman" w:hAnsi="Times New Roman" w:eastAsia="宋体" w:cs="Times New Roman"/>
                      <w:b/>
                      <w:bCs/>
                      <w:color w:val="auto"/>
                      <w:spacing w:val="-2"/>
                      <w:szCs w:val="21"/>
                      <w:highlight w:val="none"/>
                    </w:rPr>
                    <w:t>污染物</w:t>
                  </w:r>
                </w:p>
              </w:tc>
              <w:tc>
                <w:tcPr>
                  <w:tcW w:w="2040" w:type="dxa"/>
                  <w:gridSpan w:val="2"/>
                  <w:vMerge w:val="restart"/>
                  <w:tcBorders>
                    <w:top w:val="single" w:color="auto" w:sz="4" w:space="0"/>
                    <w:left w:val="single" w:color="auto" w:sz="4" w:space="0"/>
                    <w:right w:val="single" w:color="auto" w:sz="4" w:space="0"/>
                  </w:tcBorders>
                  <w:noWrap/>
                  <w:vAlign w:val="center"/>
                </w:tcPr>
                <w:p w14:paraId="4F2F0D53">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pacing w:val="-2"/>
                      <w:szCs w:val="21"/>
                      <w:highlight w:val="none"/>
                      <w:lang w:eastAsia="zh-CN"/>
                    </w:rPr>
                  </w:pPr>
                  <w:r>
                    <w:rPr>
                      <w:rFonts w:hint="default" w:ascii="Times New Roman" w:hAnsi="Times New Roman" w:eastAsia="宋体" w:cs="Times New Roman"/>
                      <w:b/>
                      <w:bCs/>
                      <w:color w:val="auto"/>
                      <w:spacing w:val="-2"/>
                      <w:szCs w:val="21"/>
                      <w:highlight w:val="none"/>
                      <w:lang w:eastAsia="zh-CN"/>
                    </w:rPr>
                    <w:t>评价标准</w:t>
                  </w:r>
                  <w:r>
                    <w:rPr>
                      <w:rFonts w:hint="default" w:ascii="Times New Roman" w:hAnsi="Times New Roman" w:eastAsia="宋体" w:cs="Times New Roman"/>
                      <w:b/>
                      <w:bCs/>
                      <w:color w:val="auto"/>
                      <w:spacing w:val="-2"/>
                      <w:szCs w:val="21"/>
                      <w:highlight w:val="none"/>
                    </w:rPr>
                    <w:t>（mg/m</w:t>
                  </w:r>
                  <w:r>
                    <w:rPr>
                      <w:rFonts w:hint="default" w:ascii="Times New Roman" w:hAnsi="Times New Roman" w:eastAsia="宋体" w:cs="Times New Roman"/>
                      <w:b/>
                      <w:bCs/>
                      <w:color w:val="auto"/>
                      <w:spacing w:val="-2"/>
                      <w:szCs w:val="21"/>
                      <w:highlight w:val="none"/>
                      <w:vertAlign w:val="superscript"/>
                    </w:rPr>
                    <w:t>3</w:t>
                  </w:r>
                  <w:r>
                    <w:rPr>
                      <w:rFonts w:hint="default" w:ascii="Times New Roman" w:hAnsi="Times New Roman" w:eastAsia="宋体" w:cs="Times New Roman"/>
                      <w:b/>
                      <w:bCs/>
                      <w:color w:val="auto"/>
                      <w:spacing w:val="-2"/>
                      <w:szCs w:val="21"/>
                      <w:highlight w:val="none"/>
                    </w:rPr>
                    <w:t>）</w:t>
                  </w:r>
                </w:p>
              </w:tc>
              <w:tc>
                <w:tcPr>
                  <w:tcW w:w="2250" w:type="dxa"/>
                  <w:vMerge w:val="restart"/>
                  <w:tcBorders>
                    <w:top w:val="single" w:color="auto" w:sz="4" w:space="0"/>
                    <w:left w:val="single" w:color="auto" w:sz="4" w:space="0"/>
                    <w:bottom w:val="single" w:color="auto" w:sz="4" w:space="0"/>
                    <w:right w:val="single" w:color="auto" w:sz="4" w:space="0"/>
                  </w:tcBorders>
                  <w:noWrap/>
                  <w:vAlign w:val="center"/>
                </w:tcPr>
                <w:p w14:paraId="3F3F78B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pacing w:val="-2"/>
                      <w:szCs w:val="21"/>
                      <w:highlight w:val="none"/>
                    </w:rPr>
                  </w:pPr>
                  <w:r>
                    <w:rPr>
                      <w:rFonts w:hint="default" w:ascii="Times New Roman" w:hAnsi="Times New Roman" w:eastAsia="宋体" w:cs="Times New Roman"/>
                      <w:b/>
                      <w:bCs/>
                      <w:color w:val="auto"/>
                      <w:spacing w:val="-2"/>
                      <w:szCs w:val="21"/>
                      <w:highlight w:val="none"/>
                    </w:rPr>
                    <w:t>监测点位</w:t>
                  </w:r>
                </w:p>
              </w:tc>
              <w:tc>
                <w:tcPr>
                  <w:tcW w:w="3896" w:type="dxa"/>
                  <w:gridSpan w:val="3"/>
                  <w:tcBorders>
                    <w:top w:val="single" w:color="auto" w:sz="4" w:space="0"/>
                    <w:left w:val="single" w:color="auto" w:sz="4" w:space="0"/>
                    <w:bottom w:val="single" w:color="auto" w:sz="4" w:space="0"/>
                    <w:right w:val="single" w:color="auto" w:sz="4" w:space="0"/>
                  </w:tcBorders>
                  <w:noWrap/>
                  <w:vAlign w:val="center"/>
                </w:tcPr>
                <w:p w14:paraId="79C5905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pacing w:val="-2"/>
                      <w:szCs w:val="21"/>
                      <w:highlight w:val="none"/>
                    </w:rPr>
                  </w:pPr>
                  <w:r>
                    <w:rPr>
                      <w:rFonts w:hint="default" w:ascii="Times New Roman" w:hAnsi="Times New Roman" w:eastAsia="宋体" w:cs="Times New Roman"/>
                      <w:b/>
                      <w:bCs/>
                      <w:color w:val="auto"/>
                      <w:spacing w:val="-2"/>
                      <w:szCs w:val="21"/>
                      <w:highlight w:val="none"/>
                    </w:rPr>
                    <w:t>平均浓度及分析结果</w:t>
                  </w:r>
                </w:p>
              </w:tc>
            </w:tr>
            <w:tr w14:paraId="19452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872" w:type="dxa"/>
                  <w:vMerge w:val="continue"/>
                  <w:tcBorders>
                    <w:left w:val="single" w:color="auto" w:sz="4" w:space="0"/>
                    <w:bottom w:val="single" w:color="auto" w:sz="4" w:space="0"/>
                    <w:right w:val="single" w:color="auto" w:sz="4" w:space="0"/>
                  </w:tcBorders>
                  <w:noWrap/>
                  <w:vAlign w:val="center"/>
                </w:tcPr>
                <w:p w14:paraId="44B7DB4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pacing w:val="-2"/>
                      <w:szCs w:val="21"/>
                      <w:highlight w:val="none"/>
                    </w:rPr>
                  </w:pPr>
                </w:p>
              </w:tc>
              <w:tc>
                <w:tcPr>
                  <w:tcW w:w="2040" w:type="dxa"/>
                  <w:gridSpan w:val="2"/>
                  <w:vMerge w:val="continue"/>
                  <w:tcBorders>
                    <w:left w:val="single" w:color="auto" w:sz="4" w:space="0"/>
                    <w:bottom w:val="single" w:color="auto" w:sz="4" w:space="0"/>
                    <w:right w:val="single" w:color="auto" w:sz="4" w:space="0"/>
                  </w:tcBorders>
                  <w:noWrap/>
                  <w:vAlign w:val="center"/>
                </w:tcPr>
                <w:p w14:paraId="74A0664C">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pacing w:val="-2"/>
                      <w:szCs w:val="21"/>
                      <w:highlight w:val="none"/>
                    </w:rPr>
                  </w:pPr>
                </w:p>
              </w:tc>
              <w:tc>
                <w:tcPr>
                  <w:tcW w:w="2250" w:type="dxa"/>
                  <w:vMerge w:val="continue"/>
                  <w:tcBorders>
                    <w:top w:val="single" w:color="auto" w:sz="4" w:space="0"/>
                    <w:left w:val="single" w:color="auto" w:sz="4" w:space="0"/>
                    <w:bottom w:val="single" w:color="auto" w:sz="4" w:space="0"/>
                    <w:right w:val="single" w:color="auto" w:sz="4" w:space="0"/>
                  </w:tcBorders>
                  <w:noWrap/>
                  <w:vAlign w:val="center"/>
                </w:tcPr>
                <w:p w14:paraId="19A58BD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pacing w:val="-2"/>
                      <w:szCs w:val="21"/>
                      <w:highlight w:val="none"/>
                    </w:rPr>
                  </w:pPr>
                </w:p>
              </w:tc>
              <w:tc>
                <w:tcPr>
                  <w:tcW w:w="1405" w:type="dxa"/>
                  <w:tcBorders>
                    <w:top w:val="single" w:color="auto" w:sz="4" w:space="0"/>
                    <w:left w:val="single" w:color="auto" w:sz="4" w:space="0"/>
                    <w:bottom w:val="single" w:color="auto" w:sz="4" w:space="0"/>
                    <w:right w:val="single" w:color="auto" w:sz="4" w:space="0"/>
                  </w:tcBorders>
                  <w:noWrap/>
                  <w:vAlign w:val="center"/>
                </w:tcPr>
                <w:p w14:paraId="2FCD410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color w:val="auto"/>
                      <w:spacing w:val="-2"/>
                      <w:szCs w:val="21"/>
                      <w:highlight w:val="none"/>
                    </w:rPr>
                  </w:pPr>
                  <w:r>
                    <w:rPr>
                      <w:rFonts w:hint="default" w:ascii="Times New Roman" w:hAnsi="Times New Roman" w:eastAsia="宋体" w:cs="Times New Roman"/>
                      <w:b/>
                      <w:bCs/>
                      <w:color w:val="auto"/>
                      <w:spacing w:val="-2"/>
                      <w:szCs w:val="21"/>
                      <w:highlight w:val="none"/>
                    </w:rPr>
                    <w:t>浓度范围（mg/m</w:t>
                  </w:r>
                  <w:r>
                    <w:rPr>
                      <w:rFonts w:hint="default" w:ascii="Times New Roman" w:hAnsi="Times New Roman" w:eastAsia="宋体" w:cs="Times New Roman"/>
                      <w:b/>
                      <w:bCs/>
                      <w:color w:val="auto"/>
                      <w:spacing w:val="-2"/>
                      <w:szCs w:val="21"/>
                      <w:highlight w:val="none"/>
                      <w:vertAlign w:val="superscript"/>
                    </w:rPr>
                    <w:t>3</w:t>
                  </w:r>
                  <w:r>
                    <w:rPr>
                      <w:rFonts w:hint="default" w:ascii="Times New Roman" w:hAnsi="Times New Roman" w:eastAsia="宋体" w:cs="Times New Roman"/>
                      <w:b/>
                      <w:bCs/>
                      <w:color w:val="auto"/>
                      <w:spacing w:val="-2"/>
                      <w:szCs w:val="21"/>
                      <w:highlight w:val="none"/>
                    </w:rPr>
                    <w:t>）</w:t>
                  </w:r>
                </w:p>
              </w:tc>
              <w:tc>
                <w:tcPr>
                  <w:tcW w:w="1508" w:type="dxa"/>
                  <w:tcBorders>
                    <w:top w:val="single" w:color="auto" w:sz="4" w:space="0"/>
                    <w:left w:val="single" w:color="auto" w:sz="4" w:space="0"/>
                    <w:bottom w:val="single" w:color="auto" w:sz="4" w:space="0"/>
                    <w:right w:val="single" w:color="auto" w:sz="4" w:space="0"/>
                  </w:tcBorders>
                  <w:noWrap/>
                  <w:vAlign w:val="center"/>
                </w:tcPr>
                <w:p w14:paraId="009EA0F7">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color w:val="auto"/>
                      <w:spacing w:val="-2"/>
                      <w:szCs w:val="21"/>
                      <w:highlight w:val="none"/>
                    </w:rPr>
                  </w:pPr>
                  <w:r>
                    <w:rPr>
                      <w:rFonts w:hint="default" w:ascii="Times New Roman" w:hAnsi="Times New Roman" w:eastAsia="宋体" w:cs="Times New Roman"/>
                      <w:b/>
                      <w:bCs/>
                      <w:color w:val="auto"/>
                      <w:spacing w:val="-2"/>
                      <w:szCs w:val="21"/>
                      <w:highlight w:val="none"/>
                    </w:rPr>
                    <w:t>最大浓度占标率(%)</w:t>
                  </w:r>
                </w:p>
              </w:tc>
              <w:tc>
                <w:tcPr>
                  <w:tcW w:w="983" w:type="dxa"/>
                  <w:tcBorders>
                    <w:top w:val="single" w:color="auto" w:sz="4" w:space="0"/>
                    <w:left w:val="single" w:color="auto" w:sz="4" w:space="0"/>
                    <w:bottom w:val="single" w:color="auto" w:sz="4" w:space="0"/>
                    <w:right w:val="single" w:color="auto" w:sz="4" w:space="0"/>
                  </w:tcBorders>
                  <w:noWrap/>
                  <w:vAlign w:val="center"/>
                </w:tcPr>
                <w:p w14:paraId="704B11C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pacing w:val="-2"/>
                      <w:szCs w:val="21"/>
                      <w:highlight w:val="none"/>
                    </w:rPr>
                  </w:pPr>
                  <w:r>
                    <w:rPr>
                      <w:rFonts w:hint="default" w:ascii="Times New Roman" w:hAnsi="Times New Roman" w:eastAsia="宋体" w:cs="Times New Roman"/>
                      <w:b/>
                      <w:bCs/>
                      <w:color w:val="auto"/>
                      <w:spacing w:val="-2"/>
                      <w:szCs w:val="21"/>
                      <w:highlight w:val="none"/>
                    </w:rPr>
                    <w:t>超标率(%)</w:t>
                  </w:r>
                </w:p>
              </w:tc>
            </w:tr>
            <w:tr w14:paraId="5855D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872" w:type="dxa"/>
                  <w:tcBorders>
                    <w:left w:val="single" w:color="auto" w:sz="4" w:space="0"/>
                    <w:right w:val="single" w:color="auto" w:sz="4" w:space="0"/>
                  </w:tcBorders>
                  <w:noWrap/>
                  <w:vAlign w:val="center"/>
                </w:tcPr>
                <w:p w14:paraId="4FC4B035">
                  <w:pPr>
                    <w:jc w:val="center"/>
                    <w:rPr>
                      <w:rFonts w:hint="default" w:ascii="Times New Roman" w:hAnsi="Times New Roman" w:eastAsia="宋体" w:cs="Times New Roman"/>
                      <w:color w:val="auto"/>
                      <w:spacing w:val="-2"/>
                      <w:szCs w:val="21"/>
                      <w:highlight w:val="none"/>
                      <w:lang w:val="en-US" w:eastAsia="zh-CN"/>
                    </w:rPr>
                  </w:pPr>
                  <w:r>
                    <w:rPr>
                      <w:rFonts w:hint="default" w:ascii="Times New Roman" w:hAnsi="Times New Roman" w:eastAsia="宋体" w:cs="Times New Roman"/>
                      <w:color w:val="auto"/>
                      <w:spacing w:val="-2"/>
                      <w:szCs w:val="21"/>
                      <w:highlight w:val="none"/>
                      <w:lang w:val="en-US" w:eastAsia="zh-CN"/>
                    </w:rPr>
                    <w:t>TSP</w:t>
                  </w:r>
                </w:p>
              </w:tc>
              <w:tc>
                <w:tcPr>
                  <w:tcW w:w="1350" w:type="dxa"/>
                  <w:tcBorders>
                    <w:left w:val="single" w:color="auto" w:sz="4" w:space="0"/>
                    <w:right w:val="single" w:color="auto" w:sz="4" w:space="0"/>
                  </w:tcBorders>
                  <w:noWrap/>
                  <w:vAlign w:val="center"/>
                </w:tcPr>
                <w:p w14:paraId="1329B044">
                  <w:pPr>
                    <w:jc w:val="center"/>
                    <w:rPr>
                      <w:rFonts w:hint="default" w:ascii="Times New Roman" w:hAnsi="Times New Roman" w:eastAsia="宋体" w:cs="Times New Roman"/>
                      <w:color w:val="auto"/>
                      <w:spacing w:val="-2"/>
                      <w:szCs w:val="21"/>
                      <w:highlight w:val="none"/>
                      <w:lang w:val="en-US" w:eastAsia="zh-CN"/>
                    </w:rPr>
                  </w:pPr>
                  <w:r>
                    <w:rPr>
                      <w:rFonts w:hint="default" w:ascii="Times New Roman" w:hAnsi="Times New Roman" w:eastAsia="宋体" w:cs="Times New Roman"/>
                      <w:color w:val="auto"/>
                      <w:spacing w:val="-2"/>
                      <w:szCs w:val="21"/>
                      <w:highlight w:val="none"/>
                      <w:lang w:val="en-US" w:eastAsia="zh-CN"/>
                    </w:rPr>
                    <w:t>24小时均值</w:t>
                  </w:r>
                </w:p>
              </w:tc>
              <w:tc>
                <w:tcPr>
                  <w:tcW w:w="690" w:type="dxa"/>
                  <w:tcBorders>
                    <w:left w:val="single" w:color="auto" w:sz="4" w:space="0"/>
                    <w:right w:val="single" w:color="auto" w:sz="4" w:space="0"/>
                  </w:tcBorders>
                  <w:noWrap/>
                  <w:vAlign w:val="center"/>
                </w:tcPr>
                <w:p w14:paraId="717D8E36">
                  <w:pPr>
                    <w:jc w:val="center"/>
                    <w:rPr>
                      <w:rFonts w:hint="default" w:ascii="Times New Roman" w:hAnsi="Times New Roman" w:eastAsia="宋体" w:cs="Times New Roman"/>
                      <w:color w:val="auto"/>
                      <w:spacing w:val="-2"/>
                      <w:szCs w:val="21"/>
                      <w:highlight w:val="none"/>
                      <w:lang w:val="en-US" w:eastAsia="zh-CN"/>
                    </w:rPr>
                  </w:pPr>
                  <w:r>
                    <w:rPr>
                      <w:rFonts w:hint="default" w:ascii="Times New Roman" w:hAnsi="Times New Roman" w:eastAsia="宋体" w:cs="Times New Roman"/>
                      <w:color w:val="auto"/>
                      <w:spacing w:val="-2"/>
                      <w:szCs w:val="21"/>
                      <w:highlight w:val="none"/>
                      <w:lang w:val="en-US" w:eastAsia="zh-CN"/>
                    </w:rPr>
                    <w:t>0.3</w:t>
                  </w:r>
                </w:p>
              </w:tc>
              <w:tc>
                <w:tcPr>
                  <w:tcW w:w="2250" w:type="dxa"/>
                  <w:tcBorders>
                    <w:left w:val="single" w:color="auto" w:sz="4" w:space="0"/>
                    <w:right w:val="single" w:color="auto" w:sz="4" w:space="0"/>
                  </w:tcBorders>
                  <w:noWrap/>
                  <w:vAlign w:val="center"/>
                </w:tcPr>
                <w:p w14:paraId="2EE5BEE0">
                  <w:pPr>
                    <w:jc w:val="center"/>
                    <w:rPr>
                      <w:rFonts w:hint="default" w:ascii="Times New Roman" w:hAnsi="Times New Roman" w:eastAsia="宋体" w:cs="Times New Roman"/>
                      <w:color w:val="auto"/>
                      <w:spacing w:val="-2"/>
                      <w:szCs w:val="21"/>
                      <w:highlight w:val="none"/>
                      <w:lang w:val="en-US" w:eastAsia="zh-CN"/>
                    </w:rPr>
                  </w:pPr>
                  <w:r>
                    <w:rPr>
                      <w:rFonts w:hint="default" w:ascii="Times New Roman" w:hAnsi="Times New Roman" w:eastAsia="宋体" w:cs="Times New Roman"/>
                      <w:color w:val="auto"/>
                      <w:spacing w:val="-2"/>
                      <w:szCs w:val="21"/>
                      <w:highlight w:val="none"/>
                      <w:lang w:val="en-US" w:eastAsia="zh-CN"/>
                    </w:rPr>
                    <w:t>A1（柏岗布）</w:t>
                  </w:r>
                </w:p>
              </w:tc>
              <w:tc>
                <w:tcPr>
                  <w:tcW w:w="1405" w:type="dxa"/>
                  <w:tcBorders>
                    <w:top w:val="single" w:color="auto" w:sz="4" w:space="0"/>
                    <w:left w:val="single" w:color="auto" w:sz="4" w:space="0"/>
                    <w:bottom w:val="single" w:color="auto" w:sz="4" w:space="0"/>
                    <w:right w:val="single" w:color="auto" w:sz="4" w:space="0"/>
                  </w:tcBorders>
                  <w:noWrap/>
                  <w:vAlign w:val="center"/>
                </w:tcPr>
                <w:p w14:paraId="1377EF2F">
                  <w:pPr>
                    <w:jc w:val="center"/>
                    <w:rPr>
                      <w:rFonts w:hint="default" w:ascii="Times New Roman" w:hAnsi="Times New Roman" w:eastAsia="宋体" w:cs="Times New Roman"/>
                      <w:color w:val="auto"/>
                      <w:spacing w:val="-2"/>
                      <w:szCs w:val="21"/>
                      <w:highlight w:val="none"/>
                      <w:lang w:val="en-US" w:eastAsia="zh-CN"/>
                    </w:rPr>
                  </w:pPr>
                  <w:r>
                    <w:rPr>
                      <w:rFonts w:hint="default" w:ascii="Times New Roman" w:hAnsi="Times New Roman" w:eastAsia="宋体" w:cs="Times New Roman"/>
                      <w:color w:val="auto"/>
                      <w:spacing w:val="-2"/>
                      <w:szCs w:val="21"/>
                      <w:highlight w:val="none"/>
                    </w:rPr>
                    <w:t>0.</w:t>
                  </w:r>
                  <w:r>
                    <w:rPr>
                      <w:rFonts w:hint="default" w:ascii="Times New Roman" w:hAnsi="Times New Roman" w:eastAsia="宋体" w:cs="Times New Roman"/>
                      <w:color w:val="auto"/>
                      <w:spacing w:val="-2"/>
                      <w:szCs w:val="21"/>
                      <w:highlight w:val="none"/>
                      <w:lang w:val="en-US" w:eastAsia="zh-CN"/>
                    </w:rPr>
                    <w:t>094</w:t>
                  </w:r>
                  <w:r>
                    <w:rPr>
                      <w:rFonts w:hint="default" w:ascii="Times New Roman" w:hAnsi="Times New Roman" w:eastAsia="宋体" w:cs="Times New Roman"/>
                      <w:color w:val="auto"/>
                      <w:spacing w:val="-2"/>
                      <w:szCs w:val="21"/>
                      <w:highlight w:val="none"/>
                    </w:rPr>
                    <w:t>~0.</w:t>
                  </w:r>
                  <w:r>
                    <w:rPr>
                      <w:rFonts w:hint="default" w:ascii="Times New Roman" w:hAnsi="Times New Roman" w:eastAsia="宋体" w:cs="Times New Roman"/>
                      <w:color w:val="auto"/>
                      <w:spacing w:val="-2"/>
                      <w:szCs w:val="21"/>
                      <w:highlight w:val="none"/>
                      <w:lang w:val="en-US" w:eastAsia="zh-CN"/>
                    </w:rPr>
                    <w:t>132</w:t>
                  </w:r>
                </w:p>
              </w:tc>
              <w:tc>
                <w:tcPr>
                  <w:tcW w:w="1508" w:type="dxa"/>
                  <w:tcBorders>
                    <w:top w:val="single" w:color="auto" w:sz="4" w:space="0"/>
                    <w:left w:val="single" w:color="auto" w:sz="4" w:space="0"/>
                    <w:bottom w:val="single" w:color="auto" w:sz="4" w:space="0"/>
                    <w:right w:val="single" w:color="auto" w:sz="4" w:space="0"/>
                  </w:tcBorders>
                  <w:noWrap/>
                  <w:vAlign w:val="center"/>
                </w:tcPr>
                <w:p w14:paraId="42BF2348">
                  <w:pPr>
                    <w:jc w:val="center"/>
                    <w:rPr>
                      <w:rFonts w:hint="default" w:ascii="Times New Roman" w:hAnsi="Times New Roman" w:eastAsia="宋体" w:cs="Times New Roman"/>
                      <w:color w:val="auto"/>
                      <w:spacing w:val="-2"/>
                      <w:szCs w:val="21"/>
                      <w:highlight w:val="none"/>
                      <w:lang w:val="en-US" w:eastAsia="zh-CN"/>
                    </w:rPr>
                  </w:pPr>
                  <w:r>
                    <w:rPr>
                      <w:rFonts w:hint="default" w:ascii="Times New Roman" w:hAnsi="Times New Roman" w:eastAsia="宋体" w:cs="Times New Roman"/>
                      <w:color w:val="auto"/>
                      <w:spacing w:val="-2"/>
                      <w:szCs w:val="21"/>
                      <w:highlight w:val="none"/>
                      <w:lang w:val="en-US" w:eastAsia="zh-CN"/>
                    </w:rPr>
                    <w:t>44.0</w:t>
                  </w:r>
                </w:p>
              </w:tc>
              <w:tc>
                <w:tcPr>
                  <w:tcW w:w="983" w:type="dxa"/>
                  <w:tcBorders>
                    <w:top w:val="single" w:color="auto" w:sz="4" w:space="0"/>
                    <w:left w:val="single" w:color="auto" w:sz="4" w:space="0"/>
                    <w:bottom w:val="single" w:color="auto" w:sz="4" w:space="0"/>
                    <w:right w:val="single" w:color="auto" w:sz="4" w:space="0"/>
                  </w:tcBorders>
                  <w:noWrap/>
                  <w:vAlign w:val="center"/>
                </w:tcPr>
                <w:p w14:paraId="082E10CF">
                  <w:pPr>
                    <w:jc w:val="center"/>
                    <w:rPr>
                      <w:rFonts w:hint="default" w:ascii="Times New Roman" w:hAnsi="Times New Roman" w:eastAsia="宋体" w:cs="Times New Roman"/>
                      <w:color w:val="auto"/>
                      <w:spacing w:val="-2"/>
                      <w:szCs w:val="21"/>
                      <w:highlight w:val="none"/>
                    </w:rPr>
                  </w:pPr>
                  <w:r>
                    <w:rPr>
                      <w:rFonts w:hint="default" w:ascii="Times New Roman" w:hAnsi="Times New Roman" w:eastAsia="宋体" w:cs="Times New Roman"/>
                      <w:color w:val="auto"/>
                      <w:spacing w:val="-2"/>
                      <w:szCs w:val="21"/>
                      <w:highlight w:val="none"/>
                    </w:rPr>
                    <w:t>0</w:t>
                  </w:r>
                </w:p>
              </w:tc>
            </w:tr>
          </w:tbl>
          <w:p w14:paraId="6620CF6A">
            <w:pPr>
              <w:ind w:firstLine="422" w:firstLineChars="200"/>
              <w:jc w:val="center"/>
              <w:rPr>
                <w:rFonts w:hint="eastAsia"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Cs w:val="21"/>
                <w:highlight w:val="none"/>
              </w:rPr>
              <w:t>表3-</w:t>
            </w:r>
            <w:r>
              <w:rPr>
                <w:rFonts w:hint="eastAsia" w:ascii="Times New Roman" w:hAnsi="Times New Roman" w:eastAsia="宋体" w:cs="Times New Roman"/>
                <w:b/>
                <w:bCs/>
                <w:color w:val="auto"/>
                <w:szCs w:val="21"/>
                <w:highlight w:val="none"/>
                <w:lang w:val="en-US" w:eastAsia="zh-CN"/>
              </w:rPr>
              <w:t>2</w:t>
            </w:r>
            <w:r>
              <w:rPr>
                <w:rFonts w:hint="default" w:ascii="Times New Roman" w:hAnsi="Times New Roman" w:eastAsia="宋体" w:cs="Times New Roman"/>
                <w:b/>
                <w:bCs/>
                <w:color w:val="auto"/>
                <w:szCs w:val="21"/>
                <w:highlight w:val="none"/>
              </w:rPr>
              <w:t>环境空气质量现状监测结果</w:t>
            </w:r>
            <w:r>
              <w:rPr>
                <w:rFonts w:hint="eastAsia" w:ascii="Times New Roman" w:hAnsi="Times New Roman" w:eastAsia="宋体" w:cs="Times New Roman"/>
                <w:b/>
                <w:bCs/>
                <w:color w:val="auto"/>
                <w:szCs w:val="21"/>
                <w:highlight w:val="none"/>
                <w:lang w:val="en-US" w:eastAsia="zh-CN"/>
              </w:rPr>
              <w:t>2</w:t>
            </w:r>
          </w:p>
          <w:tbl>
            <w:tblPr>
              <w:tblStyle w:val="34"/>
              <w:tblW w:w="90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6"/>
              <w:gridCol w:w="1170"/>
              <w:gridCol w:w="1005"/>
              <w:gridCol w:w="1200"/>
              <w:gridCol w:w="1650"/>
              <w:gridCol w:w="1650"/>
              <w:gridCol w:w="1277"/>
            </w:tblGrid>
            <w:tr w14:paraId="6A95B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1106" w:type="dxa"/>
                  <w:vMerge w:val="restart"/>
                  <w:tcBorders>
                    <w:top w:val="single" w:color="auto" w:sz="4" w:space="0"/>
                    <w:left w:val="single" w:color="auto" w:sz="4" w:space="0"/>
                    <w:right w:val="single" w:color="auto" w:sz="4" w:space="0"/>
                  </w:tcBorders>
                  <w:noWrap/>
                  <w:vAlign w:val="center"/>
                </w:tcPr>
                <w:p w14:paraId="00509D9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pacing w:val="-2"/>
                      <w:szCs w:val="21"/>
                      <w:highlight w:val="none"/>
                    </w:rPr>
                  </w:pPr>
                  <w:r>
                    <w:rPr>
                      <w:rFonts w:hint="default" w:ascii="Times New Roman" w:hAnsi="Times New Roman" w:eastAsia="宋体" w:cs="Times New Roman"/>
                      <w:b/>
                      <w:bCs/>
                      <w:color w:val="auto"/>
                      <w:spacing w:val="-2"/>
                      <w:szCs w:val="21"/>
                      <w:highlight w:val="none"/>
                    </w:rPr>
                    <w:t>污染物</w:t>
                  </w:r>
                </w:p>
              </w:tc>
              <w:tc>
                <w:tcPr>
                  <w:tcW w:w="2175" w:type="dxa"/>
                  <w:gridSpan w:val="2"/>
                  <w:vMerge w:val="restart"/>
                  <w:tcBorders>
                    <w:top w:val="single" w:color="auto" w:sz="4" w:space="0"/>
                    <w:left w:val="single" w:color="auto" w:sz="4" w:space="0"/>
                    <w:right w:val="single" w:color="auto" w:sz="4" w:space="0"/>
                  </w:tcBorders>
                  <w:noWrap/>
                  <w:vAlign w:val="center"/>
                </w:tcPr>
                <w:p w14:paraId="3B494AA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pacing w:val="-2"/>
                      <w:szCs w:val="21"/>
                      <w:highlight w:val="none"/>
                      <w:lang w:eastAsia="zh-CN"/>
                    </w:rPr>
                  </w:pPr>
                  <w:r>
                    <w:rPr>
                      <w:rFonts w:hint="default" w:ascii="Times New Roman" w:hAnsi="Times New Roman" w:eastAsia="宋体" w:cs="Times New Roman"/>
                      <w:b/>
                      <w:bCs/>
                      <w:color w:val="auto"/>
                      <w:spacing w:val="-2"/>
                      <w:szCs w:val="21"/>
                      <w:highlight w:val="none"/>
                      <w:lang w:eastAsia="zh-CN"/>
                    </w:rPr>
                    <w:t>评价标准</w:t>
                  </w:r>
                  <w:r>
                    <w:rPr>
                      <w:rFonts w:hint="default" w:ascii="Times New Roman" w:hAnsi="Times New Roman" w:eastAsia="宋体" w:cs="Times New Roman"/>
                      <w:b/>
                      <w:bCs/>
                      <w:color w:val="auto"/>
                      <w:spacing w:val="-2"/>
                      <w:szCs w:val="21"/>
                      <w:highlight w:val="none"/>
                    </w:rPr>
                    <w:t>（mg/m</w:t>
                  </w:r>
                  <w:r>
                    <w:rPr>
                      <w:rFonts w:hint="default" w:ascii="Times New Roman" w:hAnsi="Times New Roman" w:eastAsia="宋体" w:cs="Times New Roman"/>
                      <w:b/>
                      <w:bCs/>
                      <w:color w:val="auto"/>
                      <w:spacing w:val="-2"/>
                      <w:szCs w:val="21"/>
                      <w:highlight w:val="none"/>
                      <w:vertAlign w:val="superscript"/>
                    </w:rPr>
                    <w:t>3</w:t>
                  </w:r>
                  <w:r>
                    <w:rPr>
                      <w:rFonts w:hint="default" w:ascii="Times New Roman" w:hAnsi="Times New Roman" w:eastAsia="宋体" w:cs="Times New Roman"/>
                      <w:b/>
                      <w:bCs/>
                      <w:color w:val="auto"/>
                      <w:spacing w:val="-2"/>
                      <w:szCs w:val="21"/>
                      <w:highlight w:val="none"/>
                    </w:rPr>
                    <w:t>）</w:t>
                  </w:r>
                </w:p>
              </w:tc>
              <w:tc>
                <w:tcPr>
                  <w:tcW w:w="1200" w:type="dxa"/>
                  <w:vMerge w:val="restart"/>
                  <w:tcBorders>
                    <w:top w:val="single" w:color="auto" w:sz="4" w:space="0"/>
                    <w:left w:val="single" w:color="auto" w:sz="4" w:space="0"/>
                    <w:bottom w:val="single" w:color="auto" w:sz="4" w:space="0"/>
                    <w:right w:val="single" w:color="auto" w:sz="4" w:space="0"/>
                  </w:tcBorders>
                  <w:noWrap/>
                  <w:vAlign w:val="center"/>
                </w:tcPr>
                <w:p w14:paraId="135B695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pacing w:val="-2"/>
                      <w:szCs w:val="21"/>
                      <w:highlight w:val="none"/>
                    </w:rPr>
                  </w:pPr>
                  <w:r>
                    <w:rPr>
                      <w:rFonts w:hint="default" w:ascii="Times New Roman" w:hAnsi="Times New Roman" w:eastAsia="宋体" w:cs="Times New Roman"/>
                      <w:b/>
                      <w:bCs/>
                      <w:color w:val="auto"/>
                      <w:spacing w:val="-2"/>
                      <w:szCs w:val="21"/>
                      <w:highlight w:val="none"/>
                    </w:rPr>
                    <w:t>监测点位</w:t>
                  </w:r>
                </w:p>
              </w:tc>
              <w:tc>
                <w:tcPr>
                  <w:tcW w:w="4577" w:type="dxa"/>
                  <w:gridSpan w:val="3"/>
                  <w:tcBorders>
                    <w:top w:val="single" w:color="auto" w:sz="4" w:space="0"/>
                    <w:left w:val="single" w:color="auto" w:sz="4" w:space="0"/>
                    <w:bottom w:val="single" w:color="auto" w:sz="4" w:space="0"/>
                    <w:right w:val="single" w:color="auto" w:sz="4" w:space="0"/>
                  </w:tcBorders>
                  <w:noWrap/>
                  <w:vAlign w:val="center"/>
                </w:tcPr>
                <w:p w14:paraId="7986E86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pacing w:val="-2"/>
                      <w:szCs w:val="21"/>
                      <w:highlight w:val="none"/>
                    </w:rPr>
                  </w:pPr>
                  <w:r>
                    <w:rPr>
                      <w:rFonts w:hint="eastAsia" w:ascii="Times New Roman" w:hAnsi="Times New Roman" w:eastAsia="宋体" w:cs="Times New Roman"/>
                      <w:b/>
                      <w:bCs/>
                      <w:color w:val="auto"/>
                      <w:spacing w:val="-2"/>
                      <w:szCs w:val="21"/>
                      <w:highlight w:val="none"/>
                      <w:lang w:val="en-US" w:eastAsia="zh-CN"/>
                    </w:rPr>
                    <w:t>检测</w:t>
                  </w:r>
                  <w:r>
                    <w:rPr>
                      <w:rFonts w:hint="default" w:ascii="Times New Roman" w:hAnsi="Times New Roman" w:eastAsia="宋体" w:cs="Times New Roman"/>
                      <w:b/>
                      <w:bCs/>
                      <w:color w:val="auto"/>
                      <w:spacing w:val="-2"/>
                      <w:szCs w:val="21"/>
                      <w:highlight w:val="none"/>
                    </w:rPr>
                    <w:t>浓度及分析结果</w:t>
                  </w:r>
                </w:p>
              </w:tc>
            </w:tr>
            <w:tr w14:paraId="1D21D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106" w:type="dxa"/>
                  <w:vMerge w:val="continue"/>
                  <w:tcBorders>
                    <w:left w:val="single" w:color="auto" w:sz="4" w:space="0"/>
                    <w:bottom w:val="single" w:color="auto" w:sz="4" w:space="0"/>
                    <w:right w:val="single" w:color="auto" w:sz="4" w:space="0"/>
                  </w:tcBorders>
                  <w:noWrap/>
                  <w:vAlign w:val="center"/>
                </w:tcPr>
                <w:p w14:paraId="6E1C8CA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pacing w:val="-2"/>
                      <w:szCs w:val="21"/>
                      <w:highlight w:val="none"/>
                    </w:rPr>
                  </w:pPr>
                </w:p>
              </w:tc>
              <w:tc>
                <w:tcPr>
                  <w:tcW w:w="2175" w:type="dxa"/>
                  <w:gridSpan w:val="2"/>
                  <w:vMerge w:val="continue"/>
                  <w:tcBorders>
                    <w:left w:val="single" w:color="auto" w:sz="4" w:space="0"/>
                    <w:bottom w:val="single" w:color="auto" w:sz="4" w:space="0"/>
                    <w:right w:val="single" w:color="auto" w:sz="4" w:space="0"/>
                  </w:tcBorders>
                  <w:noWrap/>
                  <w:vAlign w:val="center"/>
                </w:tcPr>
                <w:p w14:paraId="2A5F148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pacing w:val="-2"/>
                      <w:szCs w:val="21"/>
                      <w:highlight w:val="none"/>
                    </w:rPr>
                  </w:pPr>
                </w:p>
              </w:tc>
              <w:tc>
                <w:tcPr>
                  <w:tcW w:w="1200" w:type="dxa"/>
                  <w:vMerge w:val="continue"/>
                  <w:tcBorders>
                    <w:top w:val="single" w:color="auto" w:sz="4" w:space="0"/>
                    <w:left w:val="single" w:color="auto" w:sz="4" w:space="0"/>
                    <w:bottom w:val="single" w:color="auto" w:sz="4" w:space="0"/>
                    <w:right w:val="single" w:color="auto" w:sz="4" w:space="0"/>
                  </w:tcBorders>
                  <w:noWrap/>
                  <w:vAlign w:val="center"/>
                </w:tcPr>
                <w:p w14:paraId="76A80B8C">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pacing w:val="-2"/>
                      <w:szCs w:val="21"/>
                      <w:highlight w:val="none"/>
                    </w:rPr>
                  </w:pPr>
                </w:p>
              </w:tc>
              <w:tc>
                <w:tcPr>
                  <w:tcW w:w="1650" w:type="dxa"/>
                  <w:tcBorders>
                    <w:top w:val="single" w:color="auto" w:sz="4" w:space="0"/>
                    <w:left w:val="single" w:color="auto" w:sz="4" w:space="0"/>
                    <w:bottom w:val="single" w:color="auto" w:sz="4" w:space="0"/>
                    <w:right w:val="single" w:color="auto" w:sz="4" w:space="0"/>
                  </w:tcBorders>
                  <w:noWrap/>
                  <w:vAlign w:val="center"/>
                </w:tcPr>
                <w:p w14:paraId="6E17CE57">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color w:val="auto"/>
                      <w:spacing w:val="-2"/>
                      <w:szCs w:val="21"/>
                      <w:highlight w:val="none"/>
                    </w:rPr>
                  </w:pPr>
                  <w:r>
                    <w:rPr>
                      <w:rFonts w:hint="default" w:ascii="Times New Roman" w:hAnsi="Times New Roman" w:eastAsia="宋体" w:cs="Times New Roman"/>
                      <w:b/>
                      <w:bCs/>
                      <w:color w:val="auto"/>
                      <w:spacing w:val="-2"/>
                      <w:szCs w:val="21"/>
                      <w:highlight w:val="none"/>
                    </w:rPr>
                    <w:t>浓度（mg/m</w:t>
                  </w:r>
                  <w:r>
                    <w:rPr>
                      <w:rFonts w:hint="default" w:ascii="Times New Roman" w:hAnsi="Times New Roman" w:eastAsia="宋体" w:cs="Times New Roman"/>
                      <w:b/>
                      <w:bCs/>
                      <w:color w:val="auto"/>
                      <w:spacing w:val="-2"/>
                      <w:szCs w:val="21"/>
                      <w:highlight w:val="none"/>
                      <w:vertAlign w:val="superscript"/>
                    </w:rPr>
                    <w:t>3</w:t>
                  </w:r>
                  <w:r>
                    <w:rPr>
                      <w:rFonts w:hint="default" w:ascii="Times New Roman" w:hAnsi="Times New Roman" w:eastAsia="宋体" w:cs="Times New Roman"/>
                      <w:b/>
                      <w:bCs/>
                      <w:color w:val="auto"/>
                      <w:spacing w:val="-2"/>
                      <w:szCs w:val="21"/>
                      <w:highlight w:val="none"/>
                    </w:rPr>
                    <w:t>）</w:t>
                  </w:r>
                </w:p>
              </w:tc>
              <w:tc>
                <w:tcPr>
                  <w:tcW w:w="1650" w:type="dxa"/>
                  <w:tcBorders>
                    <w:top w:val="single" w:color="auto" w:sz="4" w:space="0"/>
                    <w:left w:val="single" w:color="auto" w:sz="4" w:space="0"/>
                    <w:bottom w:val="single" w:color="auto" w:sz="4" w:space="0"/>
                    <w:right w:val="single" w:color="auto" w:sz="4" w:space="0"/>
                  </w:tcBorders>
                  <w:noWrap/>
                  <w:vAlign w:val="center"/>
                </w:tcPr>
                <w:p w14:paraId="1D02596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color w:val="auto"/>
                      <w:spacing w:val="-2"/>
                      <w:szCs w:val="21"/>
                      <w:highlight w:val="none"/>
                    </w:rPr>
                  </w:pPr>
                  <w:r>
                    <w:rPr>
                      <w:rFonts w:hint="default" w:ascii="Times New Roman" w:hAnsi="Times New Roman" w:eastAsia="宋体" w:cs="Times New Roman"/>
                      <w:b/>
                      <w:bCs/>
                      <w:color w:val="auto"/>
                      <w:spacing w:val="-2"/>
                      <w:szCs w:val="21"/>
                      <w:highlight w:val="none"/>
                    </w:rPr>
                    <w:t>浓度占标率(%)</w:t>
                  </w:r>
                </w:p>
              </w:tc>
              <w:tc>
                <w:tcPr>
                  <w:tcW w:w="1277" w:type="dxa"/>
                  <w:tcBorders>
                    <w:top w:val="single" w:color="auto" w:sz="4" w:space="0"/>
                    <w:left w:val="single" w:color="auto" w:sz="4" w:space="0"/>
                    <w:bottom w:val="single" w:color="auto" w:sz="4" w:space="0"/>
                    <w:right w:val="single" w:color="auto" w:sz="4" w:space="0"/>
                  </w:tcBorders>
                  <w:noWrap/>
                  <w:vAlign w:val="center"/>
                </w:tcPr>
                <w:p w14:paraId="053B11A6">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pacing w:val="-2"/>
                      <w:szCs w:val="21"/>
                      <w:highlight w:val="none"/>
                    </w:rPr>
                  </w:pPr>
                  <w:r>
                    <w:rPr>
                      <w:rFonts w:hint="default" w:ascii="Times New Roman" w:hAnsi="Times New Roman" w:eastAsia="宋体" w:cs="Times New Roman"/>
                      <w:b/>
                      <w:bCs/>
                      <w:color w:val="auto"/>
                      <w:spacing w:val="-2"/>
                      <w:szCs w:val="21"/>
                      <w:highlight w:val="none"/>
                    </w:rPr>
                    <w:t>超标率(%)</w:t>
                  </w:r>
                </w:p>
              </w:tc>
            </w:tr>
            <w:tr w14:paraId="1C674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106" w:type="dxa"/>
                  <w:tcBorders>
                    <w:left w:val="single" w:color="auto" w:sz="4" w:space="0"/>
                    <w:right w:val="single" w:color="auto" w:sz="4" w:space="0"/>
                  </w:tcBorders>
                  <w:noWrap/>
                  <w:vAlign w:val="center"/>
                </w:tcPr>
                <w:p w14:paraId="34E7F3AE">
                  <w:pPr>
                    <w:jc w:val="center"/>
                    <w:rPr>
                      <w:rFonts w:hint="default" w:ascii="Times New Roman" w:hAnsi="Times New Roman" w:eastAsia="宋体" w:cs="Times New Roman"/>
                      <w:color w:val="auto"/>
                      <w:spacing w:val="-2"/>
                      <w:szCs w:val="21"/>
                      <w:highlight w:val="none"/>
                      <w:lang w:val="en-US" w:eastAsia="zh-CN"/>
                    </w:rPr>
                  </w:pPr>
                  <w:r>
                    <w:rPr>
                      <w:rFonts w:hint="eastAsia" w:ascii="Times New Roman" w:hAnsi="Times New Roman" w:eastAsia="宋体" w:cs="Times New Roman"/>
                      <w:color w:val="auto"/>
                      <w:spacing w:val="-2"/>
                      <w:szCs w:val="21"/>
                      <w:highlight w:val="none"/>
                      <w:lang w:val="en-US" w:eastAsia="zh-CN"/>
                    </w:rPr>
                    <w:t>氮氧化物</w:t>
                  </w:r>
                </w:p>
              </w:tc>
              <w:tc>
                <w:tcPr>
                  <w:tcW w:w="1170" w:type="dxa"/>
                  <w:tcBorders>
                    <w:left w:val="single" w:color="auto" w:sz="4" w:space="0"/>
                    <w:right w:val="single" w:color="auto" w:sz="4" w:space="0"/>
                  </w:tcBorders>
                  <w:noWrap/>
                  <w:vAlign w:val="center"/>
                </w:tcPr>
                <w:p w14:paraId="1A208092">
                  <w:pPr>
                    <w:jc w:val="center"/>
                    <w:rPr>
                      <w:rFonts w:hint="default" w:ascii="Times New Roman" w:hAnsi="Times New Roman" w:eastAsia="宋体" w:cs="Times New Roman"/>
                      <w:color w:val="auto"/>
                      <w:spacing w:val="-2"/>
                      <w:szCs w:val="21"/>
                      <w:highlight w:val="none"/>
                      <w:lang w:val="en-US" w:eastAsia="zh-CN"/>
                    </w:rPr>
                  </w:pPr>
                  <w:r>
                    <w:rPr>
                      <w:rFonts w:hint="eastAsia" w:ascii="Times New Roman" w:hAnsi="Times New Roman" w:eastAsia="宋体" w:cs="Times New Roman"/>
                      <w:color w:val="auto"/>
                      <w:spacing w:val="-2"/>
                      <w:szCs w:val="21"/>
                      <w:highlight w:val="none"/>
                      <w:lang w:val="en-US" w:eastAsia="zh-CN"/>
                    </w:rPr>
                    <w:t>1</w:t>
                  </w:r>
                  <w:r>
                    <w:rPr>
                      <w:rFonts w:hint="default" w:ascii="Times New Roman" w:hAnsi="Times New Roman" w:eastAsia="宋体" w:cs="Times New Roman"/>
                      <w:color w:val="auto"/>
                      <w:spacing w:val="-2"/>
                      <w:szCs w:val="21"/>
                      <w:highlight w:val="none"/>
                      <w:lang w:val="en-US" w:eastAsia="zh-CN"/>
                    </w:rPr>
                    <w:t>小时均值</w:t>
                  </w:r>
                </w:p>
              </w:tc>
              <w:tc>
                <w:tcPr>
                  <w:tcW w:w="1005" w:type="dxa"/>
                  <w:tcBorders>
                    <w:left w:val="single" w:color="auto" w:sz="4" w:space="0"/>
                    <w:right w:val="single" w:color="auto" w:sz="4" w:space="0"/>
                  </w:tcBorders>
                  <w:noWrap/>
                  <w:vAlign w:val="center"/>
                </w:tcPr>
                <w:p w14:paraId="321E26CF">
                  <w:pPr>
                    <w:jc w:val="center"/>
                    <w:rPr>
                      <w:rFonts w:hint="default" w:ascii="Times New Roman" w:hAnsi="Times New Roman" w:eastAsia="宋体" w:cs="Times New Roman"/>
                      <w:color w:val="auto"/>
                      <w:spacing w:val="-2"/>
                      <w:szCs w:val="21"/>
                      <w:highlight w:val="none"/>
                      <w:lang w:val="en-US" w:eastAsia="zh-CN"/>
                    </w:rPr>
                  </w:pPr>
                  <w:r>
                    <w:rPr>
                      <w:rFonts w:hint="eastAsia" w:ascii="Times New Roman" w:hAnsi="Times New Roman" w:eastAsia="宋体" w:cs="Times New Roman"/>
                      <w:color w:val="auto"/>
                      <w:spacing w:val="-2"/>
                      <w:szCs w:val="21"/>
                      <w:highlight w:val="none"/>
                      <w:lang w:val="en-US" w:eastAsia="zh-CN"/>
                    </w:rPr>
                    <w:t>0.25</w:t>
                  </w:r>
                </w:p>
              </w:tc>
              <w:tc>
                <w:tcPr>
                  <w:tcW w:w="1200" w:type="dxa"/>
                  <w:tcBorders>
                    <w:left w:val="single" w:color="auto" w:sz="4" w:space="0"/>
                    <w:right w:val="single" w:color="auto" w:sz="4" w:space="0"/>
                  </w:tcBorders>
                  <w:noWrap/>
                  <w:vAlign w:val="center"/>
                </w:tcPr>
                <w:p w14:paraId="08BD1FA7">
                  <w:pPr>
                    <w:jc w:val="center"/>
                    <w:rPr>
                      <w:rFonts w:hint="default" w:ascii="Times New Roman" w:hAnsi="Times New Roman" w:eastAsia="宋体" w:cs="Times New Roman"/>
                      <w:color w:val="auto"/>
                      <w:spacing w:val="-2"/>
                      <w:szCs w:val="21"/>
                      <w:highlight w:val="none"/>
                      <w:lang w:val="en-US" w:eastAsia="zh-CN"/>
                    </w:rPr>
                  </w:pPr>
                  <w:r>
                    <w:rPr>
                      <w:rFonts w:hint="eastAsia" w:ascii="Times New Roman" w:hAnsi="Times New Roman" w:eastAsia="宋体" w:cs="Times New Roman"/>
                      <w:color w:val="auto"/>
                      <w:spacing w:val="-2"/>
                      <w:szCs w:val="21"/>
                      <w:highlight w:val="none"/>
                      <w:lang w:val="en-US" w:eastAsia="zh-CN"/>
                    </w:rPr>
                    <w:t>4#</w:t>
                  </w:r>
                </w:p>
              </w:tc>
              <w:tc>
                <w:tcPr>
                  <w:tcW w:w="1650" w:type="dxa"/>
                  <w:tcBorders>
                    <w:top w:val="single" w:color="auto" w:sz="4" w:space="0"/>
                    <w:left w:val="single" w:color="auto" w:sz="4" w:space="0"/>
                    <w:bottom w:val="single" w:color="auto" w:sz="4" w:space="0"/>
                    <w:right w:val="single" w:color="auto" w:sz="4" w:space="0"/>
                  </w:tcBorders>
                  <w:noWrap/>
                  <w:vAlign w:val="center"/>
                </w:tcPr>
                <w:p w14:paraId="06FC6A61">
                  <w:pPr>
                    <w:jc w:val="center"/>
                    <w:rPr>
                      <w:rFonts w:hint="default" w:ascii="Times New Roman" w:hAnsi="Times New Roman" w:eastAsia="宋体" w:cs="Times New Roman"/>
                      <w:color w:val="auto"/>
                      <w:spacing w:val="-2"/>
                      <w:szCs w:val="21"/>
                      <w:highlight w:val="none"/>
                      <w:lang w:val="en-US" w:eastAsia="zh-CN"/>
                    </w:rPr>
                  </w:pPr>
                  <w:r>
                    <w:rPr>
                      <w:rFonts w:hint="eastAsia" w:ascii="Times New Roman" w:hAnsi="Times New Roman" w:eastAsia="宋体" w:cs="Times New Roman"/>
                      <w:color w:val="auto"/>
                      <w:spacing w:val="-2"/>
                      <w:szCs w:val="21"/>
                      <w:highlight w:val="none"/>
                      <w:lang w:val="en-US" w:eastAsia="zh-CN"/>
                    </w:rPr>
                    <w:t>0.040</w:t>
                  </w:r>
                </w:p>
              </w:tc>
              <w:tc>
                <w:tcPr>
                  <w:tcW w:w="1650" w:type="dxa"/>
                  <w:tcBorders>
                    <w:top w:val="single" w:color="auto" w:sz="4" w:space="0"/>
                    <w:left w:val="single" w:color="auto" w:sz="4" w:space="0"/>
                    <w:bottom w:val="single" w:color="auto" w:sz="4" w:space="0"/>
                    <w:right w:val="single" w:color="auto" w:sz="4" w:space="0"/>
                  </w:tcBorders>
                  <w:noWrap/>
                  <w:vAlign w:val="center"/>
                </w:tcPr>
                <w:p w14:paraId="6AB23652">
                  <w:pPr>
                    <w:jc w:val="center"/>
                    <w:rPr>
                      <w:rFonts w:hint="default" w:ascii="Times New Roman" w:hAnsi="Times New Roman" w:eastAsia="宋体" w:cs="Times New Roman"/>
                      <w:color w:val="auto"/>
                      <w:spacing w:val="-2"/>
                      <w:szCs w:val="21"/>
                      <w:highlight w:val="none"/>
                      <w:lang w:val="en-US" w:eastAsia="zh-CN"/>
                    </w:rPr>
                  </w:pPr>
                  <w:r>
                    <w:rPr>
                      <w:rFonts w:hint="eastAsia" w:ascii="Times New Roman" w:hAnsi="Times New Roman" w:eastAsia="宋体" w:cs="Times New Roman"/>
                      <w:color w:val="auto"/>
                      <w:spacing w:val="-2"/>
                      <w:szCs w:val="21"/>
                      <w:highlight w:val="none"/>
                      <w:lang w:val="en-US" w:eastAsia="zh-CN"/>
                    </w:rPr>
                    <w:t>16.0</w:t>
                  </w:r>
                </w:p>
              </w:tc>
              <w:tc>
                <w:tcPr>
                  <w:tcW w:w="1277" w:type="dxa"/>
                  <w:tcBorders>
                    <w:top w:val="single" w:color="auto" w:sz="4" w:space="0"/>
                    <w:left w:val="single" w:color="auto" w:sz="4" w:space="0"/>
                    <w:bottom w:val="single" w:color="auto" w:sz="4" w:space="0"/>
                    <w:right w:val="single" w:color="auto" w:sz="4" w:space="0"/>
                  </w:tcBorders>
                  <w:noWrap/>
                  <w:vAlign w:val="center"/>
                </w:tcPr>
                <w:p w14:paraId="012C9052">
                  <w:pPr>
                    <w:jc w:val="center"/>
                    <w:rPr>
                      <w:rFonts w:hint="default" w:ascii="Times New Roman" w:hAnsi="Times New Roman" w:eastAsia="宋体" w:cs="Times New Roman"/>
                      <w:color w:val="auto"/>
                      <w:spacing w:val="-2"/>
                      <w:szCs w:val="21"/>
                      <w:highlight w:val="none"/>
                    </w:rPr>
                  </w:pPr>
                  <w:r>
                    <w:rPr>
                      <w:rFonts w:hint="default" w:ascii="Times New Roman" w:hAnsi="Times New Roman" w:eastAsia="宋体" w:cs="Times New Roman"/>
                      <w:color w:val="auto"/>
                      <w:spacing w:val="-2"/>
                      <w:szCs w:val="21"/>
                      <w:highlight w:val="none"/>
                    </w:rPr>
                    <w:t>0</w:t>
                  </w:r>
                </w:p>
              </w:tc>
            </w:tr>
          </w:tbl>
          <w:p w14:paraId="5174ACFE">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cs="Times New Roman"/>
                <w:bCs/>
                <w:color w:val="auto"/>
                <w:sz w:val="21"/>
                <w:szCs w:val="21"/>
                <w:highlight w:val="none"/>
                <w:shd w:val="clear" w:color="auto" w:fill="auto"/>
              </w:rPr>
            </w:pPr>
          </w:p>
          <w:p w14:paraId="6C2917B7">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default" w:ascii="Times New Roman" w:hAnsi="Times New Roman" w:cs="Times New Roman"/>
                <w:bCs/>
                <w:color w:val="auto"/>
                <w:sz w:val="21"/>
                <w:szCs w:val="21"/>
                <w:highlight w:val="none"/>
                <w:shd w:val="clear" w:color="auto" w:fill="auto"/>
              </w:rPr>
            </w:pPr>
            <w:r>
              <w:rPr>
                <w:rFonts w:hint="default" w:ascii="Times New Roman" w:hAnsi="Times New Roman" w:cs="Times New Roman"/>
                <w:color w:val="auto"/>
                <w:sz w:val="21"/>
                <w:highlight w:val="none"/>
              </w:rPr>
              <mc:AlternateContent>
                <mc:Choice Requires="wps">
                  <w:drawing>
                    <wp:anchor distT="0" distB="0" distL="114300" distR="114300" simplePos="0" relativeHeight="251662336" behindDoc="0" locked="0" layoutInCell="1" allowOverlap="1">
                      <wp:simplePos x="0" y="0"/>
                      <wp:positionH relativeFrom="column">
                        <wp:posOffset>513080</wp:posOffset>
                      </wp:positionH>
                      <wp:positionV relativeFrom="paragraph">
                        <wp:posOffset>2736215</wp:posOffset>
                      </wp:positionV>
                      <wp:extent cx="350520" cy="247650"/>
                      <wp:effectExtent l="0" t="0" r="0" b="0"/>
                      <wp:wrapNone/>
                      <wp:docPr id="97" name="文本框 97"/>
                      <wp:cNvGraphicFramePr/>
                      <a:graphic xmlns:a="http://schemas.openxmlformats.org/drawingml/2006/main">
                        <a:graphicData uri="http://schemas.microsoft.com/office/word/2010/wordprocessingShape">
                          <wps:wsp>
                            <wps:cNvSpPr txBox="1"/>
                            <wps:spPr>
                              <a:xfrm>
                                <a:off x="0" y="0"/>
                                <a:ext cx="350520" cy="247650"/>
                              </a:xfrm>
                              <a:prstGeom prst="rect">
                                <a:avLst/>
                              </a:prstGeom>
                              <a:noFill/>
                              <a:ln>
                                <a:noFill/>
                              </a:ln>
                              <a:effectLst/>
                            </wps:spPr>
                            <wps:txbx>
                              <w:txbxContent>
                                <w:p w14:paraId="48E4C71B">
                                  <w:pPr>
                                    <w:rPr>
                                      <w:rFonts w:hint="default" w:eastAsia="宋体"/>
                                      <w:b/>
                                      <w:bCs/>
                                      <w:color w:val="FFFF00"/>
                                      <w:lang w:val="en-US" w:eastAsia="zh-CN"/>
                                    </w:rPr>
                                  </w:pPr>
                                  <w:r>
                                    <w:rPr>
                                      <w:rFonts w:hint="eastAsia"/>
                                      <w:b/>
                                      <w:bCs/>
                                      <w:color w:val="FFFF00"/>
                                      <w:lang w:val="en-US" w:eastAsia="zh-CN"/>
                                    </w:rPr>
                                    <w:t>4#</w:t>
                                  </w:r>
                                </w:p>
                              </w:txbxContent>
                            </wps:txbx>
                            <wps:bodyPr upright="1"/>
                          </wps:wsp>
                        </a:graphicData>
                      </a:graphic>
                    </wp:anchor>
                  </w:drawing>
                </mc:Choice>
                <mc:Fallback>
                  <w:pict>
                    <v:shape id="_x0000_s1026" o:spid="_x0000_s1026" o:spt="202" type="#_x0000_t202" style="position:absolute;left:0pt;margin-left:40.4pt;margin-top:215.45pt;height:19.5pt;width:27.6pt;z-index:251662336;mso-width-relative:page;mso-height-relative:page;" filled="f" stroked="f" coordsize="21600,21600" o:gfxdata="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j&#10;E3F+1wAAAAoBAAAPAAAAAAAAAAEAIAAAACIAAABkcnMvZG93bnJldi54bWxQSwECFAAUAAAACACH&#10;TuJAh0kUpbMBAABdAwAADgAAAAAAAAABACAAAAAmAQAAZHJzL2Uyb0RvYy54bWxQSwUGAAAAAAYA&#10;BgBZAQAASwUAAAAA&#10;">
                      <v:fill on="f" focussize="0,0"/>
                      <v:stroke on="f"/>
                      <v:imagedata o:title=""/>
                      <o:lock v:ext="edit" aspectratio="f"/>
                      <v:textbox>
                        <w:txbxContent>
                          <w:p w14:paraId="48E4C71B">
                            <w:pPr>
                              <w:rPr>
                                <w:rFonts w:hint="default" w:eastAsia="宋体"/>
                                <w:b/>
                                <w:bCs/>
                                <w:color w:val="FFFF00"/>
                                <w:lang w:val="en-US" w:eastAsia="zh-CN"/>
                              </w:rPr>
                            </w:pPr>
                            <w:r>
                              <w:rPr>
                                <w:rFonts w:hint="eastAsia"/>
                                <w:b/>
                                <w:bCs/>
                                <w:color w:val="FFFF00"/>
                                <w:lang w:val="en-US" w:eastAsia="zh-CN"/>
                              </w:rPr>
                              <w:t>4#</w:t>
                            </w:r>
                          </w:p>
                        </w:txbxContent>
                      </v:textbox>
                    </v:shape>
                  </w:pict>
                </mc:Fallback>
              </mc:AlternateContent>
            </w:r>
            <w:r>
              <w:rPr>
                <w:rFonts w:hint="default" w:ascii="Times New Roman" w:hAnsi="Times New Roman" w:cs="Times New Roman"/>
                <w:color w:val="auto"/>
                <w:sz w:val="21"/>
                <w:highlight w:val="none"/>
              </w:rPr>
              <mc:AlternateContent>
                <mc:Choice Requires="wps">
                  <w:drawing>
                    <wp:anchor distT="0" distB="0" distL="114300" distR="114300" simplePos="0" relativeHeight="251679744" behindDoc="0" locked="0" layoutInCell="1" allowOverlap="1">
                      <wp:simplePos x="0" y="0"/>
                      <wp:positionH relativeFrom="column">
                        <wp:posOffset>579120</wp:posOffset>
                      </wp:positionH>
                      <wp:positionV relativeFrom="paragraph">
                        <wp:posOffset>1010285</wp:posOffset>
                      </wp:positionV>
                      <wp:extent cx="2922905" cy="1773555"/>
                      <wp:effectExtent l="0" t="6985" r="10795" b="10160"/>
                      <wp:wrapNone/>
                      <wp:docPr id="272" name="直接箭头连接符 272"/>
                      <wp:cNvGraphicFramePr/>
                      <a:graphic xmlns:a="http://schemas.openxmlformats.org/drawingml/2006/main">
                        <a:graphicData uri="http://schemas.microsoft.com/office/word/2010/wordprocessingShape">
                          <wps:wsp>
                            <wps:cNvCnPr/>
                            <wps:spPr>
                              <a:xfrm flipH="1">
                                <a:off x="0" y="0"/>
                                <a:ext cx="2922905" cy="1773555"/>
                              </a:xfrm>
                              <a:prstGeom prst="straightConnector1">
                                <a:avLst/>
                              </a:prstGeom>
                              <a:ln w="15875" cap="flat" cmpd="sng">
                                <a:solidFill>
                                  <a:srgbClr val="FF0000"/>
                                </a:solidFill>
                                <a:prstDash val="solid"/>
                                <a:round/>
                                <a:headEnd type="none" w="med" len="med"/>
                                <a:tailEnd type="arrow" w="med" len="med"/>
                              </a:ln>
                            </wps:spPr>
                            <wps:bodyPr/>
                          </wps:wsp>
                        </a:graphicData>
                      </a:graphic>
                    </wp:anchor>
                  </w:drawing>
                </mc:Choice>
                <mc:Fallback>
                  <w:pict>
                    <v:shape id="_x0000_s1026" o:spid="_x0000_s1026" o:spt="32" type="#_x0000_t32" style="position:absolute;left:0pt;flip:x;margin-left:45.6pt;margin-top:79.55pt;height:139.65pt;width:230.15pt;z-index:251679744;mso-width-relative:page;mso-height-relative:page;" filled="f" stroked="t" coordsize="21600,21600" o:gfxdata="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y/jvtYAAAAKAQAADwAA&#10;AAAAAAABACAAAAAiAAAAZHJzL2Rvd25yZXYueG1sUEsBAhQAFAAAAAgAh07iQGvdx9gYAgAADAQA&#10;AA4AAAAAAAAAAQAgAAAAJQEAAGRycy9lMm9Eb2MueG1sUEsFBgAAAAAGAAYAWQEAAK8FAAAAAA==&#10;">
                      <v:fill on="f" focussize="0,0"/>
                      <v:stroke weight="1.25pt" color="#FF0000" joinstyle="round" endarrow="open"/>
                      <v:imagedata o:title=""/>
                      <o:lock v:ext="edit" aspectratio="f"/>
                    </v:shape>
                  </w:pict>
                </mc:Fallback>
              </mc:AlternateContent>
            </w:r>
            <w:r>
              <w:rPr>
                <w:rFonts w:hint="default" w:ascii="Times New Roman" w:hAnsi="Times New Roman" w:cs="Times New Roman"/>
                <w:color w:val="auto"/>
                <w:sz w:val="21"/>
                <w:highlight w:val="none"/>
              </w:rPr>
              <mc:AlternateContent>
                <mc:Choice Requires="wps">
                  <w:drawing>
                    <wp:anchor distT="0" distB="0" distL="114300" distR="114300" simplePos="0" relativeHeight="251680768" behindDoc="0" locked="0" layoutInCell="1" allowOverlap="1">
                      <wp:simplePos x="0" y="0"/>
                      <wp:positionH relativeFrom="column">
                        <wp:posOffset>1417955</wp:posOffset>
                      </wp:positionH>
                      <wp:positionV relativeFrom="paragraph">
                        <wp:posOffset>1850390</wp:posOffset>
                      </wp:positionV>
                      <wp:extent cx="570230" cy="257175"/>
                      <wp:effectExtent l="0" t="0" r="0" b="0"/>
                      <wp:wrapNone/>
                      <wp:docPr id="286" name="文本框 286"/>
                      <wp:cNvGraphicFramePr/>
                      <a:graphic xmlns:a="http://schemas.openxmlformats.org/drawingml/2006/main">
                        <a:graphicData uri="http://schemas.microsoft.com/office/word/2010/wordprocessingShape">
                          <wps:wsp>
                            <wps:cNvSpPr txBox="1"/>
                            <wps:spPr>
                              <a:xfrm>
                                <a:off x="0" y="0"/>
                                <a:ext cx="570230" cy="257175"/>
                              </a:xfrm>
                              <a:prstGeom prst="rect">
                                <a:avLst/>
                              </a:prstGeom>
                              <a:noFill/>
                              <a:ln>
                                <a:noFill/>
                              </a:ln>
                              <a:effectLst/>
                            </wps:spPr>
                            <wps:txbx>
                              <w:txbxContent>
                                <w:p w14:paraId="0F69CB15">
                                  <w:pPr>
                                    <w:rPr>
                                      <w:rFonts w:hint="default" w:eastAsia="宋体"/>
                                      <w:color w:val="FFFF00"/>
                                      <w:lang w:val="en-US" w:eastAsia="zh-CN"/>
                                    </w:rPr>
                                  </w:pPr>
                                  <w:r>
                                    <w:rPr>
                                      <w:rFonts w:hint="eastAsia"/>
                                      <w:color w:val="FFFF00"/>
                                      <w:lang w:val="en-US" w:eastAsia="zh-CN"/>
                                    </w:rPr>
                                    <w:t>1606m</w:t>
                                  </w:r>
                                </w:p>
                              </w:txbxContent>
                            </wps:txbx>
                            <wps:bodyPr upright="1"/>
                          </wps:wsp>
                        </a:graphicData>
                      </a:graphic>
                    </wp:anchor>
                  </w:drawing>
                </mc:Choice>
                <mc:Fallback>
                  <w:pict>
                    <v:shape id="_x0000_s1026" o:spid="_x0000_s1026" o:spt="202" type="#_x0000_t202" style="position:absolute;left:0pt;margin-left:111.65pt;margin-top:145.7pt;height:20.25pt;width:44.9pt;z-index:251680768;mso-width-relative:page;mso-height-relative:page;" filled="f" stroked="f" coordsize="21600,21600" o:gfxdata="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DH8&#10;EvHXAAAACwEAAA8AAAAAAAAAAQAgAAAAIgAAAGRycy9kb3ducmV2LnhtbFBLAQIUABQAAAAIAIdO&#10;4kDyI8WcsgEAAF8DAAAOAAAAAAAAAAEAIAAAACYBAABkcnMvZTJvRG9jLnhtbFBLBQYAAAAABgAG&#10;AFkBAABKBQAAAAA=&#10;">
                      <v:fill on="f" focussize="0,0"/>
                      <v:stroke on="f"/>
                      <v:imagedata o:title=""/>
                      <o:lock v:ext="edit" aspectratio="f"/>
                      <v:textbox>
                        <w:txbxContent>
                          <w:p w14:paraId="0F69CB15">
                            <w:pPr>
                              <w:rPr>
                                <w:rFonts w:hint="default" w:eastAsia="宋体"/>
                                <w:color w:val="FFFF00"/>
                                <w:lang w:val="en-US" w:eastAsia="zh-CN"/>
                              </w:rPr>
                            </w:pPr>
                            <w:r>
                              <w:rPr>
                                <w:rFonts w:hint="eastAsia"/>
                                <w:color w:val="FFFF00"/>
                                <w:lang w:val="en-US" w:eastAsia="zh-CN"/>
                              </w:rPr>
                              <w:t>1606m</w:t>
                            </w:r>
                          </w:p>
                        </w:txbxContent>
                      </v:textbox>
                    </v:shape>
                  </w:pict>
                </mc:Fallback>
              </mc:AlternateContent>
            </w:r>
            <w:r>
              <w:rPr>
                <w:rFonts w:hint="default" w:ascii="Times New Roman" w:hAnsi="Times New Roman" w:cs="Times New Roman"/>
                <w:color w:val="auto"/>
                <w:sz w:val="21"/>
                <w:highlight w:val="none"/>
              </w:rPr>
              <mc:AlternateContent>
                <mc:Choice Requires="wps">
                  <w:drawing>
                    <wp:anchor distT="0" distB="0" distL="114300" distR="114300" simplePos="0" relativeHeight="251664384" behindDoc="0" locked="0" layoutInCell="1" allowOverlap="1">
                      <wp:simplePos x="0" y="0"/>
                      <wp:positionH relativeFrom="column">
                        <wp:posOffset>3084830</wp:posOffset>
                      </wp:positionH>
                      <wp:positionV relativeFrom="paragraph">
                        <wp:posOffset>793115</wp:posOffset>
                      </wp:positionV>
                      <wp:extent cx="570230" cy="257175"/>
                      <wp:effectExtent l="0" t="0" r="0" b="0"/>
                      <wp:wrapNone/>
                      <wp:docPr id="93" name="文本框 93"/>
                      <wp:cNvGraphicFramePr/>
                      <a:graphic xmlns:a="http://schemas.openxmlformats.org/drawingml/2006/main">
                        <a:graphicData uri="http://schemas.microsoft.com/office/word/2010/wordprocessingShape">
                          <wps:wsp>
                            <wps:cNvSpPr txBox="1"/>
                            <wps:spPr>
                              <a:xfrm>
                                <a:off x="0" y="0"/>
                                <a:ext cx="570230" cy="257175"/>
                              </a:xfrm>
                              <a:prstGeom prst="rect">
                                <a:avLst/>
                              </a:prstGeom>
                              <a:noFill/>
                              <a:ln>
                                <a:noFill/>
                              </a:ln>
                              <a:effectLst/>
                            </wps:spPr>
                            <wps:txbx>
                              <w:txbxContent>
                                <w:p w14:paraId="779FF8BE">
                                  <w:pPr>
                                    <w:rPr>
                                      <w:rFonts w:hint="default" w:eastAsia="宋体"/>
                                      <w:color w:val="FFFF00"/>
                                      <w:lang w:val="en-US" w:eastAsia="zh-CN"/>
                                    </w:rPr>
                                  </w:pPr>
                                  <w:r>
                                    <w:rPr>
                                      <w:rFonts w:hint="eastAsia"/>
                                      <w:color w:val="FFFF00"/>
                                      <w:lang w:val="en-US" w:eastAsia="zh-CN"/>
                                    </w:rPr>
                                    <w:t>182m</w:t>
                                  </w:r>
                                </w:p>
                              </w:txbxContent>
                            </wps:txbx>
                            <wps:bodyPr upright="1"/>
                          </wps:wsp>
                        </a:graphicData>
                      </a:graphic>
                    </wp:anchor>
                  </w:drawing>
                </mc:Choice>
                <mc:Fallback>
                  <w:pict>
                    <v:shape id="_x0000_s1026" o:spid="_x0000_s1026" o:spt="202" type="#_x0000_t202" style="position:absolute;left:0pt;margin-left:242.9pt;margin-top:62.45pt;height:20.25pt;width:44.9pt;z-index:251664384;mso-width-relative:page;mso-height-relative:page;" filled="f" stroked="f" coordsize="21600,21600" o:gfxdata="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Ag&#10;0yCp2AAAAAsBAAAPAAAAAAAAAAEAIAAAACIAAABkcnMvZG93bnJldi54bWxQSwECFAAUAAAACACH&#10;TuJAWqYq5bIBAABdAwAADgAAAAAAAAABACAAAAAnAQAAZHJzL2Uyb0RvYy54bWxQSwUGAAAAAAYA&#10;BgBZAQAASwUAAAAA&#10;">
                      <v:fill on="f" focussize="0,0"/>
                      <v:stroke on="f"/>
                      <v:imagedata o:title=""/>
                      <o:lock v:ext="edit" aspectratio="f"/>
                      <v:textbox>
                        <w:txbxContent>
                          <w:p w14:paraId="779FF8BE">
                            <w:pPr>
                              <w:rPr>
                                <w:rFonts w:hint="default" w:eastAsia="宋体"/>
                                <w:color w:val="FFFF00"/>
                                <w:lang w:val="en-US" w:eastAsia="zh-CN"/>
                              </w:rPr>
                            </w:pPr>
                            <w:r>
                              <w:rPr>
                                <w:rFonts w:hint="eastAsia"/>
                                <w:color w:val="FFFF00"/>
                                <w:lang w:val="en-US" w:eastAsia="zh-CN"/>
                              </w:rPr>
                              <w:t>182m</w:t>
                            </w:r>
                          </w:p>
                        </w:txbxContent>
                      </v:textbox>
                    </v:shape>
                  </w:pict>
                </mc:Fallback>
              </mc:AlternateContent>
            </w:r>
            <w:r>
              <w:rPr>
                <w:rFonts w:hint="default" w:ascii="Times New Roman" w:hAnsi="Times New Roman" w:cs="Times New Roman"/>
                <w:color w:val="auto"/>
                <w:sz w:val="21"/>
                <w:highlight w:val="none"/>
              </w:rPr>
              <mc:AlternateContent>
                <mc:Choice Requires="wps">
                  <w:drawing>
                    <wp:anchor distT="0" distB="0" distL="114300" distR="114300" simplePos="0" relativeHeight="251678720" behindDoc="0" locked="0" layoutInCell="1" allowOverlap="1">
                      <wp:simplePos x="0" y="0"/>
                      <wp:positionH relativeFrom="column">
                        <wp:posOffset>2808605</wp:posOffset>
                      </wp:positionH>
                      <wp:positionV relativeFrom="paragraph">
                        <wp:posOffset>926465</wp:posOffset>
                      </wp:positionV>
                      <wp:extent cx="350520" cy="247650"/>
                      <wp:effectExtent l="0" t="0" r="0" b="0"/>
                      <wp:wrapNone/>
                      <wp:docPr id="262" name="文本框 262"/>
                      <wp:cNvGraphicFramePr/>
                      <a:graphic xmlns:a="http://schemas.openxmlformats.org/drawingml/2006/main">
                        <a:graphicData uri="http://schemas.microsoft.com/office/word/2010/wordprocessingShape">
                          <wps:wsp>
                            <wps:cNvSpPr txBox="1"/>
                            <wps:spPr>
                              <a:xfrm>
                                <a:off x="0" y="0"/>
                                <a:ext cx="350520" cy="247650"/>
                              </a:xfrm>
                              <a:prstGeom prst="rect">
                                <a:avLst/>
                              </a:prstGeom>
                              <a:noFill/>
                              <a:ln>
                                <a:noFill/>
                              </a:ln>
                              <a:effectLst/>
                            </wps:spPr>
                            <wps:txbx>
                              <w:txbxContent>
                                <w:p w14:paraId="65F3B0AC">
                                  <w:pPr>
                                    <w:rPr>
                                      <w:rFonts w:hint="default" w:eastAsia="宋体"/>
                                      <w:b/>
                                      <w:bCs/>
                                      <w:color w:val="FFFF00"/>
                                      <w:lang w:val="en-US" w:eastAsia="zh-CN"/>
                                    </w:rPr>
                                  </w:pPr>
                                  <w:r>
                                    <w:rPr>
                                      <w:rFonts w:hint="eastAsia"/>
                                      <w:b/>
                                      <w:bCs/>
                                      <w:color w:val="FFFF00"/>
                                      <w:lang w:val="en-US" w:eastAsia="zh-CN"/>
                                    </w:rPr>
                                    <w:t>A1</w:t>
                                  </w:r>
                                </w:p>
                              </w:txbxContent>
                            </wps:txbx>
                            <wps:bodyPr upright="1"/>
                          </wps:wsp>
                        </a:graphicData>
                      </a:graphic>
                    </wp:anchor>
                  </w:drawing>
                </mc:Choice>
                <mc:Fallback>
                  <w:pict>
                    <v:shape id="_x0000_s1026" o:spid="_x0000_s1026" o:spt="202" type="#_x0000_t202" style="position:absolute;left:0pt;margin-left:221.15pt;margin-top:72.95pt;height:19.5pt;width:27.6pt;z-index:251678720;mso-width-relative:page;mso-height-relative:page;" filled="f" stroked="f" coordsize="21600,21600" o:gfxdata="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A3&#10;Jr1v1wAAAAsBAAAPAAAAAAAAAAEAIAAAACIAAABkcnMvZG93bnJldi54bWxQSwECFAAUAAAACACH&#10;TuJALkjKQLMBAABfAwAADgAAAAAAAAABACAAAAAmAQAAZHJzL2Uyb0RvYy54bWxQSwUGAAAAAAYA&#10;BgBZAQAASwUAAAAA&#10;">
                      <v:fill on="f" focussize="0,0"/>
                      <v:stroke on="f"/>
                      <v:imagedata o:title=""/>
                      <o:lock v:ext="edit" aspectratio="f"/>
                      <v:textbox>
                        <w:txbxContent>
                          <w:p w14:paraId="65F3B0AC">
                            <w:pPr>
                              <w:rPr>
                                <w:rFonts w:hint="default" w:eastAsia="宋体"/>
                                <w:b/>
                                <w:bCs/>
                                <w:color w:val="FFFF00"/>
                                <w:lang w:val="en-US" w:eastAsia="zh-CN"/>
                              </w:rPr>
                            </w:pPr>
                            <w:r>
                              <w:rPr>
                                <w:rFonts w:hint="eastAsia"/>
                                <w:b/>
                                <w:bCs/>
                                <w:color w:val="FFFF00"/>
                                <w:lang w:val="en-US" w:eastAsia="zh-CN"/>
                              </w:rPr>
                              <w:t>A1</w:t>
                            </w:r>
                          </w:p>
                        </w:txbxContent>
                      </v:textbox>
                    </v:shape>
                  </w:pict>
                </mc:Fallback>
              </mc:AlternateContent>
            </w:r>
            <w:r>
              <w:rPr>
                <w:rFonts w:hint="default" w:ascii="Times New Roman" w:hAnsi="Times New Roman" w:cs="Times New Roman"/>
                <w:color w:val="auto"/>
                <w:sz w:val="21"/>
                <w:highlight w:val="none"/>
              </w:rPr>
              <mc:AlternateContent>
                <mc:Choice Requires="wps">
                  <w:drawing>
                    <wp:anchor distT="0" distB="0" distL="114300" distR="114300" simplePos="0" relativeHeight="251661312" behindDoc="0" locked="0" layoutInCell="1" allowOverlap="1">
                      <wp:simplePos x="0" y="0"/>
                      <wp:positionH relativeFrom="column">
                        <wp:posOffset>3112770</wp:posOffset>
                      </wp:positionH>
                      <wp:positionV relativeFrom="paragraph">
                        <wp:posOffset>1017270</wp:posOffset>
                      </wp:positionV>
                      <wp:extent cx="372110" cy="23495"/>
                      <wp:effectExtent l="0" t="34290" r="8890" b="56515"/>
                      <wp:wrapNone/>
                      <wp:docPr id="117" name="直接箭头连接符 117"/>
                      <wp:cNvGraphicFramePr/>
                      <a:graphic xmlns:a="http://schemas.openxmlformats.org/drawingml/2006/main">
                        <a:graphicData uri="http://schemas.microsoft.com/office/word/2010/wordprocessingShape">
                          <wps:wsp>
                            <wps:cNvCnPr/>
                            <wps:spPr>
                              <a:xfrm flipH="1">
                                <a:off x="0" y="0"/>
                                <a:ext cx="372110" cy="23495"/>
                              </a:xfrm>
                              <a:prstGeom prst="straightConnector1">
                                <a:avLst/>
                              </a:prstGeom>
                              <a:ln w="15875" cap="flat" cmpd="sng">
                                <a:solidFill>
                                  <a:srgbClr val="FF0000"/>
                                </a:solidFill>
                                <a:prstDash val="solid"/>
                                <a:round/>
                                <a:headEnd type="none" w="med" len="med"/>
                                <a:tailEnd type="arrow" w="med" len="med"/>
                              </a:ln>
                            </wps:spPr>
                            <wps:bodyPr/>
                          </wps:wsp>
                        </a:graphicData>
                      </a:graphic>
                    </wp:anchor>
                  </w:drawing>
                </mc:Choice>
                <mc:Fallback>
                  <w:pict>
                    <v:shape id="_x0000_s1026" o:spid="_x0000_s1026" o:spt="32" type="#_x0000_t32" style="position:absolute;left:0pt;flip:x;margin-left:245.1pt;margin-top:80.1pt;height:1.85pt;width:29.3pt;z-index:251661312;mso-width-relative:page;mso-height-relative:page;" filled="f" stroked="t" coordsize="21600,21600" o:gfxdata="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O5S7xvTAAAACwEAAA8AAAAAAAAA&#10;AQAgAAAAIgAAAGRycy9kb3ducmV2LnhtbFBLAQIUABQAAAAIAIdO4kBNNdxZFgIAAAkEAAAOAAAA&#10;AAAAAAEAIAAAACIBAABkcnMvZTJvRG9jLnhtbFBLBQYAAAAABgAGAFkBAACqBQAAAAA=&#10;">
                      <v:fill on="f" focussize="0,0"/>
                      <v:stroke weight="1.25pt" color="#FF0000" joinstyle="round" endarrow="open"/>
                      <v:imagedata o:title=""/>
                      <o:lock v:ext="edit" aspectratio="f"/>
                    </v:shape>
                  </w:pict>
                </mc:Fallback>
              </mc:AlternateContent>
            </w:r>
            <w:r>
              <w:rPr>
                <w:color w:val="auto"/>
                <w:highlight w:val="none"/>
              </w:rPr>
              <w:drawing>
                <wp:inline distT="0" distB="0" distL="114300" distR="114300">
                  <wp:extent cx="5702935" cy="3667760"/>
                  <wp:effectExtent l="0" t="0" r="12065" b="8890"/>
                  <wp:docPr id="19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图片 3"/>
                          <pic:cNvPicPr>
                            <a:picLocks noChangeAspect="1"/>
                          </pic:cNvPicPr>
                        </pic:nvPicPr>
                        <pic:blipFill>
                          <a:blip r:embed="rId18"/>
                          <a:stretch>
                            <a:fillRect/>
                          </a:stretch>
                        </pic:blipFill>
                        <pic:spPr>
                          <a:xfrm>
                            <a:off x="0" y="0"/>
                            <a:ext cx="5702935" cy="3667760"/>
                          </a:xfrm>
                          <a:prstGeom prst="rect">
                            <a:avLst/>
                          </a:prstGeom>
                          <a:noFill/>
                          <a:ln>
                            <a:noFill/>
                          </a:ln>
                        </pic:spPr>
                      </pic:pic>
                    </a:graphicData>
                  </a:graphic>
                </wp:inline>
              </w:drawing>
            </w:r>
            <w:r>
              <w:rPr>
                <w:rFonts w:hint="default" w:ascii="Times New Roman" w:hAnsi="Times New Roman" w:cs="Times New Roman"/>
                <w:color w:val="auto"/>
                <w:sz w:val="21"/>
                <w:highlight w:val="none"/>
              </w:rPr>
              <mc:AlternateContent>
                <mc:Choice Requires="wps">
                  <w:drawing>
                    <wp:anchor distT="0" distB="0" distL="114300" distR="114300" simplePos="0" relativeHeight="251677696" behindDoc="0" locked="0" layoutInCell="1" allowOverlap="1">
                      <wp:simplePos x="0" y="0"/>
                      <wp:positionH relativeFrom="column">
                        <wp:posOffset>512445</wp:posOffset>
                      </wp:positionH>
                      <wp:positionV relativeFrom="paragraph">
                        <wp:posOffset>2783840</wp:posOffset>
                      </wp:positionV>
                      <wp:extent cx="76200" cy="76200"/>
                      <wp:effectExtent l="7620" t="10795" r="11430" b="8255"/>
                      <wp:wrapNone/>
                      <wp:docPr id="206" name="等腰三角形 206"/>
                      <wp:cNvGraphicFramePr/>
                      <a:graphic xmlns:a="http://schemas.openxmlformats.org/drawingml/2006/main">
                        <a:graphicData uri="http://schemas.microsoft.com/office/word/2010/wordprocessingShape">
                          <wps:wsp>
                            <wps:cNvSpPr/>
                            <wps:spPr>
                              <a:xfrm>
                                <a:off x="0" y="0"/>
                                <a:ext cx="76200" cy="76200"/>
                              </a:xfrm>
                              <a:prstGeom prst="triangle">
                                <a:avLst>
                                  <a:gd name="adj" fmla="val 50000"/>
                                </a:avLst>
                              </a:prstGeom>
                              <a:solidFill>
                                <a:srgbClr val="FF0000"/>
                              </a:solidFill>
                              <a:ln w="9525" cap="flat" cmpd="sng">
                                <a:solidFill>
                                  <a:srgbClr val="FF0000"/>
                                </a:solidFill>
                                <a:prstDash val="solid"/>
                                <a:miter/>
                                <a:headEnd type="none" w="med" len="med"/>
                                <a:tailEnd type="none" w="med" len="med"/>
                              </a:ln>
                              <a:effectLst/>
                            </wps:spPr>
                            <wps:bodyPr upright="1"/>
                          </wps:wsp>
                        </a:graphicData>
                      </a:graphic>
                    </wp:anchor>
                  </w:drawing>
                </mc:Choice>
                <mc:Fallback>
                  <w:pict>
                    <v:shape id="_x0000_s1026" o:spid="_x0000_s1026" o:spt="5" type="#_x0000_t5" style="position:absolute;left:0pt;margin-left:40.35pt;margin-top:219.2pt;height:6pt;width:6pt;z-index:251677696;mso-width-relative:page;mso-height-relative:page;" fillcolor="#FF0000" filled="t" stroked="t" coordsize="21600,21600" o:gfxdata="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GmmT&#10;O9cAAAAJAQAADwAAAAAAAAABACAAAAAiAAAAZHJzL2Rvd25yZXYueG1sUEsBAhQAFAAAAAgAh07i&#10;QJ3yAQYjAgAAZgQAAA4AAAAAAAAAAQAgAAAAJgEAAGRycy9lMm9Eb2MueG1sUEsFBgAAAAAGAAYA&#10;WQEAALsFAAAAAA==&#10;" adj="10800">
                      <v:fill on="t" focussize="0,0"/>
                      <v:stroke color="#FF0000" joinstyle="miter"/>
                      <v:imagedata o:title=""/>
                      <o:lock v:ext="edit" aspectratio="f"/>
                    </v:shape>
                  </w:pict>
                </mc:Fallback>
              </mc:AlternateContent>
            </w:r>
            <w:r>
              <w:rPr>
                <w:rFonts w:hint="default" w:ascii="Times New Roman" w:hAnsi="Times New Roman" w:cs="Times New Roman"/>
                <w:color w:val="auto"/>
                <w:sz w:val="21"/>
                <w:highlight w:val="none"/>
              </w:rPr>
              <mc:AlternateContent>
                <mc:Choice Requires="wps">
                  <w:drawing>
                    <wp:anchor distT="0" distB="0" distL="114300" distR="114300" simplePos="0" relativeHeight="251665408" behindDoc="0" locked="0" layoutInCell="1" allowOverlap="1">
                      <wp:simplePos x="0" y="0"/>
                      <wp:positionH relativeFrom="column">
                        <wp:posOffset>3036570</wp:posOffset>
                      </wp:positionH>
                      <wp:positionV relativeFrom="paragraph">
                        <wp:posOffset>964565</wp:posOffset>
                      </wp:positionV>
                      <wp:extent cx="76200" cy="76200"/>
                      <wp:effectExtent l="7620" t="10795" r="11430" b="8255"/>
                      <wp:wrapNone/>
                      <wp:docPr id="114" name="等腰三角形 114"/>
                      <wp:cNvGraphicFramePr/>
                      <a:graphic xmlns:a="http://schemas.openxmlformats.org/drawingml/2006/main">
                        <a:graphicData uri="http://schemas.microsoft.com/office/word/2010/wordprocessingShape">
                          <wps:wsp>
                            <wps:cNvSpPr/>
                            <wps:spPr>
                              <a:xfrm>
                                <a:off x="0" y="0"/>
                                <a:ext cx="76200" cy="76200"/>
                              </a:xfrm>
                              <a:prstGeom prst="triangle">
                                <a:avLst>
                                  <a:gd name="adj" fmla="val 50000"/>
                                </a:avLst>
                              </a:prstGeom>
                              <a:solidFill>
                                <a:srgbClr val="FF0000"/>
                              </a:solidFill>
                              <a:ln w="9525" cap="flat" cmpd="sng">
                                <a:solidFill>
                                  <a:srgbClr val="FF0000"/>
                                </a:solidFill>
                                <a:prstDash val="solid"/>
                                <a:miter/>
                                <a:headEnd type="none" w="med" len="med"/>
                                <a:tailEnd type="none" w="med" len="med"/>
                              </a:ln>
                              <a:effectLst/>
                            </wps:spPr>
                            <wps:bodyPr upright="1"/>
                          </wps:wsp>
                        </a:graphicData>
                      </a:graphic>
                    </wp:anchor>
                  </w:drawing>
                </mc:Choice>
                <mc:Fallback>
                  <w:pict>
                    <v:shape id="_x0000_s1026" o:spid="_x0000_s1026" o:spt="5" type="#_x0000_t5" style="position:absolute;left:0pt;margin-left:239.1pt;margin-top:75.95pt;height:6pt;width:6pt;z-index:251665408;mso-width-relative:page;mso-height-relative:page;" fillcolor="#FF0000" filled="t" stroked="t" coordsize="21600,21600" o:gfxdata="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Az&#10;f5aU2AAAAAsBAAAPAAAAAAAAAAEAIAAAACIAAABkcnMvZG93bnJldi54bWxQSwECFAAUAAAACACH&#10;TuJATHbvJSQCAABmBAAADgAAAAAAAAABACAAAAAnAQAAZHJzL2Uyb0RvYy54bWxQSwUGAAAAAAYA&#10;BgBZAQAAvQUAAAAA&#10;" adj="10800">
                      <v:fill on="t" focussize="0,0"/>
                      <v:stroke color="#FF0000" joinstyle="miter"/>
                      <v:imagedata o:title=""/>
                      <o:lock v:ext="edit" aspectratio="f"/>
                    </v:shape>
                  </w:pict>
                </mc:Fallback>
              </mc:AlternateContent>
            </w:r>
            <w:r>
              <w:rPr>
                <w:rFonts w:hint="default" w:ascii="Times New Roman" w:hAnsi="Times New Roman" w:cs="Times New Roman"/>
                <w:color w:val="auto"/>
                <w:sz w:val="21"/>
                <w:highlight w:val="none"/>
              </w:rPr>
              <mc:AlternateContent>
                <mc:Choice Requires="wps">
                  <w:drawing>
                    <wp:anchor distT="0" distB="0" distL="114300" distR="114300" simplePos="0" relativeHeight="251663360" behindDoc="0" locked="0" layoutInCell="1" allowOverlap="1">
                      <wp:simplePos x="0" y="0"/>
                      <wp:positionH relativeFrom="column">
                        <wp:posOffset>4112895</wp:posOffset>
                      </wp:positionH>
                      <wp:positionV relativeFrom="paragraph">
                        <wp:posOffset>964565</wp:posOffset>
                      </wp:positionV>
                      <wp:extent cx="886460" cy="266700"/>
                      <wp:effectExtent l="349250" t="108585" r="21590" b="5715"/>
                      <wp:wrapNone/>
                      <wp:docPr id="88" name="矩形标注 88"/>
                      <wp:cNvGraphicFramePr/>
                      <a:graphic xmlns:a="http://schemas.openxmlformats.org/drawingml/2006/main">
                        <a:graphicData uri="http://schemas.microsoft.com/office/word/2010/wordprocessingShape">
                          <wps:wsp>
                            <wps:cNvSpPr/>
                            <wps:spPr>
                              <a:xfrm>
                                <a:off x="0" y="0"/>
                                <a:ext cx="886460" cy="266700"/>
                              </a:xfrm>
                              <a:prstGeom prst="wedgeRectCallout">
                                <a:avLst>
                                  <a:gd name="adj1" fmla="val -85530"/>
                                  <a:gd name="adj2" fmla="val -83571"/>
                                </a:avLst>
                              </a:prstGeom>
                              <a:noFill/>
                              <a:ln w="9525" cap="flat" cmpd="sng">
                                <a:solidFill>
                                  <a:srgbClr val="FF0000"/>
                                </a:solidFill>
                                <a:prstDash val="solid"/>
                                <a:miter/>
                                <a:headEnd type="none" w="med" len="med"/>
                                <a:tailEnd type="none" w="med" len="med"/>
                              </a:ln>
                            </wps:spPr>
                            <wps:txbx>
                              <w:txbxContent>
                                <w:p w14:paraId="6115C46D">
                                  <w:pPr>
                                    <w:rPr>
                                      <w:rFonts w:hint="default"/>
                                      <w:color w:val="FFFF00"/>
                                      <w:lang w:val="en-US" w:eastAsia="zh-CN"/>
                                    </w:rPr>
                                  </w:pPr>
                                  <w:r>
                                    <w:rPr>
                                      <w:rFonts w:hint="eastAsia"/>
                                      <w:color w:val="FFFF00"/>
                                      <w:lang w:val="en-US" w:eastAsia="zh-CN"/>
                                    </w:rPr>
                                    <w:t>项目所在地</w:t>
                                  </w:r>
                                </w:p>
                                <w:p w14:paraId="347AEE22">
                                  <w:pPr>
                                    <w:rPr>
                                      <w:rFonts w:hint="eastAsia"/>
                                      <w:color w:val="FFFF00"/>
                                      <w:lang w:eastAsia="zh-CN"/>
                                    </w:rPr>
                                  </w:pPr>
                                </w:p>
                                <w:p w14:paraId="0FBB8FE5">
                                  <w:pPr>
                                    <w:rPr>
                                      <w:rFonts w:hint="eastAsia"/>
                                      <w:color w:val="FFFF00"/>
                                      <w:lang w:eastAsia="zh-CN"/>
                                    </w:rPr>
                                  </w:pPr>
                                </w:p>
                                <w:p w14:paraId="19A36B63">
                                  <w:pPr>
                                    <w:rPr>
                                      <w:rFonts w:hint="eastAsia"/>
                                      <w:color w:val="FFFF00"/>
                                      <w:lang w:eastAsia="zh-CN"/>
                                    </w:rPr>
                                  </w:pPr>
                                </w:p>
                                <w:p w14:paraId="16E47132">
                                  <w:pPr>
                                    <w:rPr>
                                      <w:rFonts w:hint="eastAsia"/>
                                      <w:color w:val="FFFF00"/>
                                      <w:lang w:eastAsia="zh-CN"/>
                                    </w:rPr>
                                  </w:pPr>
                                </w:p>
                                <w:p w14:paraId="549E2B9C">
                                  <w:pPr>
                                    <w:rPr>
                                      <w:rFonts w:hint="eastAsia"/>
                                      <w:color w:val="FFFF00"/>
                                      <w:lang w:eastAsia="zh-CN"/>
                                    </w:rPr>
                                  </w:pPr>
                                </w:p>
                                <w:p w14:paraId="71C13DE6">
                                  <w:pPr>
                                    <w:rPr>
                                      <w:rFonts w:hint="eastAsia"/>
                                      <w:color w:val="FFFF00"/>
                                      <w:lang w:eastAsia="zh-CN"/>
                                    </w:rPr>
                                  </w:pPr>
                                </w:p>
                                <w:p w14:paraId="69083B2E">
                                  <w:pPr>
                                    <w:rPr>
                                      <w:rFonts w:hint="eastAsia"/>
                                      <w:color w:val="FFFF00"/>
                                      <w:lang w:eastAsia="zh-CN"/>
                                    </w:rPr>
                                  </w:pPr>
                                </w:p>
                                <w:p w14:paraId="0FDCD811">
                                  <w:pPr>
                                    <w:rPr>
                                      <w:rFonts w:hint="eastAsia"/>
                                      <w:color w:val="FFFF00"/>
                                      <w:lang w:eastAsia="zh-CN"/>
                                    </w:rPr>
                                  </w:pPr>
                                </w:p>
                                <w:p w14:paraId="50A7399A">
                                  <w:pPr>
                                    <w:rPr>
                                      <w:rFonts w:hint="eastAsia"/>
                                      <w:color w:val="FFFF00"/>
                                      <w:lang w:eastAsia="zh-CN"/>
                                    </w:rPr>
                                  </w:pPr>
                                </w:p>
                                <w:p w14:paraId="3FA9F533">
                                  <w:pPr>
                                    <w:rPr>
                                      <w:rFonts w:hint="eastAsia"/>
                                      <w:color w:val="FFFF00"/>
                                      <w:lang w:eastAsia="zh-CN"/>
                                    </w:rPr>
                                  </w:pPr>
                                </w:p>
                                <w:p w14:paraId="0F324F18">
                                  <w:pPr>
                                    <w:rPr>
                                      <w:rFonts w:hint="eastAsia"/>
                                      <w:color w:val="FFFF00"/>
                                      <w:lang w:eastAsia="zh-CN"/>
                                    </w:rPr>
                                  </w:pPr>
                                </w:p>
                                <w:p w14:paraId="5BC41AD0">
                                  <w:pPr>
                                    <w:rPr>
                                      <w:rFonts w:hint="eastAsia"/>
                                      <w:color w:val="FFFF00"/>
                                      <w:lang w:eastAsia="zh-CN"/>
                                    </w:rPr>
                                  </w:pPr>
                                </w:p>
                                <w:p w14:paraId="40B30F00">
                                  <w:pPr>
                                    <w:rPr>
                                      <w:rFonts w:hint="eastAsia"/>
                                      <w:color w:val="FFFF00"/>
                                      <w:lang w:eastAsia="zh-CN"/>
                                    </w:rPr>
                                  </w:pPr>
                                </w:p>
                                <w:p w14:paraId="47E9F4FB">
                                  <w:pPr>
                                    <w:rPr>
                                      <w:rFonts w:hint="eastAsia"/>
                                      <w:color w:val="FFFF00"/>
                                      <w:lang w:eastAsia="zh-CN"/>
                                    </w:rPr>
                                  </w:pPr>
                                </w:p>
                                <w:p w14:paraId="4C80E3F7">
                                  <w:pPr>
                                    <w:rPr>
                                      <w:rFonts w:hint="eastAsia" w:eastAsia="宋体"/>
                                      <w:color w:val="FFFF00"/>
                                      <w:lang w:eastAsia="zh-CN"/>
                                    </w:rPr>
                                  </w:pPr>
                                  <w:r>
                                    <w:rPr>
                                      <w:rFonts w:hint="eastAsia"/>
                                      <w:color w:val="FFFF00"/>
                                      <w:lang w:eastAsia="zh-CN"/>
                                    </w:rPr>
                                    <w:t>项目所在地</w:t>
                                  </w:r>
                                </w:p>
                              </w:txbxContent>
                            </wps:txbx>
                            <wps:bodyPr upright="1"/>
                          </wps:wsp>
                        </a:graphicData>
                      </a:graphic>
                    </wp:anchor>
                  </w:drawing>
                </mc:Choice>
                <mc:Fallback>
                  <w:pict>
                    <v:shape id="_x0000_s1026" o:spid="_x0000_s1026" o:spt="61" type="#_x0000_t61" style="position:absolute;left:0pt;margin-left:323.85pt;margin-top:75.95pt;height:21pt;width:69.8pt;z-index:251663360;mso-width-relative:page;mso-height-relative:page;" filled="f" stroked="t" coordsize="21600,21600" o:gfxdata="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UdQWDtsAAAALAQAADwAAAAAAAAABACAAAAAiAAAAZHJzL2Rv&#10;d25yZXYueG1sUEsBAhQAFAAAAAgAh07iQDp8sBI3AgAAZgQAAA4AAAAAAAAAAQAgAAAAKgEAAGRy&#10;cy9lMm9Eb2MueG1sUEsFBgAAAAAGAAYAWQEAANMFAAAAAA==&#10;" adj="-7674,-7251">
                      <v:fill on="f" focussize="0,0"/>
                      <v:stroke color="#FF0000" joinstyle="miter"/>
                      <v:imagedata o:title=""/>
                      <o:lock v:ext="edit" aspectratio="f"/>
                      <v:textbox>
                        <w:txbxContent>
                          <w:p w14:paraId="6115C46D">
                            <w:pPr>
                              <w:rPr>
                                <w:rFonts w:hint="default"/>
                                <w:color w:val="FFFF00"/>
                                <w:lang w:val="en-US" w:eastAsia="zh-CN"/>
                              </w:rPr>
                            </w:pPr>
                            <w:r>
                              <w:rPr>
                                <w:rFonts w:hint="eastAsia"/>
                                <w:color w:val="FFFF00"/>
                                <w:lang w:val="en-US" w:eastAsia="zh-CN"/>
                              </w:rPr>
                              <w:t>项目所在地</w:t>
                            </w:r>
                          </w:p>
                          <w:p w14:paraId="347AEE22">
                            <w:pPr>
                              <w:rPr>
                                <w:rFonts w:hint="eastAsia"/>
                                <w:color w:val="FFFF00"/>
                                <w:lang w:eastAsia="zh-CN"/>
                              </w:rPr>
                            </w:pPr>
                          </w:p>
                          <w:p w14:paraId="0FBB8FE5">
                            <w:pPr>
                              <w:rPr>
                                <w:rFonts w:hint="eastAsia"/>
                                <w:color w:val="FFFF00"/>
                                <w:lang w:eastAsia="zh-CN"/>
                              </w:rPr>
                            </w:pPr>
                          </w:p>
                          <w:p w14:paraId="19A36B63">
                            <w:pPr>
                              <w:rPr>
                                <w:rFonts w:hint="eastAsia"/>
                                <w:color w:val="FFFF00"/>
                                <w:lang w:eastAsia="zh-CN"/>
                              </w:rPr>
                            </w:pPr>
                          </w:p>
                          <w:p w14:paraId="16E47132">
                            <w:pPr>
                              <w:rPr>
                                <w:rFonts w:hint="eastAsia"/>
                                <w:color w:val="FFFF00"/>
                                <w:lang w:eastAsia="zh-CN"/>
                              </w:rPr>
                            </w:pPr>
                          </w:p>
                          <w:p w14:paraId="549E2B9C">
                            <w:pPr>
                              <w:rPr>
                                <w:rFonts w:hint="eastAsia"/>
                                <w:color w:val="FFFF00"/>
                                <w:lang w:eastAsia="zh-CN"/>
                              </w:rPr>
                            </w:pPr>
                          </w:p>
                          <w:p w14:paraId="71C13DE6">
                            <w:pPr>
                              <w:rPr>
                                <w:rFonts w:hint="eastAsia"/>
                                <w:color w:val="FFFF00"/>
                                <w:lang w:eastAsia="zh-CN"/>
                              </w:rPr>
                            </w:pPr>
                          </w:p>
                          <w:p w14:paraId="69083B2E">
                            <w:pPr>
                              <w:rPr>
                                <w:rFonts w:hint="eastAsia"/>
                                <w:color w:val="FFFF00"/>
                                <w:lang w:eastAsia="zh-CN"/>
                              </w:rPr>
                            </w:pPr>
                          </w:p>
                          <w:p w14:paraId="0FDCD811">
                            <w:pPr>
                              <w:rPr>
                                <w:rFonts w:hint="eastAsia"/>
                                <w:color w:val="FFFF00"/>
                                <w:lang w:eastAsia="zh-CN"/>
                              </w:rPr>
                            </w:pPr>
                          </w:p>
                          <w:p w14:paraId="50A7399A">
                            <w:pPr>
                              <w:rPr>
                                <w:rFonts w:hint="eastAsia"/>
                                <w:color w:val="FFFF00"/>
                                <w:lang w:eastAsia="zh-CN"/>
                              </w:rPr>
                            </w:pPr>
                          </w:p>
                          <w:p w14:paraId="3FA9F533">
                            <w:pPr>
                              <w:rPr>
                                <w:rFonts w:hint="eastAsia"/>
                                <w:color w:val="FFFF00"/>
                                <w:lang w:eastAsia="zh-CN"/>
                              </w:rPr>
                            </w:pPr>
                          </w:p>
                          <w:p w14:paraId="0F324F18">
                            <w:pPr>
                              <w:rPr>
                                <w:rFonts w:hint="eastAsia"/>
                                <w:color w:val="FFFF00"/>
                                <w:lang w:eastAsia="zh-CN"/>
                              </w:rPr>
                            </w:pPr>
                          </w:p>
                          <w:p w14:paraId="5BC41AD0">
                            <w:pPr>
                              <w:rPr>
                                <w:rFonts w:hint="eastAsia"/>
                                <w:color w:val="FFFF00"/>
                                <w:lang w:eastAsia="zh-CN"/>
                              </w:rPr>
                            </w:pPr>
                          </w:p>
                          <w:p w14:paraId="40B30F00">
                            <w:pPr>
                              <w:rPr>
                                <w:rFonts w:hint="eastAsia"/>
                                <w:color w:val="FFFF00"/>
                                <w:lang w:eastAsia="zh-CN"/>
                              </w:rPr>
                            </w:pPr>
                          </w:p>
                          <w:p w14:paraId="47E9F4FB">
                            <w:pPr>
                              <w:rPr>
                                <w:rFonts w:hint="eastAsia"/>
                                <w:color w:val="FFFF00"/>
                                <w:lang w:eastAsia="zh-CN"/>
                              </w:rPr>
                            </w:pPr>
                          </w:p>
                          <w:p w14:paraId="4C80E3F7">
                            <w:pPr>
                              <w:rPr>
                                <w:rFonts w:hint="eastAsia" w:eastAsia="宋体"/>
                                <w:color w:val="FFFF00"/>
                                <w:lang w:eastAsia="zh-CN"/>
                              </w:rPr>
                            </w:pPr>
                            <w:r>
                              <w:rPr>
                                <w:rFonts w:hint="eastAsia"/>
                                <w:color w:val="FFFF00"/>
                                <w:lang w:eastAsia="zh-CN"/>
                              </w:rPr>
                              <w:t>项目所在地</w:t>
                            </w:r>
                          </w:p>
                        </w:txbxContent>
                      </v:textbox>
                    </v:shape>
                  </w:pict>
                </mc:Fallback>
              </mc:AlternateContent>
            </w:r>
            <w:r>
              <w:rPr>
                <w:rFonts w:hint="default" w:ascii="Times New Roman" w:hAnsi="Times New Roman" w:cs="Times New Roman" w:eastAsiaTheme="minorEastAsia"/>
                <w:b/>
                <w:color w:val="auto"/>
                <w:sz w:val="21"/>
                <w:szCs w:val="21"/>
                <w:highlight w:val="none"/>
                <w:lang w:eastAsia="zh-CN"/>
              </w:rPr>
              <w:drawing>
                <wp:anchor distT="0" distB="0" distL="114300" distR="114300" simplePos="0" relativeHeight="251670528" behindDoc="0" locked="0" layoutInCell="1" allowOverlap="1">
                  <wp:simplePos x="0" y="0"/>
                  <wp:positionH relativeFrom="column">
                    <wp:posOffset>5033010</wp:posOffset>
                  </wp:positionH>
                  <wp:positionV relativeFrom="paragraph">
                    <wp:posOffset>635</wp:posOffset>
                  </wp:positionV>
                  <wp:extent cx="644525" cy="775970"/>
                  <wp:effectExtent l="0" t="0" r="3175" b="5080"/>
                  <wp:wrapNone/>
                  <wp:docPr id="301" name="图片 301" descr="96e37043d39cf13927c1902800f5b4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 name="图片 301" descr="96e37043d39cf13927c1902800f5b4e"/>
                          <pic:cNvPicPr>
                            <a:picLocks noChangeAspect="1"/>
                          </pic:cNvPicPr>
                        </pic:nvPicPr>
                        <pic:blipFill>
                          <a:blip r:embed="rId19"/>
                          <a:stretch>
                            <a:fillRect/>
                          </a:stretch>
                        </pic:blipFill>
                        <pic:spPr>
                          <a:xfrm>
                            <a:off x="0" y="0"/>
                            <a:ext cx="644525" cy="775970"/>
                          </a:xfrm>
                          <a:prstGeom prst="rect">
                            <a:avLst/>
                          </a:prstGeom>
                        </pic:spPr>
                      </pic:pic>
                    </a:graphicData>
                  </a:graphic>
                </wp:anchor>
              </w:drawing>
            </w:r>
          </w:p>
          <w:p w14:paraId="301A6F78">
            <w:pPr>
              <w:adjustRightInd w:val="0"/>
              <w:snapToGrid w:val="0"/>
              <w:spacing w:line="360" w:lineRule="auto"/>
              <w:ind w:firstLine="422" w:firstLineChars="200"/>
              <w:jc w:val="center"/>
              <w:rPr>
                <w:rFonts w:hint="default" w:ascii="Times New Roman" w:hAnsi="Times New Roman" w:eastAsia="宋体" w:cs="Times New Roman"/>
                <w:b/>
                <w:color w:val="auto"/>
                <w:kern w:val="0"/>
                <w:sz w:val="21"/>
                <w:szCs w:val="21"/>
                <w:highlight w:val="none"/>
                <w:lang w:val="en-US" w:eastAsia="zh-CN"/>
              </w:rPr>
            </w:pPr>
            <w:r>
              <w:rPr>
                <w:rFonts w:hint="default" w:ascii="Times New Roman" w:hAnsi="Times New Roman" w:cs="Times New Roman"/>
                <w:b/>
                <w:color w:val="auto"/>
                <w:kern w:val="0"/>
                <w:sz w:val="21"/>
                <w:szCs w:val="21"/>
                <w:highlight w:val="none"/>
                <w:lang w:val="en-US" w:eastAsia="zh-CN"/>
              </w:rPr>
              <w:t>图3-2 大气特征污染因子引用监测点位图</w:t>
            </w:r>
          </w:p>
          <w:p w14:paraId="3430EC2A">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default" w:ascii="Times New Roman" w:hAnsi="Times New Roman" w:cs="Times New Roman"/>
                <w:color w:val="auto"/>
                <w:sz w:val="24"/>
                <w:szCs w:val="24"/>
                <w:highlight w:val="none"/>
                <w:shd w:val="clear" w:color="auto" w:fill="auto"/>
              </w:rPr>
            </w:pPr>
            <w:r>
              <w:rPr>
                <w:rFonts w:hint="default" w:ascii="Times New Roman" w:hAnsi="Times New Roman" w:cs="Times New Roman"/>
                <w:bCs/>
                <w:color w:val="auto"/>
                <w:sz w:val="24"/>
                <w:szCs w:val="24"/>
                <w:highlight w:val="none"/>
                <w:shd w:val="clear" w:color="auto" w:fill="auto"/>
              </w:rPr>
              <w:t>由监测结果可知，</w:t>
            </w:r>
            <w:r>
              <w:rPr>
                <w:rFonts w:hint="default" w:ascii="Times New Roman" w:hAnsi="Times New Roman" w:cs="Times New Roman"/>
                <w:bCs/>
                <w:color w:val="auto"/>
                <w:sz w:val="24"/>
                <w:szCs w:val="24"/>
                <w:highlight w:val="none"/>
                <w:shd w:val="clear" w:color="auto" w:fill="auto"/>
                <w:lang w:eastAsia="zh-CN"/>
              </w:rPr>
              <w:t>项目</w:t>
            </w:r>
            <w:r>
              <w:rPr>
                <w:rFonts w:hint="default" w:ascii="Times New Roman" w:hAnsi="Times New Roman" w:cs="Times New Roman"/>
                <w:color w:val="auto"/>
                <w:sz w:val="24"/>
                <w:szCs w:val="24"/>
                <w:highlight w:val="none"/>
                <w:shd w:val="clear" w:color="auto" w:fill="auto"/>
                <w:lang w:val="en-US" w:eastAsia="zh-CN"/>
              </w:rPr>
              <w:t>TSP24小时浓度</w:t>
            </w:r>
            <w:r>
              <w:rPr>
                <w:rFonts w:hint="eastAsia" w:ascii="Times New Roman" w:hAnsi="Times New Roman" w:cs="Times New Roman"/>
                <w:color w:val="auto"/>
                <w:sz w:val="24"/>
                <w:szCs w:val="24"/>
                <w:highlight w:val="none"/>
                <w:shd w:val="clear" w:color="auto" w:fill="auto"/>
                <w:lang w:val="en-US" w:eastAsia="zh-CN"/>
              </w:rPr>
              <w:t>及氮氧化物1小时浓度均</w:t>
            </w:r>
            <w:r>
              <w:rPr>
                <w:rFonts w:hint="default" w:ascii="Times New Roman" w:hAnsi="Times New Roman" w:cs="Times New Roman"/>
                <w:color w:val="auto"/>
                <w:sz w:val="24"/>
                <w:szCs w:val="24"/>
                <w:highlight w:val="none"/>
                <w:shd w:val="clear" w:color="auto" w:fill="auto"/>
                <w:lang w:val="en-US" w:eastAsia="zh-CN"/>
              </w:rPr>
              <w:t>满足《环境空气质量标准》(GB3095-2012)中的二级标准及其2018年修改单的相关规定</w:t>
            </w:r>
            <w:r>
              <w:rPr>
                <w:rFonts w:hint="default" w:ascii="Times New Roman" w:hAnsi="Times New Roman" w:eastAsia="宋体" w:cs="Times New Roman"/>
                <w:color w:val="auto"/>
                <w:sz w:val="24"/>
                <w:highlight w:val="none"/>
                <w:lang w:eastAsia="zh-CN"/>
              </w:rPr>
              <w:t>，</w:t>
            </w:r>
            <w:r>
              <w:rPr>
                <w:rFonts w:hint="default" w:ascii="Times New Roman" w:hAnsi="Times New Roman" w:cs="Times New Roman"/>
                <w:color w:val="auto"/>
                <w:sz w:val="24"/>
                <w:szCs w:val="24"/>
                <w:highlight w:val="none"/>
                <w:shd w:val="clear" w:color="auto" w:fill="auto"/>
              </w:rPr>
              <w:t>即评价区域内的环境空气质量良好。</w:t>
            </w:r>
          </w:p>
          <w:p w14:paraId="1EB93CF8">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left"/>
              <w:textAlignment w:val="auto"/>
              <w:rPr>
                <w:rFonts w:hint="default" w:ascii="Times New Roman" w:hAnsi="Times New Roman" w:cs="Times New Roman"/>
                <w:b/>
                <w:bCs/>
                <w:color w:val="auto"/>
                <w:kern w:val="0"/>
                <w:sz w:val="24"/>
                <w:szCs w:val="21"/>
                <w:highlight w:val="none"/>
              </w:rPr>
            </w:pPr>
            <w:r>
              <w:rPr>
                <w:rFonts w:hint="default" w:ascii="Times New Roman" w:hAnsi="Times New Roman" w:cs="Times New Roman"/>
                <w:b/>
                <w:bCs/>
                <w:color w:val="auto"/>
                <w:kern w:val="0"/>
                <w:sz w:val="24"/>
                <w:szCs w:val="21"/>
                <w:highlight w:val="none"/>
              </w:rPr>
              <w:t>2、地表水环境</w:t>
            </w:r>
          </w:p>
          <w:p w14:paraId="1ED209E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olor w:val="auto"/>
                <w:kern w:val="0"/>
                <w:sz w:val="24"/>
                <w:highlight w:val="none"/>
                <w:lang w:eastAsia="zh-CN"/>
              </w:rPr>
            </w:pPr>
            <w:r>
              <w:rPr>
                <w:rFonts w:hint="eastAsia" w:ascii="Times New Roman" w:hAnsi="Times New Roman" w:eastAsia="宋体"/>
                <w:color w:val="auto"/>
                <w:kern w:val="0"/>
                <w:sz w:val="24"/>
                <w:highlight w:val="none"/>
              </w:rPr>
              <w:t>本项目周边纳污水体为</w:t>
            </w:r>
            <w:r>
              <w:rPr>
                <w:rFonts w:hint="eastAsia" w:ascii="Times New Roman" w:hAnsi="Times New Roman" w:eastAsia="宋体"/>
                <w:color w:val="auto"/>
                <w:kern w:val="0"/>
                <w:sz w:val="24"/>
                <w:highlight w:val="none"/>
                <w:lang w:val="en-US" w:eastAsia="zh-CN"/>
              </w:rPr>
              <w:t>小金河</w:t>
            </w:r>
            <w:r>
              <w:rPr>
                <w:rFonts w:hint="eastAsia" w:ascii="Times New Roman" w:hAnsi="Times New Roman" w:eastAsia="宋体"/>
                <w:color w:val="auto"/>
                <w:kern w:val="0"/>
                <w:sz w:val="24"/>
                <w:highlight w:val="none"/>
              </w:rPr>
              <w:t>，根据《广东省地表水环境功能区划》</w:t>
            </w:r>
            <w:r>
              <w:rPr>
                <w:rFonts w:hint="eastAsia" w:ascii="Times New Roman" w:hAnsi="Times New Roman" w:eastAsia="宋体"/>
                <w:color w:val="auto"/>
                <w:kern w:val="0"/>
                <w:sz w:val="24"/>
                <w:highlight w:val="none"/>
                <w:lang w:eastAsia="zh-CN"/>
              </w:rPr>
              <w:t>（粤</w:t>
            </w:r>
            <w:r>
              <w:rPr>
                <w:rFonts w:hint="eastAsia" w:ascii="Times New Roman" w:hAnsi="Times New Roman" w:eastAsia="宋体"/>
                <w:color w:val="auto"/>
                <w:kern w:val="0"/>
                <w:sz w:val="24"/>
                <w:highlight w:val="none"/>
              </w:rPr>
              <w:t>府函</w:t>
            </w:r>
            <w:r>
              <w:rPr>
                <w:rFonts w:hint="eastAsia" w:ascii="Times New Roman" w:hAnsi="Times New Roman" w:eastAsia="宋体"/>
                <w:color w:val="auto"/>
                <w:kern w:val="0"/>
                <w:sz w:val="24"/>
                <w:highlight w:val="none"/>
                <w:lang w:eastAsia="zh-CN"/>
              </w:rPr>
              <w:t>〔2011〕</w:t>
            </w:r>
            <w:r>
              <w:rPr>
                <w:rFonts w:hint="eastAsia" w:ascii="Times New Roman" w:hAnsi="Times New Roman" w:eastAsia="宋体"/>
                <w:color w:val="auto"/>
                <w:kern w:val="0"/>
                <w:sz w:val="24"/>
                <w:highlight w:val="none"/>
              </w:rPr>
              <w:t>14号</w:t>
            </w:r>
            <w:r>
              <w:rPr>
                <w:rFonts w:hint="eastAsia" w:ascii="Times New Roman" w:hAnsi="Times New Roman" w:eastAsia="宋体"/>
                <w:color w:val="auto"/>
                <w:kern w:val="0"/>
                <w:sz w:val="24"/>
                <w:highlight w:val="none"/>
                <w:lang w:eastAsia="zh-CN"/>
              </w:rPr>
              <w:t>），</w:t>
            </w:r>
            <w:r>
              <w:rPr>
                <w:rFonts w:hint="eastAsia" w:ascii="Times New Roman" w:hAnsi="Times New Roman" w:eastAsia="宋体"/>
                <w:color w:val="auto"/>
                <w:kern w:val="0"/>
                <w:sz w:val="24"/>
                <w:highlight w:val="none"/>
              </w:rPr>
              <w:t>项目所处地附近的小金河地表水功能区划为III类功能区</w:t>
            </w:r>
            <w:r>
              <w:rPr>
                <w:rFonts w:hint="eastAsia" w:ascii="Times New Roman" w:hAnsi="Times New Roman" w:eastAsia="宋体"/>
                <w:color w:val="auto"/>
                <w:kern w:val="0"/>
                <w:sz w:val="24"/>
                <w:highlight w:val="none"/>
                <w:lang w:eastAsia="zh-CN"/>
              </w:rPr>
              <w:t>，</w:t>
            </w:r>
            <w:r>
              <w:rPr>
                <w:rFonts w:hint="eastAsia" w:ascii="Times New Roman" w:hAnsi="Times New Roman" w:eastAsia="宋体"/>
                <w:color w:val="auto"/>
                <w:kern w:val="0"/>
                <w:sz w:val="24"/>
                <w:highlight w:val="none"/>
                <w:lang w:val="en-US" w:eastAsia="zh-CN"/>
              </w:rPr>
              <w:t>执行</w:t>
            </w:r>
            <w:r>
              <w:rPr>
                <w:rFonts w:hint="eastAsia" w:ascii="Times New Roman" w:hAnsi="Times New Roman" w:eastAsia="宋体" w:cs="Times New Roman"/>
                <w:color w:val="auto"/>
                <w:sz w:val="24"/>
                <w:szCs w:val="32"/>
                <w:highlight w:val="none"/>
              </w:rPr>
              <w:t>《地表水环境质量标准》</w:t>
            </w:r>
            <w:r>
              <w:rPr>
                <w:rFonts w:hint="eastAsia" w:ascii="Times New Roman" w:hAnsi="Times New Roman" w:eastAsia="宋体" w:cs="Times New Roman"/>
                <w:color w:val="auto"/>
                <w:sz w:val="24"/>
                <w:szCs w:val="32"/>
                <w:highlight w:val="none"/>
                <w:lang w:eastAsia="zh-CN"/>
              </w:rPr>
              <w:t>（</w:t>
            </w:r>
            <w:r>
              <w:rPr>
                <w:rFonts w:hint="eastAsia" w:ascii="Times New Roman" w:hAnsi="Times New Roman" w:eastAsia="宋体" w:cs="Times New Roman"/>
                <w:color w:val="auto"/>
                <w:sz w:val="24"/>
                <w:szCs w:val="32"/>
                <w:highlight w:val="none"/>
              </w:rPr>
              <w:t>GB3838-2002</w:t>
            </w:r>
            <w:r>
              <w:rPr>
                <w:rFonts w:hint="eastAsia" w:ascii="Times New Roman" w:hAnsi="Times New Roman" w:eastAsia="宋体" w:cs="Times New Roman"/>
                <w:color w:val="auto"/>
                <w:sz w:val="24"/>
                <w:szCs w:val="32"/>
                <w:highlight w:val="none"/>
                <w:lang w:eastAsia="zh-CN"/>
              </w:rPr>
              <w:t>）III</w:t>
            </w:r>
            <w:r>
              <w:rPr>
                <w:rFonts w:hint="eastAsia" w:ascii="Times New Roman" w:hAnsi="Times New Roman" w:eastAsia="宋体" w:cs="Times New Roman"/>
                <w:color w:val="auto"/>
                <w:sz w:val="24"/>
                <w:szCs w:val="32"/>
                <w:highlight w:val="none"/>
              </w:rPr>
              <w:t>类标准</w:t>
            </w:r>
            <w:r>
              <w:rPr>
                <w:rFonts w:hint="eastAsia" w:ascii="Times New Roman" w:hAnsi="Times New Roman" w:eastAsia="宋体" w:cs="Times New Roman"/>
                <w:color w:val="auto"/>
                <w:sz w:val="24"/>
                <w:szCs w:val="32"/>
                <w:highlight w:val="none"/>
                <w:lang w:eastAsia="zh-CN"/>
              </w:rPr>
              <w:t>。</w:t>
            </w:r>
          </w:p>
          <w:p w14:paraId="780BC5B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olor w:val="auto"/>
                <w:kern w:val="0"/>
                <w:sz w:val="24"/>
                <w:highlight w:val="none"/>
              </w:rPr>
            </w:pPr>
            <w:r>
              <w:rPr>
                <w:rFonts w:hint="eastAsia" w:ascii="Times New Roman" w:hAnsi="Times New Roman" w:eastAsia="宋体"/>
                <w:color w:val="auto"/>
                <w:kern w:val="0"/>
                <w:sz w:val="24"/>
                <w:highlight w:val="none"/>
              </w:rPr>
              <w:t>为评价项目周边地表水环境质量状况，本环评引用</w:t>
            </w:r>
            <w:r>
              <w:rPr>
                <w:rFonts w:hint="eastAsia" w:ascii="Times New Roman" w:hAnsi="Times New Roman" w:eastAsia="宋体"/>
                <w:color w:val="auto"/>
                <w:kern w:val="0"/>
                <w:sz w:val="24"/>
                <w:highlight w:val="none"/>
                <w:lang w:eastAsia="zh-CN"/>
              </w:rPr>
              <w:t>《</w:t>
            </w:r>
            <w:r>
              <w:rPr>
                <w:rFonts w:hint="eastAsia" w:ascii="Times New Roman" w:hAnsi="Times New Roman" w:eastAsia="宋体"/>
                <w:color w:val="auto"/>
                <w:kern w:val="0"/>
                <w:sz w:val="24"/>
                <w:highlight w:val="none"/>
                <w:lang w:val="en-US" w:eastAsia="zh-CN"/>
              </w:rPr>
              <w:t>2024年6月博罗县东江一级支流水质监测数据表</w:t>
            </w:r>
            <w:r>
              <w:rPr>
                <w:rFonts w:hint="eastAsia" w:ascii="Times New Roman" w:hAnsi="Times New Roman" w:eastAsia="宋体"/>
                <w:color w:val="auto"/>
                <w:kern w:val="0"/>
                <w:sz w:val="24"/>
                <w:highlight w:val="none"/>
                <w:lang w:eastAsia="zh-CN"/>
              </w:rPr>
              <w:t>》</w:t>
            </w:r>
            <w:r>
              <w:rPr>
                <w:rFonts w:hint="eastAsia" w:ascii="Times New Roman" w:hAnsi="Times New Roman" w:eastAsia="宋体"/>
                <w:color w:val="auto"/>
                <w:kern w:val="0"/>
                <w:sz w:val="24"/>
                <w:highlight w:val="none"/>
                <w:lang w:val="en-US" w:eastAsia="zh-CN"/>
              </w:rPr>
              <w:t>对罗阳小金河广汕公路桥桥下的</w:t>
            </w:r>
            <w:r>
              <w:rPr>
                <w:rFonts w:hint="eastAsia" w:ascii="Times New Roman" w:hAnsi="Times New Roman" w:eastAsia="宋体"/>
                <w:color w:val="auto"/>
                <w:kern w:val="0"/>
                <w:sz w:val="24"/>
                <w:highlight w:val="none"/>
              </w:rPr>
              <w:t>环境质量现状监测数据</w:t>
            </w:r>
            <w:r>
              <w:rPr>
                <w:rFonts w:hint="eastAsia" w:ascii="Times New Roman" w:hAnsi="Times New Roman" w:eastAsia="宋体"/>
                <w:color w:val="auto"/>
                <w:kern w:val="0"/>
                <w:sz w:val="24"/>
                <w:highlight w:val="none"/>
                <w:lang w:eastAsia="zh-CN"/>
              </w:rPr>
              <w:t>（</w:t>
            </w:r>
            <w:r>
              <w:rPr>
                <w:rFonts w:hint="eastAsia" w:ascii="Times New Roman" w:hAnsi="Times New Roman" w:eastAsia="宋体"/>
                <w:color w:val="auto"/>
                <w:kern w:val="0"/>
                <w:sz w:val="24"/>
                <w:highlight w:val="none"/>
              </w:rPr>
              <w:t>报告编号</w:t>
            </w:r>
            <w:r>
              <w:rPr>
                <w:rFonts w:hint="eastAsia" w:ascii="Times New Roman" w:hAnsi="Times New Roman" w:eastAsia="宋体"/>
                <w:color w:val="auto"/>
                <w:kern w:val="0"/>
                <w:sz w:val="24"/>
                <w:highlight w:val="none"/>
                <w:lang w:eastAsia="zh-CN"/>
              </w:rPr>
              <w:t>：（博）环境监测（常</w:t>
            </w:r>
            <w:r>
              <w:rPr>
                <w:rFonts w:hint="eastAsia" w:ascii="Times New Roman" w:hAnsi="Times New Roman" w:eastAsia="宋体"/>
                <w:color w:val="auto"/>
                <w:kern w:val="0"/>
                <w:sz w:val="24"/>
                <w:highlight w:val="none"/>
                <w:lang w:val="en-US" w:eastAsia="zh-CN"/>
              </w:rPr>
              <w:t>-</w:t>
            </w:r>
            <w:r>
              <w:rPr>
                <w:rFonts w:hint="eastAsia" w:ascii="Times New Roman" w:hAnsi="Times New Roman" w:eastAsia="宋体"/>
                <w:color w:val="auto"/>
                <w:kern w:val="0"/>
                <w:sz w:val="24"/>
                <w:highlight w:val="none"/>
                <w:lang w:eastAsia="zh-CN"/>
              </w:rPr>
              <w:t>水）字（2024）第00071号）</w:t>
            </w:r>
            <w:r>
              <w:rPr>
                <w:rFonts w:hint="eastAsia" w:ascii="Times New Roman" w:hAnsi="Times New Roman" w:eastAsia="宋体"/>
                <w:color w:val="auto"/>
                <w:kern w:val="0"/>
                <w:sz w:val="24"/>
                <w:highlight w:val="none"/>
              </w:rPr>
              <w:t>，引用项目地表水监测与本项目受纳水体属同</w:t>
            </w:r>
            <w:r>
              <w:rPr>
                <w:rFonts w:hint="eastAsia" w:ascii="Times New Roman" w:hAnsi="Times New Roman" w:eastAsia="宋体"/>
                <w:color w:val="auto"/>
                <w:kern w:val="0"/>
                <w:sz w:val="24"/>
                <w:highlight w:val="none"/>
                <w:lang w:val="en-US" w:eastAsia="zh-CN"/>
              </w:rPr>
              <w:t>一</w:t>
            </w:r>
            <w:r>
              <w:rPr>
                <w:rFonts w:hint="eastAsia" w:ascii="Times New Roman" w:hAnsi="Times New Roman" w:eastAsia="宋体"/>
                <w:color w:val="auto"/>
                <w:kern w:val="0"/>
                <w:sz w:val="24"/>
                <w:highlight w:val="none"/>
              </w:rPr>
              <w:t>条河流，属于近3年的监测数据，因此引用数据具有可行性。具体水质监测结果见下表。</w:t>
            </w:r>
          </w:p>
          <w:p w14:paraId="1D094E83">
            <w:pPr>
              <w:pStyle w:val="20"/>
              <w:keepNext w:val="0"/>
              <w:keepLines w:val="0"/>
              <w:pageBreakBefore w:val="0"/>
              <w:kinsoku/>
              <w:wordWrap/>
              <w:overflowPunct/>
              <w:topLinePunct w:val="0"/>
              <w:autoSpaceDE/>
              <w:autoSpaceDN/>
              <w:bidi w:val="0"/>
              <w:spacing w:line="240" w:lineRule="auto"/>
              <w:jc w:val="center"/>
              <w:textAlignment w:val="auto"/>
              <w:rPr>
                <w:rFonts w:ascii="Times New Roman" w:hAnsi="Times New Roman" w:eastAsia="宋体"/>
                <w:b/>
                <w:color w:val="auto"/>
                <w:szCs w:val="21"/>
                <w:highlight w:val="none"/>
              </w:rPr>
            </w:pPr>
            <w:r>
              <w:rPr>
                <w:rFonts w:hint="eastAsia" w:ascii="Times New Roman" w:hAnsi="Times New Roman" w:eastAsia="宋体" w:cs="宋体"/>
                <w:b/>
                <w:color w:val="auto"/>
                <w:szCs w:val="21"/>
                <w:highlight w:val="none"/>
              </w:rPr>
              <w:t>表3-</w:t>
            </w:r>
            <w:r>
              <w:rPr>
                <w:rFonts w:hint="eastAsia" w:ascii="Times New Roman" w:hAnsi="Times New Roman" w:eastAsia="宋体" w:cs="宋体"/>
                <w:b/>
                <w:color w:val="auto"/>
                <w:szCs w:val="21"/>
                <w:highlight w:val="none"/>
                <w:lang w:val="en-US" w:eastAsia="zh-CN"/>
              </w:rPr>
              <w:t>3</w:t>
            </w:r>
            <w:r>
              <w:rPr>
                <w:rFonts w:hint="eastAsia" w:ascii="Times New Roman" w:hAnsi="Times New Roman" w:eastAsia="宋体" w:cs="宋体"/>
                <w:b/>
                <w:color w:val="auto"/>
                <w:szCs w:val="21"/>
                <w:highlight w:val="none"/>
              </w:rPr>
              <w:t xml:space="preserve"> </w:t>
            </w:r>
            <w:r>
              <w:rPr>
                <w:rFonts w:ascii="Times New Roman" w:hAnsi="Times New Roman" w:eastAsia="宋体"/>
                <w:b/>
                <w:color w:val="auto"/>
                <w:szCs w:val="21"/>
                <w:highlight w:val="none"/>
              </w:rPr>
              <w:t>地表水现状监测结果一览表 单位mg/L（pH</w:t>
            </w:r>
            <w:r>
              <w:rPr>
                <w:rFonts w:hint="eastAsia" w:ascii="Times New Roman" w:hAnsi="Times New Roman" w:eastAsia="宋体"/>
                <w:b/>
                <w:color w:val="auto"/>
                <w:szCs w:val="21"/>
                <w:highlight w:val="none"/>
                <w:lang w:val="en-US" w:eastAsia="zh-CN"/>
              </w:rPr>
              <w:t>值：无量纲</w:t>
            </w:r>
            <w:r>
              <w:rPr>
                <w:rFonts w:ascii="Times New Roman" w:hAnsi="Times New Roman" w:eastAsia="宋体"/>
                <w:b/>
                <w:color w:val="auto"/>
                <w:szCs w:val="21"/>
                <w:highlight w:val="none"/>
              </w:rPr>
              <w:t>、水温</w:t>
            </w:r>
            <w:r>
              <w:rPr>
                <w:rFonts w:hint="eastAsia" w:ascii="Times New Roman" w:hAnsi="Times New Roman" w:eastAsia="宋体"/>
                <w:b/>
                <w:color w:val="auto"/>
                <w:szCs w:val="21"/>
                <w:highlight w:val="none"/>
                <w:lang w:eastAsia="zh-CN"/>
              </w:rPr>
              <w:t>：</w:t>
            </w:r>
            <w:r>
              <w:rPr>
                <w:rFonts w:hint="eastAsia" w:ascii="Times New Roman" w:hAnsi="Times New Roman" w:eastAsia="宋体"/>
                <w:b/>
                <w:color w:val="auto"/>
                <w:szCs w:val="21"/>
                <w:highlight w:val="none"/>
                <w:lang w:val="en-US" w:eastAsia="zh-CN"/>
              </w:rPr>
              <w:t>℃除</w:t>
            </w:r>
            <w:r>
              <w:rPr>
                <w:rFonts w:ascii="Times New Roman" w:hAnsi="Times New Roman" w:eastAsia="宋体"/>
                <w:b/>
                <w:color w:val="auto"/>
                <w:szCs w:val="21"/>
                <w:highlight w:val="none"/>
              </w:rPr>
              <w:t>外）</w:t>
            </w:r>
          </w:p>
          <w:tbl>
            <w:tblPr>
              <w:tblStyle w:val="34"/>
              <w:tblW w:w="91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0"/>
              <w:gridCol w:w="774"/>
              <w:gridCol w:w="459"/>
              <w:gridCol w:w="460"/>
              <w:gridCol w:w="611"/>
              <w:gridCol w:w="712"/>
              <w:gridCol w:w="692"/>
              <w:gridCol w:w="722"/>
              <w:gridCol w:w="966"/>
              <w:gridCol w:w="966"/>
              <w:gridCol w:w="1077"/>
              <w:gridCol w:w="966"/>
            </w:tblGrid>
            <w:tr w14:paraId="61FA5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790"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14:paraId="3C03E727">
                  <w:pPr>
                    <w:keepNext w:val="0"/>
                    <w:keepLines w:val="0"/>
                    <w:pageBreakBefore w:val="0"/>
                    <w:widowControl/>
                    <w:kinsoku/>
                    <w:wordWrap/>
                    <w:overflowPunct/>
                    <w:topLinePunct w:val="0"/>
                    <w:autoSpaceDE/>
                    <w:autoSpaceDN/>
                    <w:bidi w:val="0"/>
                    <w:spacing w:line="240" w:lineRule="auto"/>
                    <w:jc w:val="center"/>
                    <w:textAlignment w:val="auto"/>
                    <w:rPr>
                      <w:rFonts w:ascii="Times New Roman" w:hAnsi="Times New Roman" w:eastAsia="宋体"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监测点位</w:t>
                  </w:r>
                </w:p>
              </w:tc>
              <w:tc>
                <w:tcPr>
                  <w:tcW w:w="774"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14:paraId="504D849C">
                  <w:pPr>
                    <w:keepNext w:val="0"/>
                    <w:keepLines w:val="0"/>
                    <w:pageBreakBefore w:val="0"/>
                    <w:widowControl/>
                    <w:kinsoku/>
                    <w:wordWrap/>
                    <w:overflowPunct/>
                    <w:topLinePunct w:val="0"/>
                    <w:autoSpaceDE/>
                    <w:autoSpaceDN/>
                    <w:bidi w:val="0"/>
                    <w:spacing w:line="240" w:lineRule="auto"/>
                    <w:jc w:val="center"/>
                    <w:textAlignment w:val="auto"/>
                    <w:rPr>
                      <w:rFonts w:ascii="Times New Roman" w:hAnsi="Times New Roman" w:eastAsia="宋体"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采样时间</w:t>
                  </w:r>
                </w:p>
              </w:tc>
              <w:tc>
                <w:tcPr>
                  <w:tcW w:w="459"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14:paraId="24B7F28B">
                  <w:pPr>
                    <w:keepNext w:val="0"/>
                    <w:keepLines w:val="0"/>
                    <w:pageBreakBefore w:val="0"/>
                    <w:widowControl/>
                    <w:kinsoku/>
                    <w:wordWrap/>
                    <w:overflowPunct/>
                    <w:topLinePunct w:val="0"/>
                    <w:autoSpaceDE/>
                    <w:autoSpaceDN/>
                    <w:bidi w:val="0"/>
                    <w:spacing w:line="240" w:lineRule="auto"/>
                    <w:jc w:val="center"/>
                    <w:textAlignment w:val="auto"/>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水温</w:t>
                  </w:r>
                </w:p>
              </w:tc>
              <w:tc>
                <w:tcPr>
                  <w:tcW w:w="460"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14:paraId="53F2D5D4">
                  <w:pPr>
                    <w:keepNext w:val="0"/>
                    <w:keepLines w:val="0"/>
                    <w:pageBreakBefore w:val="0"/>
                    <w:widowControl/>
                    <w:kinsoku/>
                    <w:wordWrap/>
                    <w:overflowPunct/>
                    <w:topLinePunct w:val="0"/>
                    <w:autoSpaceDE/>
                    <w:autoSpaceDN/>
                    <w:bidi w:val="0"/>
                    <w:spacing w:line="240" w:lineRule="auto"/>
                    <w:jc w:val="center"/>
                    <w:textAlignment w:val="auto"/>
                    <w:rPr>
                      <w:rFonts w:ascii="Times New Roman" w:hAnsi="Times New Roman" w:eastAsia="宋体" w:cs="Times New Roman"/>
                      <w:b/>
                      <w:bCs/>
                      <w:color w:val="auto"/>
                      <w:kern w:val="0"/>
                      <w:sz w:val="21"/>
                      <w:szCs w:val="21"/>
                      <w:highlight w:val="none"/>
                    </w:rPr>
                  </w:pPr>
                  <w:r>
                    <w:rPr>
                      <w:rFonts w:hint="eastAsia" w:ascii="Times New Roman" w:hAnsi="Times New Roman" w:eastAsia="宋体" w:cs="Times New Roman"/>
                      <w:b/>
                      <w:bCs/>
                      <w:color w:val="auto"/>
                      <w:kern w:val="0"/>
                      <w:sz w:val="21"/>
                      <w:szCs w:val="21"/>
                      <w:highlight w:val="none"/>
                    </w:rPr>
                    <w:t>pH值</w:t>
                  </w:r>
                </w:p>
              </w:tc>
              <w:tc>
                <w:tcPr>
                  <w:tcW w:w="611"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14:paraId="468506EB">
                  <w:pPr>
                    <w:keepNext w:val="0"/>
                    <w:keepLines w:val="0"/>
                    <w:pageBreakBefore w:val="0"/>
                    <w:widowControl/>
                    <w:kinsoku/>
                    <w:wordWrap/>
                    <w:overflowPunct/>
                    <w:topLinePunct w:val="0"/>
                    <w:autoSpaceDE/>
                    <w:autoSpaceDN/>
                    <w:bidi w:val="0"/>
                    <w:spacing w:line="240" w:lineRule="auto"/>
                    <w:jc w:val="center"/>
                    <w:textAlignment w:val="auto"/>
                    <w:rPr>
                      <w:rFonts w:ascii="Times New Roman" w:hAnsi="Times New Roman" w:eastAsia="宋体" w:cs="Times New Roman"/>
                      <w:b/>
                      <w:bCs/>
                      <w:color w:val="auto"/>
                      <w:kern w:val="0"/>
                      <w:sz w:val="21"/>
                      <w:szCs w:val="21"/>
                      <w:highlight w:val="none"/>
                    </w:rPr>
                  </w:pPr>
                  <w:r>
                    <w:rPr>
                      <w:rFonts w:hint="eastAsia" w:ascii="Times New Roman" w:hAnsi="Times New Roman" w:eastAsia="宋体" w:cs="Times New Roman"/>
                      <w:b/>
                      <w:bCs/>
                      <w:color w:val="auto"/>
                      <w:kern w:val="0"/>
                      <w:sz w:val="21"/>
                      <w:szCs w:val="21"/>
                      <w:highlight w:val="none"/>
                    </w:rPr>
                    <w:t>DO</w:t>
                  </w:r>
                </w:p>
              </w:tc>
              <w:tc>
                <w:tcPr>
                  <w:tcW w:w="712"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14:paraId="22D0B60D">
                  <w:pPr>
                    <w:keepNext w:val="0"/>
                    <w:keepLines w:val="0"/>
                    <w:pageBreakBefore w:val="0"/>
                    <w:widowControl/>
                    <w:kinsoku/>
                    <w:wordWrap/>
                    <w:overflowPunct/>
                    <w:topLinePunct w:val="0"/>
                    <w:autoSpaceDE/>
                    <w:autoSpaceDN/>
                    <w:bidi w:val="0"/>
                    <w:spacing w:line="240" w:lineRule="auto"/>
                    <w:jc w:val="center"/>
                    <w:textAlignment w:val="auto"/>
                    <w:rPr>
                      <w:rFonts w:hint="eastAsia" w:ascii="Times New Roman" w:hAnsi="Times New Roman" w:eastAsia="宋体" w:cs="Times New Roman"/>
                      <w:b/>
                      <w:bCs/>
                      <w:color w:val="auto"/>
                      <w:spacing w:val="-6"/>
                      <w:sz w:val="21"/>
                      <w:szCs w:val="21"/>
                      <w:highlight w:val="none"/>
                    </w:rPr>
                  </w:pPr>
                  <w:r>
                    <w:rPr>
                      <w:rFonts w:hint="eastAsia" w:ascii="Times New Roman" w:hAnsi="Times New Roman" w:eastAsia="宋体" w:cs="Times New Roman"/>
                      <w:b/>
                      <w:bCs/>
                      <w:color w:val="auto"/>
                      <w:spacing w:val="-6"/>
                      <w:sz w:val="21"/>
                      <w:szCs w:val="21"/>
                      <w:highlight w:val="none"/>
                    </w:rPr>
                    <w:t>CODcr</w:t>
                  </w:r>
                </w:p>
              </w:tc>
              <w:tc>
                <w:tcPr>
                  <w:tcW w:w="692"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14:paraId="742DADD5">
                  <w:pPr>
                    <w:keepNext w:val="0"/>
                    <w:keepLines w:val="0"/>
                    <w:pageBreakBefore w:val="0"/>
                    <w:widowControl/>
                    <w:kinsoku/>
                    <w:wordWrap/>
                    <w:overflowPunct/>
                    <w:topLinePunct w:val="0"/>
                    <w:autoSpaceDE/>
                    <w:autoSpaceDN/>
                    <w:bidi w:val="0"/>
                    <w:spacing w:line="240" w:lineRule="auto"/>
                    <w:jc w:val="center"/>
                    <w:textAlignment w:val="auto"/>
                    <w:rPr>
                      <w:rFonts w:ascii="Times New Roman" w:hAnsi="Times New Roman" w:eastAsia="宋体"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NH</w:t>
                  </w:r>
                  <w:r>
                    <w:rPr>
                      <w:rFonts w:hint="eastAsia" w:ascii="Times New Roman" w:hAnsi="Times New Roman" w:eastAsia="宋体" w:cs="Times New Roman"/>
                      <w:b/>
                      <w:bCs/>
                      <w:color w:val="auto"/>
                      <w:sz w:val="21"/>
                      <w:szCs w:val="21"/>
                      <w:highlight w:val="none"/>
                      <w:vertAlign w:val="subscript"/>
                    </w:rPr>
                    <w:t>3</w:t>
                  </w:r>
                  <w:r>
                    <w:rPr>
                      <w:rFonts w:hint="eastAsia" w:ascii="Times New Roman" w:hAnsi="Times New Roman" w:eastAsia="宋体" w:cs="Times New Roman"/>
                      <w:b/>
                      <w:bCs/>
                      <w:color w:val="auto"/>
                      <w:sz w:val="21"/>
                      <w:szCs w:val="21"/>
                      <w:highlight w:val="none"/>
                    </w:rPr>
                    <w:t>-N</w:t>
                  </w:r>
                </w:p>
              </w:tc>
              <w:tc>
                <w:tcPr>
                  <w:tcW w:w="722"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14:paraId="3F53CFF8">
                  <w:pPr>
                    <w:keepNext w:val="0"/>
                    <w:keepLines w:val="0"/>
                    <w:pageBreakBefore w:val="0"/>
                    <w:widowControl/>
                    <w:kinsoku/>
                    <w:wordWrap/>
                    <w:overflowPunct/>
                    <w:topLinePunct w:val="0"/>
                    <w:autoSpaceDE/>
                    <w:autoSpaceDN/>
                    <w:bidi w:val="0"/>
                    <w:spacing w:line="240" w:lineRule="auto"/>
                    <w:jc w:val="center"/>
                    <w:textAlignment w:val="auto"/>
                    <w:rPr>
                      <w:rFonts w:ascii="Times New Roman" w:hAnsi="Times New Roman" w:eastAsia="宋体" w:cs="Times New Roman"/>
                      <w:b/>
                      <w:bCs/>
                      <w:color w:val="auto"/>
                      <w:spacing w:val="-6"/>
                      <w:sz w:val="21"/>
                      <w:szCs w:val="21"/>
                      <w:highlight w:val="none"/>
                    </w:rPr>
                  </w:pPr>
                  <w:r>
                    <w:rPr>
                      <w:rFonts w:hint="eastAsia" w:ascii="Times New Roman" w:hAnsi="Times New Roman" w:eastAsia="宋体" w:cs="Times New Roman"/>
                      <w:b/>
                      <w:bCs/>
                      <w:color w:val="auto"/>
                      <w:spacing w:val="-6"/>
                      <w:sz w:val="21"/>
                      <w:szCs w:val="21"/>
                      <w:highlight w:val="none"/>
                    </w:rPr>
                    <w:t>总磷</w:t>
                  </w:r>
                </w:p>
              </w:tc>
              <w:tc>
                <w:tcPr>
                  <w:tcW w:w="966"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14:paraId="0566E9CF">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b/>
                      <w:bCs/>
                      <w:color w:val="auto"/>
                      <w:spacing w:val="-6"/>
                      <w:sz w:val="21"/>
                      <w:szCs w:val="21"/>
                      <w:highlight w:val="none"/>
                      <w:lang w:val="en-US" w:eastAsia="zh-CN"/>
                    </w:rPr>
                  </w:pPr>
                  <w:r>
                    <w:rPr>
                      <w:rFonts w:hint="eastAsia" w:ascii="Times New Roman" w:hAnsi="Times New Roman" w:eastAsia="宋体" w:cs="Times New Roman"/>
                      <w:b/>
                      <w:bCs/>
                      <w:color w:val="auto"/>
                      <w:spacing w:val="-6"/>
                      <w:sz w:val="21"/>
                      <w:szCs w:val="21"/>
                      <w:highlight w:val="none"/>
                      <w:lang w:val="en-US" w:eastAsia="zh-CN"/>
                    </w:rPr>
                    <w:t>铜</w:t>
                  </w:r>
                </w:p>
              </w:tc>
              <w:tc>
                <w:tcPr>
                  <w:tcW w:w="966"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14:paraId="7D83596C">
                  <w:pPr>
                    <w:keepNext w:val="0"/>
                    <w:keepLines w:val="0"/>
                    <w:pageBreakBefore w:val="0"/>
                    <w:widowControl/>
                    <w:kinsoku/>
                    <w:wordWrap/>
                    <w:overflowPunct/>
                    <w:topLinePunct w:val="0"/>
                    <w:autoSpaceDE/>
                    <w:autoSpaceDN/>
                    <w:bidi w:val="0"/>
                    <w:spacing w:line="240" w:lineRule="auto"/>
                    <w:jc w:val="center"/>
                    <w:textAlignment w:val="auto"/>
                    <w:rPr>
                      <w:rFonts w:hint="eastAsia" w:ascii="Times New Roman" w:hAnsi="Times New Roman" w:eastAsia="宋体" w:cs="Times New Roman"/>
                      <w:b/>
                      <w:bCs/>
                      <w:color w:val="auto"/>
                      <w:spacing w:val="-6"/>
                      <w:sz w:val="21"/>
                      <w:szCs w:val="21"/>
                      <w:highlight w:val="none"/>
                      <w:lang w:val="en-US" w:eastAsia="zh-CN"/>
                    </w:rPr>
                  </w:pPr>
                  <w:r>
                    <w:rPr>
                      <w:rFonts w:hint="eastAsia" w:ascii="Times New Roman" w:hAnsi="Times New Roman" w:eastAsia="宋体" w:cs="Times New Roman"/>
                      <w:b/>
                      <w:bCs/>
                      <w:color w:val="auto"/>
                      <w:spacing w:val="-6"/>
                      <w:sz w:val="21"/>
                      <w:szCs w:val="21"/>
                      <w:highlight w:val="none"/>
                      <w:lang w:val="en-US" w:eastAsia="zh-CN"/>
                    </w:rPr>
                    <w:t>锌</w:t>
                  </w:r>
                </w:p>
              </w:tc>
              <w:tc>
                <w:tcPr>
                  <w:tcW w:w="1077"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14:paraId="54C65960">
                  <w:pPr>
                    <w:keepNext w:val="0"/>
                    <w:keepLines w:val="0"/>
                    <w:pageBreakBefore w:val="0"/>
                    <w:widowControl/>
                    <w:kinsoku/>
                    <w:wordWrap/>
                    <w:overflowPunct/>
                    <w:topLinePunct w:val="0"/>
                    <w:autoSpaceDE/>
                    <w:autoSpaceDN/>
                    <w:bidi w:val="0"/>
                    <w:spacing w:line="240" w:lineRule="auto"/>
                    <w:jc w:val="center"/>
                    <w:textAlignment w:val="auto"/>
                    <w:rPr>
                      <w:rFonts w:hint="eastAsia" w:ascii="Times New Roman" w:hAnsi="Times New Roman" w:eastAsia="宋体" w:cs="Times New Roman"/>
                      <w:b/>
                      <w:bCs/>
                      <w:color w:val="auto"/>
                      <w:spacing w:val="-6"/>
                      <w:sz w:val="21"/>
                      <w:szCs w:val="21"/>
                      <w:highlight w:val="none"/>
                      <w:lang w:val="en-US" w:eastAsia="zh-CN"/>
                    </w:rPr>
                  </w:pPr>
                  <w:r>
                    <w:rPr>
                      <w:rFonts w:hint="eastAsia" w:ascii="Times New Roman" w:hAnsi="Times New Roman" w:eastAsia="宋体" w:cs="Times New Roman"/>
                      <w:b/>
                      <w:bCs/>
                      <w:color w:val="auto"/>
                      <w:spacing w:val="-6"/>
                      <w:sz w:val="21"/>
                      <w:szCs w:val="21"/>
                      <w:highlight w:val="none"/>
                      <w:lang w:val="en-US" w:eastAsia="zh-CN"/>
                    </w:rPr>
                    <w:t>砷</w:t>
                  </w:r>
                </w:p>
              </w:tc>
              <w:tc>
                <w:tcPr>
                  <w:tcW w:w="966"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14:paraId="6E106E40">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b/>
                      <w:bCs/>
                      <w:color w:val="auto"/>
                      <w:spacing w:val="-6"/>
                      <w:sz w:val="21"/>
                      <w:szCs w:val="21"/>
                      <w:highlight w:val="none"/>
                      <w:lang w:val="en-US" w:eastAsia="zh-CN"/>
                    </w:rPr>
                  </w:pPr>
                  <w:r>
                    <w:rPr>
                      <w:rFonts w:hint="eastAsia" w:ascii="Times New Roman" w:hAnsi="Times New Roman" w:eastAsia="宋体" w:cs="Times New Roman"/>
                      <w:b/>
                      <w:bCs/>
                      <w:color w:val="auto"/>
                      <w:spacing w:val="-6"/>
                      <w:sz w:val="21"/>
                      <w:szCs w:val="21"/>
                      <w:highlight w:val="none"/>
                      <w:lang w:val="en-US" w:eastAsia="zh-CN"/>
                    </w:rPr>
                    <w:t>六价铬</w:t>
                  </w:r>
                </w:p>
              </w:tc>
            </w:tr>
            <w:tr w14:paraId="0792A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790" w:type="dxa"/>
                  <w:vMerge w:val="restart"/>
                  <w:tcBorders>
                    <w:top w:val="single" w:color="auto" w:sz="4" w:space="0"/>
                    <w:left w:val="single" w:color="auto" w:sz="4" w:space="0"/>
                    <w:right w:val="single" w:color="auto" w:sz="4" w:space="0"/>
                  </w:tcBorders>
                  <w:noWrap w:val="0"/>
                  <w:vAlign w:val="center"/>
                </w:tcPr>
                <w:p w14:paraId="0ECD036D">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罗阳小金河广汕公路桥桥下</w:t>
                  </w:r>
                </w:p>
              </w:tc>
              <w:tc>
                <w:tcPr>
                  <w:tcW w:w="774"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14:paraId="0C407187">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6月11日</w:t>
                  </w:r>
                </w:p>
              </w:tc>
              <w:tc>
                <w:tcPr>
                  <w:tcW w:w="459"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14:paraId="37B1CD3E">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24.5</w:t>
                  </w:r>
                </w:p>
              </w:tc>
              <w:tc>
                <w:tcPr>
                  <w:tcW w:w="460"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14:paraId="392FA2F0">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7.2</w:t>
                  </w:r>
                </w:p>
              </w:tc>
              <w:tc>
                <w:tcPr>
                  <w:tcW w:w="611" w:type="dxa"/>
                  <w:tcBorders>
                    <w:top w:val="single" w:color="auto" w:sz="4" w:space="0"/>
                    <w:left w:val="single" w:color="auto" w:sz="4" w:space="0"/>
                    <w:bottom w:val="single" w:color="auto" w:sz="4" w:space="0"/>
                    <w:right w:val="single" w:color="auto" w:sz="4" w:space="0"/>
                  </w:tcBorders>
                  <w:noWrap w:val="0"/>
                  <w:vAlign w:val="center"/>
                </w:tcPr>
                <w:p w14:paraId="30EDF593">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5.84</w:t>
                  </w:r>
                </w:p>
              </w:tc>
              <w:tc>
                <w:tcPr>
                  <w:tcW w:w="712" w:type="dxa"/>
                  <w:tcBorders>
                    <w:top w:val="single" w:color="auto" w:sz="4" w:space="0"/>
                    <w:left w:val="single" w:color="auto" w:sz="4" w:space="0"/>
                    <w:bottom w:val="single" w:color="auto" w:sz="4" w:space="0"/>
                    <w:right w:val="single" w:color="auto" w:sz="4" w:space="0"/>
                  </w:tcBorders>
                  <w:noWrap w:val="0"/>
                  <w:vAlign w:val="center"/>
                </w:tcPr>
                <w:p w14:paraId="1E76DDB3">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19</w:t>
                  </w:r>
                </w:p>
              </w:tc>
              <w:tc>
                <w:tcPr>
                  <w:tcW w:w="692" w:type="dxa"/>
                  <w:tcBorders>
                    <w:top w:val="single" w:color="auto" w:sz="4" w:space="0"/>
                    <w:left w:val="single" w:color="auto" w:sz="4" w:space="0"/>
                    <w:bottom w:val="single" w:color="auto" w:sz="4" w:space="0"/>
                    <w:right w:val="single" w:color="auto" w:sz="4" w:space="0"/>
                  </w:tcBorders>
                  <w:noWrap w:val="0"/>
                  <w:vAlign w:val="center"/>
                </w:tcPr>
                <w:p w14:paraId="52C62A41">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0.46</w:t>
                  </w:r>
                </w:p>
              </w:tc>
              <w:tc>
                <w:tcPr>
                  <w:tcW w:w="722" w:type="dxa"/>
                  <w:tcBorders>
                    <w:top w:val="single" w:color="auto" w:sz="4" w:space="0"/>
                    <w:left w:val="single" w:color="auto" w:sz="4" w:space="0"/>
                    <w:bottom w:val="single" w:color="auto" w:sz="4" w:space="0"/>
                    <w:right w:val="single" w:color="auto" w:sz="4" w:space="0"/>
                  </w:tcBorders>
                  <w:noWrap w:val="0"/>
                  <w:vAlign w:val="center"/>
                </w:tcPr>
                <w:p w14:paraId="11D09FF2">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0.039</w:t>
                  </w:r>
                </w:p>
              </w:tc>
              <w:tc>
                <w:tcPr>
                  <w:tcW w:w="966" w:type="dxa"/>
                  <w:tcBorders>
                    <w:top w:val="single" w:color="auto" w:sz="4" w:space="0"/>
                    <w:left w:val="single" w:color="auto" w:sz="4" w:space="0"/>
                    <w:bottom w:val="single" w:color="auto" w:sz="4" w:space="0"/>
                    <w:right w:val="single" w:color="auto" w:sz="4" w:space="0"/>
                  </w:tcBorders>
                  <w:noWrap w:val="0"/>
                  <w:vAlign w:val="center"/>
                </w:tcPr>
                <w:p w14:paraId="3ECDE6D6">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0.006L</w:t>
                  </w:r>
                  <w:r>
                    <w:rPr>
                      <w:rFonts w:hint="eastAsia" w:ascii="Times New Roman" w:hAnsi="Times New Roman" w:eastAsia="宋体" w:cs="Times New Roman"/>
                      <w:color w:val="auto"/>
                      <w:kern w:val="0"/>
                      <w:sz w:val="21"/>
                      <w:szCs w:val="21"/>
                      <w:highlight w:val="none"/>
                      <w:vertAlign w:val="superscript"/>
                      <w:lang w:val="en-US" w:eastAsia="zh-CN"/>
                    </w:rPr>
                    <w:t>①</w:t>
                  </w:r>
                </w:p>
              </w:tc>
              <w:tc>
                <w:tcPr>
                  <w:tcW w:w="966" w:type="dxa"/>
                  <w:tcBorders>
                    <w:top w:val="single" w:color="auto" w:sz="4" w:space="0"/>
                    <w:left w:val="single" w:color="auto" w:sz="4" w:space="0"/>
                    <w:bottom w:val="single" w:color="auto" w:sz="4" w:space="0"/>
                    <w:right w:val="single" w:color="auto" w:sz="4" w:space="0"/>
                  </w:tcBorders>
                  <w:noWrap w:val="0"/>
                  <w:vAlign w:val="center"/>
                </w:tcPr>
                <w:p w14:paraId="2F52A98B">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0.004L</w:t>
                  </w:r>
                  <w:r>
                    <w:rPr>
                      <w:rFonts w:hint="eastAsia" w:ascii="Times New Roman" w:hAnsi="Times New Roman" w:eastAsia="宋体" w:cs="Times New Roman"/>
                      <w:color w:val="auto"/>
                      <w:kern w:val="0"/>
                      <w:sz w:val="21"/>
                      <w:szCs w:val="21"/>
                      <w:highlight w:val="none"/>
                      <w:vertAlign w:val="superscript"/>
                      <w:lang w:val="en-US" w:eastAsia="zh-CN"/>
                    </w:rPr>
                    <w:t>①</w:t>
                  </w:r>
                </w:p>
              </w:tc>
              <w:tc>
                <w:tcPr>
                  <w:tcW w:w="1077" w:type="dxa"/>
                  <w:tcBorders>
                    <w:top w:val="single" w:color="auto" w:sz="4" w:space="0"/>
                    <w:left w:val="single" w:color="auto" w:sz="4" w:space="0"/>
                    <w:bottom w:val="single" w:color="auto" w:sz="4" w:space="0"/>
                    <w:right w:val="single" w:color="auto" w:sz="4" w:space="0"/>
                  </w:tcBorders>
                  <w:noWrap w:val="0"/>
                  <w:vAlign w:val="center"/>
                </w:tcPr>
                <w:p w14:paraId="5273042D">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0.0003L</w:t>
                  </w:r>
                  <w:r>
                    <w:rPr>
                      <w:rFonts w:hint="eastAsia" w:ascii="Times New Roman" w:hAnsi="Times New Roman" w:eastAsia="宋体" w:cs="Times New Roman"/>
                      <w:color w:val="auto"/>
                      <w:kern w:val="0"/>
                      <w:sz w:val="21"/>
                      <w:szCs w:val="21"/>
                      <w:highlight w:val="none"/>
                      <w:vertAlign w:val="superscript"/>
                      <w:lang w:val="en-US" w:eastAsia="zh-CN"/>
                    </w:rPr>
                    <w:t>①</w:t>
                  </w:r>
                </w:p>
              </w:tc>
              <w:tc>
                <w:tcPr>
                  <w:tcW w:w="966" w:type="dxa"/>
                  <w:tcBorders>
                    <w:top w:val="single" w:color="auto" w:sz="4" w:space="0"/>
                    <w:left w:val="single" w:color="auto" w:sz="4" w:space="0"/>
                    <w:bottom w:val="single" w:color="auto" w:sz="4" w:space="0"/>
                    <w:right w:val="single" w:color="auto" w:sz="4" w:space="0"/>
                  </w:tcBorders>
                  <w:noWrap w:val="0"/>
                  <w:vAlign w:val="center"/>
                </w:tcPr>
                <w:p w14:paraId="546E0DB3">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0.004L</w:t>
                  </w:r>
                  <w:r>
                    <w:rPr>
                      <w:rFonts w:hint="eastAsia" w:ascii="Times New Roman" w:hAnsi="Times New Roman" w:eastAsia="宋体" w:cs="Times New Roman"/>
                      <w:color w:val="auto"/>
                      <w:kern w:val="0"/>
                      <w:sz w:val="21"/>
                      <w:szCs w:val="21"/>
                      <w:highlight w:val="none"/>
                      <w:vertAlign w:val="superscript"/>
                      <w:lang w:val="en-US" w:eastAsia="zh-CN"/>
                    </w:rPr>
                    <w:t>①</w:t>
                  </w:r>
                </w:p>
              </w:tc>
            </w:tr>
            <w:tr w14:paraId="122E8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790" w:type="dxa"/>
                  <w:vMerge w:val="continue"/>
                  <w:tcBorders>
                    <w:left w:val="single" w:color="auto" w:sz="4" w:space="0"/>
                    <w:right w:val="single" w:color="auto" w:sz="4" w:space="0"/>
                  </w:tcBorders>
                  <w:noWrap w:val="0"/>
                  <w:tcMar>
                    <w:top w:w="0" w:type="dxa"/>
                    <w:left w:w="28" w:type="dxa"/>
                    <w:bottom w:w="0" w:type="dxa"/>
                    <w:right w:w="28" w:type="dxa"/>
                  </w:tcMar>
                  <w:vAlign w:val="center"/>
                </w:tcPr>
                <w:p w14:paraId="2ABF2E27">
                  <w:pPr>
                    <w:keepNext w:val="0"/>
                    <w:keepLines w:val="0"/>
                    <w:pageBreakBefore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color w:val="auto"/>
                      <w:sz w:val="21"/>
                      <w:szCs w:val="21"/>
                      <w:highlight w:val="none"/>
                    </w:rPr>
                  </w:pPr>
                </w:p>
              </w:tc>
              <w:tc>
                <w:tcPr>
                  <w:tcW w:w="774"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14:paraId="61F3BE3D">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III类标准</w:t>
                  </w:r>
                </w:p>
              </w:tc>
              <w:tc>
                <w:tcPr>
                  <w:tcW w:w="459"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14:paraId="797615D0">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460"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14:paraId="46AAD29B">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6~9</w:t>
                  </w:r>
                </w:p>
              </w:tc>
              <w:tc>
                <w:tcPr>
                  <w:tcW w:w="611"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14:paraId="5602A317">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w:t>
                  </w:r>
                </w:p>
              </w:tc>
              <w:tc>
                <w:tcPr>
                  <w:tcW w:w="712"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14:paraId="6B0B93EE">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w:t>
                  </w:r>
                </w:p>
              </w:tc>
              <w:tc>
                <w:tcPr>
                  <w:tcW w:w="692"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14:paraId="14C549A4">
                  <w:pPr>
                    <w:keepNext w:val="0"/>
                    <w:keepLines w:val="0"/>
                    <w:pageBreakBefore w:val="0"/>
                    <w:kinsoku/>
                    <w:wordWrap/>
                    <w:overflowPunct/>
                    <w:topLinePunct w:val="0"/>
                    <w:autoSpaceDE/>
                    <w:autoSpaceDN/>
                    <w:bidi w:val="0"/>
                    <w:spacing w:line="240" w:lineRule="auto"/>
                    <w:jc w:val="center"/>
                    <w:textAlignment w:val="auto"/>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≤1</w:t>
                  </w:r>
                </w:p>
              </w:tc>
              <w:tc>
                <w:tcPr>
                  <w:tcW w:w="722"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14:paraId="269D00DF">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color w:val="auto"/>
                      <w:sz w:val="21"/>
                      <w:szCs w:val="21"/>
                      <w:highlight w:val="none"/>
                      <w:lang w:val="en-US" w:eastAsia="zh-CN"/>
                    </w:rPr>
                    <w:t>≤0.2</w:t>
                  </w:r>
                </w:p>
              </w:tc>
              <w:tc>
                <w:tcPr>
                  <w:tcW w:w="966"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14:paraId="089B1FD0">
                  <w:pPr>
                    <w:keepNext w:val="0"/>
                    <w:keepLines w:val="0"/>
                    <w:pageBreakBefore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w:t>
                  </w:r>
                </w:p>
              </w:tc>
              <w:tc>
                <w:tcPr>
                  <w:tcW w:w="966"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14:paraId="071D1BE9">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color w:val="auto"/>
                      <w:sz w:val="21"/>
                      <w:szCs w:val="21"/>
                      <w:highlight w:val="none"/>
                      <w:lang w:val="en-US" w:eastAsia="zh-CN"/>
                    </w:rPr>
                    <w:t>≤1</w:t>
                  </w:r>
                </w:p>
              </w:tc>
              <w:tc>
                <w:tcPr>
                  <w:tcW w:w="1077"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14:paraId="5620F278">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≤0.05</w:t>
                  </w:r>
                </w:p>
              </w:tc>
              <w:tc>
                <w:tcPr>
                  <w:tcW w:w="966"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14:paraId="5B68F960">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≤0.05</w:t>
                  </w:r>
                </w:p>
              </w:tc>
            </w:tr>
            <w:tr w14:paraId="615D5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790" w:type="dxa"/>
                  <w:vMerge w:val="continue"/>
                  <w:tcBorders>
                    <w:left w:val="single" w:color="auto" w:sz="4" w:space="0"/>
                    <w:right w:val="single" w:color="auto" w:sz="4" w:space="0"/>
                  </w:tcBorders>
                  <w:noWrap w:val="0"/>
                  <w:tcMar>
                    <w:top w:w="0" w:type="dxa"/>
                    <w:left w:w="28" w:type="dxa"/>
                    <w:bottom w:w="0" w:type="dxa"/>
                    <w:right w:w="28" w:type="dxa"/>
                  </w:tcMar>
                  <w:vAlign w:val="center"/>
                </w:tcPr>
                <w:p w14:paraId="67D6ABC7">
                  <w:pPr>
                    <w:keepNext w:val="0"/>
                    <w:keepLines w:val="0"/>
                    <w:pageBreakBefore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color w:val="auto"/>
                      <w:sz w:val="21"/>
                      <w:szCs w:val="21"/>
                      <w:highlight w:val="none"/>
                    </w:rPr>
                  </w:pPr>
                </w:p>
              </w:tc>
              <w:tc>
                <w:tcPr>
                  <w:tcW w:w="774"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14:paraId="240410BF">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达标情况</w:t>
                  </w:r>
                </w:p>
              </w:tc>
              <w:tc>
                <w:tcPr>
                  <w:tcW w:w="459"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14:paraId="5D9A189B">
                  <w:pPr>
                    <w:keepNext w:val="0"/>
                    <w:keepLines w:val="0"/>
                    <w:pageBreakBefore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460"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14:paraId="3EDE7046">
                  <w:pPr>
                    <w:keepNext w:val="0"/>
                    <w:keepLines w:val="0"/>
                    <w:pageBreakBefore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达标</w:t>
                  </w:r>
                </w:p>
              </w:tc>
              <w:tc>
                <w:tcPr>
                  <w:tcW w:w="611"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14:paraId="0A6512DF">
                  <w:pPr>
                    <w:keepNext w:val="0"/>
                    <w:keepLines w:val="0"/>
                    <w:pageBreakBefore w:val="0"/>
                    <w:kinsoku/>
                    <w:wordWrap/>
                    <w:overflowPunct/>
                    <w:topLinePunct w:val="0"/>
                    <w:autoSpaceDE/>
                    <w:autoSpaceDN/>
                    <w:bidi w:val="0"/>
                    <w:spacing w:line="240" w:lineRule="auto"/>
                    <w:jc w:val="center"/>
                    <w:textAlignment w:val="auto"/>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达标</w:t>
                  </w:r>
                </w:p>
              </w:tc>
              <w:tc>
                <w:tcPr>
                  <w:tcW w:w="712"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14:paraId="6C95B9A3">
                  <w:pPr>
                    <w:keepNext w:val="0"/>
                    <w:keepLines w:val="0"/>
                    <w:pageBreakBefore w:val="0"/>
                    <w:kinsoku/>
                    <w:wordWrap/>
                    <w:overflowPunct/>
                    <w:topLinePunct w:val="0"/>
                    <w:autoSpaceDE/>
                    <w:autoSpaceDN/>
                    <w:bidi w:val="0"/>
                    <w:spacing w:line="240" w:lineRule="auto"/>
                    <w:jc w:val="center"/>
                    <w:textAlignment w:val="auto"/>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达标</w:t>
                  </w:r>
                </w:p>
              </w:tc>
              <w:tc>
                <w:tcPr>
                  <w:tcW w:w="692"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14:paraId="16F8D2BE">
                  <w:pPr>
                    <w:keepNext w:val="0"/>
                    <w:keepLines w:val="0"/>
                    <w:pageBreakBefore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达标</w:t>
                  </w:r>
                </w:p>
              </w:tc>
              <w:tc>
                <w:tcPr>
                  <w:tcW w:w="722"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14:paraId="4D33F575">
                  <w:pPr>
                    <w:keepNext w:val="0"/>
                    <w:keepLines w:val="0"/>
                    <w:pageBreakBefore w:val="0"/>
                    <w:kinsoku/>
                    <w:wordWrap/>
                    <w:overflowPunct/>
                    <w:topLinePunct w:val="0"/>
                    <w:autoSpaceDE/>
                    <w:autoSpaceDN/>
                    <w:bidi w:val="0"/>
                    <w:spacing w:line="240" w:lineRule="auto"/>
                    <w:jc w:val="center"/>
                    <w:textAlignment w:val="auto"/>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达标</w:t>
                  </w:r>
                </w:p>
              </w:tc>
              <w:tc>
                <w:tcPr>
                  <w:tcW w:w="966"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14:paraId="54B2DC45">
                  <w:pPr>
                    <w:keepNext w:val="0"/>
                    <w:keepLines w:val="0"/>
                    <w:pageBreakBefore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达标</w:t>
                  </w:r>
                </w:p>
              </w:tc>
              <w:tc>
                <w:tcPr>
                  <w:tcW w:w="966"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14:paraId="592411A6">
                  <w:pPr>
                    <w:keepNext w:val="0"/>
                    <w:keepLines w:val="0"/>
                    <w:pageBreakBefore w:val="0"/>
                    <w:widowControl/>
                    <w:kinsoku/>
                    <w:wordWrap/>
                    <w:overflowPunct/>
                    <w:topLinePunct w:val="0"/>
                    <w:autoSpaceDE/>
                    <w:autoSpaceDN/>
                    <w:bidi w:val="0"/>
                    <w:spacing w:line="240" w:lineRule="auto"/>
                    <w:jc w:val="center"/>
                    <w:textAlignment w:val="auto"/>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达标</w:t>
                  </w:r>
                </w:p>
              </w:tc>
              <w:tc>
                <w:tcPr>
                  <w:tcW w:w="1077"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14:paraId="068644E0">
                  <w:pPr>
                    <w:keepNext w:val="0"/>
                    <w:keepLines w:val="0"/>
                    <w:pageBreakBefore w:val="0"/>
                    <w:widowControl/>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达标</w:t>
                  </w:r>
                </w:p>
              </w:tc>
              <w:tc>
                <w:tcPr>
                  <w:tcW w:w="966" w:type="dxa"/>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14:paraId="3FE141A8">
                  <w:pPr>
                    <w:keepNext w:val="0"/>
                    <w:keepLines w:val="0"/>
                    <w:pageBreakBefore w:val="0"/>
                    <w:widowControl/>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达标</w:t>
                  </w:r>
                </w:p>
              </w:tc>
            </w:tr>
            <w:tr w14:paraId="57D0A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9195" w:type="dxa"/>
                  <w:gridSpan w:val="12"/>
                  <w:tcBorders>
                    <w:left w:val="single" w:color="auto" w:sz="4" w:space="0"/>
                    <w:bottom w:val="single" w:color="auto" w:sz="4" w:space="0"/>
                    <w:right w:val="single" w:color="auto" w:sz="4" w:space="0"/>
                  </w:tcBorders>
                  <w:noWrap w:val="0"/>
                  <w:tcMar>
                    <w:top w:w="0" w:type="dxa"/>
                    <w:left w:w="28" w:type="dxa"/>
                    <w:bottom w:w="0" w:type="dxa"/>
                    <w:right w:w="28" w:type="dxa"/>
                  </w:tcMar>
                  <w:vAlign w:val="center"/>
                </w:tcPr>
                <w:p w14:paraId="0BC6C97C">
                  <w:pPr>
                    <w:keepNext w:val="0"/>
                    <w:keepLines w:val="0"/>
                    <w:pageBreakBefore w:val="0"/>
                    <w:widowControl/>
                    <w:kinsoku/>
                    <w:wordWrap/>
                    <w:overflowPunct/>
                    <w:topLinePunct w:val="0"/>
                    <w:autoSpaceDE/>
                    <w:autoSpaceDN/>
                    <w:bidi w:val="0"/>
                    <w:adjustRightInd/>
                    <w:snapToGrid/>
                    <w:spacing w:line="240" w:lineRule="auto"/>
                    <w:ind w:firstLine="420" w:firstLineChars="200"/>
                    <w:jc w:val="both"/>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注：①L-表示该监测分析项目的浓度低于方法检出限，以检出限报出；</w:t>
                  </w:r>
                </w:p>
                <w:p w14:paraId="2C6F5E47">
                  <w:pPr>
                    <w:keepNext w:val="0"/>
                    <w:keepLines w:val="0"/>
                    <w:pageBreakBefore w:val="0"/>
                    <w:widowControl/>
                    <w:kinsoku/>
                    <w:wordWrap/>
                    <w:overflowPunct/>
                    <w:topLinePunct w:val="0"/>
                    <w:autoSpaceDE/>
                    <w:autoSpaceDN/>
                    <w:bidi w:val="0"/>
                    <w:adjustRightInd/>
                    <w:snapToGrid/>
                    <w:spacing w:line="240" w:lineRule="auto"/>
                    <w:ind w:firstLine="420" w:firstLineChars="200"/>
                    <w:jc w:val="both"/>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②"/”表示无该监测项目评价标准。</w:t>
                  </w:r>
                </w:p>
              </w:tc>
            </w:tr>
          </w:tbl>
          <w:p w14:paraId="0BA0D4A2">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Times New Roman"/>
                <w:color w:val="auto"/>
                <w:sz w:val="24"/>
                <w:szCs w:val="32"/>
                <w:highlight w:val="none"/>
                <w:lang w:eastAsia="zh-CN"/>
              </w:rPr>
            </w:pPr>
            <w:r>
              <w:rPr>
                <w:rFonts w:hint="eastAsia" w:ascii="Times New Roman" w:hAnsi="Times New Roman" w:eastAsia="宋体" w:cs="Times New Roman"/>
                <w:color w:val="auto"/>
                <w:sz w:val="24"/>
                <w:szCs w:val="32"/>
                <w:highlight w:val="none"/>
                <w:lang w:eastAsia="zh-CN"/>
              </w:rPr>
              <w:drawing>
                <wp:inline distT="0" distB="0" distL="114300" distR="114300">
                  <wp:extent cx="5610860" cy="1193800"/>
                  <wp:effectExtent l="0" t="0" r="8890" b="6350"/>
                  <wp:docPr id="151" name="图片 7" descr="b03ce7ba314f583cc18a1f787769b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7" descr="b03ce7ba314f583cc18a1f787769b32"/>
                          <pic:cNvPicPr>
                            <a:picLocks noChangeAspect="1"/>
                          </pic:cNvPicPr>
                        </pic:nvPicPr>
                        <pic:blipFill>
                          <a:blip r:embed="rId20"/>
                          <a:stretch>
                            <a:fillRect/>
                          </a:stretch>
                        </pic:blipFill>
                        <pic:spPr>
                          <a:xfrm>
                            <a:off x="0" y="0"/>
                            <a:ext cx="5610860" cy="1193800"/>
                          </a:xfrm>
                          <a:prstGeom prst="rect">
                            <a:avLst/>
                          </a:prstGeom>
                          <a:noFill/>
                          <a:ln>
                            <a:noFill/>
                          </a:ln>
                        </pic:spPr>
                      </pic:pic>
                    </a:graphicData>
                  </a:graphic>
                </wp:inline>
              </w:drawing>
            </w:r>
          </w:p>
          <w:p w14:paraId="1849E242">
            <w:pPr>
              <w:keepNext w:val="0"/>
              <w:keepLines w:val="0"/>
              <w:pageBreakBefore w:val="0"/>
              <w:widowControl w:val="0"/>
              <w:kinsoku/>
              <w:wordWrap/>
              <w:overflowPunct/>
              <w:topLinePunct w:val="0"/>
              <w:autoSpaceDE/>
              <w:autoSpaceDN/>
              <w:bidi w:val="0"/>
              <w:adjustRightInd w:val="0"/>
              <w:snapToGrid w:val="0"/>
              <w:spacing w:line="240" w:lineRule="auto"/>
              <w:ind w:firstLine="422" w:firstLineChars="200"/>
              <w:jc w:val="center"/>
              <w:textAlignment w:val="auto"/>
              <w:rPr>
                <w:rFonts w:hint="eastAsia" w:ascii="Times New Roman" w:hAnsi="Times New Roman" w:eastAsia="宋体"/>
                <w:b/>
                <w:bCs/>
                <w:color w:val="auto"/>
                <w:sz w:val="21"/>
                <w:szCs w:val="21"/>
                <w:highlight w:val="none"/>
              </w:rPr>
            </w:pPr>
            <w:r>
              <w:rPr>
                <w:rFonts w:hint="eastAsia" w:ascii="Times New Roman" w:hAnsi="Times New Roman" w:eastAsia="宋体"/>
                <w:b/>
                <w:bCs/>
                <w:color w:val="auto"/>
                <w:sz w:val="21"/>
                <w:szCs w:val="21"/>
                <w:highlight w:val="none"/>
              </w:rPr>
              <w:t>图3</w:t>
            </w:r>
            <w:r>
              <w:rPr>
                <w:rFonts w:hint="eastAsia" w:ascii="Times New Roman" w:hAnsi="Times New Roman" w:eastAsia="宋体"/>
                <w:b/>
                <w:bCs/>
                <w:color w:val="auto"/>
                <w:sz w:val="21"/>
                <w:szCs w:val="21"/>
                <w:highlight w:val="none"/>
                <w:lang w:val="en-US" w:eastAsia="zh-CN"/>
              </w:rPr>
              <w:t>-2 2024年6月博罗县东江一级支流水质监测数据表</w:t>
            </w:r>
            <w:r>
              <w:rPr>
                <w:rFonts w:hint="eastAsia" w:ascii="Times New Roman" w:hAnsi="Times New Roman" w:eastAsia="宋体"/>
                <w:b/>
                <w:bCs/>
                <w:color w:val="auto"/>
                <w:sz w:val="21"/>
                <w:szCs w:val="21"/>
                <w:highlight w:val="none"/>
              </w:rPr>
              <w:t>部分截图</w:t>
            </w:r>
          </w:p>
          <w:p w14:paraId="34CF1A05">
            <w:pPr>
              <w:pStyle w:val="43"/>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cs="Times New Roman" w:eastAsiaTheme="minorEastAsia"/>
                <w:b/>
                <w:color w:val="auto"/>
                <w:sz w:val="21"/>
                <w:szCs w:val="21"/>
                <w:highlight w:val="none"/>
                <w:lang w:eastAsia="zh-CN"/>
              </w:rPr>
              <w:drawing>
                <wp:anchor distT="0" distB="0" distL="114300" distR="114300" simplePos="0" relativeHeight="251671552" behindDoc="0" locked="0" layoutInCell="1" allowOverlap="1">
                  <wp:simplePos x="0" y="0"/>
                  <wp:positionH relativeFrom="column">
                    <wp:posOffset>5052060</wp:posOffset>
                  </wp:positionH>
                  <wp:positionV relativeFrom="paragraph">
                    <wp:posOffset>-20320</wp:posOffset>
                  </wp:positionV>
                  <wp:extent cx="644525" cy="775970"/>
                  <wp:effectExtent l="0" t="0" r="3175" b="5080"/>
                  <wp:wrapNone/>
                  <wp:docPr id="164" name="图片 164" descr="96e37043d39cf13927c1902800f5b4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图片 164" descr="96e37043d39cf13927c1902800f5b4e"/>
                          <pic:cNvPicPr>
                            <a:picLocks noChangeAspect="1"/>
                          </pic:cNvPicPr>
                        </pic:nvPicPr>
                        <pic:blipFill>
                          <a:blip r:embed="rId19"/>
                          <a:stretch>
                            <a:fillRect/>
                          </a:stretch>
                        </pic:blipFill>
                        <pic:spPr>
                          <a:xfrm>
                            <a:off x="0" y="0"/>
                            <a:ext cx="644525" cy="775970"/>
                          </a:xfrm>
                          <a:prstGeom prst="rect">
                            <a:avLst/>
                          </a:prstGeom>
                        </pic:spPr>
                      </pic:pic>
                    </a:graphicData>
                  </a:graphic>
                </wp:anchor>
              </w:drawing>
            </w:r>
            <w:r>
              <w:rPr>
                <w:rFonts w:hint="default" w:ascii="Times New Roman" w:hAnsi="Times New Roman" w:cs="Times New Roman"/>
                <w:color w:val="auto"/>
                <w:sz w:val="24"/>
                <w:highlight w:val="none"/>
              </w:rPr>
              <mc:AlternateContent>
                <mc:Choice Requires="wps">
                  <w:drawing>
                    <wp:anchor distT="0" distB="0" distL="114300" distR="114300" simplePos="0" relativeHeight="251676672" behindDoc="0" locked="0" layoutInCell="1" allowOverlap="1">
                      <wp:simplePos x="0" y="0"/>
                      <wp:positionH relativeFrom="column">
                        <wp:posOffset>1162685</wp:posOffset>
                      </wp:positionH>
                      <wp:positionV relativeFrom="paragraph">
                        <wp:posOffset>2642870</wp:posOffset>
                      </wp:positionV>
                      <wp:extent cx="762635" cy="285115"/>
                      <wp:effectExtent l="0" t="0" r="0" b="0"/>
                      <wp:wrapNone/>
                      <wp:docPr id="223" name="文本框 223"/>
                      <wp:cNvGraphicFramePr/>
                      <a:graphic xmlns:a="http://schemas.openxmlformats.org/drawingml/2006/main">
                        <a:graphicData uri="http://schemas.microsoft.com/office/word/2010/wordprocessingShape">
                          <wps:wsp>
                            <wps:cNvSpPr txBox="1"/>
                            <wps:spPr>
                              <a:xfrm>
                                <a:off x="0" y="0"/>
                                <a:ext cx="762635" cy="285115"/>
                              </a:xfrm>
                              <a:prstGeom prst="rect">
                                <a:avLst/>
                              </a:prstGeom>
                              <a:noFill/>
                              <a:ln>
                                <a:noFill/>
                              </a:ln>
                            </wps:spPr>
                            <wps:txbx>
                              <w:txbxContent>
                                <w:p w14:paraId="3DD3D3F7">
                                  <w:pPr>
                                    <w:rPr>
                                      <w:rFonts w:hint="default" w:eastAsia="宋体"/>
                                      <w:b/>
                                      <w:bCs/>
                                      <w:color w:val="FF0000"/>
                                      <w:highlight w:val="yellow"/>
                                      <w:lang w:val="en-US" w:eastAsia="zh-CN"/>
                                    </w:rPr>
                                  </w:pPr>
                                  <w:r>
                                    <w:rPr>
                                      <w:rFonts w:hint="eastAsia"/>
                                      <w:b/>
                                      <w:bCs/>
                                      <w:color w:val="FF0000"/>
                                      <w:highlight w:val="yellow"/>
                                      <w:lang w:val="en-US" w:eastAsia="zh-CN"/>
                                    </w:rPr>
                                    <w:t>水流方向</w:t>
                                  </w:r>
                                </w:p>
                              </w:txbxContent>
                            </wps:txbx>
                            <wps:bodyPr upright="1"/>
                          </wps:wsp>
                        </a:graphicData>
                      </a:graphic>
                    </wp:anchor>
                  </w:drawing>
                </mc:Choice>
                <mc:Fallback>
                  <w:pict>
                    <v:shape id="_x0000_s1026" o:spid="_x0000_s1026" o:spt="202" type="#_x0000_t202" style="position:absolute;left:0pt;margin-left:91.55pt;margin-top:208.1pt;height:22.45pt;width:60.05pt;z-index:251676672;mso-width-relative:page;mso-height-relative:page;" filled="f" stroked="f" coordsize="21600,21600" o:gfxdata="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wvBYONcA&#10;AAALAQAADwAAAAAAAAABACAAAAAiAAAAZHJzL2Rvd25yZXYueG1sUEsBAhQAFAAAAAgAh07iQE6q&#10;8OGuAQAAUQMAAA4AAAAAAAAAAQAgAAAAJgEAAGRycy9lMm9Eb2MueG1sUEsFBgAAAAAGAAYAWQEA&#10;AEYFAAAAAA==&#10;">
                      <v:fill on="f" focussize="0,0"/>
                      <v:stroke on="f"/>
                      <v:imagedata o:title=""/>
                      <o:lock v:ext="edit" aspectratio="f"/>
                      <v:textbox>
                        <w:txbxContent>
                          <w:p w14:paraId="3DD3D3F7">
                            <w:pPr>
                              <w:rPr>
                                <w:rFonts w:hint="default" w:eastAsia="宋体"/>
                                <w:b/>
                                <w:bCs/>
                                <w:color w:val="FF0000"/>
                                <w:highlight w:val="yellow"/>
                                <w:lang w:val="en-US" w:eastAsia="zh-CN"/>
                              </w:rPr>
                            </w:pPr>
                            <w:r>
                              <w:rPr>
                                <w:rFonts w:hint="eastAsia"/>
                                <w:b/>
                                <w:bCs/>
                                <w:color w:val="FF0000"/>
                                <w:highlight w:val="yellow"/>
                                <w:lang w:val="en-US" w:eastAsia="zh-CN"/>
                              </w:rPr>
                              <w:t>水流方向</w:t>
                            </w:r>
                          </w:p>
                        </w:txbxContent>
                      </v:textbox>
                    </v:shape>
                  </w:pict>
                </mc:Fallback>
              </mc:AlternateContent>
            </w:r>
            <w:r>
              <w:rPr>
                <w:color w:val="auto"/>
                <w:sz w:val="24"/>
                <w:highlight w:val="none"/>
              </w:rPr>
              <mc:AlternateContent>
                <mc:Choice Requires="wps">
                  <w:drawing>
                    <wp:anchor distT="0" distB="0" distL="114300" distR="114300" simplePos="0" relativeHeight="251675648" behindDoc="0" locked="0" layoutInCell="1" allowOverlap="1">
                      <wp:simplePos x="0" y="0"/>
                      <wp:positionH relativeFrom="column">
                        <wp:posOffset>1790700</wp:posOffset>
                      </wp:positionH>
                      <wp:positionV relativeFrom="paragraph">
                        <wp:posOffset>2584450</wp:posOffset>
                      </wp:positionV>
                      <wp:extent cx="209550" cy="428625"/>
                      <wp:effectExtent l="8255" t="5715" r="29845" b="3810"/>
                      <wp:wrapNone/>
                      <wp:docPr id="221" name="直接箭头连接符 221"/>
                      <wp:cNvGraphicFramePr/>
                      <a:graphic xmlns:a="http://schemas.openxmlformats.org/drawingml/2006/main">
                        <a:graphicData uri="http://schemas.microsoft.com/office/word/2010/wordprocessingShape">
                          <wps:wsp>
                            <wps:cNvCnPr/>
                            <wps:spPr>
                              <a:xfrm flipH="1">
                                <a:off x="0" y="0"/>
                                <a:ext cx="209550" cy="428625"/>
                              </a:xfrm>
                              <a:prstGeom prst="straightConnector1">
                                <a:avLst/>
                              </a:prstGeom>
                              <a:ln w="25400">
                                <a:solidFill>
                                  <a:srgbClr val="FFFF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141pt;margin-top:203.5pt;height:33.75pt;width:16.5pt;z-index:251675648;mso-width-relative:page;mso-height-relative:page;" filled="f" stroked="t" coordsize="21600,21600" o:gfxdata="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AtG/ELZAAAACwEAAA8AAAAA&#10;AAAAAQAgAAAAIgAAAGRycy9kb3ducmV2LnhtbFBLAQIUABQAAAAIAIdO4kBd8UHeEwIAAPEDAAAO&#10;AAAAAAAAAAEAIAAAACgBAABkcnMvZTJvRG9jLnhtbFBLBQYAAAAABgAGAFkBAACtBQAAAAA=&#10;">
                      <v:fill on="f" focussize="0,0"/>
                      <v:stroke weight="2pt" color="#FFFF00 [3204]" miterlimit="8" joinstyle="miter" endarrow="open"/>
                      <v:imagedata o:title=""/>
                      <o:lock v:ext="edit" aspectratio="f"/>
                    </v:shape>
                  </w:pict>
                </mc:Fallback>
              </mc:AlternateContent>
            </w:r>
            <w:r>
              <w:rPr>
                <w:color w:val="auto"/>
                <w:sz w:val="24"/>
                <w:highlight w:val="none"/>
              </w:rPr>
              <mc:AlternateContent>
                <mc:Choice Requires="wps">
                  <w:drawing>
                    <wp:anchor distT="0" distB="0" distL="114300" distR="114300" simplePos="0" relativeHeight="251674624" behindDoc="0" locked="0" layoutInCell="1" allowOverlap="1">
                      <wp:simplePos x="0" y="0"/>
                      <wp:positionH relativeFrom="column">
                        <wp:posOffset>2762250</wp:posOffset>
                      </wp:positionH>
                      <wp:positionV relativeFrom="paragraph">
                        <wp:posOffset>1641475</wp:posOffset>
                      </wp:positionV>
                      <wp:extent cx="257175" cy="276225"/>
                      <wp:effectExtent l="0" t="8890" r="9525" b="635"/>
                      <wp:wrapNone/>
                      <wp:docPr id="220" name="直接箭头连接符 220"/>
                      <wp:cNvGraphicFramePr/>
                      <a:graphic xmlns:a="http://schemas.openxmlformats.org/drawingml/2006/main">
                        <a:graphicData uri="http://schemas.microsoft.com/office/word/2010/wordprocessingShape">
                          <wps:wsp>
                            <wps:cNvCnPr/>
                            <wps:spPr>
                              <a:xfrm flipH="1">
                                <a:off x="0" y="0"/>
                                <a:ext cx="257175" cy="276225"/>
                              </a:xfrm>
                              <a:prstGeom prst="straightConnector1">
                                <a:avLst/>
                              </a:prstGeom>
                              <a:ln w="25400">
                                <a:solidFill>
                                  <a:srgbClr val="FFFF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217.5pt;margin-top:129.25pt;height:21.75pt;width:20.25pt;z-index:251674624;mso-width-relative:page;mso-height-relative:page;" filled="f" stroked="t" coordsize="21600,21600" o:gfxdata="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AO+w8fZAAAACwEAAA8AAAAA&#10;AAAAAQAgAAAAIgAAAGRycy9kb3ducmV2LnhtbFBLAQIUABQAAAAIAIdO4kDX2fx6EwIAAPEDAAAO&#10;AAAAAAAAAAEAIAAAACgBAABkcnMvZTJvRG9jLnhtbFBLBQYAAAAABgAGAFkBAACtBQAAAAA=&#10;">
                      <v:fill on="f" focussize="0,0"/>
                      <v:stroke weight="2pt" color="#FFFF00 [3204]" miterlimit="8" joinstyle="miter" endarrow="open"/>
                      <v:imagedata o:title=""/>
                      <o:lock v:ext="edit" aspectratio="f"/>
                    </v:shape>
                  </w:pict>
                </mc:Fallback>
              </mc:AlternateContent>
            </w:r>
            <w:r>
              <w:rPr>
                <w:color w:val="auto"/>
                <w:sz w:val="24"/>
                <w:highlight w:val="none"/>
              </w:rPr>
              <mc:AlternateContent>
                <mc:Choice Requires="wps">
                  <w:drawing>
                    <wp:anchor distT="0" distB="0" distL="114300" distR="114300" simplePos="0" relativeHeight="251673600" behindDoc="0" locked="0" layoutInCell="1" allowOverlap="1">
                      <wp:simplePos x="0" y="0"/>
                      <wp:positionH relativeFrom="column">
                        <wp:posOffset>3076575</wp:posOffset>
                      </wp:positionH>
                      <wp:positionV relativeFrom="paragraph">
                        <wp:posOffset>422275</wp:posOffset>
                      </wp:positionV>
                      <wp:extent cx="161925" cy="304800"/>
                      <wp:effectExtent l="11430" t="5715" r="17145" b="13335"/>
                      <wp:wrapNone/>
                      <wp:docPr id="215" name="直接箭头连接符 215"/>
                      <wp:cNvGraphicFramePr/>
                      <a:graphic xmlns:a="http://schemas.openxmlformats.org/drawingml/2006/main">
                        <a:graphicData uri="http://schemas.microsoft.com/office/word/2010/wordprocessingShape">
                          <wps:wsp>
                            <wps:cNvCnPr/>
                            <wps:spPr>
                              <a:xfrm>
                                <a:off x="3846195" y="1501775"/>
                                <a:ext cx="161925" cy="304800"/>
                              </a:xfrm>
                              <a:prstGeom prst="straightConnector1">
                                <a:avLst/>
                              </a:prstGeom>
                              <a:ln w="25400">
                                <a:solidFill>
                                  <a:srgbClr val="FFFF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42.25pt;margin-top:33.25pt;height:24pt;width:12.75pt;z-index:251673600;mso-width-relative:page;mso-height-relative:page;" filled="f" stroked="t" coordsize="21600,21600" o:gfxdata="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DMgec3aAAAACgEA&#10;AA8AAAAAAAAAAQAgAAAAIgAAAGRycy9kb3ducmV2LnhtbFBLAQIUABQAAAAIAIdO4kCbbZ8kGAIA&#10;APMDAAAOAAAAAAAAAAEAIAAAACkBAABkcnMvZTJvRG9jLnhtbFBLBQYAAAAABgAGAFkBAACzBQAA&#10;AAA=&#10;">
                      <v:fill on="f" focussize="0,0"/>
                      <v:stroke weight="2pt" color="#FFFF00 [3204]" miterlimit="8" joinstyle="miter" endarrow="open"/>
                      <v:imagedata o:title=""/>
                      <o:lock v:ext="edit" aspectratio="f"/>
                    </v:shape>
                  </w:pict>
                </mc:Fallback>
              </mc:AlternateContent>
            </w:r>
            <w:r>
              <w:rPr>
                <w:rFonts w:hint="default" w:ascii="Times New Roman" w:hAnsi="Times New Roman" w:cs="Times New Roman"/>
                <w:color w:val="auto"/>
                <w:sz w:val="24"/>
                <w:highlight w:val="none"/>
              </w:rPr>
              <mc:AlternateContent>
                <mc:Choice Requires="wps">
                  <w:drawing>
                    <wp:anchor distT="0" distB="0" distL="114300" distR="114300" simplePos="0" relativeHeight="251672576" behindDoc="0" locked="0" layoutInCell="1" allowOverlap="1">
                      <wp:simplePos x="0" y="0"/>
                      <wp:positionH relativeFrom="column">
                        <wp:posOffset>896620</wp:posOffset>
                      </wp:positionH>
                      <wp:positionV relativeFrom="paragraph">
                        <wp:posOffset>1365885</wp:posOffset>
                      </wp:positionV>
                      <wp:extent cx="1438275" cy="285750"/>
                      <wp:effectExtent l="4445" t="4445" r="5080" b="262255"/>
                      <wp:wrapNone/>
                      <wp:docPr id="213" name="矩形标注 213"/>
                      <wp:cNvGraphicFramePr/>
                      <a:graphic xmlns:a="http://schemas.openxmlformats.org/drawingml/2006/main">
                        <a:graphicData uri="http://schemas.microsoft.com/office/word/2010/wordprocessingShape">
                          <wps:wsp>
                            <wps:cNvSpPr/>
                            <wps:spPr>
                              <a:xfrm>
                                <a:off x="0" y="0"/>
                                <a:ext cx="1438275" cy="285750"/>
                              </a:xfrm>
                              <a:prstGeom prst="wedgeRectCallout">
                                <a:avLst>
                                  <a:gd name="adj1" fmla="val 47439"/>
                                  <a:gd name="adj2" fmla="val 136666"/>
                                </a:avLst>
                              </a:prstGeom>
                              <a:solidFill>
                                <a:srgbClr val="FFFFFF"/>
                              </a:solidFill>
                              <a:ln w="9525" cap="flat" cmpd="sng">
                                <a:solidFill>
                                  <a:srgbClr val="000000"/>
                                </a:solidFill>
                                <a:prstDash val="solid"/>
                                <a:miter/>
                                <a:headEnd type="none" w="med" len="med"/>
                                <a:tailEnd type="none" w="med" len="med"/>
                              </a:ln>
                            </wps:spPr>
                            <wps:txbx>
                              <w:txbxContent>
                                <w:p w14:paraId="62171F43">
                                  <w:pPr>
                                    <w:rPr>
                                      <w:rFonts w:hint="default" w:eastAsia="宋体"/>
                                      <w:lang w:val="en-US" w:eastAsia="zh-CN"/>
                                    </w:rPr>
                                  </w:pPr>
                                  <w:r>
                                    <w:rPr>
                                      <w:rFonts w:hint="eastAsia" w:eastAsia="宋体"/>
                                      <w:lang w:val="en-US" w:eastAsia="zh-CN"/>
                                    </w:rPr>
                                    <w:t>小金生活污水处理厂位置</w:t>
                                  </w:r>
                                </w:p>
                              </w:txbxContent>
                            </wps:txbx>
                            <wps:bodyPr upright="1"/>
                          </wps:wsp>
                        </a:graphicData>
                      </a:graphic>
                    </wp:anchor>
                  </w:drawing>
                </mc:Choice>
                <mc:Fallback>
                  <w:pict>
                    <v:shape id="_x0000_s1026" o:spid="_x0000_s1026" o:spt="61" type="#_x0000_t61" style="position:absolute;left:0pt;margin-left:70.6pt;margin-top:107.55pt;height:22.5pt;width:113.25pt;z-index:251672576;mso-width-relative:page;mso-height-relative:page;" fillcolor="#FFFFFF" filled="t" stroked="t" coordsize="21600,21600" o:gfxdata="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U0/161QAAAAsBAAAPAAAAAAAAAAEAIAAAACIAAABkcnMvZG93bnJl&#10;di54bWxQSwECFAAUAAAACACHTuJAwp0gtzkCAACRBAAADgAAAAAAAAABACAAAAAkAQAAZHJzL2Uy&#10;b0RvYy54bWxQSwUGAAAAAAYABgBZAQAAzwUAAAAA&#10;" adj="21047,40320">
                      <v:fill on="t" focussize="0,0"/>
                      <v:stroke color="#000000" joinstyle="miter"/>
                      <v:imagedata o:title=""/>
                      <o:lock v:ext="edit" aspectratio="f"/>
                      <v:textbox>
                        <w:txbxContent>
                          <w:p w14:paraId="62171F43">
                            <w:pPr>
                              <w:rPr>
                                <w:rFonts w:hint="default" w:eastAsia="宋体"/>
                                <w:lang w:val="en-US" w:eastAsia="zh-CN"/>
                              </w:rPr>
                            </w:pPr>
                            <w:r>
                              <w:rPr>
                                <w:rFonts w:hint="eastAsia" w:eastAsia="宋体"/>
                                <w:lang w:val="en-US" w:eastAsia="zh-CN"/>
                              </w:rPr>
                              <w:t>小金生活污水处理厂位置</w:t>
                            </w:r>
                          </w:p>
                        </w:txbxContent>
                      </v:textbox>
                    </v:shape>
                  </w:pict>
                </mc:Fallback>
              </mc:AlternateContent>
            </w:r>
            <w:r>
              <w:rPr>
                <w:rFonts w:hint="default" w:ascii="Times New Roman" w:hAnsi="Times New Roman" w:cs="Times New Roman"/>
                <w:color w:val="auto"/>
                <w:sz w:val="24"/>
                <w:highlight w:val="none"/>
              </w:rPr>
              <mc:AlternateContent>
                <mc:Choice Requires="wps">
                  <w:drawing>
                    <wp:anchor distT="0" distB="0" distL="114300" distR="114300" simplePos="0" relativeHeight="251668480" behindDoc="0" locked="0" layoutInCell="1" allowOverlap="1">
                      <wp:simplePos x="0" y="0"/>
                      <wp:positionH relativeFrom="column">
                        <wp:posOffset>3743960</wp:posOffset>
                      </wp:positionH>
                      <wp:positionV relativeFrom="paragraph">
                        <wp:posOffset>1042035</wp:posOffset>
                      </wp:positionV>
                      <wp:extent cx="915035" cy="285750"/>
                      <wp:effectExtent l="41275" t="195580" r="15240" b="13970"/>
                      <wp:wrapNone/>
                      <wp:docPr id="109" name="矩形标注 109"/>
                      <wp:cNvGraphicFramePr/>
                      <a:graphic xmlns:a="http://schemas.openxmlformats.org/drawingml/2006/main">
                        <a:graphicData uri="http://schemas.microsoft.com/office/word/2010/wordprocessingShape">
                          <wps:wsp>
                            <wps:cNvSpPr/>
                            <wps:spPr>
                              <a:xfrm>
                                <a:off x="0" y="0"/>
                                <a:ext cx="915035" cy="285750"/>
                              </a:xfrm>
                              <a:prstGeom prst="wedgeRectCallout">
                                <a:avLst>
                                  <a:gd name="adj1" fmla="val -52290"/>
                                  <a:gd name="adj2" fmla="val -113333"/>
                                </a:avLst>
                              </a:prstGeom>
                              <a:solidFill>
                                <a:srgbClr val="FFFFFF"/>
                              </a:solidFill>
                              <a:ln w="9525" cap="flat" cmpd="sng">
                                <a:solidFill>
                                  <a:srgbClr val="000000"/>
                                </a:solidFill>
                                <a:prstDash val="solid"/>
                                <a:miter/>
                                <a:headEnd type="none" w="med" len="med"/>
                                <a:tailEnd type="none" w="med" len="med"/>
                              </a:ln>
                            </wps:spPr>
                            <wps:txbx>
                              <w:txbxContent>
                                <w:p w14:paraId="52609A5E">
                                  <w:pPr>
                                    <w:rPr>
                                      <w:rFonts w:hint="default" w:eastAsia="宋体"/>
                                      <w:lang w:val="en-US" w:eastAsia="zh-CN"/>
                                    </w:rPr>
                                  </w:pPr>
                                  <w:r>
                                    <w:rPr>
                                      <w:rFonts w:hint="eastAsia" w:eastAsia="宋体"/>
                                      <w:lang w:val="en-US" w:eastAsia="zh-CN"/>
                                    </w:rPr>
                                    <w:t>项目所在地</w:t>
                                  </w:r>
                                </w:p>
                              </w:txbxContent>
                            </wps:txbx>
                            <wps:bodyPr upright="1"/>
                          </wps:wsp>
                        </a:graphicData>
                      </a:graphic>
                    </wp:anchor>
                  </w:drawing>
                </mc:Choice>
                <mc:Fallback>
                  <w:pict>
                    <v:shape id="_x0000_s1026" o:spid="_x0000_s1026" o:spt="61" type="#_x0000_t61" style="position:absolute;left:0pt;margin-left:294.8pt;margin-top:82.05pt;height:22.5pt;width:72.05pt;z-index:251668480;mso-width-relative:page;mso-height-relative:page;" fillcolor="#FFFFFF" filled="t" stroked="t" coordsize="21600,21600" o:gfxdata="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4L+MM3AAAAAsBAAAPAAAAAAAAAAEAIAAAACIAAABkcnMv&#10;ZG93bnJldi54bWxQSwECFAAUAAAACACHTuJAdPYjjzgCAACSBAAADgAAAAAAAAABACAAAAArAQAA&#10;ZHJzL2Uyb0RvYy54bWxQSwUGAAAAAAYABgBZAQAA1QUAAAAA&#10;" adj="-495,-13680">
                      <v:fill on="t" focussize="0,0"/>
                      <v:stroke color="#000000" joinstyle="miter"/>
                      <v:imagedata o:title=""/>
                      <o:lock v:ext="edit" aspectratio="f"/>
                      <v:textbox>
                        <w:txbxContent>
                          <w:p w14:paraId="52609A5E">
                            <w:pPr>
                              <w:rPr>
                                <w:rFonts w:hint="default" w:eastAsia="宋体"/>
                                <w:lang w:val="en-US" w:eastAsia="zh-CN"/>
                              </w:rPr>
                            </w:pPr>
                            <w:r>
                              <w:rPr>
                                <w:rFonts w:hint="eastAsia" w:eastAsia="宋体"/>
                                <w:lang w:val="en-US" w:eastAsia="zh-CN"/>
                              </w:rPr>
                              <w:t>项目所在地</w:t>
                            </w:r>
                          </w:p>
                        </w:txbxContent>
                      </v:textbox>
                    </v:shape>
                  </w:pict>
                </mc:Fallback>
              </mc:AlternateContent>
            </w:r>
            <w:r>
              <w:rPr>
                <w:rFonts w:hint="default" w:ascii="Times New Roman" w:hAnsi="Times New Roman" w:cs="Times New Roman"/>
                <w:color w:val="auto"/>
                <w:sz w:val="24"/>
                <w:highlight w:val="none"/>
              </w:rPr>
              <mc:AlternateContent>
                <mc:Choice Requires="wps">
                  <w:drawing>
                    <wp:anchor distT="0" distB="0" distL="114300" distR="114300" simplePos="0" relativeHeight="251669504" behindDoc="0" locked="0" layoutInCell="1" allowOverlap="1">
                      <wp:simplePos x="0" y="0"/>
                      <wp:positionH relativeFrom="column">
                        <wp:posOffset>2191385</wp:posOffset>
                      </wp:positionH>
                      <wp:positionV relativeFrom="paragraph">
                        <wp:posOffset>2176145</wp:posOffset>
                      </wp:positionV>
                      <wp:extent cx="762635" cy="285115"/>
                      <wp:effectExtent l="0" t="0" r="0" b="0"/>
                      <wp:wrapNone/>
                      <wp:docPr id="186" name="文本框 186"/>
                      <wp:cNvGraphicFramePr/>
                      <a:graphic xmlns:a="http://schemas.openxmlformats.org/drawingml/2006/main">
                        <a:graphicData uri="http://schemas.microsoft.com/office/word/2010/wordprocessingShape">
                          <wps:wsp>
                            <wps:cNvSpPr txBox="1"/>
                            <wps:spPr>
                              <a:xfrm>
                                <a:off x="0" y="0"/>
                                <a:ext cx="762635" cy="285115"/>
                              </a:xfrm>
                              <a:prstGeom prst="rect">
                                <a:avLst/>
                              </a:prstGeom>
                              <a:noFill/>
                              <a:ln>
                                <a:noFill/>
                              </a:ln>
                            </wps:spPr>
                            <wps:txbx>
                              <w:txbxContent>
                                <w:p w14:paraId="1F070BEC">
                                  <w:pPr>
                                    <w:rPr>
                                      <w:rFonts w:hint="default" w:eastAsia="宋体"/>
                                      <w:b/>
                                      <w:bCs/>
                                      <w:color w:val="FF0000"/>
                                      <w:highlight w:val="yellow"/>
                                      <w:lang w:val="en-US" w:eastAsia="zh-CN"/>
                                    </w:rPr>
                                  </w:pPr>
                                  <w:r>
                                    <w:rPr>
                                      <w:rFonts w:hint="eastAsia"/>
                                      <w:b/>
                                      <w:bCs/>
                                      <w:color w:val="FF0000"/>
                                      <w:highlight w:val="yellow"/>
                                      <w:lang w:val="en-US" w:eastAsia="zh-CN"/>
                                    </w:rPr>
                                    <w:t>监测点位</w:t>
                                  </w:r>
                                </w:p>
                              </w:txbxContent>
                            </wps:txbx>
                            <wps:bodyPr upright="1"/>
                          </wps:wsp>
                        </a:graphicData>
                      </a:graphic>
                    </wp:anchor>
                  </w:drawing>
                </mc:Choice>
                <mc:Fallback>
                  <w:pict>
                    <v:shape id="_x0000_s1026" o:spid="_x0000_s1026" o:spt="202" type="#_x0000_t202" style="position:absolute;left:0pt;margin-left:172.55pt;margin-top:171.35pt;height:22.45pt;width:60.05pt;z-index:251669504;mso-width-relative:page;mso-height-relative:page;" filled="f" stroked="f" coordsize="21600,21600" o:gfxdata="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GsOqjnY&#10;AAAACwEAAA8AAAAAAAAAAQAgAAAAIgAAAGRycy9kb3ducmV2LnhtbFBLAQIUABQAAAAIAIdO4kAD&#10;dX+CrgEAAFEDAAAOAAAAAAAAAAEAIAAAACcBAABkcnMvZTJvRG9jLnhtbFBLBQYAAAAABgAGAFkB&#10;AABHBQAAAAA=&#10;">
                      <v:fill on="f" focussize="0,0"/>
                      <v:stroke on="f"/>
                      <v:imagedata o:title=""/>
                      <o:lock v:ext="edit" aspectratio="f"/>
                      <v:textbox>
                        <w:txbxContent>
                          <w:p w14:paraId="1F070BEC">
                            <w:pPr>
                              <w:rPr>
                                <w:rFonts w:hint="default" w:eastAsia="宋体"/>
                                <w:b/>
                                <w:bCs/>
                                <w:color w:val="FF0000"/>
                                <w:highlight w:val="yellow"/>
                                <w:lang w:val="en-US" w:eastAsia="zh-CN"/>
                              </w:rPr>
                            </w:pPr>
                            <w:r>
                              <w:rPr>
                                <w:rFonts w:hint="eastAsia"/>
                                <w:b/>
                                <w:bCs/>
                                <w:color w:val="FF0000"/>
                                <w:highlight w:val="yellow"/>
                                <w:lang w:val="en-US" w:eastAsia="zh-CN"/>
                              </w:rPr>
                              <w:t>监测点位</w:t>
                            </w:r>
                          </w:p>
                        </w:txbxContent>
                      </v:textbox>
                    </v:shape>
                  </w:pict>
                </mc:Fallback>
              </mc:AlternateContent>
            </w:r>
            <w:r>
              <w:rPr>
                <w:rFonts w:hint="default" w:ascii="Times New Roman" w:hAnsi="Times New Roman" w:cs="Times New Roman"/>
                <w:color w:val="auto"/>
                <w:sz w:val="24"/>
                <w:highlight w:val="none"/>
              </w:rPr>
              <mc:AlternateContent>
                <mc:Choice Requires="wps">
                  <w:drawing>
                    <wp:anchor distT="0" distB="0" distL="114300" distR="114300" simplePos="0" relativeHeight="251666432" behindDoc="0" locked="0" layoutInCell="1" allowOverlap="1">
                      <wp:simplePos x="0" y="0"/>
                      <wp:positionH relativeFrom="column">
                        <wp:posOffset>2085975</wp:posOffset>
                      </wp:positionH>
                      <wp:positionV relativeFrom="paragraph">
                        <wp:posOffset>2298700</wp:posOffset>
                      </wp:positionV>
                      <wp:extent cx="262890" cy="174625"/>
                      <wp:effectExtent l="0" t="0" r="3810" b="15875"/>
                      <wp:wrapNone/>
                      <wp:docPr id="99" name="直接连接符 99"/>
                      <wp:cNvGraphicFramePr/>
                      <a:graphic xmlns:a="http://schemas.openxmlformats.org/drawingml/2006/main">
                        <a:graphicData uri="http://schemas.microsoft.com/office/word/2010/wordprocessingShape">
                          <wps:wsp>
                            <wps:cNvCnPr/>
                            <wps:spPr>
                              <a:xfrm>
                                <a:off x="0" y="0"/>
                                <a:ext cx="262890" cy="174625"/>
                              </a:xfrm>
                              <a:prstGeom prst="line">
                                <a:avLst/>
                              </a:prstGeom>
                              <a:ln w="19050" cap="flat" cmpd="sng">
                                <a:solidFill>
                                  <a:srgbClr val="FFFF00"/>
                                </a:solidFill>
                                <a:prstDash val="solid"/>
                                <a:headEnd type="arrow" w="med" len="med"/>
                                <a:tailEnd type="arrow" w="med" len="med"/>
                              </a:ln>
                            </wps:spPr>
                            <wps:bodyPr upright="1"/>
                          </wps:wsp>
                        </a:graphicData>
                      </a:graphic>
                    </wp:anchor>
                  </w:drawing>
                </mc:Choice>
                <mc:Fallback>
                  <w:pict>
                    <v:line id="_x0000_s1026" o:spid="_x0000_s1026" o:spt="20" style="position:absolute;left:0pt;margin-left:164.25pt;margin-top:181pt;height:13.75pt;width:20.7pt;z-index:251666432;mso-width-relative:page;mso-height-relative:page;" filled="f" stroked="t" coordsize="21600,21600" o:gfxdata="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qTod3aAAAACwEAAA8AAAAAAAAAAQAgAAAAIgAAAGRycy9kb3du&#10;cmV2LnhtbFBLAQIUABQAAAAIAIdO4kB7h7kw/QEAAO0DAAAOAAAAAAAAAAEAIAAAACkBAABkcnMv&#10;ZTJvRG9jLnhtbFBLBQYAAAAABgAGAFkBAACYBQAAAAA=&#10;">
                      <v:fill on="f" focussize="0,0"/>
                      <v:stroke weight="1.5pt" color="#FFFF00" joinstyle="round" startarrow="open" endarrow="open"/>
                      <v:imagedata o:title=""/>
                      <o:lock v:ext="edit" aspectratio="f"/>
                    </v:line>
                  </w:pict>
                </mc:Fallback>
              </mc:AlternateContent>
            </w:r>
            <w:r>
              <w:rPr>
                <w:color w:val="auto"/>
                <w:highlight w:val="none"/>
              </w:rPr>
              <w:drawing>
                <wp:inline distT="0" distB="0" distL="114300" distR="114300">
                  <wp:extent cx="5711825" cy="5036185"/>
                  <wp:effectExtent l="0" t="0" r="3175" b="12065"/>
                  <wp:docPr id="15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8"/>
                          <pic:cNvPicPr>
                            <a:picLocks noChangeAspect="1"/>
                          </pic:cNvPicPr>
                        </pic:nvPicPr>
                        <pic:blipFill>
                          <a:blip r:embed="rId21"/>
                          <a:stretch>
                            <a:fillRect/>
                          </a:stretch>
                        </pic:blipFill>
                        <pic:spPr>
                          <a:xfrm>
                            <a:off x="0" y="0"/>
                            <a:ext cx="5711825" cy="5036185"/>
                          </a:xfrm>
                          <a:prstGeom prst="rect">
                            <a:avLst/>
                          </a:prstGeom>
                          <a:noFill/>
                          <a:ln>
                            <a:noFill/>
                          </a:ln>
                        </pic:spPr>
                      </pic:pic>
                    </a:graphicData>
                  </a:graphic>
                </wp:inline>
              </w:drawing>
            </w:r>
            <w:r>
              <w:rPr>
                <w:rFonts w:hint="default" w:ascii="Times New Roman" w:hAnsi="Times New Roman" w:cs="Times New Roman"/>
                <w:color w:val="auto"/>
                <w:sz w:val="24"/>
                <w:highlight w:val="none"/>
              </w:rPr>
              <mc:AlternateContent>
                <mc:Choice Requires="wps">
                  <w:drawing>
                    <wp:anchor distT="0" distB="0" distL="114300" distR="114300" simplePos="0" relativeHeight="251667456" behindDoc="0" locked="0" layoutInCell="1" allowOverlap="1">
                      <wp:simplePos x="0" y="0"/>
                      <wp:positionH relativeFrom="column">
                        <wp:posOffset>4124960</wp:posOffset>
                      </wp:positionH>
                      <wp:positionV relativeFrom="paragraph">
                        <wp:posOffset>1718310</wp:posOffset>
                      </wp:positionV>
                      <wp:extent cx="85725" cy="114300"/>
                      <wp:effectExtent l="6985" t="13335" r="21590" b="5715"/>
                      <wp:wrapNone/>
                      <wp:docPr id="113" name="等腰三角形 113"/>
                      <wp:cNvGraphicFramePr/>
                      <a:graphic xmlns:a="http://schemas.openxmlformats.org/drawingml/2006/main">
                        <a:graphicData uri="http://schemas.microsoft.com/office/word/2010/wordprocessingShape">
                          <wps:wsp>
                            <wps:cNvSpPr/>
                            <wps:spPr>
                              <a:xfrm>
                                <a:off x="0" y="0"/>
                                <a:ext cx="85725" cy="114300"/>
                              </a:xfrm>
                              <a:prstGeom prst="triangle">
                                <a:avLst>
                                  <a:gd name="adj" fmla="val 50000"/>
                                </a:avLst>
                              </a:prstGeom>
                              <a:solidFill>
                                <a:srgbClr val="FFFFFF"/>
                              </a:solidFill>
                              <a:ln w="9525" cap="flat" cmpd="sng">
                                <a:solidFill>
                                  <a:srgbClr val="FFFFFF"/>
                                </a:solidFill>
                                <a:prstDash val="solid"/>
                                <a:miter/>
                                <a:headEnd type="none" w="med" len="med"/>
                                <a:tailEnd type="none" w="med" len="med"/>
                              </a:ln>
                            </wps:spPr>
                            <wps:bodyPr upright="1"/>
                          </wps:wsp>
                        </a:graphicData>
                      </a:graphic>
                    </wp:anchor>
                  </w:drawing>
                </mc:Choice>
                <mc:Fallback>
                  <w:pict>
                    <v:shape id="_x0000_s1026" o:spid="_x0000_s1026" o:spt="5" type="#_x0000_t5" style="position:absolute;left:0pt;margin-left:324.8pt;margin-top:135.3pt;height:9pt;width:6.75pt;z-index:251667456;mso-width-relative:page;mso-height-relative:page;" fillcolor="#FFFFFF" filled="t" stroked="t" coordsize="21600,21600" o:gfxdata="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HJh&#10;Qc3aAAAACwEAAA8AAAAAAAAAAQAgAAAAIgAAAGRycy9kb3ducmV2LnhtbFBLAQIUABQAAAAIAIdO&#10;4kDs8Wk/IQIAAFkEAAAOAAAAAAAAAAEAIAAAACkBAABkcnMvZTJvRG9jLnhtbFBLBQYAAAAABgAG&#10;AFkBAAC8BQAAAAA=&#10;" adj="10800">
                      <v:fill on="t" focussize="0,0"/>
                      <v:stroke color="#FFFFFF" joinstyle="miter"/>
                      <v:imagedata o:title=""/>
                      <o:lock v:ext="edit" aspectratio="f"/>
                    </v:shape>
                  </w:pict>
                </mc:Fallback>
              </mc:AlternateContent>
            </w:r>
          </w:p>
          <w:p w14:paraId="47F0C085">
            <w:pPr>
              <w:pStyle w:val="43"/>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2" w:firstLineChars="200"/>
              <w:jc w:val="center"/>
              <w:textAlignment w:val="baseline"/>
              <w:rPr>
                <w:rFonts w:hint="default" w:ascii="Times New Roman" w:hAnsi="Times New Roman" w:eastAsia="宋体" w:cs="Times New Roman"/>
                <w:color w:val="auto"/>
                <w:kern w:val="0"/>
                <w:sz w:val="24"/>
                <w:szCs w:val="21"/>
                <w:highlight w:val="none"/>
              </w:rPr>
            </w:pPr>
            <w:r>
              <w:rPr>
                <w:rFonts w:hint="default" w:ascii="Times New Roman" w:hAnsi="Times New Roman" w:cs="Times New Roman"/>
                <w:b/>
                <w:bCs/>
                <w:color w:val="auto"/>
                <w:sz w:val="21"/>
                <w:szCs w:val="21"/>
                <w:highlight w:val="none"/>
                <w:shd w:val="clear" w:color="auto" w:fill="auto"/>
                <w:lang w:val="en-US" w:eastAsia="zh-CN"/>
              </w:rPr>
              <w:t>图3-3 地表水引用监测点位图</w:t>
            </w:r>
          </w:p>
          <w:p w14:paraId="0EA47A0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s="Times New Roman"/>
                <w:color w:val="auto"/>
                <w:sz w:val="24"/>
                <w:szCs w:val="32"/>
                <w:highlight w:val="none"/>
              </w:rPr>
            </w:pPr>
            <w:r>
              <w:rPr>
                <w:rFonts w:hint="eastAsia" w:ascii="Times New Roman" w:hAnsi="Times New Roman" w:eastAsia="宋体" w:cs="Times New Roman"/>
                <w:color w:val="auto"/>
                <w:sz w:val="24"/>
                <w:szCs w:val="32"/>
                <w:highlight w:val="none"/>
              </w:rPr>
              <w:t>根据现状监测结果，小金河监测指</w:t>
            </w:r>
            <w:r>
              <w:rPr>
                <w:rFonts w:hint="eastAsia" w:ascii="Times New Roman" w:hAnsi="Times New Roman" w:eastAsia="宋体" w:cs="Times New Roman"/>
                <w:color w:val="auto"/>
                <w:sz w:val="24"/>
                <w:szCs w:val="32"/>
                <w:highlight w:val="none"/>
                <w:lang w:val="en-US" w:eastAsia="zh-CN"/>
              </w:rPr>
              <w:t>标均</w:t>
            </w:r>
            <w:r>
              <w:rPr>
                <w:rFonts w:hint="eastAsia" w:ascii="Times New Roman" w:hAnsi="Times New Roman" w:eastAsia="宋体" w:cs="Times New Roman"/>
                <w:color w:val="auto"/>
                <w:sz w:val="24"/>
                <w:szCs w:val="32"/>
                <w:highlight w:val="none"/>
              </w:rPr>
              <w:t>满足《地表水环境质量标准》</w:t>
            </w:r>
            <w:r>
              <w:rPr>
                <w:rFonts w:hint="eastAsia" w:ascii="Times New Roman" w:hAnsi="Times New Roman" w:eastAsia="宋体" w:cs="Times New Roman"/>
                <w:color w:val="auto"/>
                <w:sz w:val="24"/>
                <w:szCs w:val="32"/>
                <w:highlight w:val="none"/>
                <w:lang w:eastAsia="zh-CN"/>
              </w:rPr>
              <w:t>（</w:t>
            </w:r>
            <w:r>
              <w:rPr>
                <w:rFonts w:hint="eastAsia" w:ascii="Times New Roman" w:hAnsi="Times New Roman" w:eastAsia="宋体" w:cs="Times New Roman"/>
                <w:color w:val="auto"/>
                <w:sz w:val="24"/>
                <w:szCs w:val="32"/>
                <w:highlight w:val="none"/>
              </w:rPr>
              <w:t>GB3838-2002</w:t>
            </w:r>
            <w:r>
              <w:rPr>
                <w:rFonts w:hint="eastAsia" w:ascii="Times New Roman" w:hAnsi="Times New Roman" w:eastAsia="宋体" w:cs="Times New Roman"/>
                <w:color w:val="auto"/>
                <w:sz w:val="24"/>
                <w:szCs w:val="32"/>
                <w:highlight w:val="none"/>
                <w:lang w:eastAsia="zh-CN"/>
              </w:rPr>
              <w:t>）III</w:t>
            </w:r>
            <w:r>
              <w:rPr>
                <w:rFonts w:hint="eastAsia" w:ascii="Times New Roman" w:hAnsi="Times New Roman" w:eastAsia="宋体" w:cs="Times New Roman"/>
                <w:color w:val="auto"/>
                <w:sz w:val="24"/>
                <w:szCs w:val="32"/>
                <w:highlight w:val="none"/>
              </w:rPr>
              <w:t>类标准。</w:t>
            </w:r>
            <w:r>
              <w:rPr>
                <w:rFonts w:hint="eastAsia" w:ascii="Times New Roman" w:hAnsi="Times New Roman" w:eastAsia="宋体"/>
                <w:color w:val="auto"/>
                <w:sz w:val="24"/>
                <w:highlight w:val="none"/>
              </w:rPr>
              <w:t>故该区域地表水环境质量良好。</w:t>
            </w:r>
          </w:p>
          <w:p w14:paraId="3DF5472C">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left"/>
              <w:textAlignment w:val="auto"/>
              <w:rPr>
                <w:rFonts w:hint="default" w:ascii="Times New Roman" w:hAnsi="Times New Roman" w:cs="Times New Roman"/>
                <w:b/>
                <w:bCs/>
                <w:color w:val="auto"/>
                <w:kern w:val="0"/>
                <w:sz w:val="24"/>
                <w:szCs w:val="21"/>
                <w:highlight w:val="none"/>
              </w:rPr>
            </w:pPr>
            <w:r>
              <w:rPr>
                <w:rFonts w:hint="default" w:ascii="Times New Roman" w:hAnsi="Times New Roman" w:cs="Times New Roman"/>
                <w:b/>
                <w:bCs/>
                <w:color w:val="auto"/>
                <w:kern w:val="0"/>
                <w:sz w:val="24"/>
                <w:szCs w:val="21"/>
                <w:highlight w:val="none"/>
              </w:rPr>
              <w:t>3、声环境</w:t>
            </w:r>
          </w:p>
          <w:p w14:paraId="5106C4A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color w:val="auto"/>
                <w:kern w:val="0"/>
                <w:sz w:val="24"/>
                <w:szCs w:val="21"/>
                <w:highlight w:val="none"/>
              </w:rPr>
            </w:pPr>
            <w:r>
              <w:rPr>
                <w:rFonts w:hint="default" w:ascii="Times New Roman" w:hAnsi="Times New Roman" w:cs="Times New Roman"/>
                <w:color w:val="auto"/>
                <w:kern w:val="0"/>
                <w:sz w:val="24"/>
                <w:szCs w:val="21"/>
                <w:highlight w:val="none"/>
              </w:rPr>
              <w:t>本项目厂界外周边50米范围内不存在声环境保护目标，因此无需监测声环境质量现状。</w:t>
            </w:r>
          </w:p>
          <w:p w14:paraId="23877298">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left"/>
              <w:textAlignment w:val="auto"/>
              <w:rPr>
                <w:rFonts w:hint="default" w:ascii="Times New Roman" w:hAnsi="Times New Roman" w:cs="Times New Roman"/>
                <w:b/>
                <w:bCs/>
                <w:color w:val="auto"/>
                <w:kern w:val="0"/>
                <w:sz w:val="24"/>
                <w:szCs w:val="21"/>
                <w:highlight w:val="none"/>
              </w:rPr>
            </w:pPr>
            <w:r>
              <w:rPr>
                <w:rFonts w:hint="default" w:ascii="Times New Roman" w:hAnsi="Times New Roman" w:cs="Times New Roman"/>
                <w:b/>
                <w:bCs/>
                <w:color w:val="auto"/>
                <w:kern w:val="0"/>
                <w:sz w:val="24"/>
                <w:szCs w:val="21"/>
                <w:highlight w:val="none"/>
              </w:rPr>
              <w:t>4、生态环境</w:t>
            </w:r>
          </w:p>
          <w:p w14:paraId="7FED4997">
            <w:pPr>
              <w:adjustRightInd w:val="0"/>
              <w:snapToGrid w:val="0"/>
              <w:spacing w:line="360" w:lineRule="auto"/>
              <w:ind w:firstLine="480" w:firstLineChars="200"/>
              <w:jc w:val="left"/>
              <w:rPr>
                <w:rFonts w:hint="default" w:ascii="Times New Roman" w:hAnsi="Times New Roman" w:eastAsia="宋体" w:cs="Times New Roman"/>
                <w:b/>
                <w:bCs/>
                <w:color w:val="auto"/>
                <w:sz w:val="24"/>
                <w:szCs w:val="21"/>
                <w:highlight w:val="none"/>
              </w:rPr>
            </w:pPr>
            <w:r>
              <w:rPr>
                <w:rFonts w:hint="default" w:ascii="Times New Roman" w:hAnsi="Times New Roman" w:eastAsia="宋体" w:cs="Times New Roman"/>
                <w:color w:val="auto"/>
                <w:kern w:val="0"/>
                <w:sz w:val="24"/>
                <w:szCs w:val="21"/>
                <w:highlight w:val="none"/>
                <w:lang w:val="en-US" w:eastAsia="zh-CN"/>
              </w:rPr>
              <w:t>项目用地属于工业用地，且项目用地范围内及其周边无生态环境保护目标。</w:t>
            </w:r>
            <w:r>
              <w:rPr>
                <w:rFonts w:hint="default" w:ascii="Times New Roman" w:hAnsi="Times New Roman" w:eastAsia="宋体" w:cs="Times New Roman"/>
                <w:color w:val="auto"/>
                <w:sz w:val="24"/>
                <w:szCs w:val="21"/>
                <w:highlight w:val="none"/>
              </w:rPr>
              <w:t>不开展生态现状调查。</w:t>
            </w:r>
          </w:p>
          <w:p w14:paraId="4C14D36F">
            <w:pPr>
              <w:keepNext w:val="0"/>
              <w:keepLines w:val="0"/>
              <w:pageBreakBefore w:val="0"/>
              <w:kinsoku/>
              <w:wordWrap/>
              <w:overflowPunct/>
              <w:topLinePunct w:val="0"/>
              <w:autoSpaceDE/>
              <w:autoSpaceDN/>
              <w:bidi w:val="0"/>
              <w:adjustRightInd w:val="0"/>
              <w:snapToGrid w:val="0"/>
              <w:spacing w:line="360" w:lineRule="auto"/>
              <w:ind w:firstLine="482" w:firstLineChars="200"/>
              <w:jc w:val="left"/>
              <w:textAlignment w:val="auto"/>
              <w:rPr>
                <w:rFonts w:hint="default" w:ascii="Times New Roman" w:hAnsi="Times New Roman" w:cs="Times New Roman"/>
                <w:b/>
                <w:bCs/>
                <w:color w:val="auto"/>
                <w:kern w:val="0"/>
                <w:sz w:val="24"/>
                <w:szCs w:val="21"/>
                <w:highlight w:val="none"/>
              </w:rPr>
            </w:pPr>
            <w:r>
              <w:rPr>
                <w:rFonts w:hint="default" w:ascii="Times New Roman" w:hAnsi="Times New Roman" w:cs="Times New Roman"/>
                <w:b/>
                <w:bCs/>
                <w:color w:val="auto"/>
                <w:kern w:val="0"/>
                <w:sz w:val="24"/>
                <w:szCs w:val="21"/>
                <w:highlight w:val="none"/>
              </w:rPr>
              <w:t>5、地下水、土壤环境</w:t>
            </w:r>
          </w:p>
          <w:p w14:paraId="5385527C">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color w:val="auto"/>
                <w:kern w:val="0"/>
                <w:sz w:val="24"/>
                <w:szCs w:val="21"/>
                <w:highlight w:val="none"/>
                <w:lang w:val="en-US" w:eastAsia="zh-CN"/>
              </w:rPr>
            </w:pPr>
            <w:r>
              <w:rPr>
                <w:rFonts w:hint="default" w:ascii="Times New Roman" w:hAnsi="Times New Roman" w:cs="Times New Roman"/>
                <w:color w:val="auto"/>
                <w:kern w:val="0"/>
                <w:sz w:val="24"/>
                <w:szCs w:val="21"/>
                <w:highlight w:val="none"/>
              </w:rPr>
              <w:t>本项目用地范围内将做好地面硬底化处理，</w:t>
            </w:r>
            <w:r>
              <w:rPr>
                <w:rFonts w:hint="default" w:ascii="Times New Roman" w:hAnsi="Times New Roman" w:cs="Times New Roman"/>
                <w:color w:val="auto"/>
                <w:kern w:val="0"/>
                <w:sz w:val="24"/>
                <w:szCs w:val="21"/>
                <w:highlight w:val="none"/>
                <w:lang w:eastAsia="zh-CN"/>
              </w:rPr>
              <w:t>危险废物暂存间</w:t>
            </w:r>
            <w:r>
              <w:rPr>
                <w:rFonts w:hint="default" w:ascii="Times New Roman" w:hAnsi="Times New Roman" w:cs="Times New Roman"/>
                <w:color w:val="auto"/>
                <w:kern w:val="0"/>
                <w:sz w:val="24"/>
                <w:szCs w:val="21"/>
                <w:highlight w:val="none"/>
              </w:rPr>
              <w:t>、仓库、</w:t>
            </w:r>
            <w:r>
              <w:rPr>
                <w:rFonts w:hint="default" w:ascii="Times New Roman" w:hAnsi="Times New Roman" w:cs="Times New Roman"/>
                <w:color w:val="auto"/>
                <w:kern w:val="0"/>
                <w:sz w:val="24"/>
                <w:szCs w:val="21"/>
                <w:highlight w:val="none"/>
                <w:lang w:eastAsia="zh-CN"/>
              </w:rPr>
              <w:t>生产</w:t>
            </w:r>
            <w:r>
              <w:rPr>
                <w:rFonts w:hint="default" w:ascii="Times New Roman" w:hAnsi="Times New Roman" w:cs="Times New Roman"/>
                <w:color w:val="auto"/>
                <w:kern w:val="0"/>
                <w:sz w:val="24"/>
                <w:szCs w:val="21"/>
                <w:highlight w:val="none"/>
              </w:rPr>
              <w:t>车间等区域将做好防渗防漏防雨等措施，项目产生的污染物将不会与土壤直接接触，故不存在地下水、土壤污染途径，且项目主要污染物为颗粒物</w:t>
            </w:r>
            <w:r>
              <w:rPr>
                <w:rFonts w:hint="eastAsia" w:ascii="Times New Roman" w:hAnsi="Times New Roman" w:cs="Times New Roman"/>
                <w:color w:val="auto"/>
                <w:kern w:val="0"/>
                <w:sz w:val="24"/>
                <w:szCs w:val="21"/>
                <w:highlight w:val="none"/>
                <w:lang w:eastAsia="zh-CN"/>
              </w:rPr>
              <w:t>、</w:t>
            </w:r>
            <w:r>
              <w:rPr>
                <w:rFonts w:hint="eastAsia" w:ascii="Times New Roman" w:hAnsi="Times New Roman" w:cs="Times New Roman"/>
                <w:color w:val="auto"/>
                <w:kern w:val="0"/>
                <w:sz w:val="24"/>
                <w:szCs w:val="21"/>
                <w:highlight w:val="none"/>
                <w:lang w:val="en-US" w:eastAsia="zh-CN"/>
              </w:rPr>
              <w:t>二氧化硫</w:t>
            </w:r>
            <w:r>
              <w:rPr>
                <w:rFonts w:hint="default" w:ascii="Times New Roman" w:hAnsi="Times New Roman" w:cs="Times New Roman"/>
                <w:color w:val="auto"/>
                <w:kern w:val="0"/>
                <w:sz w:val="24"/>
                <w:szCs w:val="21"/>
                <w:highlight w:val="none"/>
              </w:rPr>
              <w:t>和</w:t>
            </w:r>
            <w:r>
              <w:rPr>
                <w:rFonts w:hint="default" w:ascii="Times New Roman" w:hAnsi="Times New Roman" w:cs="Times New Roman"/>
                <w:color w:val="auto"/>
                <w:kern w:val="0"/>
                <w:sz w:val="24"/>
                <w:szCs w:val="21"/>
                <w:highlight w:val="none"/>
                <w:lang w:val="en-US" w:eastAsia="zh-CN"/>
              </w:rPr>
              <w:t>氮氧化物</w:t>
            </w:r>
            <w:r>
              <w:rPr>
                <w:rFonts w:hint="default" w:ascii="Times New Roman" w:hAnsi="Times New Roman" w:cs="Times New Roman"/>
                <w:color w:val="auto"/>
                <w:kern w:val="0"/>
                <w:sz w:val="24"/>
                <w:szCs w:val="21"/>
                <w:highlight w:val="none"/>
              </w:rPr>
              <w:t>，不属于《土壤环境质量建设用地土壤污染风险管控标准（试行）》（GB36600-2018）中需要控制的污染因子，不会对土壤产生污染累积效应。故本项目不开展地下水、土壤环境现状调查。</w:t>
            </w:r>
          </w:p>
          <w:p w14:paraId="4D311F5B">
            <w:pPr>
              <w:pStyle w:val="43"/>
              <w:rPr>
                <w:rFonts w:hint="default" w:ascii="Times New Roman" w:hAnsi="Times New Roman" w:cs="Times New Roman"/>
                <w:color w:val="auto"/>
                <w:kern w:val="0"/>
                <w:sz w:val="24"/>
                <w:szCs w:val="21"/>
                <w:highlight w:val="none"/>
                <w:lang w:val="en-US" w:eastAsia="zh-CN"/>
              </w:rPr>
            </w:pPr>
          </w:p>
          <w:p w14:paraId="284C2CB8">
            <w:pPr>
              <w:rPr>
                <w:rFonts w:hint="default" w:ascii="Times New Roman" w:hAnsi="Times New Roman" w:cs="Times New Roman"/>
                <w:color w:val="auto"/>
                <w:kern w:val="0"/>
                <w:sz w:val="24"/>
                <w:szCs w:val="21"/>
                <w:highlight w:val="none"/>
                <w:lang w:val="en-US" w:eastAsia="zh-CN"/>
              </w:rPr>
            </w:pPr>
          </w:p>
          <w:p w14:paraId="3F8DE05D">
            <w:pPr>
              <w:pStyle w:val="43"/>
              <w:rPr>
                <w:rFonts w:hint="default" w:ascii="Times New Roman" w:hAnsi="Times New Roman" w:cs="Times New Roman"/>
                <w:color w:val="auto"/>
                <w:kern w:val="0"/>
                <w:sz w:val="24"/>
                <w:szCs w:val="21"/>
                <w:highlight w:val="none"/>
                <w:lang w:val="en-US" w:eastAsia="zh-CN"/>
              </w:rPr>
            </w:pPr>
          </w:p>
          <w:p w14:paraId="686E10AD">
            <w:pPr>
              <w:rPr>
                <w:rFonts w:hint="default" w:ascii="Times New Roman" w:hAnsi="Times New Roman" w:cs="Times New Roman"/>
                <w:color w:val="auto"/>
                <w:kern w:val="0"/>
                <w:sz w:val="24"/>
                <w:szCs w:val="21"/>
                <w:highlight w:val="none"/>
                <w:lang w:val="en-US" w:eastAsia="zh-CN"/>
              </w:rPr>
            </w:pPr>
          </w:p>
          <w:p w14:paraId="38F6D6C8">
            <w:pPr>
              <w:pStyle w:val="43"/>
              <w:rPr>
                <w:rFonts w:hint="default" w:ascii="Times New Roman" w:hAnsi="Times New Roman" w:cs="Times New Roman"/>
                <w:color w:val="auto"/>
                <w:kern w:val="0"/>
                <w:sz w:val="24"/>
                <w:szCs w:val="21"/>
                <w:highlight w:val="none"/>
                <w:lang w:val="en-US" w:eastAsia="zh-CN"/>
              </w:rPr>
            </w:pPr>
          </w:p>
          <w:p w14:paraId="14260F6E">
            <w:pPr>
              <w:rPr>
                <w:rFonts w:hint="default" w:ascii="Times New Roman" w:hAnsi="Times New Roman" w:cs="Times New Roman"/>
                <w:color w:val="auto"/>
                <w:kern w:val="0"/>
                <w:sz w:val="24"/>
                <w:szCs w:val="21"/>
                <w:highlight w:val="none"/>
                <w:lang w:val="en-US" w:eastAsia="zh-CN"/>
              </w:rPr>
            </w:pPr>
          </w:p>
          <w:p w14:paraId="0E2A7872">
            <w:pPr>
              <w:pStyle w:val="43"/>
              <w:rPr>
                <w:rFonts w:hint="default" w:ascii="Times New Roman" w:hAnsi="Times New Roman" w:cs="Times New Roman"/>
                <w:color w:val="auto"/>
                <w:kern w:val="0"/>
                <w:sz w:val="24"/>
                <w:szCs w:val="21"/>
                <w:highlight w:val="none"/>
                <w:lang w:val="en-US" w:eastAsia="zh-CN"/>
              </w:rPr>
            </w:pPr>
          </w:p>
          <w:p w14:paraId="79BA4893">
            <w:pPr>
              <w:rPr>
                <w:rFonts w:hint="default" w:ascii="Times New Roman" w:hAnsi="Times New Roman" w:cs="Times New Roman"/>
                <w:color w:val="auto"/>
                <w:kern w:val="0"/>
                <w:sz w:val="24"/>
                <w:szCs w:val="21"/>
                <w:highlight w:val="none"/>
                <w:lang w:val="en-US" w:eastAsia="zh-CN"/>
              </w:rPr>
            </w:pPr>
          </w:p>
          <w:p w14:paraId="709F4800">
            <w:pPr>
              <w:pStyle w:val="43"/>
              <w:rPr>
                <w:rFonts w:hint="default" w:ascii="Times New Roman" w:hAnsi="Times New Roman" w:cs="Times New Roman"/>
                <w:color w:val="auto"/>
                <w:kern w:val="0"/>
                <w:sz w:val="24"/>
                <w:szCs w:val="21"/>
                <w:highlight w:val="none"/>
                <w:lang w:val="en-US" w:eastAsia="zh-CN"/>
              </w:rPr>
            </w:pPr>
          </w:p>
          <w:p w14:paraId="2AC332B8">
            <w:pPr>
              <w:rPr>
                <w:rFonts w:hint="default" w:ascii="Times New Roman" w:hAnsi="Times New Roman" w:cs="Times New Roman"/>
                <w:color w:val="auto"/>
                <w:kern w:val="0"/>
                <w:sz w:val="24"/>
                <w:szCs w:val="21"/>
                <w:highlight w:val="none"/>
                <w:lang w:val="en-US" w:eastAsia="zh-CN"/>
              </w:rPr>
            </w:pPr>
          </w:p>
          <w:p w14:paraId="5F5C4F8C">
            <w:pPr>
              <w:pStyle w:val="43"/>
              <w:rPr>
                <w:rFonts w:hint="default" w:ascii="Times New Roman" w:hAnsi="Times New Roman" w:cs="Times New Roman"/>
                <w:color w:val="auto"/>
                <w:kern w:val="0"/>
                <w:sz w:val="24"/>
                <w:szCs w:val="21"/>
                <w:highlight w:val="none"/>
                <w:lang w:val="en-US" w:eastAsia="zh-CN"/>
              </w:rPr>
            </w:pPr>
          </w:p>
          <w:p w14:paraId="6F909499">
            <w:pPr>
              <w:rPr>
                <w:rFonts w:hint="default" w:ascii="Times New Roman" w:hAnsi="Times New Roman" w:cs="Times New Roman"/>
                <w:color w:val="auto"/>
                <w:kern w:val="0"/>
                <w:sz w:val="24"/>
                <w:szCs w:val="21"/>
                <w:highlight w:val="none"/>
                <w:lang w:val="en-US" w:eastAsia="zh-CN"/>
              </w:rPr>
            </w:pPr>
          </w:p>
          <w:p w14:paraId="07C86B81">
            <w:pPr>
              <w:pStyle w:val="43"/>
              <w:rPr>
                <w:rFonts w:hint="default" w:ascii="Times New Roman" w:hAnsi="Times New Roman" w:cs="Times New Roman"/>
                <w:color w:val="auto"/>
                <w:kern w:val="0"/>
                <w:sz w:val="24"/>
                <w:szCs w:val="21"/>
                <w:highlight w:val="none"/>
                <w:lang w:val="en-US" w:eastAsia="zh-CN"/>
              </w:rPr>
            </w:pPr>
          </w:p>
          <w:p w14:paraId="7227DA4A">
            <w:pPr>
              <w:rPr>
                <w:rFonts w:hint="default" w:ascii="Times New Roman" w:hAnsi="Times New Roman" w:cs="Times New Roman"/>
                <w:color w:val="auto"/>
                <w:kern w:val="0"/>
                <w:sz w:val="24"/>
                <w:szCs w:val="21"/>
                <w:highlight w:val="none"/>
                <w:lang w:val="en-US" w:eastAsia="zh-CN"/>
              </w:rPr>
            </w:pPr>
          </w:p>
          <w:p w14:paraId="5D3E94B5">
            <w:pPr>
              <w:pStyle w:val="43"/>
              <w:rPr>
                <w:rFonts w:hint="default" w:ascii="Times New Roman" w:hAnsi="Times New Roman" w:cs="Times New Roman"/>
                <w:color w:val="auto"/>
                <w:kern w:val="0"/>
                <w:sz w:val="24"/>
                <w:szCs w:val="21"/>
                <w:highlight w:val="none"/>
                <w:lang w:val="en-US" w:eastAsia="zh-CN"/>
              </w:rPr>
            </w:pPr>
          </w:p>
          <w:p w14:paraId="1BDEE0B4">
            <w:pPr>
              <w:rPr>
                <w:rFonts w:hint="default" w:ascii="Times New Roman" w:hAnsi="Times New Roman" w:cs="Times New Roman"/>
                <w:color w:val="auto"/>
                <w:kern w:val="0"/>
                <w:sz w:val="24"/>
                <w:szCs w:val="21"/>
                <w:highlight w:val="none"/>
                <w:lang w:val="en-US" w:eastAsia="zh-CN"/>
              </w:rPr>
            </w:pPr>
          </w:p>
          <w:p w14:paraId="0E15D66D">
            <w:pPr>
              <w:pStyle w:val="43"/>
              <w:rPr>
                <w:rFonts w:hint="default" w:ascii="Times New Roman" w:hAnsi="Times New Roman" w:cs="Times New Roman"/>
                <w:color w:val="auto"/>
                <w:kern w:val="0"/>
                <w:sz w:val="24"/>
                <w:szCs w:val="21"/>
                <w:highlight w:val="none"/>
                <w:lang w:val="en-US" w:eastAsia="zh-CN"/>
              </w:rPr>
            </w:pPr>
          </w:p>
          <w:p w14:paraId="6A3B13C6">
            <w:pPr>
              <w:rPr>
                <w:rFonts w:hint="default" w:ascii="Times New Roman" w:hAnsi="Times New Roman" w:cs="Times New Roman"/>
                <w:color w:val="auto"/>
                <w:kern w:val="0"/>
                <w:sz w:val="24"/>
                <w:szCs w:val="21"/>
                <w:highlight w:val="none"/>
                <w:lang w:val="en-US" w:eastAsia="zh-CN"/>
              </w:rPr>
            </w:pPr>
          </w:p>
          <w:p w14:paraId="1869CC54">
            <w:pPr>
              <w:pStyle w:val="43"/>
              <w:rPr>
                <w:rFonts w:hint="default" w:ascii="Times New Roman" w:hAnsi="Times New Roman" w:cs="Times New Roman"/>
                <w:color w:val="auto"/>
                <w:kern w:val="0"/>
                <w:sz w:val="24"/>
                <w:szCs w:val="21"/>
                <w:highlight w:val="none"/>
                <w:lang w:val="en-US" w:eastAsia="zh-CN"/>
              </w:rPr>
            </w:pPr>
          </w:p>
          <w:p w14:paraId="296FC952">
            <w:pPr>
              <w:rPr>
                <w:rFonts w:hint="default" w:ascii="Times New Roman" w:hAnsi="Times New Roman" w:cs="Times New Roman"/>
                <w:color w:val="auto"/>
                <w:kern w:val="0"/>
                <w:sz w:val="24"/>
                <w:szCs w:val="21"/>
                <w:highlight w:val="none"/>
                <w:lang w:val="en-US" w:eastAsia="zh-CN"/>
              </w:rPr>
            </w:pPr>
          </w:p>
          <w:p w14:paraId="561F0B23">
            <w:pPr>
              <w:pStyle w:val="43"/>
              <w:rPr>
                <w:rFonts w:hint="default" w:ascii="Times New Roman" w:hAnsi="Times New Roman" w:cs="Times New Roman"/>
                <w:color w:val="auto"/>
                <w:kern w:val="0"/>
                <w:sz w:val="24"/>
                <w:szCs w:val="21"/>
                <w:highlight w:val="none"/>
                <w:lang w:val="en-US" w:eastAsia="zh-CN"/>
              </w:rPr>
            </w:pPr>
          </w:p>
          <w:p w14:paraId="6A4C48AE">
            <w:pPr>
              <w:rPr>
                <w:rFonts w:hint="default" w:ascii="Times New Roman" w:hAnsi="Times New Roman" w:cs="Times New Roman"/>
                <w:color w:val="auto"/>
                <w:kern w:val="0"/>
                <w:sz w:val="24"/>
                <w:szCs w:val="21"/>
                <w:highlight w:val="none"/>
                <w:lang w:val="en-US" w:eastAsia="zh-CN"/>
              </w:rPr>
            </w:pPr>
          </w:p>
          <w:p w14:paraId="01C5B8FD">
            <w:pPr>
              <w:pStyle w:val="43"/>
              <w:rPr>
                <w:rFonts w:hint="default" w:ascii="Times New Roman" w:hAnsi="Times New Roman" w:cs="Times New Roman"/>
                <w:color w:val="auto"/>
                <w:kern w:val="0"/>
                <w:sz w:val="24"/>
                <w:szCs w:val="21"/>
                <w:highlight w:val="none"/>
                <w:lang w:val="en-US" w:eastAsia="zh-CN"/>
              </w:rPr>
            </w:pPr>
          </w:p>
          <w:p w14:paraId="4C0C15D3">
            <w:pPr>
              <w:rPr>
                <w:rFonts w:hint="default" w:ascii="Times New Roman" w:hAnsi="Times New Roman" w:cs="Times New Roman"/>
                <w:color w:val="auto"/>
                <w:highlight w:val="none"/>
                <w:lang w:val="en-US" w:eastAsia="zh-CN"/>
              </w:rPr>
            </w:pPr>
          </w:p>
        </w:tc>
      </w:tr>
      <w:tr w14:paraId="4B941E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122" w:hRule="atLeast"/>
          <w:jc w:val="center"/>
        </w:trPr>
        <w:tc>
          <w:tcPr>
            <w:tcW w:w="445" w:type="dxa"/>
            <w:noWrap w:val="0"/>
            <w:vAlign w:val="center"/>
          </w:tcPr>
          <w:p w14:paraId="3DEB38A7">
            <w:pPr>
              <w:adjustRightInd w:val="0"/>
              <w:snapToGrid w:val="0"/>
              <w:jc w:val="center"/>
              <w:rPr>
                <w:rFonts w:hint="default" w:ascii="Times New Roman" w:hAnsi="Times New Roman" w:cs="Times New Roman"/>
                <w:color w:val="auto"/>
                <w:kern w:val="0"/>
                <w:sz w:val="24"/>
                <w:szCs w:val="21"/>
                <w:highlight w:val="none"/>
              </w:rPr>
            </w:pPr>
            <w:r>
              <w:rPr>
                <w:rFonts w:hint="default" w:ascii="Times New Roman" w:hAnsi="Times New Roman" w:cs="Times New Roman"/>
                <w:color w:val="auto"/>
                <w:kern w:val="0"/>
                <w:sz w:val="24"/>
                <w:szCs w:val="21"/>
                <w:highlight w:val="none"/>
              </w:rPr>
              <w:t>环境</w:t>
            </w:r>
          </w:p>
          <w:p w14:paraId="076DF8B4">
            <w:pPr>
              <w:adjustRightInd w:val="0"/>
              <w:snapToGrid w:val="0"/>
              <w:jc w:val="center"/>
              <w:rPr>
                <w:rFonts w:hint="default" w:ascii="Times New Roman" w:hAnsi="Times New Roman" w:cs="Times New Roman"/>
                <w:color w:val="auto"/>
                <w:kern w:val="0"/>
                <w:sz w:val="24"/>
                <w:szCs w:val="21"/>
                <w:highlight w:val="none"/>
              </w:rPr>
            </w:pPr>
            <w:r>
              <w:rPr>
                <w:rFonts w:hint="default" w:ascii="Times New Roman" w:hAnsi="Times New Roman" w:cs="Times New Roman"/>
                <w:color w:val="auto"/>
                <w:kern w:val="0"/>
                <w:sz w:val="24"/>
                <w:szCs w:val="21"/>
                <w:highlight w:val="none"/>
              </w:rPr>
              <w:t>保护</w:t>
            </w:r>
          </w:p>
          <w:p w14:paraId="4AEF36CA">
            <w:pPr>
              <w:adjustRightInd w:val="0"/>
              <w:snapToGrid w:val="0"/>
              <w:jc w:val="center"/>
              <w:rPr>
                <w:rFonts w:hint="default" w:ascii="Times New Roman" w:hAnsi="Times New Roman" w:cs="Times New Roman"/>
                <w:color w:val="auto"/>
                <w:kern w:val="0"/>
                <w:sz w:val="24"/>
                <w:szCs w:val="21"/>
                <w:highlight w:val="none"/>
              </w:rPr>
            </w:pPr>
            <w:r>
              <w:rPr>
                <w:rFonts w:hint="default" w:ascii="Times New Roman" w:hAnsi="Times New Roman" w:cs="Times New Roman"/>
                <w:color w:val="auto"/>
                <w:kern w:val="0"/>
                <w:sz w:val="24"/>
                <w:szCs w:val="21"/>
                <w:highlight w:val="none"/>
              </w:rPr>
              <w:t>目标</w:t>
            </w:r>
          </w:p>
        </w:tc>
        <w:tc>
          <w:tcPr>
            <w:tcW w:w="9213" w:type="dxa"/>
            <w:noWrap w:val="0"/>
            <w:vAlign w:val="center"/>
          </w:tcPr>
          <w:p w14:paraId="76C1E15B">
            <w:pPr>
              <w:numPr>
                <w:ilvl w:val="0"/>
                <w:numId w:val="3"/>
              </w:numPr>
              <w:adjustRightInd w:val="0"/>
              <w:snapToGrid w:val="0"/>
              <w:spacing w:line="360" w:lineRule="auto"/>
              <w:ind w:firstLine="482" w:firstLineChars="200"/>
              <w:rPr>
                <w:rFonts w:hint="default" w:ascii="Times New Roman" w:hAnsi="Times New Roman" w:cs="Times New Roman"/>
                <w:b/>
                <w:bCs/>
                <w:color w:val="auto"/>
                <w:kern w:val="0"/>
                <w:sz w:val="24"/>
                <w:highlight w:val="none"/>
              </w:rPr>
            </w:pPr>
            <w:r>
              <w:rPr>
                <w:rFonts w:hint="default" w:ascii="Times New Roman" w:hAnsi="Times New Roman" w:cs="Times New Roman"/>
                <w:b/>
                <w:bCs/>
                <w:color w:val="auto"/>
                <w:kern w:val="0"/>
                <w:sz w:val="24"/>
                <w:highlight w:val="none"/>
              </w:rPr>
              <w:t>大气环境</w:t>
            </w:r>
            <w:r>
              <w:rPr>
                <w:rFonts w:hint="default" w:ascii="Times New Roman" w:hAnsi="Times New Roman" w:cs="Times New Roman"/>
                <w:b/>
                <w:bCs/>
                <w:color w:val="auto"/>
                <w:kern w:val="0"/>
                <w:sz w:val="24"/>
                <w:highlight w:val="none"/>
                <w:lang w:eastAsia="zh-CN"/>
              </w:rPr>
              <w:t>保护目标</w:t>
            </w:r>
            <w:r>
              <w:rPr>
                <w:rFonts w:hint="default" w:ascii="Times New Roman" w:hAnsi="Times New Roman" w:cs="Times New Roman"/>
                <w:b/>
                <w:bCs/>
                <w:color w:val="auto"/>
                <w:kern w:val="0"/>
                <w:sz w:val="24"/>
                <w:highlight w:val="none"/>
              </w:rPr>
              <w:t>。</w:t>
            </w:r>
          </w:p>
          <w:p w14:paraId="238A900E">
            <w:pPr>
              <w:numPr>
                <w:ilvl w:val="0"/>
                <w:numId w:val="0"/>
              </w:numPr>
              <w:adjustRightInd w:val="0"/>
              <w:snapToGrid w:val="0"/>
              <w:spacing w:line="360" w:lineRule="auto"/>
              <w:ind w:firstLine="480" w:firstLineChars="200"/>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项目厂界外</w:t>
            </w:r>
            <w:r>
              <w:rPr>
                <w:rFonts w:hint="default" w:ascii="Times New Roman" w:hAnsi="Times New Roman" w:cs="Times New Roman"/>
                <w:color w:val="auto"/>
                <w:kern w:val="0"/>
                <w:sz w:val="24"/>
                <w:highlight w:val="none"/>
                <w:lang w:val="en-US" w:eastAsia="zh-CN"/>
              </w:rPr>
              <w:t>5</w:t>
            </w:r>
            <w:r>
              <w:rPr>
                <w:rFonts w:hint="default" w:ascii="Times New Roman" w:hAnsi="Times New Roman" w:cs="Times New Roman"/>
                <w:color w:val="auto"/>
                <w:kern w:val="0"/>
                <w:sz w:val="24"/>
                <w:highlight w:val="none"/>
              </w:rPr>
              <w:t>00米范围内的大气环境保护目标见</w:t>
            </w:r>
            <w:r>
              <w:rPr>
                <w:rFonts w:hint="default" w:ascii="Times New Roman" w:hAnsi="Times New Roman" w:cs="Times New Roman"/>
                <w:color w:val="auto"/>
                <w:kern w:val="0"/>
                <w:sz w:val="24"/>
                <w:highlight w:val="none"/>
                <w:lang w:eastAsia="zh-CN"/>
              </w:rPr>
              <w:t>下表</w:t>
            </w:r>
            <w:r>
              <w:rPr>
                <w:rFonts w:hint="default" w:ascii="Times New Roman" w:hAnsi="Times New Roman" w:cs="Times New Roman"/>
                <w:color w:val="auto"/>
                <w:kern w:val="0"/>
                <w:sz w:val="24"/>
                <w:highlight w:val="none"/>
              </w:rPr>
              <w:t>。</w:t>
            </w:r>
          </w:p>
          <w:p w14:paraId="1D2C276A">
            <w:pPr>
              <w:adjustRightInd w:val="0"/>
              <w:snapToGrid w:val="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表</w:t>
            </w:r>
            <w:r>
              <w:rPr>
                <w:rFonts w:hint="default" w:ascii="Times New Roman" w:hAnsi="Times New Roman" w:cs="Times New Roman"/>
                <w:b/>
                <w:bCs/>
                <w:color w:val="auto"/>
                <w:kern w:val="0"/>
                <w:szCs w:val="21"/>
                <w:highlight w:val="none"/>
                <w:lang w:val="en-US" w:eastAsia="zh-CN"/>
              </w:rPr>
              <w:t xml:space="preserve">3-4 </w:t>
            </w:r>
            <w:r>
              <w:rPr>
                <w:rFonts w:hint="default" w:ascii="Times New Roman" w:hAnsi="Times New Roman" w:cs="Times New Roman"/>
                <w:b/>
                <w:bCs/>
                <w:color w:val="auto"/>
                <w:kern w:val="0"/>
                <w:szCs w:val="21"/>
                <w:highlight w:val="none"/>
              </w:rPr>
              <w:t>环境保护目标一览表</w:t>
            </w:r>
          </w:p>
          <w:tbl>
            <w:tblPr>
              <w:tblStyle w:val="34"/>
              <w:tblW w:w="9115" w:type="dxa"/>
              <w:tblInd w:w="-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156"/>
              <w:gridCol w:w="1101"/>
              <w:gridCol w:w="1035"/>
              <w:gridCol w:w="660"/>
              <w:gridCol w:w="960"/>
              <w:gridCol w:w="885"/>
              <w:gridCol w:w="645"/>
              <w:gridCol w:w="885"/>
              <w:gridCol w:w="1078"/>
            </w:tblGrid>
            <w:tr w14:paraId="4FD23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710" w:type="dxa"/>
                  <w:vMerge w:val="restart"/>
                  <w:noWrap w:val="0"/>
                  <w:vAlign w:val="center"/>
                </w:tcPr>
                <w:p w14:paraId="0CE8A974">
                  <w:pPr>
                    <w:autoSpaceDE w:val="0"/>
                    <w:autoSpaceDN w:val="0"/>
                    <w:adjustRightInd w:val="0"/>
                    <w:snapToGrid w:val="0"/>
                    <w:jc w:val="center"/>
                    <w:textAlignment w:val="baseline"/>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环境</w:t>
                  </w:r>
                </w:p>
                <w:p w14:paraId="3D7EFD90">
                  <w:pPr>
                    <w:autoSpaceDE w:val="0"/>
                    <w:autoSpaceDN w:val="0"/>
                    <w:adjustRightInd w:val="0"/>
                    <w:snapToGrid w:val="0"/>
                    <w:jc w:val="center"/>
                    <w:textAlignment w:val="baseline"/>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要素</w:t>
                  </w:r>
                </w:p>
              </w:tc>
              <w:tc>
                <w:tcPr>
                  <w:tcW w:w="1156" w:type="dxa"/>
                  <w:vMerge w:val="restart"/>
                  <w:noWrap w:val="0"/>
                  <w:vAlign w:val="center"/>
                </w:tcPr>
                <w:p w14:paraId="250C6D78">
                  <w:pPr>
                    <w:autoSpaceDE w:val="0"/>
                    <w:autoSpaceDN w:val="0"/>
                    <w:adjustRightInd w:val="0"/>
                    <w:snapToGrid w:val="0"/>
                    <w:jc w:val="center"/>
                    <w:textAlignment w:val="baseline"/>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名称</w:t>
                  </w:r>
                </w:p>
              </w:tc>
              <w:tc>
                <w:tcPr>
                  <w:tcW w:w="2136" w:type="dxa"/>
                  <w:gridSpan w:val="2"/>
                  <w:noWrap w:val="0"/>
                  <w:vAlign w:val="center"/>
                </w:tcPr>
                <w:p w14:paraId="4D31C8C7">
                  <w:pPr>
                    <w:autoSpaceDE w:val="0"/>
                    <w:autoSpaceDN w:val="0"/>
                    <w:adjustRightInd w:val="0"/>
                    <w:snapToGrid w:val="0"/>
                    <w:jc w:val="center"/>
                    <w:textAlignment w:val="baseline"/>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坐标</w:t>
                  </w:r>
                </w:p>
              </w:tc>
              <w:tc>
                <w:tcPr>
                  <w:tcW w:w="660" w:type="dxa"/>
                  <w:vMerge w:val="restart"/>
                  <w:noWrap w:val="0"/>
                  <w:vAlign w:val="center"/>
                </w:tcPr>
                <w:p w14:paraId="6920C020">
                  <w:pPr>
                    <w:autoSpaceDE w:val="0"/>
                    <w:autoSpaceDN w:val="0"/>
                    <w:adjustRightInd w:val="0"/>
                    <w:snapToGrid w:val="0"/>
                    <w:jc w:val="center"/>
                    <w:textAlignment w:val="baseline"/>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保护</w:t>
                  </w:r>
                </w:p>
                <w:p w14:paraId="6020071C">
                  <w:pPr>
                    <w:autoSpaceDE w:val="0"/>
                    <w:autoSpaceDN w:val="0"/>
                    <w:adjustRightInd w:val="0"/>
                    <w:snapToGrid w:val="0"/>
                    <w:jc w:val="center"/>
                    <w:textAlignment w:val="baseline"/>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对象</w:t>
                  </w:r>
                </w:p>
              </w:tc>
              <w:tc>
                <w:tcPr>
                  <w:tcW w:w="960" w:type="dxa"/>
                  <w:vMerge w:val="restart"/>
                  <w:noWrap w:val="0"/>
                  <w:vAlign w:val="center"/>
                </w:tcPr>
                <w:p w14:paraId="50515743">
                  <w:pPr>
                    <w:autoSpaceDE w:val="0"/>
                    <w:autoSpaceDN w:val="0"/>
                    <w:adjustRightInd w:val="0"/>
                    <w:snapToGrid w:val="0"/>
                    <w:jc w:val="center"/>
                    <w:textAlignment w:val="baseline"/>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保护内容</w:t>
                  </w:r>
                </w:p>
              </w:tc>
              <w:tc>
                <w:tcPr>
                  <w:tcW w:w="885" w:type="dxa"/>
                  <w:vMerge w:val="restart"/>
                  <w:noWrap w:val="0"/>
                  <w:vAlign w:val="center"/>
                </w:tcPr>
                <w:p w14:paraId="4C95D744">
                  <w:pPr>
                    <w:autoSpaceDE w:val="0"/>
                    <w:autoSpaceDN w:val="0"/>
                    <w:adjustRightInd w:val="0"/>
                    <w:snapToGrid w:val="0"/>
                    <w:jc w:val="center"/>
                    <w:textAlignment w:val="baseline"/>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环境功能区</w:t>
                  </w:r>
                </w:p>
              </w:tc>
              <w:tc>
                <w:tcPr>
                  <w:tcW w:w="645" w:type="dxa"/>
                  <w:vMerge w:val="restart"/>
                  <w:noWrap w:val="0"/>
                  <w:vAlign w:val="center"/>
                </w:tcPr>
                <w:p w14:paraId="6688F5C3">
                  <w:pPr>
                    <w:autoSpaceDE w:val="0"/>
                    <w:autoSpaceDN w:val="0"/>
                    <w:adjustRightInd w:val="0"/>
                    <w:snapToGrid w:val="0"/>
                    <w:jc w:val="center"/>
                    <w:textAlignment w:val="baseline"/>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相对</w:t>
                  </w:r>
                </w:p>
                <w:p w14:paraId="6D10EDA8">
                  <w:pPr>
                    <w:autoSpaceDE w:val="0"/>
                    <w:autoSpaceDN w:val="0"/>
                    <w:adjustRightInd w:val="0"/>
                    <w:snapToGrid w:val="0"/>
                    <w:jc w:val="center"/>
                    <w:textAlignment w:val="baseline"/>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方位</w:t>
                  </w:r>
                </w:p>
              </w:tc>
              <w:tc>
                <w:tcPr>
                  <w:tcW w:w="885" w:type="dxa"/>
                  <w:vMerge w:val="restart"/>
                  <w:noWrap w:val="0"/>
                  <w:vAlign w:val="center"/>
                </w:tcPr>
                <w:p w14:paraId="4658D4C9">
                  <w:pPr>
                    <w:autoSpaceDE w:val="0"/>
                    <w:autoSpaceDN w:val="0"/>
                    <w:adjustRightInd w:val="0"/>
                    <w:snapToGrid w:val="0"/>
                    <w:jc w:val="center"/>
                    <w:textAlignment w:val="baseline"/>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与厂界距离</w:t>
                  </w:r>
                </w:p>
              </w:tc>
              <w:tc>
                <w:tcPr>
                  <w:tcW w:w="1078" w:type="dxa"/>
                  <w:vMerge w:val="restart"/>
                  <w:noWrap w:val="0"/>
                  <w:vAlign w:val="center"/>
                </w:tcPr>
                <w:p w14:paraId="03DCACAA">
                  <w:pPr>
                    <w:autoSpaceDE w:val="0"/>
                    <w:autoSpaceDN w:val="0"/>
                    <w:adjustRightInd w:val="0"/>
                    <w:snapToGrid w:val="0"/>
                    <w:jc w:val="center"/>
                    <w:textAlignment w:val="baseline"/>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lang w:val="en-US" w:eastAsia="zh-CN"/>
                    </w:rPr>
                    <w:t>与产污</w:t>
                  </w:r>
                  <w:r>
                    <w:rPr>
                      <w:rFonts w:hint="default" w:ascii="Times New Roman" w:hAnsi="Times New Roman" w:cs="Times New Roman"/>
                      <w:b/>
                      <w:bCs/>
                      <w:color w:val="auto"/>
                      <w:szCs w:val="21"/>
                      <w:highlight w:val="none"/>
                    </w:rPr>
                    <w:t>车间距离</w:t>
                  </w:r>
                </w:p>
              </w:tc>
            </w:tr>
            <w:tr w14:paraId="19E7A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0" w:type="dxa"/>
                  <w:vMerge w:val="continue"/>
                  <w:noWrap w:val="0"/>
                  <w:vAlign w:val="center"/>
                </w:tcPr>
                <w:p w14:paraId="797D68C7">
                  <w:pPr>
                    <w:autoSpaceDE w:val="0"/>
                    <w:autoSpaceDN w:val="0"/>
                    <w:adjustRightInd w:val="0"/>
                    <w:snapToGrid w:val="0"/>
                    <w:jc w:val="center"/>
                    <w:textAlignment w:val="baseline"/>
                    <w:rPr>
                      <w:rFonts w:hint="default" w:ascii="Times New Roman" w:hAnsi="Times New Roman" w:cs="Times New Roman"/>
                      <w:color w:val="auto"/>
                      <w:szCs w:val="21"/>
                      <w:highlight w:val="none"/>
                    </w:rPr>
                  </w:pPr>
                </w:p>
              </w:tc>
              <w:tc>
                <w:tcPr>
                  <w:tcW w:w="1156" w:type="dxa"/>
                  <w:vMerge w:val="continue"/>
                  <w:noWrap w:val="0"/>
                  <w:vAlign w:val="center"/>
                </w:tcPr>
                <w:p w14:paraId="6A855570">
                  <w:pPr>
                    <w:autoSpaceDE w:val="0"/>
                    <w:autoSpaceDN w:val="0"/>
                    <w:adjustRightInd w:val="0"/>
                    <w:snapToGrid w:val="0"/>
                    <w:jc w:val="center"/>
                    <w:textAlignment w:val="baseline"/>
                    <w:rPr>
                      <w:rFonts w:hint="default" w:ascii="Times New Roman" w:hAnsi="Times New Roman" w:cs="Times New Roman"/>
                      <w:color w:val="auto"/>
                      <w:szCs w:val="21"/>
                      <w:highlight w:val="none"/>
                    </w:rPr>
                  </w:pPr>
                </w:p>
              </w:tc>
              <w:tc>
                <w:tcPr>
                  <w:tcW w:w="1101" w:type="dxa"/>
                  <w:noWrap w:val="0"/>
                  <w:vAlign w:val="center"/>
                </w:tcPr>
                <w:p w14:paraId="670CA42F">
                  <w:pPr>
                    <w:autoSpaceDE w:val="0"/>
                    <w:autoSpaceDN w:val="0"/>
                    <w:adjustRightInd w:val="0"/>
                    <w:snapToGrid w:val="0"/>
                    <w:jc w:val="center"/>
                    <w:textAlignment w:val="baseline"/>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经度(</w:t>
                  </w:r>
                  <w:r>
                    <w:rPr>
                      <w:rFonts w:hint="default" w:ascii="Times New Roman" w:hAnsi="Times New Roman" w:cs="Times New Roman"/>
                      <w:b/>
                      <w:bCs/>
                      <w:color w:val="auto"/>
                      <w:szCs w:val="21"/>
                      <w:highlight w:val="none"/>
                      <w:vertAlign w:val="superscript"/>
                      <w:lang w:val="en-US" w:eastAsia="zh-CN"/>
                    </w:rPr>
                    <w:t>°</w:t>
                  </w:r>
                  <w:r>
                    <w:rPr>
                      <w:rFonts w:hint="default" w:ascii="Times New Roman" w:hAnsi="Times New Roman" w:cs="Times New Roman"/>
                      <w:b/>
                      <w:bCs/>
                      <w:color w:val="auto"/>
                      <w:szCs w:val="21"/>
                      <w:highlight w:val="none"/>
                    </w:rPr>
                    <w:t>)</w:t>
                  </w:r>
                </w:p>
              </w:tc>
              <w:tc>
                <w:tcPr>
                  <w:tcW w:w="1035" w:type="dxa"/>
                  <w:noWrap w:val="0"/>
                  <w:vAlign w:val="center"/>
                </w:tcPr>
                <w:p w14:paraId="5ACB6694">
                  <w:pPr>
                    <w:autoSpaceDE w:val="0"/>
                    <w:autoSpaceDN w:val="0"/>
                    <w:adjustRightInd w:val="0"/>
                    <w:snapToGrid w:val="0"/>
                    <w:jc w:val="center"/>
                    <w:textAlignment w:val="baseline"/>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纬度(</w:t>
                  </w:r>
                  <w:r>
                    <w:rPr>
                      <w:rFonts w:hint="default" w:ascii="Times New Roman" w:hAnsi="Times New Roman" w:cs="Times New Roman"/>
                      <w:b/>
                      <w:bCs/>
                      <w:color w:val="auto"/>
                      <w:szCs w:val="21"/>
                      <w:highlight w:val="none"/>
                      <w:vertAlign w:val="superscript"/>
                      <w:lang w:val="en-US" w:eastAsia="zh-CN"/>
                    </w:rPr>
                    <w:t>°</w:t>
                  </w:r>
                  <w:r>
                    <w:rPr>
                      <w:rFonts w:hint="default" w:ascii="Times New Roman" w:hAnsi="Times New Roman" w:cs="Times New Roman"/>
                      <w:b/>
                      <w:bCs/>
                      <w:color w:val="auto"/>
                      <w:szCs w:val="21"/>
                      <w:highlight w:val="none"/>
                    </w:rPr>
                    <w:t>)</w:t>
                  </w:r>
                </w:p>
              </w:tc>
              <w:tc>
                <w:tcPr>
                  <w:tcW w:w="660" w:type="dxa"/>
                  <w:vMerge w:val="continue"/>
                  <w:noWrap w:val="0"/>
                  <w:vAlign w:val="center"/>
                </w:tcPr>
                <w:p w14:paraId="67F769C4">
                  <w:pPr>
                    <w:autoSpaceDE w:val="0"/>
                    <w:autoSpaceDN w:val="0"/>
                    <w:adjustRightInd w:val="0"/>
                    <w:snapToGrid w:val="0"/>
                    <w:jc w:val="center"/>
                    <w:textAlignment w:val="baseline"/>
                    <w:rPr>
                      <w:rFonts w:hint="default" w:ascii="Times New Roman" w:hAnsi="Times New Roman" w:cs="Times New Roman"/>
                      <w:color w:val="auto"/>
                      <w:szCs w:val="21"/>
                      <w:highlight w:val="none"/>
                    </w:rPr>
                  </w:pPr>
                </w:p>
              </w:tc>
              <w:tc>
                <w:tcPr>
                  <w:tcW w:w="960" w:type="dxa"/>
                  <w:vMerge w:val="continue"/>
                  <w:noWrap w:val="0"/>
                  <w:vAlign w:val="center"/>
                </w:tcPr>
                <w:p w14:paraId="6BF312E3">
                  <w:pPr>
                    <w:autoSpaceDE w:val="0"/>
                    <w:autoSpaceDN w:val="0"/>
                    <w:adjustRightInd w:val="0"/>
                    <w:snapToGrid w:val="0"/>
                    <w:jc w:val="center"/>
                    <w:textAlignment w:val="baseline"/>
                    <w:rPr>
                      <w:rFonts w:hint="default" w:ascii="Times New Roman" w:hAnsi="Times New Roman" w:cs="Times New Roman"/>
                      <w:color w:val="auto"/>
                      <w:szCs w:val="21"/>
                      <w:highlight w:val="none"/>
                    </w:rPr>
                  </w:pPr>
                </w:p>
              </w:tc>
              <w:tc>
                <w:tcPr>
                  <w:tcW w:w="885" w:type="dxa"/>
                  <w:vMerge w:val="continue"/>
                  <w:noWrap w:val="0"/>
                  <w:vAlign w:val="center"/>
                </w:tcPr>
                <w:p w14:paraId="387C2D96">
                  <w:pPr>
                    <w:autoSpaceDE w:val="0"/>
                    <w:autoSpaceDN w:val="0"/>
                    <w:adjustRightInd w:val="0"/>
                    <w:snapToGrid w:val="0"/>
                    <w:jc w:val="center"/>
                    <w:textAlignment w:val="baseline"/>
                    <w:rPr>
                      <w:rFonts w:hint="default" w:ascii="Times New Roman" w:hAnsi="Times New Roman" w:cs="Times New Roman"/>
                      <w:color w:val="auto"/>
                      <w:szCs w:val="21"/>
                      <w:highlight w:val="none"/>
                    </w:rPr>
                  </w:pPr>
                </w:p>
              </w:tc>
              <w:tc>
                <w:tcPr>
                  <w:tcW w:w="645" w:type="dxa"/>
                  <w:vMerge w:val="continue"/>
                  <w:noWrap w:val="0"/>
                  <w:vAlign w:val="center"/>
                </w:tcPr>
                <w:p w14:paraId="5E0B425C">
                  <w:pPr>
                    <w:autoSpaceDE w:val="0"/>
                    <w:autoSpaceDN w:val="0"/>
                    <w:adjustRightInd w:val="0"/>
                    <w:snapToGrid w:val="0"/>
                    <w:jc w:val="center"/>
                    <w:textAlignment w:val="baseline"/>
                    <w:rPr>
                      <w:rFonts w:hint="default" w:ascii="Times New Roman" w:hAnsi="Times New Roman" w:cs="Times New Roman"/>
                      <w:color w:val="auto"/>
                      <w:szCs w:val="21"/>
                      <w:highlight w:val="none"/>
                    </w:rPr>
                  </w:pPr>
                </w:p>
              </w:tc>
              <w:tc>
                <w:tcPr>
                  <w:tcW w:w="885" w:type="dxa"/>
                  <w:vMerge w:val="continue"/>
                  <w:noWrap w:val="0"/>
                  <w:vAlign w:val="center"/>
                </w:tcPr>
                <w:p w14:paraId="0D80A176">
                  <w:pPr>
                    <w:autoSpaceDE w:val="0"/>
                    <w:autoSpaceDN w:val="0"/>
                    <w:adjustRightInd w:val="0"/>
                    <w:snapToGrid w:val="0"/>
                    <w:jc w:val="center"/>
                    <w:textAlignment w:val="baseline"/>
                    <w:rPr>
                      <w:rFonts w:hint="default" w:ascii="Times New Roman" w:hAnsi="Times New Roman" w:cs="Times New Roman"/>
                      <w:color w:val="auto"/>
                      <w:szCs w:val="21"/>
                      <w:highlight w:val="none"/>
                    </w:rPr>
                  </w:pPr>
                </w:p>
              </w:tc>
              <w:tc>
                <w:tcPr>
                  <w:tcW w:w="1078" w:type="dxa"/>
                  <w:vMerge w:val="continue"/>
                  <w:noWrap w:val="0"/>
                  <w:vAlign w:val="center"/>
                </w:tcPr>
                <w:p w14:paraId="2C99B921">
                  <w:pPr>
                    <w:autoSpaceDE w:val="0"/>
                    <w:autoSpaceDN w:val="0"/>
                    <w:adjustRightInd w:val="0"/>
                    <w:snapToGrid w:val="0"/>
                    <w:jc w:val="center"/>
                    <w:textAlignment w:val="baseline"/>
                    <w:rPr>
                      <w:rFonts w:hint="default" w:ascii="Times New Roman" w:hAnsi="Times New Roman" w:cs="Times New Roman"/>
                      <w:color w:val="auto"/>
                      <w:szCs w:val="21"/>
                      <w:highlight w:val="none"/>
                    </w:rPr>
                  </w:pPr>
                </w:p>
              </w:tc>
            </w:tr>
            <w:tr w14:paraId="2FA64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trPr>
              <w:tc>
                <w:tcPr>
                  <w:tcW w:w="710" w:type="dxa"/>
                  <w:vMerge w:val="restart"/>
                  <w:noWrap w:val="0"/>
                  <w:vAlign w:val="center"/>
                </w:tcPr>
                <w:p w14:paraId="7080CECB">
                  <w:pPr>
                    <w:autoSpaceDE w:val="0"/>
                    <w:autoSpaceDN w:val="0"/>
                    <w:adjustRightInd w:val="0"/>
                    <w:snapToGrid w:val="0"/>
                    <w:jc w:val="center"/>
                    <w:textAlignment w:val="baseline"/>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环境</w:t>
                  </w:r>
                </w:p>
                <w:p w14:paraId="693B47A8">
                  <w:pPr>
                    <w:autoSpaceDE w:val="0"/>
                    <w:autoSpaceDN w:val="0"/>
                    <w:adjustRightInd w:val="0"/>
                    <w:snapToGrid w:val="0"/>
                    <w:jc w:val="center"/>
                    <w:textAlignment w:val="baseline"/>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空气</w:t>
                  </w:r>
                </w:p>
              </w:tc>
              <w:tc>
                <w:tcPr>
                  <w:tcW w:w="1156" w:type="dxa"/>
                  <w:noWrap w:val="0"/>
                  <w:vAlign w:val="center"/>
                </w:tcPr>
                <w:p w14:paraId="0B689015">
                  <w:pPr>
                    <w:widowControl/>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新屋村散户</w:t>
                  </w:r>
                </w:p>
              </w:tc>
              <w:tc>
                <w:tcPr>
                  <w:tcW w:w="1101" w:type="dxa"/>
                  <w:noWrap w:val="0"/>
                  <w:vAlign w:val="center"/>
                </w:tcPr>
                <w:p w14:paraId="4E7100FC">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114°25′38.194〃</w:t>
                  </w:r>
                </w:p>
              </w:tc>
              <w:tc>
                <w:tcPr>
                  <w:tcW w:w="1035" w:type="dxa"/>
                  <w:noWrap w:val="0"/>
                  <w:vAlign w:val="center"/>
                </w:tcPr>
                <w:p w14:paraId="74BBB047">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23°14′2.205〃</w:t>
                  </w:r>
                </w:p>
              </w:tc>
              <w:tc>
                <w:tcPr>
                  <w:tcW w:w="660" w:type="dxa"/>
                  <w:noWrap w:val="0"/>
                  <w:vAlign w:val="center"/>
                </w:tcPr>
                <w:p w14:paraId="3B198902">
                  <w:pPr>
                    <w:snapToGrid w:val="0"/>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val="en-US" w:eastAsia="zh-CN"/>
                    </w:rPr>
                    <w:t>村庄</w:t>
                  </w:r>
                </w:p>
              </w:tc>
              <w:tc>
                <w:tcPr>
                  <w:tcW w:w="960" w:type="dxa"/>
                  <w:noWrap w:val="0"/>
                  <w:vAlign w:val="center"/>
                </w:tcPr>
                <w:p w14:paraId="6FCBE9AB">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居民，约150人</w:t>
                  </w:r>
                </w:p>
              </w:tc>
              <w:tc>
                <w:tcPr>
                  <w:tcW w:w="885" w:type="dxa"/>
                  <w:vMerge w:val="restart"/>
                  <w:noWrap w:val="0"/>
                  <w:vAlign w:val="center"/>
                </w:tcPr>
                <w:p w14:paraId="6D9B5CE5">
                  <w:pPr>
                    <w:autoSpaceDE w:val="0"/>
                    <w:autoSpaceDN w:val="0"/>
                    <w:adjustRightInd w:val="0"/>
                    <w:snapToGrid w:val="0"/>
                    <w:jc w:val="center"/>
                    <w:textAlignment w:val="baseline"/>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eastAsia="zh-CN"/>
                    </w:rPr>
                    <w:t>二类区</w:t>
                  </w:r>
                </w:p>
              </w:tc>
              <w:tc>
                <w:tcPr>
                  <w:tcW w:w="645" w:type="dxa"/>
                  <w:noWrap w:val="0"/>
                  <w:vAlign w:val="center"/>
                </w:tcPr>
                <w:p w14:paraId="338A93B8">
                  <w:pPr>
                    <w:widowControl/>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西北面</w:t>
                  </w:r>
                </w:p>
              </w:tc>
              <w:tc>
                <w:tcPr>
                  <w:tcW w:w="885" w:type="dxa"/>
                  <w:noWrap w:val="0"/>
                  <w:vAlign w:val="center"/>
                </w:tcPr>
                <w:p w14:paraId="020B1455">
                  <w:pPr>
                    <w:widowControl/>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86m</w:t>
                  </w:r>
                </w:p>
              </w:tc>
              <w:tc>
                <w:tcPr>
                  <w:tcW w:w="1078" w:type="dxa"/>
                  <w:noWrap w:val="0"/>
                  <w:vAlign w:val="center"/>
                </w:tcPr>
                <w:p w14:paraId="50B632AE">
                  <w:pPr>
                    <w:widowControl/>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176m</w:t>
                  </w:r>
                </w:p>
              </w:tc>
            </w:tr>
            <w:tr w14:paraId="3F842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10" w:type="dxa"/>
                  <w:vMerge w:val="continue"/>
                  <w:noWrap w:val="0"/>
                  <w:vAlign w:val="center"/>
                </w:tcPr>
                <w:p w14:paraId="67EF0E48">
                  <w:pPr>
                    <w:autoSpaceDE w:val="0"/>
                    <w:autoSpaceDN w:val="0"/>
                    <w:adjustRightInd w:val="0"/>
                    <w:snapToGrid w:val="0"/>
                    <w:jc w:val="center"/>
                    <w:textAlignment w:val="baseline"/>
                    <w:rPr>
                      <w:rFonts w:hint="default" w:ascii="Times New Roman" w:hAnsi="Times New Roman" w:cs="Times New Roman"/>
                      <w:color w:val="auto"/>
                      <w:szCs w:val="21"/>
                      <w:highlight w:val="none"/>
                    </w:rPr>
                  </w:pPr>
                </w:p>
              </w:tc>
              <w:tc>
                <w:tcPr>
                  <w:tcW w:w="1156" w:type="dxa"/>
                  <w:noWrap w:val="0"/>
                  <w:vAlign w:val="center"/>
                </w:tcPr>
                <w:p w14:paraId="3D647530">
                  <w:pPr>
                    <w:widowControl/>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新屋村</w:t>
                  </w:r>
                </w:p>
              </w:tc>
              <w:tc>
                <w:tcPr>
                  <w:tcW w:w="1101" w:type="dxa"/>
                  <w:noWrap w:val="0"/>
                  <w:vAlign w:val="center"/>
                </w:tcPr>
                <w:p w14:paraId="4DBE0F8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114°25′45.919〃</w:t>
                  </w:r>
                </w:p>
              </w:tc>
              <w:tc>
                <w:tcPr>
                  <w:tcW w:w="1035" w:type="dxa"/>
                  <w:noWrap w:val="0"/>
                  <w:vAlign w:val="center"/>
                </w:tcPr>
                <w:p w14:paraId="2A24881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23°14′0.815〃</w:t>
                  </w:r>
                </w:p>
              </w:tc>
              <w:tc>
                <w:tcPr>
                  <w:tcW w:w="660" w:type="dxa"/>
                  <w:shd w:val="clear" w:color="auto" w:fill="auto"/>
                  <w:noWrap w:val="0"/>
                  <w:vAlign w:val="center"/>
                </w:tcPr>
                <w:p w14:paraId="6A2DB13F">
                  <w:pPr>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村庄</w:t>
                  </w:r>
                </w:p>
              </w:tc>
              <w:tc>
                <w:tcPr>
                  <w:tcW w:w="960" w:type="dxa"/>
                  <w:noWrap w:val="0"/>
                  <w:vAlign w:val="center"/>
                </w:tcPr>
                <w:p w14:paraId="7B26415E">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居民，约300人</w:t>
                  </w:r>
                </w:p>
              </w:tc>
              <w:tc>
                <w:tcPr>
                  <w:tcW w:w="885" w:type="dxa"/>
                  <w:vMerge w:val="continue"/>
                  <w:noWrap w:val="0"/>
                  <w:vAlign w:val="center"/>
                </w:tcPr>
                <w:p w14:paraId="5AADA1C9">
                  <w:pPr>
                    <w:autoSpaceDE w:val="0"/>
                    <w:autoSpaceDN w:val="0"/>
                    <w:adjustRightInd w:val="0"/>
                    <w:snapToGrid w:val="0"/>
                    <w:jc w:val="center"/>
                    <w:textAlignment w:val="baseline"/>
                    <w:rPr>
                      <w:rFonts w:hint="default" w:ascii="Times New Roman" w:hAnsi="Times New Roman" w:cs="Times New Roman"/>
                      <w:color w:val="auto"/>
                      <w:szCs w:val="21"/>
                      <w:highlight w:val="none"/>
                      <w:lang w:eastAsia="zh-CN"/>
                    </w:rPr>
                  </w:pPr>
                </w:p>
              </w:tc>
              <w:tc>
                <w:tcPr>
                  <w:tcW w:w="645" w:type="dxa"/>
                  <w:noWrap w:val="0"/>
                  <w:vAlign w:val="center"/>
                </w:tcPr>
                <w:p w14:paraId="68E0EF16">
                  <w:pPr>
                    <w:widowControl/>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highlight w:val="none"/>
                      <w:lang w:val="en-US" w:eastAsia="zh-CN"/>
                    </w:rPr>
                    <w:t>东北</w:t>
                  </w:r>
                  <w:r>
                    <w:rPr>
                      <w:rFonts w:hint="default" w:ascii="Times New Roman" w:hAnsi="Times New Roman" w:eastAsia="宋体" w:cs="Times New Roman"/>
                      <w:color w:val="auto"/>
                      <w:szCs w:val="21"/>
                      <w:highlight w:val="none"/>
                      <w:lang w:val="en-US" w:eastAsia="zh-CN"/>
                    </w:rPr>
                    <w:t>面</w:t>
                  </w:r>
                </w:p>
              </w:tc>
              <w:tc>
                <w:tcPr>
                  <w:tcW w:w="885" w:type="dxa"/>
                  <w:noWrap w:val="0"/>
                  <w:vAlign w:val="center"/>
                </w:tcPr>
                <w:p w14:paraId="120AD215">
                  <w:pPr>
                    <w:widowControl/>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168m</w:t>
                  </w:r>
                </w:p>
              </w:tc>
              <w:tc>
                <w:tcPr>
                  <w:tcW w:w="1078" w:type="dxa"/>
                  <w:noWrap w:val="0"/>
                  <w:vAlign w:val="center"/>
                </w:tcPr>
                <w:p w14:paraId="54C7654B">
                  <w:pPr>
                    <w:widowControl/>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220m</w:t>
                  </w:r>
                </w:p>
              </w:tc>
            </w:tr>
            <w:tr w14:paraId="3FADC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0" w:type="dxa"/>
                  <w:vMerge w:val="continue"/>
                  <w:noWrap w:val="0"/>
                  <w:vAlign w:val="center"/>
                </w:tcPr>
                <w:p w14:paraId="7B124678">
                  <w:pPr>
                    <w:autoSpaceDE w:val="0"/>
                    <w:autoSpaceDN w:val="0"/>
                    <w:adjustRightInd w:val="0"/>
                    <w:snapToGrid w:val="0"/>
                    <w:jc w:val="center"/>
                    <w:textAlignment w:val="baseline"/>
                    <w:rPr>
                      <w:rFonts w:hint="default" w:ascii="Times New Roman" w:hAnsi="Times New Roman" w:cs="Times New Roman"/>
                      <w:color w:val="auto"/>
                      <w:szCs w:val="21"/>
                      <w:highlight w:val="none"/>
                    </w:rPr>
                  </w:pPr>
                </w:p>
              </w:tc>
              <w:tc>
                <w:tcPr>
                  <w:tcW w:w="1156" w:type="dxa"/>
                  <w:noWrap w:val="0"/>
                  <w:vAlign w:val="center"/>
                </w:tcPr>
                <w:p w14:paraId="711CA4E4">
                  <w:pPr>
                    <w:widowControl/>
                    <w:adjustRightInd w:val="0"/>
                    <w:snapToGrid w:val="0"/>
                    <w:jc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围龙村</w:t>
                  </w:r>
                </w:p>
              </w:tc>
              <w:tc>
                <w:tcPr>
                  <w:tcW w:w="1101" w:type="dxa"/>
                  <w:noWrap w:val="0"/>
                  <w:vAlign w:val="center"/>
                </w:tcPr>
                <w:p w14:paraId="595ABDE0">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114°25′25.989〃</w:t>
                  </w:r>
                </w:p>
              </w:tc>
              <w:tc>
                <w:tcPr>
                  <w:tcW w:w="1035" w:type="dxa"/>
                  <w:noWrap w:val="0"/>
                  <w:vAlign w:val="center"/>
                </w:tcPr>
                <w:p w14:paraId="0E7D0FD2">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23°13′49.807〃</w:t>
                  </w:r>
                </w:p>
              </w:tc>
              <w:tc>
                <w:tcPr>
                  <w:tcW w:w="660" w:type="dxa"/>
                  <w:noWrap w:val="0"/>
                  <w:vAlign w:val="center"/>
                </w:tcPr>
                <w:p w14:paraId="03D3AC83">
                  <w:pPr>
                    <w:snapToGrid w:val="0"/>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val="en-US" w:eastAsia="zh-CN"/>
                    </w:rPr>
                    <w:t>村庄</w:t>
                  </w:r>
                </w:p>
              </w:tc>
              <w:tc>
                <w:tcPr>
                  <w:tcW w:w="960" w:type="dxa"/>
                  <w:noWrap w:val="0"/>
                  <w:vAlign w:val="center"/>
                </w:tcPr>
                <w:p w14:paraId="254A3951">
                  <w:pPr>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居民，约220人</w:t>
                  </w:r>
                </w:p>
              </w:tc>
              <w:tc>
                <w:tcPr>
                  <w:tcW w:w="885" w:type="dxa"/>
                  <w:vMerge w:val="continue"/>
                  <w:noWrap w:val="0"/>
                  <w:vAlign w:val="center"/>
                </w:tcPr>
                <w:p w14:paraId="46E2B5AF">
                  <w:pPr>
                    <w:autoSpaceDE w:val="0"/>
                    <w:autoSpaceDN w:val="0"/>
                    <w:adjustRightInd w:val="0"/>
                    <w:snapToGrid w:val="0"/>
                    <w:jc w:val="center"/>
                    <w:textAlignment w:val="baseline"/>
                    <w:rPr>
                      <w:rFonts w:hint="default" w:ascii="Times New Roman" w:hAnsi="Times New Roman" w:cs="Times New Roman"/>
                      <w:color w:val="auto"/>
                      <w:szCs w:val="21"/>
                      <w:highlight w:val="none"/>
                    </w:rPr>
                  </w:pPr>
                </w:p>
              </w:tc>
              <w:tc>
                <w:tcPr>
                  <w:tcW w:w="645" w:type="dxa"/>
                  <w:noWrap w:val="0"/>
                  <w:vAlign w:val="center"/>
                </w:tcPr>
                <w:p w14:paraId="69A1CC97">
                  <w:pPr>
                    <w:widowControl/>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西南面</w:t>
                  </w:r>
                </w:p>
              </w:tc>
              <w:tc>
                <w:tcPr>
                  <w:tcW w:w="885" w:type="dxa"/>
                  <w:noWrap w:val="0"/>
                  <w:vAlign w:val="center"/>
                </w:tcPr>
                <w:p w14:paraId="694DF40F">
                  <w:pPr>
                    <w:widowControl/>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161m</w:t>
                  </w:r>
                </w:p>
              </w:tc>
              <w:tc>
                <w:tcPr>
                  <w:tcW w:w="1078" w:type="dxa"/>
                  <w:noWrap w:val="0"/>
                  <w:vAlign w:val="center"/>
                </w:tcPr>
                <w:p w14:paraId="15376871">
                  <w:pPr>
                    <w:widowControl/>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269m</w:t>
                  </w:r>
                </w:p>
              </w:tc>
            </w:tr>
            <w:tr w14:paraId="3F1A7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710" w:type="dxa"/>
                  <w:vMerge w:val="continue"/>
                  <w:noWrap w:val="0"/>
                  <w:vAlign w:val="center"/>
                </w:tcPr>
                <w:p w14:paraId="72334104">
                  <w:pPr>
                    <w:autoSpaceDE w:val="0"/>
                    <w:autoSpaceDN w:val="0"/>
                    <w:adjustRightInd w:val="0"/>
                    <w:snapToGrid w:val="0"/>
                    <w:jc w:val="center"/>
                    <w:textAlignment w:val="baseline"/>
                    <w:rPr>
                      <w:rFonts w:hint="default" w:ascii="Times New Roman" w:hAnsi="Times New Roman" w:cs="Times New Roman"/>
                      <w:color w:val="auto"/>
                      <w:szCs w:val="21"/>
                      <w:highlight w:val="none"/>
                    </w:rPr>
                  </w:pPr>
                </w:p>
              </w:tc>
              <w:tc>
                <w:tcPr>
                  <w:tcW w:w="1156" w:type="dxa"/>
                  <w:noWrap w:val="0"/>
                  <w:vAlign w:val="center"/>
                </w:tcPr>
                <w:p w14:paraId="6CFE4665">
                  <w:pPr>
                    <w:widowControl/>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小金小学</w:t>
                  </w:r>
                </w:p>
              </w:tc>
              <w:tc>
                <w:tcPr>
                  <w:tcW w:w="1101" w:type="dxa"/>
                  <w:noWrap w:val="0"/>
                  <w:vAlign w:val="center"/>
                </w:tcPr>
                <w:p w14:paraId="6B8A4EB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114°25′</w:t>
                  </w:r>
                  <w:r>
                    <w:rPr>
                      <w:rFonts w:hint="eastAsia" w:ascii="Times New Roman" w:hAnsi="Times New Roman" w:eastAsia="宋体" w:cs="Times New Roman"/>
                      <w:i w:val="0"/>
                      <w:iCs w:val="0"/>
                      <w:color w:val="auto"/>
                      <w:kern w:val="0"/>
                      <w:sz w:val="21"/>
                      <w:szCs w:val="21"/>
                      <w:highlight w:val="none"/>
                      <w:u w:val="none"/>
                      <w:lang w:val="en-US" w:eastAsia="zh-CN" w:bidi="ar"/>
                    </w:rPr>
                    <w:t>14</w:t>
                  </w: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eastAsia" w:ascii="Times New Roman" w:hAnsi="Times New Roman" w:eastAsia="宋体" w:cs="Times New Roman"/>
                      <w:i w:val="0"/>
                      <w:iCs w:val="0"/>
                      <w:color w:val="auto"/>
                      <w:kern w:val="0"/>
                      <w:sz w:val="21"/>
                      <w:szCs w:val="21"/>
                      <w:highlight w:val="none"/>
                      <w:u w:val="none"/>
                      <w:lang w:val="en-US" w:eastAsia="zh-CN" w:bidi="ar"/>
                    </w:rPr>
                    <w:t>555</w:t>
                  </w: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1035" w:type="dxa"/>
                  <w:noWrap w:val="0"/>
                  <w:vAlign w:val="center"/>
                </w:tcPr>
                <w:p w14:paraId="4B954CE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23°13′</w:t>
                  </w:r>
                  <w:r>
                    <w:rPr>
                      <w:rFonts w:hint="eastAsia" w:ascii="Times New Roman" w:hAnsi="Times New Roman" w:eastAsia="宋体" w:cs="Times New Roman"/>
                      <w:i w:val="0"/>
                      <w:iCs w:val="0"/>
                      <w:color w:val="auto"/>
                      <w:kern w:val="0"/>
                      <w:sz w:val="21"/>
                      <w:szCs w:val="21"/>
                      <w:highlight w:val="none"/>
                      <w:u w:val="none"/>
                      <w:lang w:val="en-US" w:eastAsia="zh-CN" w:bidi="ar"/>
                    </w:rPr>
                    <w:t>52.226</w:t>
                  </w: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660" w:type="dxa"/>
                  <w:noWrap w:val="0"/>
                  <w:vAlign w:val="center"/>
                </w:tcPr>
                <w:p w14:paraId="42819226">
                  <w:pPr>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学校</w:t>
                  </w:r>
                </w:p>
              </w:tc>
              <w:tc>
                <w:tcPr>
                  <w:tcW w:w="960" w:type="dxa"/>
                  <w:noWrap w:val="0"/>
                  <w:vAlign w:val="center"/>
                </w:tcPr>
                <w:p w14:paraId="1FE95441">
                  <w:pPr>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师生，约300人</w:t>
                  </w:r>
                </w:p>
              </w:tc>
              <w:tc>
                <w:tcPr>
                  <w:tcW w:w="885" w:type="dxa"/>
                  <w:vMerge w:val="continue"/>
                  <w:noWrap w:val="0"/>
                  <w:vAlign w:val="center"/>
                </w:tcPr>
                <w:p w14:paraId="40716F38">
                  <w:pPr>
                    <w:autoSpaceDE w:val="0"/>
                    <w:autoSpaceDN w:val="0"/>
                    <w:adjustRightInd w:val="0"/>
                    <w:snapToGrid w:val="0"/>
                    <w:jc w:val="center"/>
                    <w:textAlignment w:val="baseline"/>
                    <w:rPr>
                      <w:rFonts w:hint="default" w:ascii="Times New Roman" w:hAnsi="Times New Roman" w:cs="Times New Roman"/>
                      <w:color w:val="auto"/>
                      <w:szCs w:val="21"/>
                      <w:highlight w:val="none"/>
                    </w:rPr>
                  </w:pPr>
                </w:p>
              </w:tc>
              <w:tc>
                <w:tcPr>
                  <w:tcW w:w="645" w:type="dxa"/>
                  <w:noWrap w:val="0"/>
                  <w:vAlign w:val="center"/>
                </w:tcPr>
                <w:p w14:paraId="29386820">
                  <w:pPr>
                    <w:widowControl/>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西南面</w:t>
                  </w:r>
                </w:p>
              </w:tc>
              <w:tc>
                <w:tcPr>
                  <w:tcW w:w="885" w:type="dxa"/>
                  <w:noWrap w:val="0"/>
                  <w:vAlign w:val="center"/>
                </w:tcPr>
                <w:p w14:paraId="2CF8F119">
                  <w:pPr>
                    <w:widowControl/>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49</w:t>
                  </w:r>
                  <w:r>
                    <w:rPr>
                      <w:rFonts w:hint="default" w:ascii="Times New Roman" w:hAnsi="Times New Roman" w:eastAsia="宋体" w:cs="Times New Roman"/>
                      <w:color w:val="auto"/>
                      <w:szCs w:val="21"/>
                      <w:highlight w:val="none"/>
                      <w:lang w:val="en-US" w:eastAsia="zh-CN"/>
                    </w:rPr>
                    <w:t>1m</w:t>
                  </w:r>
                </w:p>
              </w:tc>
              <w:tc>
                <w:tcPr>
                  <w:tcW w:w="1078" w:type="dxa"/>
                  <w:noWrap w:val="0"/>
                  <w:vAlign w:val="center"/>
                </w:tcPr>
                <w:p w14:paraId="670FB3CD">
                  <w:pPr>
                    <w:widowControl/>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552</w:t>
                  </w:r>
                  <w:r>
                    <w:rPr>
                      <w:rFonts w:hint="default" w:ascii="Times New Roman" w:hAnsi="Times New Roman" w:eastAsia="宋体" w:cs="Times New Roman"/>
                      <w:color w:val="auto"/>
                      <w:szCs w:val="21"/>
                      <w:highlight w:val="none"/>
                      <w:lang w:val="en-US" w:eastAsia="zh-CN"/>
                    </w:rPr>
                    <w:t>m</w:t>
                  </w:r>
                </w:p>
              </w:tc>
            </w:tr>
            <w:tr w14:paraId="59433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710" w:type="dxa"/>
                  <w:vMerge w:val="continue"/>
                  <w:noWrap w:val="0"/>
                  <w:vAlign w:val="center"/>
                </w:tcPr>
                <w:p w14:paraId="4A1AB8E7">
                  <w:pPr>
                    <w:autoSpaceDE w:val="0"/>
                    <w:autoSpaceDN w:val="0"/>
                    <w:adjustRightInd w:val="0"/>
                    <w:snapToGrid w:val="0"/>
                    <w:jc w:val="center"/>
                    <w:textAlignment w:val="baseline"/>
                    <w:rPr>
                      <w:rFonts w:hint="default" w:ascii="Times New Roman" w:hAnsi="Times New Roman" w:cs="Times New Roman"/>
                      <w:color w:val="auto"/>
                      <w:szCs w:val="21"/>
                      <w:highlight w:val="none"/>
                    </w:rPr>
                  </w:pPr>
                </w:p>
              </w:tc>
              <w:tc>
                <w:tcPr>
                  <w:tcW w:w="1156" w:type="dxa"/>
                  <w:noWrap w:val="0"/>
                  <w:vAlign w:val="center"/>
                </w:tcPr>
                <w:p w14:paraId="53A66533">
                  <w:pPr>
                    <w:widowControl/>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医疗卫生用地</w:t>
                  </w:r>
                </w:p>
              </w:tc>
              <w:tc>
                <w:tcPr>
                  <w:tcW w:w="1101" w:type="dxa"/>
                  <w:noWrap w:val="0"/>
                  <w:vAlign w:val="center"/>
                </w:tcPr>
                <w:p w14:paraId="7119135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114°25′</w:t>
                  </w:r>
                  <w:r>
                    <w:rPr>
                      <w:rFonts w:hint="eastAsia" w:ascii="Times New Roman" w:hAnsi="Times New Roman" w:eastAsia="宋体" w:cs="Times New Roman"/>
                      <w:i w:val="0"/>
                      <w:iCs w:val="0"/>
                      <w:color w:val="auto"/>
                      <w:kern w:val="0"/>
                      <w:sz w:val="21"/>
                      <w:szCs w:val="21"/>
                      <w:highlight w:val="none"/>
                      <w:u w:val="none"/>
                      <w:lang w:val="en-US" w:eastAsia="zh-CN" w:bidi="ar"/>
                    </w:rPr>
                    <w:t>18.958</w:t>
                  </w: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1035" w:type="dxa"/>
                  <w:noWrap w:val="0"/>
                  <w:vAlign w:val="center"/>
                </w:tcPr>
                <w:p w14:paraId="48FE55C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23°13′</w:t>
                  </w:r>
                  <w:r>
                    <w:rPr>
                      <w:rFonts w:hint="eastAsia" w:ascii="Times New Roman" w:hAnsi="Times New Roman" w:eastAsia="宋体" w:cs="Times New Roman"/>
                      <w:i w:val="0"/>
                      <w:iCs w:val="0"/>
                      <w:color w:val="auto"/>
                      <w:kern w:val="0"/>
                      <w:sz w:val="21"/>
                      <w:szCs w:val="21"/>
                      <w:highlight w:val="none"/>
                      <w:u w:val="none"/>
                      <w:lang w:val="en-US" w:eastAsia="zh-CN" w:bidi="ar"/>
                    </w:rPr>
                    <w:t>53.713</w:t>
                  </w: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660" w:type="dxa"/>
                  <w:noWrap w:val="0"/>
                  <w:vAlign w:val="center"/>
                </w:tcPr>
                <w:p w14:paraId="7CC6F9AA">
                  <w:pPr>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规划用地</w:t>
                  </w:r>
                </w:p>
              </w:tc>
              <w:tc>
                <w:tcPr>
                  <w:tcW w:w="960" w:type="dxa"/>
                  <w:noWrap w:val="0"/>
                  <w:vAlign w:val="center"/>
                </w:tcPr>
                <w:p w14:paraId="3B2E2631">
                  <w:pPr>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医护人员</w:t>
                  </w:r>
                </w:p>
              </w:tc>
              <w:tc>
                <w:tcPr>
                  <w:tcW w:w="885" w:type="dxa"/>
                  <w:vMerge w:val="continue"/>
                  <w:noWrap w:val="0"/>
                  <w:vAlign w:val="center"/>
                </w:tcPr>
                <w:p w14:paraId="04A33C9E">
                  <w:pPr>
                    <w:autoSpaceDE w:val="0"/>
                    <w:autoSpaceDN w:val="0"/>
                    <w:adjustRightInd w:val="0"/>
                    <w:snapToGrid w:val="0"/>
                    <w:jc w:val="center"/>
                    <w:textAlignment w:val="baseline"/>
                    <w:rPr>
                      <w:rFonts w:hint="default" w:ascii="Times New Roman" w:hAnsi="Times New Roman" w:cs="Times New Roman"/>
                      <w:color w:val="auto"/>
                      <w:szCs w:val="21"/>
                      <w:highlight w:val="none"/>
                    </w:rPr>
                  </w:pPr>
                </w:p>
              </w:tc>
              <w:tc>
                <w:tcPr>
                  <w:tcW w:w="645" w:type="dxa"/>
                  <w:noWrap w:val="0"/>
                  <w:vAlign w:val="center"/>
                </w:tcPr>
                <w:p w14:paraId="1A805FF1">
                  <w:pPr>
                    <w:widowControl/>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西面</w:t>
                  </w:r>
                </w:p>
              </w:tc>
              <w:tc>
                <w:tcPr>
                  <w:tcW w:w="885" w:type="dxa"/>
                  <w:noWrap w:val="0"/>
                  <w:vAlign w:val="center"/>
                </w:tcPr>
                <w:p w14:paraId="24F27E1C">
                  <w:pPr>
                    <w:widowControl/>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389</w:t>
                  </w:r>
                  <w:r>
                    <w:rPr>
                      <w:rFonts w:hint="default" w:ascii="Times New Roman" w:hAnsi="Times New Roman" w:eastAsia="宋体" w:cs="Times New Roman"/>
                      <w:color w:val="auto"/>
                      <w:szCs w:val="21"/>
                      <w:highlight w:val="none"/>
                      <w:lang w:val="en-US" w:eastAsia="zh-CN"/>
                    </w:rPr>
                    <w:t>m</w:t>
                  </w:r>
                </w:p>
              </w:tc>
              <w:tc>
                <w:tcPr>
                  <w:tcW w:w="1078" w:type="dxa"/>
                  <w:noWrap w:val="0"/>
                  <w:vAlign w:val="center"/>
                </w:tcPr>
                <w:p w14:paraId="0707C349">
                  <w:pPr>
                    <w:widowControl/>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447</w:t>
                  </w:r>
                  <w:r>
                    <w:rPr>
                      <w:rFonts w:hint="default" w:ascii="Times New Roman" w:hAnsi="Times New Roman" w:eastAsia="宋体" w:cs="Times New Roman"/>
                      <w:color w:val="auto"/>
                      <w:szCs w:val="21"/>
                      <w:highlight w:val="none"/>
                      <w:lang w:val="en-US" w:eastAsia="zh-CN"/>
                    </w:rPr>
                    <w:t>m</w:t>
                  </w:r>
                </w:p>
              </w:tc>
            </w:tr>
          </w:tbl>
          <w:p w14:paraId="5D37AC77">
            <w:pPr>
              <w:numPr>
                <w:ilvl w:val="0"/>
                <w:numId w:val="3"/>
              </w:numPr>
              <w:adjustRightInd w:val="0"/>
              <w:snapToGrid w:val="0"/>
              <w:spacing w:line="360" w:lineRule="auto"/>
              <w:ind w:left="0" w:leftChars="0" w:firstLine="482" w:firstLineChars="200"/>
              <w:rPr>
                <w:rFonts w:hint="default" w:ascii="Times New Roman" w:hAnsi="Times New Roman" w:cs="Times New Roman"/>
                <w:color w:val="auto"/>
                <w:kern w:val="0"/>
                <w:sz w:val="24"/>
                <w:highlight w:val="none"/>
              </w:rPr>
            </w:pPr>
            <w:r>
              <w:rPr>
                <w:rFonts w:hint="default" w:ascii="Times New Roman" w:hAnsi="Times New Roman" w:cs="Times New Roman"/>
                <w:b/>
                <w:bCs/>
                <w:color w:val="auto"/>
                <w:kern w:val="0"/>
                <w:sz w:val="24"/>
                <w:highlight w:val="none"/>
              </w:rPr>
              <w:t>声环境</w:t>
            </w:r>
            <w:r>
              <w:rPr>
                <w:rFonts w:hint="default" w:ascii="Times New Roman" w:hAnsi="Times New Roman" w:cs="Times New Roman"/>
                <w:b/>
                <w:bCs/>
                <w:color w:val="auto"/>
                <w:kern w:val="0"/>
                <w:sz w:val="24"/>
                <w:highlight w:val="none"/>
                <w:lang w:eastAsia="zh-CN"/>
              </w:rPr>
              <w:t>保护目标</w:t>
            </w:r>
            <w:r>
              <w:rPr>
                <w:rFonts w:hint="default" w:ascii="Times New Roman" w:hAnsi="Times New Roman" w:cs="Times New Roman"/>
                <w:color w:val="auto"/>
                <w:kern w:val="0"/>
                <w:sz w:val="24"/>
                <w:highlight w:val="none"/>
              </w:rPr>
              <w:t>。</w:t>
            </w:r>
          </w:p>
          <w:p w14:paraId="4037A22F">
            <w:pPr>
              <w:numPr>
                <w:ilvl w:val="0"/>
                <w:numId w:val="0"/>
              </w:numPr>
              <w:adjustRightInd w:val="0"/>
              <w:snapToGrid w:val="0"/>
              <w:spacing w:line="360" w:lineRule="auto"/>
              <w:ind w:leftChars="200" w:firstLine="240" w:firstLineChars="100"/>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项目厂界外50米范围内无声环境保护目标。</w:t>
            </w:r>
          </w:p>
          <w:p w14:paraId="0A124AC8">
            <w:pPr>
              <w:numPr>
                <w:ilvl w:val="0"/>
                <w:numId w:val="3"/>
              </w:numPr>
              <w:adjustRightInd w:val="0"/>
              <w:snapToGrid w:val="0"/>
              <w:spacing w:line="360" w:lineRule="auto"/>
              <w:ind w:left="0" w:leftChars="0" w:firstLine="482" w:firstLineChars="200"/>
              <w:rPr>
                <w:rFonts w:hint="default" w:ascii="Times New Roman" w:hAnsi="Times New Roman" w:cs="Times New Roman"/>
                <w:color w:val="auto"/>
                <w:kern w:val="0"/>
                <w:sz w:val="24"/>
                <w:highlight w:val="none"/>
              </w:rPr>
            </w:pPr>
            <w:r>
              <w:rPr>
                <w:rFonts w:hint="default" w:ascii="Times New Roman" w:hAnsi="Times New Roman" w:cs="Times New Roman"/>
                <w:b/>
                <w:bCs/>
                <w:color w:val="auto"/>
                <w:kern w:val="0"/>
                <w:sz w:val="24"/>
                <w:highlight w:val="none"/>
              </w:rPr>
              <w:t>地下水环境</w:t>
            </w:r>
            <w:r>
              <w:rPr>
                <w:rFonts w:hint="default" w:ascii="Times New Roman" w:hAnsi="Times New Roman" w:cs="Times New Roman"/>
                <w:b/>
                <w:bCs/>
                <w:color w:val="auto"/>
                <w:kern w:val="0"/>
                <w:sz w:val="24"/>
                <w:highlight w:val="none"/>
                <w:lang w:eastAsia="zh-CN"/>
              </w:rPr>
              <w:t>保护目标</w:t>
            </w:r>
            <w:r>
              <w:rPr>
                <w:rFonts w:hint="default" w:ascii="Times New Roman" w:hAnsi="Times New Roman" w:cs="Times New Roman"/>
                <w:color w:val="auto"/>
                <w:kern w:val="0"/>
                <w:sz w:val="24"/>
                <w:highlight w:val="none"/>
              </w:rPr>
              <w:t>。</w:t>
            </w:r>
          </w:p>
          <w:p w14:paraId="7A51D274">
            <w:pPr>
              <w:numPr>
                <w:ilvl w:val="0"/>
                <w:numId w:val="0"/>
              </w:numPr>
              <w:adjustRightInd w:val="0"/>
              <w:snapToGrid w:val="0"/>
              <w:spacing w:line="360" w:lineRule="auto"/>
              <w:ind w:leftChars="200" w:firstLine="240" w:firstLineChars="100"/>
              <w:rPr>
                <w:rFonts w:hint="default" w:ascii="Times New Roman" w:hAnsi="Times New Roman" w:cs="Times New Roman"/>
                <w:b/>
                <w:bCs/>
                <w:color w:val="auto"/>
                <w:kern w:val="0"/>
                <w:szCs w:val="21"/>
                <w:highlight w:val="none"/>
              </w:rPr>
            </w:pPr>
            <w:r>
              <w:rPr>
                <w:rFonts w:hint="default" w:ascii="Times New Roman" w:hAnsi="Times New Roman" w:cs="Times New Roman"/>
                <w:color w:val="auto"/>
                <w:kern w:val="0"/>
                <w:sz w:val="24"/>
                <w:highlight w:val="none"/>
              </w:rPr>
              <w:t>项目厂界500米范围内无地下水集中式饮用水水源和热水、矿泉水、温泉等特殊地下水资源。</w:t>
            </w:r>
          </w:p>
          <w:p w14:paraId="480A0FAA">
            <w:pPr>
              <w:numPr>
                <w:ilvl w:val="0"/>
                <w:numId w:val="4"/>
              </w:numPr>
              <w:adjustRightInd w:val="0"/>
              <w:snapToGrid w:val="0"/>
              <w:spacing w:line="360" w:lineRule="auto"/>
              <w:ind w:firstLine="482" w:firstLineChars="200"/>
              <w:rPr>
                <w:rFonts w:hint="default" w:ascii="Times New Roman" w:hAnsi="Times New Roman" w:cs="Times New Roman"/>
                <w:color w:val="auto"/>
                <w:kern w:val="0"/>
                <w:sz w:val="24"/>
                <w:highlight w:val="none"/>
              </w:rPr>
            </w:pPr>
            <w:r>
              <w:rPr>
                <w:rFonts w:hint="default" w:ascii="Times New Roman" w:hAnsi="Times New Roman" w:cs="Times New Roman"/>
                <w:b/>
                <w:bCs/>
                <w:color w:val="auto"/>
                <w:kern w:val="0"/>
                <w:sz w:val="24"/>
                <w:highlight w:val="none"/>
              </w:rPr>
              <w:t>生态环境</w:t>
            </w:r>
            <w:r>
              <w:rPr>
                <w:rFonts w:hint="default" w:ascii="Times New Roman" w:hAnsi="Times New Roman" w:cs="Times New Roman"/>
                <w:b/>
                <w:bCs/>
                <w:color w:val="auto"/>
                <w:kern w:val="0"/>
                <w:sz w:val="24"/>
                <w:highlight w:val="none"/>
                <w:lang w:eastAsia="zh-CN"/>
              </w:rPr>
              <w:t>保护目标</w:t>
            </w:r>
            <w:r>
              <w:rPr>
                <w:rFonts w:hint="default" w:ascii="Times New Roman" w:hAnsi="Times New Roman" w:cs="Times New Roman"/>
                <w:color w:val="auto"/>
                <w:kern w:val="0"/>
                <w:sz w:val="24"/>
                <w:highlight w:val="none"/>
              </w:rPr>
              <w:t>。</w:t>
            </w:r>
          </w:p>
          <w:p w14:paraId="05D6F089">
            <w:pPr>
              <w:numPr>
                <w:ilvl w:val="0"/>
                <w:numId w:val="0"/>
              </w:numPr>
              <w:adjustRightInd w:val="0"/>
              <w:snapToGrid w:val="0"/>
              <w:spacing w:line="360" w:lineRule="auto"/>
              <w:ind w:firstLine="720" w:firstLineChars="300"/>
              <w:rPr>
                <w:rFonts w:hint="default" w:ascii="Times New Roman" w:hAnsi="Times New Roman" w:cs="Times New Roman"/>
                <w:color w:val="auto"/>
                <w:kern w:val="0"/>
                <w:sz w:val="24"/>
                <w:szCs w:val="21"/>
                <w:highlight w:val="none"/>
              </w:rPr>
            </w:pPr>
            <w:r>
              <w:rPr>
                <w:rFonts w:hint="default" w:ascii="Times New Roman" w:hAnsi="Times New Roman" w:cs="Times New Roman"/>
                <w:color w:val="auto"/>
                <w:kern w:val="0"/>
                <w:sz w:val="24"/>
                <w:szCs w:val="21"/>
                <w:highlight w:val="none"/>
              </w:rPr>
              <w:t>本项目用地范围内将做好地面硬底化处理，</w:t>
            </w:r>
            <w:r>
              <w:rPr>
                <w:rFonts w:hint="default" w:ascii="Times New Roman" w:hAnsi="Times New Roman" w:cs="Times New Roman"/>
                <w:color w:val="auto"/>
                <w:kern w:val="0"/>
                <w:sz w:val="24"/>
                <w:szCs w:val="21"/>
                <w:highlight w:val="none"/>
                <w:lang w:eastAsia="zh-CN"/>
              </w:rPr>
              <w:t>危险废物暂存间</w:t>
            </w:r>
            <w:r>
              <w:rPr>
                <w:rFonts w:hint="default" w:ascii="Times New Roman" w:hAnsi="Times New Roman" w:cs="Times New Roman"/>
                <w:color w:val="auto"/>
                <w:kern w:val="0"/>
                <w:sz w:val="24"/>
                <w:szCs w:val="21"/>
                <w:highlight w:val="none"/>
              </w:rPr>
              <w:t>、仓库、</w:t>
            </w:r>
            <w:r>
              <w:rPr>
                <w:rFonts w:hint="default" w:ascii="Times New Roman" w:hAnsi="Times New Roman" w:cs="Times New Roman"/>
                <w:color w:val="auto"/>
                <w:kern w:val="0"/>
                <w:sz w:val="24"/>
                <w:szCs w:val="21"/>
                <w:highlight w:val="none"/>
                <w:lang w:eastAsia="zh-CN"/>
              </w:rPr>
              <w:t>生产</w:t>
            </w:r>
            <w:r>
              <w:rPr>
                <w:rFonts w:hint="default" w:ascii="Times New Roman" w:hAnsi="Times New Roman" w:cs="Times New Roman"/>
                <w:color w:val="auto"/>
                <w:kern w:val="0"/>
                <w:sz w:val="24"/>
                <w:szCs w:val="21"/>
                <w:highlight w:val="none"/>
              </w:rPr>
              <w:t>车间等区域均将做好防渗防漏防雨等措施，项目产生的污染物将不会与土壤直接接触，故不存在地下水、土壤污染途径，且项目主要污染物为颗粒物</w:t>
            </w:r>
            <w:r>
              <w:rPr>
                <w:rFonts w:hint="eastAsia" w:ascii="Times New Roman" w:hAnsi="Times New Roman" w:cs="Times New Roman"/>
                <w:color w:val="auto"/>
                <w:kern w:val="0"/>
                <w:sz w:val="24"/>
                <w:szCs w:val="21"/>
                <w:highlight w:val="none"/>
                <w:lang w:eastAsia="zh-CN"/>
              </w:rPr>
              <w:t>、</w:t>
            </w:r>
            <w:r>
              <w:rPr>
                <w:rFonts w:hint="eastAsia" w:ascii="Times New Roman" w:hAnsi="Times New Roman" w:cs="Times New Roman"/>
                <w:color w:val="auto"/>
                <w:kern w:val="0"/>
                <w:sz w:val="24"/>
                <w:szCs w:val="21"/>
                <w:highlight w:val="none"/>
                <w:lang w:val="en-US" w:eastAsia="zh-CN"/>
              </w:rPr>
              <w:t>二氧化硫</w:t>
            </w:r>
            <w:r>
              <w:rPr>
                <w:rFonts w:hint="default" w:ascii="Times New Roman" w:hAnsi="Times New Roman" w:cs="Times New Roman"/>
                <w:color w:val="auto"/>
                <w:kern w:val="0"/>
                <w:sz w:val="24"/>
                <w:szCs w:val="21"/>
                <w:highlight w:val="none"/>
                <w:lang w:val="en-US" w:eastAsia="zh-CN"/>
              </w:rPr>
              <w:t>及氮氧化物</w:t>
            </w:r>
            <w:r>
              <w:rPr>
                <w:rFonts w:hint="default" w:ascii="Times New Roman" w:hAnsi="Times New Roman" w:cs="Times New Roman"/>
                <w:color w:val="auto"/>
                <w:kern w:val="0"/>
                <w:sz w:val="24"/>
                <w:szCs w:val="21"/>
                <w:highlight w:val="none"/>
              </w:rPr>
              <w:t>，不属于《土壤环境质量建设用地土壤污染风险管控标准（试行）》（GB36600-2018）中需要控制的污染因子，不会对土壤产生污染累积效应。故本项目不开展地下水、土壤环境现状调查。</w:t>
            </w:r>
          </w:p>
        </w:tc>
      </w:tr>
      <w:tr w14:paraId="599D68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67" w:hRule="atLeast"/>
          <w:jc w:val="center"/>
        </w:trPr>
        <w:tc>
          <w:tcPr>
            <w:tcW w:w="445" w:type="dxa"/>
            <w:noWrap w:val="0"/>
            <w:tcMar>
              <w:left w:w="28" w:type="dxa"/>
              <w:right w:w="28" w:type="dxa"/>
            </w:tcMar>
            <w:vAlign w:val="center"/>
          </w:tcPr>
          <w:p w14:paraId="30989BC8">
            <w:pPr>
              <w:adjustRightInd w:val="0"/>
              <w:snapToGrid w:val="0"/>
              <w:jc w:val="center"/>
              <w:rPr>
                <w:rFonts w:hint="default" w:ascii="Times New Roman" w:hAnsi="Times New Roman" w:cs="Times New Roman"/>
                <w:color w:val="auto"/>
                <w:kern w:val="0"/>
                <w:sz w:val="24"/>
                <w:szCs w:val="21"/>
                <w:highlight w:val="none"/>
              </w:rPr>
            </w:pPr>
            <w:r>
              <w:rPr>
                <w:rFonts w:hint="default" w:ascii="Times New Roman" w:hAnsi="Times New Roman" w:cs="Times New Roman"/>
                <w:color w:val="auto"/>
                <w:kern w:val="0"/>
                <w:sz w:val="24"/>
                <w:szCs w:val="21"/>
                <w:highlight w:val="none"/>
              </w:rPr>
              <w:t>污染</w:t>
            </w:r>
          </w:p>
          <w:p w14:paraId="37865C84">
            <w:pPr>
              <w:adjustRightInd w:val="0"/>
              <w:snapToGrid w:val="0"/>
              <w:jc w:val="center"/>
              <w:rPr>
                <w:rFonts w:hint="default" w:ascii="Times New Roman" w:hAnsi="Times New Roman" w:cs="Times New Roman"/>
                <w:color w:val="auto"/>
                <w:kern w:val="0"/>
                <w:sz w:val="24"/>
                <w:szCs w:val="21"/>
                <w:highlight w:val="none"/>
              </w:rPr>
            </w:pPr>
            <w:r>
              <w:rPr>
                <w:rFonts w:hint="default" w:ascii="Times New Roman" w:hAnsi="Times New Roman" w:cs="Times New Roman"/>
                <w:color w:val="auto"/>
                <w:kern w:val="0"/>
                <w:sz w:val="24"/>
                <w:szCs w:val="21"/>
                <w:highlight w:val="none"/>
              </w:rPr>
              <w:t>物排</w:t>
            </w:r>
          </w:p>
          <w:p w14:paraId="7ACF5944">
            <w:pPr>
              <w:adjustRightInd w:val="0"/>
              <w:snapToGrid w:val="0"/>
              <w:jc w:val="center"/>
              <w:rPr>
                <w:rFonts w:hint="default" w:ascii="Times New Roman" w:hAnsi="Times New Roman" w:cs="Times New Roman"/>
                <w:color w:val="auto"/>
                <w:kern w:val="0"/>
                <w:sz w:val="24"/>
                <w:szCs w:val="21"/>
                <w:highlight w:val="none"/>
              </w:rPr>
            </w:pPr>
            <w:r>
              <w:rPr>
                <w:rFonts w:hint="default" w:ascii="Times New Roman" w:hAnsi="Times New Roman" w:cs="Times New Roman"/>
                <w:color w:val="auto"/>
                <w:kern w:val="0"/>
                <w:sz w:val="24"/>
                <w:szCs w:val="21"/>
                <w:highlight w:val="none"/>
              </w:rPr>
              <w:t>放控</w:t>
            </w:r>
          </w:p>
          <w:p w14:paraId="7E31F056">
            <w:pPr>
              <w:adjustRightInd w:val="0"/>
              <w:snapToGrid w:val="0"/>
              <w:jc w:val="center"/>
              <w:rPr>
                <w:rFonts w:hint="default" w:ascii="Times New Roman" w:hAnsi="Times New Roman" w:cs="Times New Roman"/>
                <w:color w:val="auto"/>
                <w:kern w:val="0"/>
                <w:sz w:val="24"/>
                <w:szCs w:val="21"/>
                <w:highlight w:val="none"/>
              </w:rPr>
            </w:pPr>
            <w:r>
              <w:rPr>
                <w:rFonts w:hint="default" w:ascii="Times New Roman" w:hAnsi="Times New Roman" w:cs="Times New Roman"/>
                <w:color w:val="auto"/>
                <w:kern w:val="0"/>
                <w:sz w:val="24"/>
                <w:szCs w:val="21"/>
                <w:highlight w:val="none"/>
              </w:rPr>
              <w:t>制标</w:t>
            </w:r>
          </w:p>
          <w:p w14:paraId="1FF5FB56">
            <w:pPr>
              <w:adjustRightInd w:val="0"/>
              <w:snapToGrid w:val="0"/>
              <w:jc w:val="center"/>
              <w:rPr>
                <w:rFonts w:hint="default" w:ascii="Times New Roman" w:hAnsi="Times New Roman" w:cs="Times New Roman"/>
                <w:color w:val="auto"/>
                <w:kern w:val="0"/>
                <w:sz w:val="24"/>
                <w:szCs w:val="21"/>
                <w:highlight w:val="none"/>
              </w:rPr>
            </w:pPr>
            <w:r>
              <w:rPr>
                <w:rFonts w:hint="default" w:ascii="Times New Roman" w:hAnsi="Times New Roman" w:cs="Times New Roman"/>
                <w:color w:val="auto"/>
                <w:kern w:val="0"/>
                <w:sz w:val="24"/>
                <w:szCs w:val="21"/>
                <w:highlight w:val="none"/>
              </w:rPr>
              <w:t>准</w:t>
            </w:r>
          </w:p>
        </w:tc>
        <w:tc>
          <w:tcPr>
            <w:tcW w:w="9213" w:type="dxa"/>
            <w:noWrap w:val="0"/>
            <w:vAlign w:val="center"/>
          </w:tcPr>
          <w:p w14:paraId="7697CDBB">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cs="Times New Roman"/>
                <w:b/>
                <w:bCs/>
                <w:color w:val="auto"/>
                <w:sz w:val="24"/>
                <w:szCs w:val="21"/>
                <w:highlight w:val="none"/>
              </w:rPr>
            </w:pPr>
            <w:r>
              <w:rPr>
                <w:rFonts w:hint="default" w:ascii="Times New Roman" w:hAnsi="Times New Roman" w:cs="Times New Roman"/>
                <w:b/>
                <w:bCs/>
                <w:color w:val="auto"/>
                <w:sz w:val="24"/>
                <w:szCs w:val="21"/>
                <w:highlight w:val="none"/>
              </w:rPr>
              <w:t>1、废水排放标准</w:t>
            </w:r>
          </w:p>
          <w:p w14:paraId="08E84B23">
            <w:pPr>
              <w:adjustRightInd w:val="0"/>
              <w:snapToGrid w:val="0"/>
              <w:spacing w:line="360" w:lineRule="auto"/>
              <w:ind w:firstLine="442" w:firstLineChars="200"/>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b/>
                <w:bCs w:val="0"/>
                <w:color w:val="auto"/>
                <w:spacing w:val="-10"/>
                <w:sz w:val="24"/>
                <w:szCs w:val="24"/>
                <w:highlight w:val="none"/>
                <w:lang w:val="en-US" w:eastAsia="zh-CN"/>
              </w:rPr>
              <w:t>生活污水：</w:t>
            </w:r>
            <w:r>
              <w:rPr>
                <w:rFonts w:hint="eastAsia" w:ascii="Times New Roman" w:hAnsi="Times New Roman" w:eastAsia="宋体"/>
                <w:color w:val="auto"/>
                <w:sz w:val="24"/>
                <w:highlight w:val="none"/>
              </w:rPr>
              <w:t>本项目外排废水主要为生活污水，项目生活污水</w:t>
            </w:r>
            <w:r>
              <w:rPr>
                <w:rFonts w:hint="eastAsia" w:ascii="Times New Roman" w:hAnsi="Times New Roman" w:eastAsia="宋体"/>
                <w:color w:val="auto"/>
                <w:sz w:val="24"/>
                <w:highlight w:val="none"/>
                <w:lang w:eastAsia="zh-CN"/>
              </w:rPr>
              <w:t>经</w:t>
            </w:r>
            <w:r>
              <w:rPr>
                <w:rFonts w:hint="eastAsia" w:ascii="Times New Roman" w:hAnsi="Times New Roman" w:eastAsia="宋体"/>
                <w:color w:val="auto"/>
                <w:sz w:val="24"/>
                <w:highlight w:val="none"/>
              </w:rPr>
              <w:t>三级化粪池预处理</w:t>
            </w:r>
            <w:r>
              <w:rPr>
                <w:rFonts w:hint="eastAsia" w:ascii="Times New Roman" w:hAnsi="Times New Roman" w:eastAsia="宋体"/>
                <w:color w:val="auto"/>
                <w:kern w:val="0"/>
                <w:sz w:val="24"/>
                <w:highlight w:val="none"/>
              </w:rPr>
              <w:t>达到广东省《水污染物排放限值》（DB44/26-2001）第二时段三级标准</w:t>
            </w:r>
            <w:r>
              <w:rPr>
                <w:rFonts w:hint="eastAsia" w:ascii="Times New Roman" w:hAnsi="Times New Roman" w:eastAsia="宋体"/>
                <w:color w:val="auto"/>
                <w:sz w:val="24"/>
                <w:highlight w:val="none"/>
              </w:rPr>
              <w:t>通过市政污水管网进入</w:t>
            </w:r>
            <w:r>
              <w:rPr>
                <w:rFonts w:hint="eastAsia" w:ascii="Times New Roman" w:hAnsi="Times New Roman" w:eastAsia="宋体"/>
                <w:color w:val="auto"/>
                <w:sz w:val="24"/>
                <w:highlight w:val="none"/>
                <w:lang w:eastAsia="zh-CN"/>
              </w:rPr>
              <w:t>博罗县罗阳街道小金生活污水处理厂</w:t>
            </w:r>
            <w:r>
              <w:rPr>
                <w:rFonts w:hint="eastAsia" w:ascii="Times New Roman" w:hAnsi="Times New Roman" w:eastAsia="宋体"/>
                <w:color w:val="auto"/>
                <w:sz w:val="24"/>
                <w:highlight w:val="none"/>
              </w:rPr>
              <w:t>进行深度处理</w:t>
            </w:r>
            <w:r>
              <w:rPr>
                <w:rFonts w:hint="eastAsia" w:ascii="Times New Roman" w:hAnsi="Times New Roman" w:eastAsia="宋体"/>
                <w:color w:val="auto"/>
                <w:sz w:val="24"/>
                <w:highlight w:val="none"/>
                <w:lang w:eastAsia="zh-CN"/>
              </w:rPr>
              <w:t>，</w:t>
            </w:r>
            <w:r>
              <w:rPr>
                <w:rFonts w:hint="eastAsia" w:ascii="Times New Roman" w:hAnsi="Times New Roman" w:eastAsia="宋体"/>
                <w:color w:val="auto"/>
                <w:sz w:val="24"/>
                <w:highlight w:val="none"/>
              </w:rPr>
              <w:t>经处理后尾水达到《城镇污水处理厂污染物排放标准》</w:t>
            </w:r>
            <w:r>
              <w:rPr>
                <w:rFonts w:hint="eastAsia" w:ascii="Times New Roman" w:hAnsi="Times New Roman" w:eastAsia="宋体"/>
                <w:color w:val="auto"/>
                <w:sz w:val="24"/>
                <w:highlight w:val="none"/>
                <w:lang w:eastAsia="zh-CN"/>
              </w:rPr>
              <w:t>（</w:t>
            </w:r>
            <w:r>
              <w:rPr>
                <w:rFonts w:hint="eastAsia" w:ascii="Times New Roman" w:hAnsi="Times New Roman" w:eastAsia="宋体"/>
                <w:color w:val="auto"/>
                <w:sz w:val="24"/>
                <w:highlight w:val="none"/>
              </w:rPr>
              <w:t>GB18918-2002</w:t>
            </w:r>
            <w:r>
              <w:rPr>
                <w:rFonts w:hint="eastAsia" w:ascii="Times New Roman" w:hAnsi="Times New Roman" w:eastAsia="宋体"/>
                <w:color w:val="auto"/>
                <w:sz w:val="24"/>
                <w:highlight w:val="none"/>
                <w:lang w:eastAsia="zh-CN"/>
              </w:rPr>
              <w:t>）</w:t>
            </w:r>
            <w:r>
              <w:rPr>
                <w:rFonts w:hint="eastAsia" w:ascii="Times New Roman" w:hAnsi="Times New Roman" w:eastAsia="宋体"/>
                <w:color w:val="auto"/>
                <w:sz w:val="24"/>
                <w:highlight w:val="none"/>
              </w:rPr>
              <w:t>一级A标准及广东省《水污染物排放限值》</w:t>
            </w:r>
            <w:r>
              <w:rPr>
                <w:rFonts w:hint="eastAsia" w:ascii="Times New Roman" w:hAnsi="Times New Roman" w:eastAsia="宋体"/>
                <w:color w:val="auto"/>
                <w:sz w:val="24"/>
                <w:highlight w:val="none"/>
                <w:lang w:eastAsia="zh-CN"/>
              </w:rPr>
              <w:t>（</w:t>
            </w:r>
            <w:r>
              <w:rPr>
                <w:rFonts w:hint="eastAsia" w:ascii="Times New Roman" w:hAnsi="Times New Roman" w:eastAsia="宋体"/>
                <w:color w:val="auto"/>
                <w:sz w:val="24"/>
                <w:highlight w:val="none"/>
              </w:rPr>
              <w:t>DB44/26-2001</w:t>
            </w:r>
            <w:r>
              <w:rPr>
                <w:rFonts w:hint="eastAsia" w:ascii="Times New Roman" w:hAnsi="Times New Roman" w:eastAsia="宋体"/>
                <w:color w:val="auto"/>
                <w:sz w:val="24"/>
                <w:highlight w:val="none"/>
                <w:lang w:eastAsia="zh-CN"/>
              </w:rPr>
              <w:t>）</w:t>
            </w:r>
            <w:r>
              <w:rPr>
                <w:rFonts w:hint="eastAsia" w:ascii="Times New Roman" w:hAnsi="Times New Roman" w:eastAsia="宋体"/>
                <w:color w:val="auto"/>
                <w:sz w:val="24"/>
                <w:highlight w:val="none"/>
              </w:rPr>
              <w:t>第二时段一级标准中的较严者</w:t>
            </w:r>
            <w:r>
              <w:rPr>
                <w:rFonts w:hint="eastAsia" w:ascii="Times New Roman" w:hAnsi="Times New Roman" w:eastAsia="宋体"/>
                <w:color w:val="auto"/>
                <w:sz w:val="24"/>
                <w:highlight w:val="none"/>
                <w:lang w:eastAsia="zh-CN"/>
              </w:rPr>
              <w:t>（其中COD</w:t>
            </w:r>
            <w:r>
              <w:rPr>
                <w:rFonts w:hint="eastAsia" w:ascii="Times New Roman" w:hAnsi="Times New Roman" w:eastAsia="宋体"/>
                <w:color w:val="auto"/>
                <w:sz w:val="24"/>
                <w:highlight w:val="none"/>
                <w:vertAlign w:val="subscript"/>
                <w:lang w:eastAsia="zh-CN"/>
              </w:rPr>
              <w:t>cr</w:t>
            </w:r>
            <w:r>
              <w:rPr>
                <w:rFonts w:hint="eastAsia" w:ascii="Times New Roman" w:hAnsi="Times New Roman" w:eastAsia="宋体"/>
                <w:color w:val="auto"/>
                <w:sz w:val="24"/>
                <w:highlight w:val="none"/>
                <w:lang w:eastAsia="zh-CN"/>
              </w:rPr>
              <w:t>、氨氮、总磷指标执行《地表水环境质量标准》（GB3838-2002）IV类标准）后</w:t>
            </w:r>
            <w:r>
              <w:rPr>
                <w:rFonts w:hint="eastAsia" w:ascii="Times New Roman" w:hAnsi="Times New Roman" w:eastAsia="宋体"/>
                <w:color w:val="auto"/>
                <w:sz w:val="24"/>
                <w:highlight w:val="none"/>
              </w:rPr>
              <w:t>排入小金河，最终汇入东江。</w:t>
            </w:r>
            <w:r>
              <w:rPr>
                <w:rFonts w:hint="default" w:ascii="Times New Roman" w:hAnsi="Times New Roman" w:eastAsia="宋体" w:cs="Times New Roman"/>
                <w:color w:val="auto"/>
                <w:kern w:val="2"/>
                <w:sz w:val="24"/>
                <w:szCs w:val="24"/>
                <w:highlight w:val="none"/>
              </w:rPr>
              <w:t>具体如下表所示：</w:t>
            </w:r>
          </w:p>
          <w:p w14:paraId="6DAB7FDB">
            <w:pPr>
              <w:adjustRightInd w:val="0"/>
              <w:snapToGrid w:val="0"/>
              <w:spacing w:line="240" w:lineRule="auto"/>
              <w:ind w:firstLine="422" w:firstLineChars="20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eastAsia="zh-CN"/>
              </w:rPr>
              <w:t>表</w:t>
            </w:r>
            <w:r>
              <w:rPr>
                <w:rFonts w:hint="default" w:ascii="Times New Roman" w:hAnsi="Times New Roman" w:eastAsia="宋体" w:cs="Times New Roman"/>
                <w:b/>
                <w:bCs/>
                <w:color w:val="auto"/>
                <w:sz w:val="21"/>
                <w:szCs w:val="21"/>
                <w:highlight w:val="none"/>
                <w:lang w:val="en-US" w:eastAsia="zh-CN"/>
              </w:rPr>
              <w:t>3-5 项目生活污水排放标准 单位：mg/L，pH无量纲</w:t>
            </w:r>
          </w:p>
          <w:tbl>
            <w:tblPr>
              <w:tblStyle w:val="34"/>
              <w:tblW w:w="9115"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3808"/>
              <w:gridCol w:w="675"/>
              <w:gridCol w:w="858"/>
              <w:gridCol w:w="660"/>
              <w:gridCol w:w="825"/>
              <w:gridCol w:w="1122"/>
              <w:gridCol w:w="603"/>
              <w:gridCol w:w="564"/>
            </w:tblGrid>
            <w:tr w14:paraId="21389A9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90" w:hRule="atLeast"/>
                <w:jc w:val="center"/>
              </w:trPr>
              <w:tc>
                <w:tcPr>
                  <w:tcW w:w="3808" w:type="dxa"/>
                  <w:vMerge w:val="restart"/>
                  <w:noWrap w:val="0"/>
                  <w:vAlign w:val="center"/>
                </w:tcPr>
                <w:p w14:paraId="103D57F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标准</w:t>
                  </w:r>
                </w:p>
              </w:tc>
              <w:tc>
                <w:tcPr>
                  <w:tcW w:w="5307" w:type="dxa"/>
                  <w:gridSpan w:val="7"/>
                  <w:noWrap w:val="0"/>
                  <w:vAlign w:val="center"/>
                </w:tcPr>
                <w:p w14:paraId="3F72956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污染物</w:t>
                  </w:r>
                </w:p>
              </w:tc>
            </w:tr>
            <w:tr w14:paraId="3793889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19" w:hRule="atLeast"/>
                <w:jc w:val="center"/>
              </w:trPr>
              <w:tc>
                <w:tcPr>
                  <w:tcW w:w="3808" w:type="dxa"/>
                  <w:vMerge w:val="continue"/>
                  <w:noWrap w:val="0"/>
                  <w:vAlign w:val="center"/>
                </w:tcPr>
                <w:p w14:paraId="7129D54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z w:val="21"/>
                      <w:szCs w:val="21"/>
                      <w:highlight w:val="none"/>
                    </w:rPr>
                  </w:pPr>
                </w:p>
              </w:tc>
              <w:tc>
                <w:tcPr>
                  <w:tcW w:w="675" w:type="dxa"/>
                  <w:noWrap w:val="0"/>
                  <w:vAlign w:val="center"/>
                </w:tcPr>
                <w:p w14:paraId="0294032D">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CODcr</w:t>
                  </w:r>
                </w:p>
              </w:tc>
              <w:tc>
                <w:tcPr>
                  <w:tcW w:w="858" w:type="dxa"/>
                  <w:noWrap w:val="0"/>
                  <w:vAlign w:val="center"/>
                </w:tcPr>
                <w:p w14:paraId="7DE10B0F">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BOD</w:t>
                  </w:r>
                  <w:r>
                    <w:rPr>
                      <w:rFonts w:hint="default" w:ascii="Times New Roman" w:hAnsi="Times New Roman" w:cs="Times New Roman"/>
                      <w:b/>
                      <w:bCs/>
                      <w:color w:val="auto"/>
                      <w:sz w:val="21"/>
                      <w:szCs w:val="21"/>
                      <w:highlight w:val="none"/>
                      <w:vertAlign w:val="subscript"/>
                    </w:rPr>
                    <w:t>5</w:t>
                  </w:r>
                </w:p>
              </w:tc>
              <w:tc>
                <w:tcPr>
                  <w:tcW w:w="660" w:type="dxa"/>
                  <w:noWrap w:val="0"/>
                  <w:vAlign w:val="center"/>
                </w:tcPr>
                <w:p w14:paraId="3A68D61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SS</w:t>
                  </w:r>
                </w:p>
              </w:tc>
              <w:tc>
                <w:tcPr>
                  <w:tcW w:w="825" w:type="dxa"/>
                  <w:noWrap w:val="0"/>
                  <w:vAlign w:val="center"/>
                </w:tcPr>
                <w:p w14:paraId="780E58B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NH</w:t>
                  </w:r>
                  <w:r>
                    <w:rPr>
                      <w:rFonts w:hint="default" w:ascii="Times New Roman" w:hAnsi="Times New Roman" w:cs="Times New Roman"/>
                      <w:b/>
                      <w:bCs/>
                      <w:color w:val="auto"/>
                      <w:sz w:val="21"/>
                      <w:szCs w:val="21"/>
                      <w:highlight w:val="none"/>
                      <w:vertAlign w:val="subscript"/>
                    </w:rPr>
                    <w:t>3</w:t>
                  </w:r>
                  <w:r>
                    <w:rPr>
                      <w:rFonts w:hint="default" w:ascii="Times New Roman" w:hAnsi="Times New Roman" w:cs="Times New Roman"/>
                      <w:b/>
                      <w:bCs/>
                      <w:color w:val="auto"/>
                      <w:sz w:val="21"/>
                      <w:szCs w:val="21"/>
                      <w:highlight w:val="none"/>
                    </w:rPr>
                    <w:t>-N</w:t>
                  </w:r>
                </w:p>
              </w:tc>
              <w:tc>
                <w:tcPr>
                  <w:tcW w:w="1122" w:type="dxa"/>
                  <w:noWrap w:val="0"/>
                  <w:vAlign w:val="center"/>
                </w:tcPr>
                <w:p w14:paraId="1E44ED3C">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总磷</w:t>
                  </w:r>
                </w:p>
              </w:tc>
              <w:tc>
                <w:tcPr>
                  <w:tcW w:w="603" w:type="dxa"/>
                  <w:noWrap w:val="0"/>
                  <w:vAlign w:val="center"/>
                </w:tcPr>
                <w:p w14:paraId="4AF4ECCC">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p</w:t>
                  </w:r>
                  <w:r>
                    <w:rPr>
                      <w:rFonts w:hint="default" w:ascii="Times New Roman" w:hAnsi="Times New Roman" w:cs="Times New Roman"/>
                      <w:b/>
                      <w:bCs/>
                      <w:color w:val="auto"/>
                      <w:sz w:val="21"/>
                      <w:szCs w:val="21"/>
                      <w:highlight w:val="none"/>
                    </w:rPr>
                    <w:t>H值</w:t>
                  </w:r>
                </w:p>
              </w:tc>
              <w:tc>
                <w:tcPr>
                  <w:tcW w:w="564" w:type="dxa"/>
                  <w:noWrap w:val="0"/>
                  <w:vAlign w:val="center"/>
                </w:tcPr>
                <w:p w14:paraId="25662F0F">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总氮</w:t>
                  </w:r>
                </w:p>
              </w:tc>
            </w:tr>
            <w:tr w14:paraId="3EEC082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24" w:hRule="atLeast"/>
                <w:jc w:val="center"/>
              </w:trPr>
              <w:tc>
                <w:tcPr>
                  <w:tcW w:w="3808" w:type="dxa"/>
                  <w:noWrap w:val="0"/>
                  <w:vAlign w:val="center"/>
                </w:tcPr>
                <w:p w14:paraId="5AF217E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《水污染物排放限值》（DB44/26-2001）中第二时段三级标准</w:t>
                  </w:r>
                </w:p>
              </w:tc>
              <w:tc>
                <w:tcPr>
                  <w:tcW w:w="675" w:type="dxa"/>
                  <w:noWrap w:val="0"/>
                  <w:vAlign w:val="center"/>
                </w:tcPr>
                <w:p w14:paraId="743D911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rPr>
                  </w:pPr>
                  <w:r>
                    <w:rPr>
                      <w:rFonts w:hint="default" w:ascii="Times New Roman" w:hAnsi="Times New Roman" w:eastAsia="宋体" w:cs="Times New Roman"/>
                      <w:caps/>
                      <w:color w:val="auto"/>
                      <w:sz w:val="21"/>
                      <w:szCs w:val="21"/>
                      <w:highlight w:val="none"/>
                    </w:rPr>
                    <w:t>≤</w:t>
                  </w:r>
                  <w:r>
                    <w:rPr>
                      <w:rFonts w:hint="default" w:ascii="Times New Roman" w:hAnsi="Times New Roman" w:cs="Times New Roman"/>
                      <w:color w:val="auto"/>
                      <w:sz w:val="21"/>
                      <w:szCs w:val="21"/>
                      <w:highlight w:val="none"/>
                    </w:rPr>
                    <w:t>500</w:t>
                  </w:r>
                </w:p>
              </w:tc>
              <w:tc>
                <w:tcPr>
                  <w:tcW w:w="858" w:type="dxa"/>
                  <w:noWrap w:val="0"/>
                  <w:vAlign w:val="center"/>
                </w:tcPr>
                <w:p w14:paraId="47C5CEF5">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rPr>
                  </w:pPr>
                  <w:r>
                    <w:rPr>
                      <w:rFonts w:hint="default" w:ascii="Times New Roman" w:hAnsi="Times New Roman" w:eastAsia="宋体" w:cs="Times New Roman"/>
                      <w:caps/>
                      <w:color w:val="auto"/>
                      <w:sz w:val="21"/>
                      <w:szCs w:val="21"/>
                      <w:highlight w:val="none"/>
                    </w:rPr>
                    <w:t>≤</w:t>
                  </w:r>
                  <w:r>
                    <w:rPr>
                      <w:rFonts w:hint="default" w:ascii="Times New Roman" w:hAnsi="Times New Roman" w:cs="Times New Roman"/>
                      <w:color w:val="auto"/>
                      <w:sz w:val="21"/>
                      <w:szCs w:val="21"/>
                      <w:highlight w:val="none"/>
                    </w:rPr>
                    <w:t>300</w:t>
                  </w:r>
                </w:p>
              </w:tc>
              <w:tc>
                <w:tcPr>
                  <w:tcW w:w="660" w:type="dxa"/>
                  <w:noWrap w:val="0"/>
                  <w:vAlign w:val="center"/>
                </w:tcPr>
                <w:p w14:paraId="6472895C">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rPr>
                  </w:pPr>
                  <w:r>
                    <w:rPr>
                      <w:rFonts w:hint="default" w:ascii="Times New Roman" w:hAnsi="Times New Roman" w:eastAsia="宋体" w:cs="Times New Roman"/>
                      <w:caps/>
                      <w:color w:val="auto"/>
                      <w:sz w:val="21"/>
                      <w:szCs w:val="21"/>
                      <w:highlight w:val="none"/>
                    </w:rPr>
                    <w:t>≤</w:t>
                  </w:r>
                  <w:r>
                    <w:rPr>
                      <w:rFonts w:hint="default" w:ascii="Times New Roman" w:hAnsi="Times New Roman" w:cs="Times New Roman"/>
                      <w:color w:val="auto"/>
                      <w:sz w:val="21"/>
                      <w:szCs w:val="21"/>
                      <w:highlight w:val="none"/>
                    </w:rPr>
                    <w:t>400</w:t>
                  </w:r>
                </w:p>
              </w:tc>
              <w:tc>
                <w:tcPr>
                  <w:tcW w:w="825" w:type="dxa"/>
                  <w:noWrap w:val="0"/>
                  <w:vAlign w:val="center"/>
                </w:tcPr>
                <w:p w14:paraId="6B32FC55">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p>
              </w:tc>
              <w:tc>
                <w:tcPr>
                  <w:tcW w:w="1122" w:type="dxa"/>
                  <w:noWrap w:val="0"/>
                  <w:vAlign w:val="center"/>
                </w:tcPr>
                <w:p w14:paraId="5A55CDB7">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p>
              </w:tc>
              <w:tc>
                <w:tcPr>
                  <w:tcW w:w="603" w:type="dxa"/>
                  <w:noWrap w:val="0"/>
                  <w:vAlign w:val="center"/>
                </w:tcPr>
                <w:p w14:paraId="4491F0ED">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6-9</w:t>
                  </w:r>
                </w:p>
              </w:tc>
              <w:tc>
                <w:tcPr>
                  <w:tcW w:w="564" w:type="dxa"/>
                  <w:noWrap w:val="0"/>
                  <w:vAlign w:val="center"/>
                </w:tcPr>
                <w:p w14:paraId="1A50E1AC">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p>
              </w:tc>
            </w:tr>
            <w:tr w14:paraId="67B7A5D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95" w:hRule="atLeast"/>
                <w:jc w:val="center"/>
              </w:trPr>
              <w:tc>
                <w:tcPr>
                  <w:tcW w:w="3808" w:type="dxa"/>
                  <w:noWrap w:val="0"/>
                  <w:vAlign w:val="center"/>
                </w:tcPr>
                <w:p w14:paraId="2D2153B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《城镇污水处理厂污染物排放标准》（GB18918-2002）一级A标准排放标准</w:t>
                  </w:r>
                </w:p>
              </w:tc>
              <w:tc>
                <w:tcPr>
                  <w:tcW w:w="675" w:type="dxa"/>
                  <w:noWrap w:val="0"/>
                  <w:vAlign w:val="center"/>
                </w:tcPr>
                <w:p w14:paraId="0A05AD5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rPr>
                  </w:pPr>
                  <w:r>
                    <w:rPr>
                      <w:rFonts w:hint="default" w:ascii="Times New Roman" w:hAnsi="Times New Roman" w:eastAsia="宋体" w:cs="Times New Roman"/>
                      <w:caps/>
                      <w:color w:val="auto"/>
                      <w:sz w:val="21"/>
                      <w:szCs w:val="21"/>
                      <w:highlight w:val="none"/>
                    </w:rPr>
                    <w:t>≤</w:t>
                  </w:r>
                  <w:r>
                    <w:rPr>
                      <w:rFonts w:hint="default" w:ascii="Times New Roman" w:hAnsi="Times New Roman" w:cs="Times New Roman"/>
                      <w:color w:val="auto"/>
                      <w:sz w:val="21"/>
                      <w:szCs w:val="21"/>
                      <w:highlight w:val="none"/>
                    </w:rPr>
                    <w:t>50</w:t>
                  </w:r>
                </w:p>
              </w:tc>
              <w:tc>
                <w:tcPr>
                  <w:tcW w:w="858" w:type="dxa"/>
                  <w:noWrap w:val="0"/>
                  <w:vAlign w:val="center"/>
                </w:tcPr>
                <w:p w14:paraId="1781973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rPr>
                  </w:pPr>
                  <w:r>
                    <w:rPr>
                      <w:rFonts w:hint="default" w:ascii="Times New Roman" w:hAnsi="Times New Roman" w:eastAsia="宋体" w:cs="Times New Roman"/>
                      <w:caps/>
                      <w:color w:val="auto"/>
                      <w:sz w:val="21"/>
                      <w:szCs w:val="21"/>
                      <w:highlight w:val="none"/>
                    </w:rPr>
                    <w:t>≤</w:t>
                  </w:r>
                  <w:r>
                    <w:rPr>
                      <w:rFonts w:hint="default" w:ascii="Times New Roman" w:hAnsi="Times New Roman" w:cs="Times New Roman"/>
                      <w:color w:val="auto"/>
                      <w:sz w:val="21"/>
                      <w:szCs w:val="21"/>
                      <w:highlight w:val="none"/>
                    </w:rPr>
                    <w:t>10</w:t>
                  </w:r>
                </w:p>
              </w:tc>
              <w:tc>
                <w:tcPr>
                  <w:tcW w:w="660" w:type="dxa"/>
                  <w:noWrap w:val="0"/>
                  <w:vAlign w:val="center"/>
                </w:tcPr>
                <w:p w14:paraId="402B6DEE">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rPr>
                  </w:pPr>
                  <w:r>
                    <w:rPr>
                      <w:rFonts w:hint="default" w:ascii="Times New Roman" w:hAnsi="Times New Roman" w:eastAsia="宋体" w:cs="Times New Roman"/>
                      <w:caps/>
                      <w:color w:val="auto"/>
                      <w:sz w:val="21"/>
                      <w:szCs w:val="21"/>
                      <w:highlight w:val="none"/>
                    </w:rPr>
                    <w:t>≤</w:t>
                  </w:r>
                  <w:r>
                    <w:rPr>
                      <w:rFonts w:hint="default" w:ascii="Times New Roman" w:hAnsi="Times New Roman" w:cs="Times New Roman"/>
                      <w:color w:val="auto"/>
                      <w:sz w:val="21"/>
                      <w:szCs w:val="21"/>
                      <w:highlight w:val="none"/>
                    </w:rPr>
                    <w:t>10</w:t>
                  </w:r>
                </w:p>
              </w:tc>
              <w:tc>
                <w:tcPr>
                  <w:tcW w:w="825" w:type="dxa"/>
                  <w:noWrap w:val="0"/>
                  <w:vAlign w:val="center"/>
                </w:tcPr>
                <w:p w14:paraId="0C55B06D">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aps/>
                      <w:color w:val="auto"/>
                      <w:sz w:val="21"/>
                      <w:szCs w:val="21"/>
                      <w:highlight w:val="none"/>
                    </w:rPr>
                    <w:t>≤</w:t>
                  </w:r>
                  <w:r>
                    <w:rPr>
                      <w:rFonts w:hint="default" w:ascii="Times New Roman" w:hAnsi="Times New Roman" w:cs="Times New Roman"/>
                      <w:color w:val="auto"/>
                      <w:sz w:val="21"/>
                      <w:szCs w:val="21"/>
                      <w:highlight w:val="none"/>
                    </w:rPr>
                    <w:t>5</w:t>
                  </w:r>
                </w:p>
              </w:tc>
              <w:tc>
                <w:tcPr>
                  <w:tcW w:w="1122" w:type="dxa"/>
                  <w:noWrap w:val="0"/>
                  <w:vAlign w:val="center"/>
                </w:tcPr>
                <w:p w14:paraId="51A91EF7">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rPr>
                  </w:pPr>
                  <w:r>
                    <w:rPr>
                      <w:rFonts w:hint="default" w:ascii="Times New Roman" w:hAnsi="Times New Roman" w:eastAsia="宋体" w:cs="Times New Roman"/>
                      <w:caps/>
                      <w:color w:val="auto"/>
                      <w:sz w:val="21"/>
                      <w:szCs w:val="21"/>
                      <w:highlight w:val="none"/>
                    </w:rPr>
                    <w:t>≤</w:t>
                  </w:r>
                  <w:r>
                    <w:rPr>
                      <w:rFonts w:hint="default" w:ascii="Times New Roman" w:hAnsi="Times New Roman" w:cs="Times New Roman"/>
                      <w:color w:val="auto"/>
                      <w:sz w:val="21"/>
                      <w:szCs w:val="21"/>
                      <w:highlight w:val="none"/>
                    </w:rPr>
                    <w:t>0.5</w:t>
                  </w:r>
                </w:p>
              </w:tc>
              <w:tc>
                <w:tcPr>
                  <w:tcW w:w="603" w:type="dxa"/>
                  <w:noWrap w:val="0"/>
                  <w:vAlign w:val="center"/>
                </w:tcPr>
                <w:p w14:paraId="140A4DE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6-9</w:t>
                  </w:r>
                </w:p>
              </w:tc>
              <w:tc>
                <w:tcPr>
                  <w:tcW w:w="564" w:type="dxa"/>
                  <w:noWrap w:val="0"/>
                  <w:vAlign w:val="center"/>
                </w:tcPr>
                <w:p w14:paraId="767F0305">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eastAsia="宋体" w:cs="Times New Roman"/>
                      <w:caps/>
                      <w:color w:val="auto"/>
                      <w:sz w:val="21"/>
                      <w:szCs w:val="21"/>
                      <w:highlight w:val="none"/>
                    </w:rPr>
                    <w:t>≤</w:t>
                  </w:r>
                  <w:r>
                    <w:rPr>
                      <w:rFonts w:hint="default" w:ascii="Times New Roman" w:hAnsi="Times New Roman" w:cs="Times New Roman"/>
                      <w:color w:val="auto"/>
                      <w:sz w:val="21"/>
                      <w:szCs w:val="21"/>
                      <w:highlight w:val="none"/>
                      <w:lang w:val="en-US" w:eastAsia="zh-CN"/>
                    </w:rPr>
                    <w:t>15</w:t>
                  </w:r>
                </w:p>
              </w:tc>
            </w:tr>
            <w:tr w14:paraId="48FCF8B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50" w:hRule="atLeast"/>
                <w:jc w:val="center"/>
              </w:trPr>
              <w:tc>
                <w:tcPr>
                  <w:tcW w:w="3808" w:type="dxa"/>
                  <w:noWrap w:val="0"/>
                  <w:vAlign w:val="center"/>
                </w:tcPr>
                <w:p w14:paraId="0EB235D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《水污染物排放限值》（DB44/26-2001）中第二时段</w:t>
                  </w:r>
                  <w:r>
                    <w:rPr>
                      <w:rFonts w:hint="default" w:ascii="Times New Roman" w:hAnsi="Times New Roman" w:cs="Times New Roman"/>
                      <w:color w:val="auto"/>
                      <w:sz w:val="21"/>
                      <w:szCs w:val="21"/>
                      <w:highlight w:val="none"/>
                      <w:lang w:eastAsia="zh-CN"/>
                    </w:rPr>
                    <w:t>一</w:t>
                  </w:r>
                  <w:r>
                    <w:rPr>
                      <w:rFonts w:hint="default" w:ascii="Times New Roman" w:hAnsi="Times New Roman" w:cs="Times New Roman"/>
                      <w:color w:val="auto"/>
                      <w:sz w:val="21"/>
                      <w:szCs w:val="21"/>
                      <w:highlight w:val="none"/>
                    </w:rPr>
                    <w:t>级标准</w:t>
                  </w:r>
                </w:p>
              </w:tc>
              <w:tc>
                <w:tcPr>
                  <w:tcW w:w="675" w:type="dxa"/>
                  <w:noWrap w:val="0"/>
                  <w:vAlign w:val="center"/>
                </w:tcPr>
                <w:p w14:paraId="06ADACAA">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rPr>
                  </w:pPr>
                  <w:r>
                    <w:rPr>
                      <w:rFonts w:hint="default" w:ascii="Times New Roman" w:hAnsi="Times New Roman" w:eastAsia="宋体" w:cs="Times New Roman"/>
                      <w:caps/>
                      <w:color w:val="auto"/>
                      <w:sz w:val="21"/>
                      <w:szCs w:val="21"/>
                      <w:highlight w:val="none"/>
                    </w:rPr>
                    <w:t>≤</w:t>
                  </w:r>
                  <w:r>
                    <w:rPr>
                      <w:rFonts w:hint="default" w:ascii="Times New Roman" w:hAnsi="Times New Roman" w:eastAsia="宋体" w:cs="Times New Roman"/>
                      <w:color w:val="auto"/>
                      <w:sz w:val="21"/>
                      <w:szCs w:val="21"/>
                      <w:highlight w:val="none"/>
                      <w:lang w:val="en-US" w:eastAsia="zh-CN"/>
                    </w:rPr>
                    <w:t>9</w:t>
                  </w:r>
                  <w:r>
                    <w:rPr>
                      <w:rFonts w:hint="default" w:ascii="Times New Roman" w:hAnsi="Times New Roman" w:cs="Times New Roman"/>
                      <w:color w:val="auto"/>
                      <w:sz w:val="21"/>
                      <w:szCs w:val="21"/>
                      <w:highlight w:val="none"/>
                    </w:rPr>
                    <w:t>0</w:t>
                  </w:r>
                </w:p>
              </w:tc>
              <w:tc>
                <w:tcPr>
                  <w:tcW w:w="858" w:type="dxa"/>
                  <w:noWrap w:val="0"/>
                  <w:vAlign w:val="center"/>
                </w:tcPr>
                <w:p w14:paraId="4B50DC6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rPr>
                  </w:pPr>
                  <w:r>
                    <w:rPr>
                      <w:rFonts w:hint="default" w:ascii="Times New Roman" w:hAnsi="Times New Roman" w:eastAsia="宋体" w:cs="Times New Roman"/>
                      <w:caps/>
                      <w:color w:val="auto"/>
                      <w:sz w:val="21"/>
                      <w:szCs w:val="21"/>
                      <w:highlight w:val="none"/>
                    </w:rPr>
                    <w:t>≤</w:t>
                  </w:r>
                  <w:r>
                    <w:rPr>
                      <w:rFonts w:hint="default"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rPr>
                    <w:t>0</w:t>
                  </w:r>
                </w:p>
              </w:tc>
              <w:tc>
                <w:tcPr>
                  <w:tcW w:w="660" w:type="dxa"/>
                  <w:noWrap w:val="0"/>
                  <w:vAlign w:val="center"/>
                </w:tcPr>
                <w:p w14:paraId="0AB0413D">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aps/>
                      <w:color w:val="auto"/>
                      <w:sz w:val="21"/>
                      <w:szCs w:val="21"/>
                      <w:highlight w:val="none"/>
                    </w:rPr>
                    <w:t>≤</w:t>
                  </w:r>
                  <w:r>
                    <w:rPr>
                      <w:rFonts w:hint="default" w:ascii="Times New Roman" w:hAnsi="Times New Roman" w:cs="Times New Roman"/>
                      <w:color w:val="auto"/>
                      <w:sz w:val="21"/>
                      <w:szCs w:val="21"/>
                      <w:highlight w:val="none"/>
                      <w:lang w:val="en-US" w:eastAsia="zh-CN"/>
                    </w:rPr>
                    <w:t>60</w:t>
                  </w:r>
                </w:p>
              </w:tc>
              <w:tc>
                <w:tcPr>
                  <w:tcW w:w="825" w:type="dxa"/>
                  <w:noWrap w:val="0"/>
                  <w:vAlign w:val="center"/>
                </w:tcPr>
                <w:p w14:paraId="5A2BFB45">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aps/>
                      <w:color w:val="auto"/>
                      <w:sz w:val="21"/>
                      <w:szCs w:val="21"/>
                      <w:highlight w:val="none"/>
                    </w:rPr>
                    <w:t>≤</w:t>
                  </w:r>
                  <w:r>
                    <w:rPr>
                      <w:rFonts w:hint="default" w:ascii="Times New Roman" w:hAnsi="Times New Roman" w:cs="Times New Roman"/>
                      <w:color w:val="auto"/>
                      <w:sz w:val="21"/>
                      <w:szCs w:val="21"/>
                      <w:highlight w:val="none"/>
                      <w:lang w:val="en-US" w:eastAsia="zh-CN"/>
                    </w:rPr>
                    <w:t>10</w:t>
                  </w:r>
                </w:p>
              </w:tc>
              <w:tc>
                <w:tcPr>
                  <w:tcW w:w="1122" w:type="dxa"/>
                  <w:noWrap w:val="0"/>
                  <w:vAlign w:val="center"/>
                </w:tcPr>
                <w:p w14:paraId="7248C0BF">
                  <w:pPr>
                    <w:pStyle w:val="15"/>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aps/>
                      <w:color w:val="auto"/>
                      <w:sz w:val="21"/>
                      <w:szCs w:val="21"/>
                      <w:highlight w:val="none"/>
                    </w:rPr>
                    <w:t>≤</w:t>
                  </w:r>
                  <w:r>
                    <w:rPr>
                      <w:rFonts w:hint="default" w:ascii="Times New Roman" w:hAnsi="Times New Roman" w:cs="Times New Roman"/>
                      <w:color w:val="auto"/>
                      <w:sz w:val="21"/>
                      <w:szCs w:val="21"/>
                      <w:highlight w:val="none"/>
                    </w:rPr>
                    <w:t>0.</w:t>
                  </w:r>
                  <w:r>
                    <w:rPr>
                      <w:rFonts w:hint="default" w:ascii="Times New Roman" w:hAnsi="Times New Roman" w:cs="Times New Roman"/>
                      <w:color w:val="auto"/>
                      <w:sz w:val="21"/>
                      <w:szCs w:val="21"/>
                      <w:highlight w:val="none"/>
                      <w:lang w:val="en-US" w:eastAsia="zh-CN"/>
                    </w:rPr>
                    <w:t>5</w:t>
                  </w:r>
                  <w:r>
                    <w:rPr>
                      <w:rFonts w:hint="default" w:ascii="Times New Roman" w:hAnsi="Times New Roman" w:cs="Times New Roman"/>
                      <w:color w:val="auto"/>
                      <w:sz w:val="21"/>
                      <w:szCs w:val="21"/>
                      <w:highlight w:val="none"/>
                      <w:lang w:eastAsia="zh-CN"/>
                    </w:rPr>
                    <w:t>（参照磷酸盐）</w:t>
                  </w:r>
                </w:p>
              </w:tc>
              <w:tc>
                <w:tcPr>
                  <w:tcW w:w="603" w:type="dxa"/>
                  <w:noWrap w:val="0"/>
                  <w:vAlign w:val="center"/>
                </w:tcPr>
                <w:p w14:paraId="35D7C409">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6-9</w:t>
                  </w:r>
                </w:p>
              </w:tc>
              <w:tc>
                <w:tcPr>
                  <w:tcW w:w="564" w:type="dxa"/>
                  <w:noWrap w:val="0"/>
                  <w:vAlign w:val="center"/>
                </w:tcPr>
                <w:p w14:paraId="2F33C35A">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p>
              </w:tc>
            </w:tr>
            <w:tr w14:paraId="54F8FB6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50" w:hRule="atLeast"/>
                <w:jc w:val="center"/>
              </w:trPr>
              <w:tc>
                <w:tcPr>
                  <w:tcW w:w="3808" w:type="dxa"/>
                  <w:noWrap w:val="0"/>
                  <w:vAlign w:val="center"/>
                </w:tcPr>
                <w:p w14:paraId="66E0C51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《地表水环境质量标准》（GB3838-2002）Ⅳ类标准</w:t>
                  </w:r>
                </w:p>
              </w:tc>
              <w:tc>
                <w:tcPr>
                  <w:tcW w:w="675" w:type="dxa"/>
                  <w:shd w:val="clear" w:color="auto" w:fill="auto"/>
                  <w:noWrap w:val="0"/>
                  <w:vAlign w:val="center"/>
                </w:tcPr>
                <w:p w14:paraId="4CA3F7C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eastAsia="宋体" w:cs="Times New Roman"/>
                      <w:caps/>
                      <w:color w:val="auto"/>
                      <w:sz w:val="21"/>
                      <w:szCs w:val="21"/>
                      <w:highlight w:val="none"/>
                    </w:rPr>
                    <w:t>≤</w:t>
                  </w:r>
                  <w:r>
                    <w:rPr>
                      <w:rFonts w:hint="eastAsia" w:ascii="Times New Roman" w:hAnsi="Times New Roman" w:eastAsia="宋体" w:cs="Times New Roman"/>
                      <w:caps/>
                      <w:color w:val="auto"/>
                      <w:sz w:val="21"/>
                      <w:szCs w:val="21"/>
                      <w:highlight w:val="none"/>
                      <w:lang w:val="en-US" w:eastAsia="zh-CN"/>
                    </w:rPr>
                    <w:t>3</w:t>
                  </w:r>
                  <w:r>
                    <w:rPr>
                      <w:rFonts w:hint="default" w:ascii="Times New Roman" w:hAnsi="Times New Roman" w:cs="Times New Roman"/>
                      <w:color w:val="auto"/>
                      <w:sz w:val="21"/>
                      <w:szCs w:val="21"/>
                      <w:highlight w:val="none"/>
                    </w:rPr>
                    <w:t>0</w:t>
                  </w:r>
                </w:p>
              </w:tc>
              <w:tc>
                <w:tcPr>
                  <w:tcW w:w="858" w:type="dxa"/>
                  <w:noWrap w:val="0"/>
                  <w:vAlign w:val="center"/>
                </w:tcPr>
                <w:p w14:paraId="7D7ADB65">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aps/>
                      <w:color w:val="auto"/>
                      <w:sz w:val="21"/>
                      <w:szCs w:val="21"/>
                      <w:highlight w:val="none"/>
                    </w:rPr>
                  </w:pPr>
                  <w:r>
                    <w:rPr>
                      <w:rFonts w:hint="default" w:ascii="Times New Roman" w:hAnsi="Times New Roman" w:cs="Times New Roman"/>
                      <w:color w:val="auto"/>
                      <w:sz w:val="21"/>
                      <w:szCs w:val="21"/>
                      <w:highlight w:val="none"/>
                    </w:rPr>
                    <w:t>--</w:t>
                  </w:r>
                </w:p>
              </w:tc>
              <w:tc>
                <w:tcPr>
                  <w:tcW w:w="660" w:type="dxa"/>
                  <w:noWrap w:val="0"/>
                  <w:vAlign w:val="center"/>
                </w:tcPr>
                <w:p w14:paraId="2286FA8D">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aps/>
                      <w:color w:val="auto"/>
                      <w:sz w:val="21"/>
                      <w:szCs w:val="21"/>
                      <w:highlight w:val="none"/>
                    </w:rPr>
                  </w:pPr>
                  <w:r>
                    <w:rPr>
                      <w:rFonts w:hint="default" w:ascii="Times New Roman" w:hAnsi="Times New Roman" w:cs="Times New Roman"/>
                      <w:color w:val="auto"/>
                      <w:sz w:val="21"/>
                      <w:szCs w:val="21"/>
                      <w:highlight w:val="none"/>
                    </w:rPr>
                    <w:t>--</w:t>
                  </w:r>
                </w:p>
              </w:tc>
              <w:tc>
                <w:tcPr>
                  <w:tcW w:w="825" w:type="dxa"/>
                  <w:noWrap w:val="0"/>
                  <w:vAlign w:val="center"/>
                </w:tcPr>
                <w:p w14:paraId="7700383A">
                  <w:pPr>
                    <w:adjustRightInd w:val="0"/>
                    <w:snapToGrid w:val="0"/>
                    <w:jc w:val="center"/>
                    <w:rPr>
                      <w:rFonts w:hint="default" w:ascii="Times New Roman" w:hAnsi="Times New Roman" w:eastAsia="宋体" w:cs="Times New Roman"/>
                      <w:caps/>
                      <w:color w:val="auto"/>
                      <w:sz w:val="21"/>
                      <w:szCs w:val="21"/>
                      <w:highlight w:val="none"/>
                    </w:rPr>
                  </w:pPr>
                  <w:r>
                    <w:rPr>
                      <w:rFonts w:hint="default" w:ascii="Times New Roman" w:hAnsi="Times New Roman" w:eastAsia="宋体" w:cs="Times New Roman"/>
                      <w:caps/>
                      <w:color w:val="auto"/>
                      <w:sz w:val="21"/>
                      <w:szCs w:val="21"/>
                      <w:highlight w:val="none"/>
                    </w:rPr>
                    <w:t>≤</w:t>
                  </w:r>
                  <w:r>
                    <w:rPr>
                      <w:rFonts w:hint="eastAsia" w:ascii="Times New Roman" w:hAnsi="Times New Roman" w:eastAsia="宋体"/>
                      <w:color w:val="auto"/>
                      <w:sz w:val="21"/>
                      <w:szCs w:val="21"/>
                      <w:highlight w:val="none"/>
                      <w:lang w:val="en-US" w:eastAsia="zh-CN"/>
                    </w:rPr>
                    <w:t>1.5</w:t>
                  </w:r>
                </w:p>
              </w:tc>
              <w:tc>
                <w:tcPr>
                  <w:tcW w:w="1122" w:type="dxa"/>
                  <w:noWrap w:val="0"/>
                  <w:vAlign w:val="center"/>
                </w:tcPr>
                <w:p w14:paraId="070F91FA">
                  <w:pPr>
                    <w:adjustRightInd w:val="0"/>
                    <w:snapToGrid w:val="0"/>
                    <w:jc w:val="center"/>
                    <w:rPr>
                      <w:rFonts w:hint="default" w:ascii="Times New Roman" w:hAnsi="Times New Roman" w:eastAsia="宋体" w:cs="Times New Roman"/>
                      <w:caps/>
                      <w:color w:val="auto"/>
                      <w:sz w:val="21"/>
                      <w:szCs w:val="21"/>
                      <w:highlight w:val="none"/>
                    </w:rPr>
                  </w:pPr>
                  <w:r>
                    <w:rPr>
                      <w:rFonts w:hint="default" w:ascii="Times New Roman" w:hAnsi="Times New Roman" w:eastAsia="宋体" w:cs="Times New Roman"/>
                      <w:caps/>
                      <w:color w:val="auto"/>
                      <w:sz w:val="21"/>
                      <w:szCs w:val="21"/>
                      <w:highlight w:val="none"/>
                    </w:rPr>
                    <w:t>≤</w:t>
                  </w:r>
                  <w:r>
                    <w:rPr>
                      <w:rFonts w:hint="eastAsia" w:ascii="Times New Roman" w:hAnsi="Times New Roman" w:eastAsia="宋体"/>
                      <w:color w:val="auto"/>
                      <w:sz w:val="21"/>
                      <w:szCs w:val="21"/>
                      <w:highlight w:val="none"/>
                      <w:lang w:val="en-US" w:eastAsia="zh-CN"/>
                    </w:rPr>
                    <w:t>0.3</w:t>
                  </w:r>
                </w:p>
              </w:tc>
              <w:tc>
                <w:tcPr>
                  <w:tcW w:w="603" w:type="dxa"/>
                  <w:noWrap w:val="0"/>
                  <w:vAlign w:val="center"/>
                </w:tcPr>
                <w:p w14:paraId="49582D0C">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p>
              </w:tc>
              <w:tc>
                <w:tcPr>
                  <w:tcW w:w="564" w:type="dxa"/>
                  <w:noWrap w:val="0"/>
                  <w:vAlign w:val="center"/>
                </w:tcPr>
                <w:p w14:paraId="2DE7045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p>
              </w:tc>
            </w:tr>
            <w:tr w14:paraId="3481D61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96" w:hRule="atLeast"/>
                <w:jc w:val="center"/>
              </w:trPr>
              <w:tc>
                <w:tcPr>
                  <w:tcW w:w="3808" w:type="dxa"/>
                  <w:noWrap w:val="0"/>
                  <w:vAlign w:val="center"/>
                </w:tcPr>
                <w:p w14:paraId="328CBA75">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lang w:val="en-US" w:eastAsia="zh-CN"/>
                    </w:rPr>
                    <w:t>博罗县罗阳街道小金生活污水处理厂</w:t>
                  </w:r>
                  <w:r>
                    <w:rPr>
                      <w:rFonts w:hint="default" w:ascii="Times New Roman" w:hAnsi="Times New Roman" w:cs="Times New Roman"/>
                      <w:b/>
                      <w:bCs/>
                      <w:color w:val="auto"/>
                      <w:sz w:val="21"/>
                      <w:szCs w:val="21"/>
                      <w:highlight w:val="none"/>
                    </w:rPr>
                    <w:t>排放标准</w:t>
                  </w:r>
                </w:p>
              </w:tc>
              <w:tc>
                <w:tcPr>
                  <w:tcW w:w="675" w:type="dxa"/>
                  <w:noWrap w:val="0"/>
                  <w:vAlign w:val="center"/>
                </w:tcPr>
                <w:p w14:paraId="5DB3ED6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aps/>
                      <w:color w:val="auto"/>
                      <w:sz w:val="21"/>
                      <w:szCs w:val="21"/>
                      <w:highlight w:val="none"/>
                    </w:rPr>
                    <w:t>≤</w:t>
                  </w:r>
                  <w:r>
                    <w:rPr>
                      <w:rFonts w:hint="eastAsia" w:ascii="Times New Roman" w:hAnsi="Times New Roman" w:eastAsia="宋体" w:cs="Times New Roman"/>
                      <w:b/>
                      <w:bCs/>
                      <w:caps/>
                      <w:color w:val="auto"/>
                      <w:sz w:val="21"/>
                      <w:szCs w:val="21"/>
                      <w:highlight w:val="none"/>
                      <w:lang w:val="en-US" w:eastAsia="zh-CN"/>
                    </w:rPr>
                    <w:t>3</w:t>
                  </w:r>
                  <w:r>
                    <w:rPr>
                      <w:rFonts w:hint="default" w:ascii="Times New Roman" w:hAnsi="Times New Roman" w:cs="Times New Roman"/>
                      <w:b/>
                      <w:bCs/>
                      <w:color w:val="auto"/>
                      <w:sz w:val="21"/>
                      <w:szCs w:val="21"/>
                      <w:highlight w:val="none"/>
                    </w:rPr>
                    <w:t>0</w:t>
                  </w:r>
                </w:p>
              </w:tc>
              <w:tc>
                <w:tcPr>
                  <w:tcW w:w="858" w:type="dxa"/>
                  <w:noWrap w:val="0"/>
                  <w:vAlign w:val="center"/>
                </w:tcPr>
                <w:p w14:paraId="3AC77F3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eastAsia="宋体" w:cs="Times New Roman"/>
                      <w:b/>
                      <w:bCs/>
                      <w:caps/>
                      <w:color w:val="auto"/>
                      <w:sz w:val="21"/>
                      <w:szCs w:val="21"/>
                      <w:highlight w:val="none"/>
                    </w:rPr>
                    <w:t>≤</w:t>
                  </w:r>
                  <w:r>
                    <w:rPr>
                      <w:rFonts w:hint="default" w:ascii="Times New Roman" w:hAnsi="Times New Roman" w:cs="Times New Roman"/>
                      <w:b/>
                      <w:bCs/>
                      <w:color w:val="auto"/>
                      <w:sz w:val="21"/>
                      <w:szCs w:val="21"/>
                      <w:highlight w:val="none"/>
                    </w:rPr>
                    <w:t>10</w:t>
                  </w:r>
                </w:p>
              </w:tc>
              <w:tc>
                <w:tcPr>
                  <w:tcW w:w="660" w:type="dxa"/>
                  <w:noWrap w:val="0"/>
                  <w:vAlign w:val="center"/>
                </w:tcPr>
                <w:p w14:paraId="355DD34D">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eastAsia="宋体" w:cs="Times New Roman"/>
                      <w:b/>
                      <w:bCs/>
                      <w:caps/>
                      <w:color w:val="auto"/>
                      <w:sz w:val="21"/>
                      <w:szCs w:val="21"/>
                      <w:highlight w:val="none"/>
                    </w:rPr>
                    <w:t>≤</w:t>
                  </w:r>
                  <w:r>
                    <w:rPr>
                      <w:rFonts w:hint="default" w:ascii="Times New Roman" w:hAnsi="Times New Roman" w:cs="Times New Roman"/>
                      <w:b/>
                      <w:bCs/>
                      <w:color w:val="auto"/>
                      <w:sz w:val="21"/>
                      <w:szCs w:val="21"/>
                      <w:highlight w:val="none"/>
                    </w:rPr>
                    <w:t>10</w:t>
                  </w:r>
                </w:p>
              </w:tc>
              <w:tc>
                <w:tcPr>
                  <w:tcW w:w="825" w:type="dxa"/>
                  <w:noWrap w:val="0"/>
                  <w:vAlign w:val="center"/>
                </w:tcPr>
                <w:p w14:paraId="4E712B2D">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aps/>
                      <w:color w:val="auto"/>
                      <w:sz w:val="21"/>
                      <w:szCs w:val="21"/>
                      <w:highlight w:val="none"/>
                    </w:rPr>
                    <w:t>≤</w:t>
                  </w:r>
                  <w:r>
                    <w:rPr>
                      <w:rFonts w:hint="eastAsia" w:ascii="Times New Roman" w:hAnsi="Times New Roman" w:eastAsia="宋体"/>
                      <w:b/>
                      <w:bCs/>
                      <w:color w:val="auto"/>
                      <w:sz w:val="21"/>
                      <w:szCs w:val="21"/>
                      <w:highlight w:val="none"/>
                      <w:lang w:val="en-US" w:eastAsia="zh-CN"/>
                    </w:rPr>
                    <w:t>1.5</w:t>
                  </w:r>
                </w:p>
              </w:tc>
              <w:tc>
                <w:tcPr>
                  <w:tcW w:w="1122" w:type="dxa"/>
                  <w:noWrap w:val="0"/>
                  <w:vAlign w:val="center"/>
                </w:tcPr>
                <w:p w14:paraId="0AB2F677">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aps/>
                      <w:color w:val="auto"/>
                      <w:sz w:val="21"/>
                      <w:szCs w:val="21"/>
                      <w:highlight w:val="none"/>
                    </w:rPr>
                    <w:t>≤</w:t>
                  </w:r>
                  <w:r>
                    <w:rPr>
                      <w:rFonts w:hint="eastAsia" w:ascii="Times New Roman" w:hAnsi="Times New Roman" w:eastAsia="宋体"/>
                      <w:b/>
                      <w:bCs/>
                      <w:color w:val="auto"/>
                      <w:sz w:val="21"/>
                      <w:szCs w:val="21"/>
                      <w:highlight w:val="none"/>
                      <w:lang w:val="en-US" w:eastAsia="zh-CN"/>
                    </w:rPr>
                    <w:t>0.3</w:t>
                  </w:r>
                </w:p>
              </w:tc>
              <w:tc>
                <w:tcPr>
                  <w:tcW w:w="603" w:type="dxa"/>
                  <w:noWrap w:val="0"/>
                  <w:vAlign w:val="center"/>
                </w:tcPr>
                <w:p w14:paraId="149E705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6-9</w:t>
                  </w:r>
                </w:p>
              </w:tc>
              <w:tc>
                <w:tcPr>
                  <w:tcW w:w="564" w:type="dxa"/>
                  <w:noWrap w:val="0"/>
                  <w:vAlign w:val="center"/>
                </w:tcPr>
                <w:p w14:paraId="4C0F56EC">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caps/>
                      <w:color w:val="auto"/>
                      <w:sz w:val="21"/>
                      <w:szCs w:val="21"/>
                      <w:highlight w:val="none"/>
                    </w:rPr>
                    <w:t>≤</w:t>
                  </w:r>
                  <w:r>
                    <w:rPr>
                      <w:rFonts w:hint="default" w:ascii="Times New Roman" w:hAnsi="Times New Roman" w:eastAsia="宋体" w:cs="Times New Roman"/>
                      <w:caps/>
                      <w:color w:val="auto"/>
                      <w:sz w:val="21"/>
                      <w:szCs w:val="21"/>
                      <w:highlight w:val="none"/>
                      <w:lang w:val="en-US" w:eastAsia="zh-CN"/>
                    </w:rPr>
                    <w:t>15</w:t>
                  </w:r>
                </w:p>
              </w:tc>
            </w:tr>
          </w:tbl>
          <w:p w14:paraId="0C89110F">
            <w:pPr>
              <w:adjustRightInd w:val="0"/>
              <w:snapToGrid w:val="0"/>
              <w:spacing w:line="360" w:lineRule="auto"/>
              <w:ind w:firstLine="442" w:firstLineChars="200"/>
              <w:jc w:val="left"/>
              <w:rPr>
                <w:rFonts w:hint="default" w:ascii="Times New Roman" w:hAnsi="Times New Roman" w:cs="Times New Roman"/>
                <w:color w:val="auto"/>
                <w:sz w:val="24"/>
                <w:highlight w:val="none"/>
              </w:rPr>
            </w:pPr>
            <w:r>
              <w:rPr>
                <w:rFonts w:hint="default" w:ascii="Times New Roman" w:hAnsi="Times New Roman" w:eastAsia="宋体" w:cs="Times New Roman"/>
                <w:b/>
                <w:bCs w:val="0"/>
                <w:color w:val="auto"/>
                <w:spacing w:val="-10"/>
                <w:sz w:val="24"/>
                <w:szCs w:val="24"/>
                <w:highlight w:val="none"/>
                <w:lang w:val="en-US" w:eastAsia="zh-CN"/>
              </w:rPr>
              <w:t>生产废水：</w:t>
            </w:r>
            <w:r>
              <w:rPr>
                <w:rFonts w:hint="default" w:ascii="Times New Roman" w:hAnsi="Times New Roman" w:cs="Times New Roman"/>
                <w:color w:val="auto"/>
                <w:sz w:val="24"/>
                <w:highlight w:val="none"/>
              </w:rPr>
              <w:t>项目锅炉排污水</w:t>
            </w:r>
            <w:r>
              <w:rPr>
                <w:rFonts w:hint="default" w:ascii="Times New Roman" w:hAnsi="Times New Roman" w:cs="Times New Roman"/>
                <w:color w:val="auto"/>
                <w:sz w:val="24"/>
                <w:highlight w:val="none"/>
                <w:lang w:val="en-US" w:eastAsia="zh-CN"/>
              </w:rPr>
              <w:t>和</w:t>
            </w:r>
            <w:r>
              <w:rPr>
                <w:rFonts w:hint="default" w:ascii="Times New Roman" w:hAnsi="Times New Roman" w:cs="Times New Roman"/>
                <w:color w:val="auto"/>
                <w:sz w:val="24"/>
                <w:highlight w:val="none"/>
              </w:rPr>
              <w:t>软化再生废水</w:t>
            </w:r>
            <w:r>
              <w:rPr>
                <w:rFonts w:hint="default" w:ascii="Times New Roman" w:hAnsi="Times New Roman" w:cs="Times New Roman"/>
                <w:color w:val="auto"/>
                <w:sz w:val="24"/>
                <w:highlight w:val="none"/>
                <w:lang w:val="en-US" w:eastAsia="zh-CN"/>
              </w:rPr>
              <w:t>先经“调节混凝絮凝”处理后再经三级沉淀处理后</w:t>
            </w:r>
            <w:r>
              <w:rPr>
                <w:rFonts w:hint="default" w:ascii="Times New Roman" w:hAnsi="Times New Roman" w:cs="Times New Roman"/>
                <w:color w:val="auto"/>
                <w:sz w:val="24"/>
                <w:szCs w:val="24"/>
                <w:highlight w:val="none"/>
                <w:lang w:eastAsia="zh-CN"/>
              </w:rPr>
              <w:t>回用于</w:t>
            </w:r>
            <w:r>
              <w:rPr>
                <w:rFonts w:hint="default" w:ascii="Times New Roman" w:hAnsi="Times New Roman" w:eastAsia="宋体" w:cs="Times New Roman"/>
                <w:b w:val="0"/>
                <w:bCs/>
                <w:color w:val="auto"/>
                <w:sz w:val="24"/>
                <w:szCs w:val="24"/>
                <w:highlight w:val="none"/>
                <w:vertAlign w:val="baseline"/>
                <w:lang w:val="en-US" w:eastAsia="zh-CN"/>
              </w:rPr>
              <w:t>原料调配用水</w:t>
            </w:r>
            <w:r>
              <w:rPr>
                <w:rFonts w:hint="default" w:ascii="Times New Roman" w:hAnsi="Times New Roman" w:cs="Times New Roman"/>
                <w:color w:val="auto"/>
                <w:sz w:val="24"/>
                <w:szCs w:val="24"/>
                <w:highlight w:val="none"/>
                <w:lang w:val="en-US" w:eastAsia="zh-CN"/>
              </w:rPr>
              <w:t>；</w:t>
            </w:r>
            <w:r>
              <w:rPr>
                <w:rFonts w:hint="default" w:ascii="Times New Roman" w:hAnsi="Times New Roman" w:cs="Times New Roman"/>
                <w:color w:val="auto"/>
                <w:sz w:val="24"/>
                <w:highlight w:val="none"/>
              </w:rPr>
              <w:t>搅拌机清洗废水、</w:t>
            </w:r>
            <w:r>
              <w:rPr>
                <w:rFonts w:hint="default" w:ascii="Times New Roman" w:hAnsi="Times New Roman" w:eastAsia="宋体" w:cs="Times New Roman"/>
                <w:b w:val="0"/>
                <w:bCs w:val="0"/>
                <w:color w:val="auto"/>
                <w:kern w:val="2"/>
                <w:sz w:val="24"/>
                <w:szCs w:val="24"/>
                <w:highlight w:val="none"/>
                <w:lang w:val="en-US" w:eastAsia="zh-CN"/>
              </w:rPr>
              <w:t>运输原材料车辆清洗废水、地面清洗废水先经</w:t>
            </w:r>
            <w:r>
              <w:rPr>
                <w:rFonts w:hint="default" w:ascii="Times New Roman" w:hAnsi="Times New Roman" w:cs="Times New Roman"/>
                <w:color w:val="auto"/>
                <w:sz w:val="24"/>
                <w:highlight w:val="none"/>
                <w:lang w:val="en-US" w:eastAsia="zh-CN"/>
              </w:rPr>
              <w:t>三级沉淀处理后</w:t>
            </w:r>
            <w:r>
              <w:rPr>
                <w:rFonts w:hint="default" w:ascii="Times New Roman" w:hAnsi="Times New Roman" w:cs="Times New Roman"/>
                <w:color w:val="auto"/>
                <w:sz w:val="24"/>
                <w:szCs w:val="24"/>
                <w:highlight w:val="none"/>
                <w:lang w:eastAsia="zh-CN"/>
              </w:rPr>
              <w:t>回用于</w:t>
            </w:r>
            <w:r>
              <w:rPr>
                <w:rFonts w:hint="default" w:ascii="Times New Roman" w:hAnsi="Times New Roman" w:eastAsia="宋体" w:cs="Times New Roman"/>
                <w:b w:val="0"/>
                <w:bCs/>
                <w:color w:val="auto"/>
                <w:sz w:val="24"/>
                <w:szCs w:val="24"/>
                <w:highlight w:val="none"/>
                <w:vertAlign w:val="baseline"/>
                <w:lang w:val="en-US" w:eastAsia="zh-CN"/>
              </w:rPr>
              <w:t>原料调配用水</w:t>
            </w:r>
            <w:r>
              <w:rPr>
                <w:rFonts w:hint="default" w:ascii="Times New Roman" w:hAnsi="Times New Roman" w:cs="Times New Roman"/>
                <w:color w:val="auto"/>
                <w:sz w:val="24"/>
                <w:szCs w:val="24"/>
                <w:highlight w:val="none"/>
                <w:lang w:val="en-US" w:eastAsia="zh-CN"/>
              </w:rPr>
              <w:t>；养护用水水质要求不高，本项目从严</w:t>
            </w:r>
            <w:r>
              <w:rPr>
                <w:rFonts w:hint="default" w:ascii="Times New Roman" w:hAnsi="Times New Roman" w:cs="Times New Roman"/>
                <w:color w:val="auto"/>
                <w:sz w:val="24"/>
                <w:szCs w:val="24"/>
                <w:highlight w:val="none"/>
                <w:lang w:eastAsia="zh-CN"/>
              </w:rPr>
              <w:t>执行</w:t>
            </w:r>
            <w:r>
              <w:rPr>
                <w:rFonts w:hint="default" w:ascii="Times New Roman" w:hAnsi="Times New Roman" w:eastAsia="宋体" w:cs="Times New Roman"/>
                <w:b w:val="0"/>
                <w:bCs w:val="0"/>
                <w:color w:val="auto"/>
                <w:kern w:val="2"/>
                <w:sz w:val="24"/>
                <w:szCs w:val="24"/>
                <w:highlight w:val="none"/>
                <w:lang w:val="en-US" w:eastAsia="zh-CN"/>
              </w:rPr>
              <w:t>《混凝土用水标准》（JGJ 63-2006）中钢筋混凝土拌合用水水质要求，初期雨水经沉淀后回用于养护用水。相</w:t>
            </w:r>
            <w:r>
              <w:rPr>
                <w:rFonts w:hint="default" w:ascii="Times New Roman" w:hAnsi="Times New Roman" w:cs="Times New Roman"/>
                <w:color w:val="auto"/>
                <w:sz w:val="24"/>
                <w:highlight w:val="none"/>
              </w:rPr>
              <w:t>关标准值如下表所示。</w:t>
            </w:r>
          </w:p>
          <w:p w14:paraId="32235E31">
            <w:pPr>
              <w:pStyle w:val="14"/>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表</w:t>
            </w:r>
            <w:r>
              <w:rPr>
                <w:rFonts w:hint="default" w:ascii="Times New Roman" w:hAnsi="Times New Roman" w:cs="Times New Roman"/>
                <w:color w:val="auto"/>
                <w:sz w:val="21"/>
                <w:szCs w:val="21"/>
                <w:highlight w:val="none"/>
                <w:lang w:val="en-US" w:eastAsia="zh-CN"/>
              </w:rPr>
              <w:t>3-6</w:t>
            </w:r>
            <w:r>
              <w:rPr>
                <w:rFonts w:hint="default" w:ascii="Times New Roman" w:hAnsi="Times New Roman" w:cs="Times New Roman"/>
                <w:color w:val="auto"/>
                <w:sz w:val="21"/>
                <w:szCs w:val="21"/>
                <w:highlight w:val="none"/>
              </w:rPr>
              <w:t xml:space="preserve"> 《混凝土用水标准》（JGJ 63-2006）（单位：mg/L)</w:t>
            </w:r>
          </w:p>
          <w:tbl>
            <w:tblPr>
              <w:tblStyle w:val="34"/>
              <w:tblW w:w="91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8"/>
              <w:gridCol w:w="1308"/>
              <w:gridCol w:w="1308"/>
              <w:gridCol w:w="1308"/>
              <w:gridCol w:w="1308"/>
              <w:gridCol w:w="1308"/>
              <w:gridCol w:w="1308"/>
            </w:tblGrid>
            <w:tr w14:paraId="7C055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1308" w:type="dxa"/>
                  <w:noWrap w:val="0"/>
                  <w:vAlign w:val="center"/>
                </w:tcPr>
                <w:p w14:paraId="483DFE9E">
                  <w:pPr>
                    <w:snapToGrid w:val="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项目</w:t>
                  </w:r>
                </w:p>
              </w:tc>
              <w:tc>
                <w:tcPr>
                  <w:tcW w:w="1308" w:type="dxa"/>
                  <w:noWrap w:val="0"/>
                  <w:vAlign w:val="center"/>
                </w:tcPr>
                <w:p w14:paraId="34896B07">
                  <w:pPr>
                    <w:snapToGrid w:val="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pH值</w:t>
                  </w:r>
                </w:p>
              </w:tc>
              <w:tc>
                <w:tcPr>
                  <w:tcW w:w="1308" w:type="dxa"/>
                  <w:noWrap w:val="0"/>
                  <w:vAlign w:val="center"/>
                </w:tcPr>
                <w:p w14:paraId="6AE91A80">
                  <w:pPr>
                    <w:snapToGrid w:val="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不溶物</w:t>
                  </w:r>
                </w:p>
              </w:tc>
              <w:tc>
                <w:tcPr>
                  <w:tcW w:w="1308" w:type="dxa"/>
                  <w:noWrap w:val="0"/>
                  <w:vAlign w:val="center"/>
                </w:tcPr>
                <w:p w14:paraId="59411184">
                  <w:pPr>
                    <w:snapToGrid w:val="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可溶物</w:t>
                  </w:r>
                </w:p>
              </w:tc>
              <w:tc>
                <w:tcPr>
                  <w:tcW w:w="1308" w:type="dxa"/>
                  <w:noWrap w:val="0"/>
                  <w:vAlign w:val="center"/>
                </w:tcPr>
                <w:p w14:paraId="560F130F">
                  <w:pPr>
                    <w:snapToGrid w:val="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Cl</w:t>
                  </w:r>
                  <w:r>
                    <w:rPr>
                      <w:rFonts w:hint="default" w:ascii="Times New Roman" w:hAnsi="Times New Roman" w:cs="Times New Roman"/>
                      <w:b/>
                      <w:color w:val="auto"/>
                      <w:sz w:val="21"/>
                      <w:szCs w:val="21"/>
                      <w:highlight w:val="none"/>
                      <w:vertAlign w:val="superscript"/>
                    </w:rPr>
                    <w:t>-</w:t>
                  </w:r>
                </w:p>
              </w:tc>
              <w:tc>
                <w:tcPr>
                  <w:tcW w:w="1308" w:type="dxa"/>
                  <w:noWrap w:val="0"/>
                  <w:vAlign w:val="center"/>
                </w:tcPr>
                <w:p w14:paraId="4210551E">
                  <w:pPr>
                    <w:snapToGrid w:val="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SO</w:t>
                  </w:r>
                  <w:r>
                    <w:rPr>
                      <w:rFonts w:hint="default" w:ascii="Times New Roman" w:hAnsi="Times New Roman" w:cs="Times New Roman"/>
                      <w:b/>
                      <w:color w:val="auto"/>
                      <w:sz w:val="21"/>
                      <w:szCs w:val="21"/>
                      <w:highlight w:val="none"/>
                      <w:vertAlign w:val="subscript"/>
                    </w:rPr>
                    <w:t>4</w:t>
                  </w:r>
                  <w:r>
                    <w:rPr>
                      <w:rFonts w:hint="default" w:ascii="Times New Roman" w:hAnsi="Times New Roman" w:cs="Times New Roman"/>
                      <w:b/>
                      <w:color w:val="auto"/>
                      <w:sz w:val="21"/>
                      <w:szCs w:val="21"/>
                      <w:highlight w:val="none"/>
                      <w:vertAlign w:val="superscript"/>
                    </w:rPr>
                    <w:t>2-</w:t>
                  </w:r>
                </w:p>
              </w:tc>
              <w:tc>
                <w:tcPr>
                  <w:tcW w:w="1308" w:type="dxa"/>
                  <w:noWrap w:val="0"/>
                  <w:vAlign w:val="center"/>
                </w:tcPr>
                <w:p w14:paraId="6F941443">
                  <w:pPr>
                    <w:snapToGrid w:val="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碱含量</w:t>
                  </w:r>
                </w:p>
              </w:tc>
            </w:tr>
            <w:tr w14:paraId="19B94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1308" w:type="dxa"/>
                  <w:noWrap w:val="0"/>
                  <w:vAlign w:val="center"/>
                </w:tcPr>
                <w:p w14:paraId="6D024AF8">
                  <w:pPr>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标准值</w:t>
                  </w:r>
                </w:p>
              </w:tc>
              <w:tc>
                <w:tcPr>
                  <w:tcW w:w="1308" w:type="dxa"/>
                  <w:noWrap w:val="0"/>
                  <w:vAlign w:val="center"/>
                </w:tcPr>
                <w:p w14:paraId="69216E65">
                  <w:pPr>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≥4.5</w:t>
                  </w:r>
                </w:p>
              </w:tc>
              <w:tc>
                <w:tcPr>
                  <w:tcW w:w="1308" w:type="dxa"/>
                  <w:noWrap w:val="0"/>
                  <w:vAlign w:val="center"/>
                </w:tcPr>
                <w:p w14:paraId="4EADD207">
                  <w:pPr>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r>
                    <w:rPr>
                      <w:rFonts w:hint="default"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rPr>
                    <w:t>000</w:t>
                  </w:r>
                </w:p>
              </w:tc>
              <w:tc>
                <w:tcPr>
                  <w:tcW w:w="1308" w:type="dxa"/>
                  <w:noWrap w:val="0"/>
                  <w:vAlign w:val="center"/>
                </w:tcPr>
                <w:p w14:paraId="44ABEEFF">
                  <w:pPr>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r>
                    <w:rPr>
                      <w:rFonts w:hint="default" w:ascii="Times New Roman" w:hAnsi="Times New Roman" w:cs="Times New Roman"/>
                      <w:color w:val="auto"/>
                      <w:sz w:val="21"/>
                      <w:szCs w:val="21"/>
                      <w:highlight w:val="none"/>
                      <w:lang w:val="en-US" w:eastAsia="zh-CN"/>
                    </w:rPr>
                    <w:t>5</w:t>
                  </w:r>
                  <w:r>
                    <w:rPr>
                      <w:rFonts w:hint="default" w:ascii="Times New Roman" w:hAnsi="Times New Roman" w:cs="Times New Roman"/>
                      <w:color w:val="auto"/>
                      <w:sz w:val="21"/>
                      <w:szCs w:val="21"/>
                      <w:highlight w:val="none"/>
                    </w:rPr>
                    <w:t>000</w:t>
                  </w:r>
                </w:p>
              </w:tc>
              <w:tc>
                <w:tcPr>
                  <w:tcW w:w="1308" w:type="dxa"/>
                  <w:noWrap w:val="0"/>
                  <w:vAlign w:val="center"/>
                </w:tcPr>
                <w:p w14:paraId="5E03F286">
                  <w:pPr>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r>
                    <w:rPr>
                      <w:rFonts w:hint="default" w:ascii="Times New Roman" w:hAnsi="Times New Roman" w:cs="Times New Roman"/>
                      <w:color w:val="auto"/>
                      <w:sz w:val="21"/>
                      <w:szCs w:val="21"/>
                      <w:highlight w:val="none"/>
                      <w:lang w:val="en-US" w:eastAsia="zh-CN"/>
                    </w:rPr>
                    <w:t>10</w:t>
                  </w:r>
                  <w:r>
                    <w:rPr>
                      <w:rFonts w:hint="default" w:ascii="Times New Roman" w:hAnsi="Times New Roman" w:cs="Times New Roman"/>
                      <w:color w:val="auto"/>
                      <w:sz w:val="21"/>
                      <w:szCs w:val="21"/>
                      <w:highlight w:val="none"/>
                    </w:rPr>
                    <w:t>00</w:t>
                  </w:r>
                </w:p>
              </w:tc>
              <w:tc>
                <w:tcPr>
                  <w:tcW w:w="1308" w:type="dxa"/>
                  <w:noWrap w:val="0"/>
                  <w:vAlign w:val="center"/>
                </w:tcPr>
                <w:p w14:paraId="4D0C9809">
                  <w:pPr>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w:t>
                  </w:r>
                  <w:r>
                    <w:rPr>
                      <w:rFonts w:hint="default" w:ascii="Times New Roman" w:hAnsi="Times New Roman" w:cs="Times New Roman"/>
                      <w:color w:val="auto"/>
                      <w:sz w:val="21"/>
                      <w:szCs w:val="21"/>
                      <w:highlight w:val="none"/>
                      <w:lang w:val="en-US" w:eastAsia="zh-CN"/>
                    </w:rPr>
                    <w:t>0</w:t>
                  </w:r>
                  <w:r>
                    <w:rPr>
                      <w:rFonts w:hint="default" w:ascii="Times New Roman" w:hAnsi="Times New Roman" w:cs="Times New Roman"/>
                      <w:color w:val="auto"/>
                      <w:sz w:val="21"/>
                      <w:szCs w:val="21"/>
                      <w:highlight w:val="none"/>
                    </w:rPr>
                    <w:t>00</w:t>
                  </w:r>
                </w:p>
              </w:tc>
              <w:tc>
                <w:tcPr>
                  <w:tcW w:w="1308" w:type="dxa"/>
                  <w:noWrap w:val="0"/>
                  <w:vAlign w:val="center"/>
                </w:tcPr>
                <w:p w14:paraId="7B3E81E4">
                  <w:pPr>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≤1500</w:t>
                  </w:r>
                </w:p>
              </w:tc>
            </w:tr>
          </w:tbl>
          <w:p w14:paraId="77A34B90">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注</w:t>
            </w:r>
            <w:r>
              <w:rPr>
                <w:rFonts w:hint="default" w:ascii="Times New Roman" w:hAnsi="Times New Roman" w:cs="Times New Roman"/>
                <w:color w:val="auto"/>
                <w:sz w:val="21"/>
                <w:szCs w:val="21"/>
                <w:highlight w:val="none"/>
                <w:lang w:val="en-US"/>
              </w:rPr>
              <w:t>：</w:t>
            </w:r>
            <w:r>
              <w:rPr>
                <w:rFonts w:hint="default" w:ascii="Times New Roman" w:hAnsi="Times New Roman" w:cs="Times New Roman"/>
                <w:color w:val="auto"/>
                <w:sz w:val="21"/>
                <w:szCs w:val="21"/>
                <w:highlight w:val="none"/>
              </w:rPr>
              <w:t>碱含量按</w:t>
            </w:r>
            <w:r>
              <w:rPr>
                <w:rFonts w:hint="default" w:ascii="Times New Roman" w:hAnsi="Times New Roman" w:cs="Times New Roman"/>
                <w:color w:val="auto"/>
                <w:sz w:val="21"/>
                <w:szCs w:val="21"/>
                <w:highlight w:val="none"/>
                <w:lang w:val="en-US"/>
              </w:rPr>
              <w:t>Na</w:t>
            </w:r>
            <w:r>
              <w:rPr>
                <w:rFonts w:hint="default" w:ascii="Times New Roman" w:hAnsi="Times New Roman" w:cs="Times New Roman"/>
                <w:color w:val="auto"/>
                <w:sz w:val="21"/>
                <w:szCs w:val="21"/>
                <w:highlight w:val="none"/>
                <w:vertAlign w:val="subscript"/>
                <w:lang w:val="en-US"/>
              </w:rPr>
              <w:t>2</w:t>
            </w:r>
            <w:r>
              <w:rPr>
                <w:rFonts w:hint="default" w:ascii="Times New Roman" w:hAnsi="Times New Roman" w:cs="Times New Roman"/>
                <w:color w:val="auto"/>
                <w:sz w:val="21"/>
                <w:szCs w:val="21"/>
                <w:highlight w:val="none"/>
                <w:lang w:val="en-US"/>
              </w:rPr>
              <w:t>O+0.658K</w:t>
            </w:r>
            <w:r>
              <w:rPr>
                <w:rFonts w:hint="default" w:ascii="Times New Roman" w:hAnsi="Times New Roman" w:cs="Times New Roman"/>
                <w:color w:val="auto"/>
                <w:sz w:val="21"/>
                <w:szCs w:val="21"/>
                <w:highlight w:val="none"/>
                <w:vertAlign w:val="subscript"/>
                <w:lang w:val="en-US"/>
              </w:rPr>
              <w:t>2</w:t>
            </w:r>
            <w:r>
              <w:rPr>
                <w:rFonts w:hint="default" w:ascii="Times New Roman" w:hAnsi="Times New Roman" w:cs="Times New Roman"/>
                <w:color w:val="auto"/>
                <w:sz w:val="21"/>
                <w:szCs w:val="21"/>
                <w:highlight w:val="none"/>
                <w:lang w:val="en-US"/>
              </w:rPr>
              <w:t>O</w:t>
            </w:r>
            <w:r>
              <w:rPr>
                <w:rFonts w:hint="default" w:ascii="Times New Roman" w:hAnsi="Times New Roman" w:cs="Times New Roman"/>
                <w:color w:val="auto"/>
                <w:sz w:val="21"/>
                <w:szCs w:val="21"/>
                <w:highlight w:val="none"/>
              </w:rPr>
              <w:t>计算值来表示。采用非碱活性骨料时，可不检验碱含量。</w:t>
            </w:r>
          </w:p>
          <w:p w14:paraId="1E80F23F">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cs="Times New Roman"/>
                <w:b/>
                <w:bCs/>
                <w:color w:val="auto"/>
                <w:sz w:val="24"/>
                <w:szCs w:val="21"/>
                <w:highlight w:val="none"/>
              </w:rPr>
            </w:pPr>
            <w:r>
              <w:rPr>
                <w:rFonts w:hint="default" w:ascii="Times New Roman" w:hAnsi="Times New Roman" w:cs="Times New Roman"/>
                <w:b/>
                <w:bCs/>
                <w:color w:val="auto"/>
                <w:sz w:val="24"/>
                <w:szCs w:val="21"/>
                <w:highlight w:val="none"/>
              </w:rPr>
              <w:t>2、废气排放标准</w:t>
            </w:r>
          </w:p>
          <w:p w14:paraId="345BCE47">
            <w:pPr>
              <w:keepNext w:val="0"/>
              <w:keepLines w:val="0"/>
              <w:pageBreakBefore w:val="0"/>
              <w:widowControl w:val="0"/>
              <w:kinsoku/>
              <w:wordWrap/>
              <w:overflowPunct/>
              <w:topLinePunct w:val="0"/>
              <w:autoSpaceDE/>
              <w:autoSpaceDN/>
              <w:bidi w:val="0"/>
              <w:adjustRightInd w:val="0"/>
              <w:snapToGrid w:val="0"/>
              <w:spacing w:after="0" w:line="360" w:lineRule="auto"/>
              <w:ind w:firstLine="482" w:firstLineChars="200"/>
              <w:jc w:val="both"/>
              <w:textAlignment w:val="auto"/>
              <w:rPr>
                <w:rFonts w:hint="default" w:ascii="Times New Roman" w:hAnsi="Times New Roman" w:cs="Times New Roman"/>
                <w:b/>
                <w:bCs/>
                <w:color w:val="auto"/>
                <w:sz w:val="24"/>
                <w:highlight w:val="none"/>
                <w:lang w:val="en-US" w:eastAsia="zh-CN"/>
              </w:rPr>
            </w:pPr>
            <w:r>
              <w:rPr>
                <w:rFonts w:hint="default" w:ascii="Times New Roman" w:hAnsi="Times New Roman" w:cs="Times New Roman"/>
                <w:b/>
                <w:bCs/>
                <w:color w:val="auto"/>
                <w:sz w:val="24"/>
                <w:highlight w:val="none"/>
                <w:lang w:val="en-US" w:eastAsia="zh-CN"/>
              </w:rPr>
              <w:t>2.1有组织废气排放标准</w:t>
            </w:r>
          </w:p>
          <w:p w14:paraId="272D162B">
            <w:pPr>
              <w:keepNext w:val="0"/>
              <w:keepLines w:val="0"/>
              <w:pageBreakBefore w:val="0"/>
              <w:widowControl w:val="0"/>
              <w:kinsoku/>
              <w:wordWrap/>
              <w:overflowPunct/>
              <w:topLinePunct w:val="0"/>
              <w:autoSpaceDE/>
              <w:autoSpaceDN/>
              <w:bidi w:val="0"/>
              <w:adjustRightInd w:val="0"/>
              <w:snapToGrid w:val="0"/>
              <w:spacing w:after="0" w:line="360" w:lineRule="auto"/>
              <w:ind w:firstLine="482" w:firstLineChars="200"/>
              <w:jc w:val="both"/>
              <w:textAlignment w:val="auto"/>
              <w:rPr>
                <w:rFonts w:hint="default" w:ascii="Times New Roman" w:hAnsi="Times New Roman" w:cs="Times New Roman"/>
                <w:color w:val="auto"/>
                <w:sz w:val="24"/>
                <w:highlight w:val="none"/>
                <w:lang w:val="en-US" w:eastAsia="zh-CN"/>
              </w:rPr>
            </w:pPr>
            <w:r>
              <w:rPr>
                <w:rFonts w:hint="default" w:ascii="Times New Roman" w:hAnsi="Times New Roman" w:cs="Times New Roman"/>
                <w:b/>
                <w:bCs/>
                <w:color w:val="auto"/>
                <w:sz w:val="24"/>
                <w:highlight w:val="none"/>
                <w:lang w:val="en-US" w:eastAsia="zh-CN"/>
              </w:rPr>
              <w:t>锅炉废气：</w:t>
            </w:r>
            <w:r>
              <w:rPr>
                <w:rFonts w:hint="default" w:ascii="Times New Roman" w:hAnsi="Times New Roman" w:cs="Times New Roman"/>
                <w:color w:val="auto"/>
                <w:sz w:val="24"/>
                <w:highlight w:val="none"/>
              </w:rPr>
              <w:t>项目产品</w:t>
            </w:r>
            <w:r>
              <w:rPr>
                <w:rFonts w:hint="default" w:ascii="Times New Roman" w:hAnsi="Times New Roman" w:cs="Times New Roman"/>
                <w:color w:val="auto"/>
                <w:sz w:val="24"/>
                <w:highlight w:val="none"/>
                <w:lang w:val="en-US" w:eastAsia="zh-CN"/>
              </w:rPr>
              <w:t>养护过程使用到燃气锅炉，根据《惠州市人民政府关于惠州市燃气锅炉、新建燃生物质成型燃料锅炉执行大气污染物特别排放限值的通告》（惠府〔2023〕3 号）要求，天然气燃烧废气有组织排放执行《锅炉大气污染物排放标准》（DB44/765-2019）表3特别排放限值。具体标准限值如下表所示：</w:t>
            </w:r>
          </w:p>
          <w:p w14:paraId="27EF43FE">
            <w:pPr>
              <w:widowControl/>
              <w:adjustRightInd w:val="0"/>
              <w:snapToGrid w:val="0"/>
              <w:spacing w:line="240" w:lineRule="auto"/>
              <w:jc w:val="center"/>
              <w:rPr>
                <w:rFonts w:hint="default" w:ascii="Times New Roman" w:hAnsi="Times New Roman" w:cs="Times New Roman"/>
                <w:b/>
                <w:bCs/>
                <w:color w:val="auto"/>
                <w:szCs w:val="21"/>
                <w:highlight w:val="none"/>
                <w:lang w:val="en-US" w:eastAsia="zh-CN"/>
              </w:rPr>
            </w:pPr>
            <w:r>
              <w:rPr>
                <w:rFonts w:hint="default" w:ascii="Times New Roman" w:hAnsi="Times New Roman" w:cs="Times New Roman"/>
                <w:b/>
                <w:bCs/>
                <w:color w:val="auto"/>
                <w:szCs w:val="21"/>
                <w:highlight w:val="none"/>
                <w:lang w:eastAsia="zh-CN"/>
              </w:rPr>
              <w:t>表</w:t>
            </w:r>
            <w:r>
              <w:rPr>
                <w:rFonts w:hint="default" w:ascii="Times New Roman" w:hAnsi="Times New Roman" w:cs="Times New Roman"/>
                <w:b/>
                <w:bCs/>
                <w:color w:val="auto"/>
                <w:szCs w:val="21"/>
                <w:highlight w:val="none"/>
                <w:lang w:val="en-US" w:eastAsia="zh-CN"/>
              </w:rPr>
              <w:t>3-7 项目锅炉燃烧废气排放标准一览表</w:t>
            </w:r>
          </w:p>
          <w:tbl>
            <w:tblPr>
              <w:tblStyle w:val="35"/>
              <w:tblW w:w="9138" w:type="dxa"/>
              <w:tblInd w:w="-6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9"/>
              <w:gridCol w:w="1692"/>
              <w:gridCol w:w="2145"/>
              <w:gridCol w:w="3932"/>
            </w:tblGrid>
            <w:tr w14:paraId="72DC5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369" w:type="dxa"/>
                  <w:noWrap w:val="0"/>
                  <w:vAlign w:val="center"/>
                </w:tcPr>
                <w:p w14:paraId="0AFE0974">
                  <w:pPr>
                    <w:pStyle w:val="70"/>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排气筒编号</w:t>
                  </w:r>
                </w:p>
              </w:tc>
              <w:tc>
                <w:tcPr>
                  <w:tcW w:w="1692" w:type="dxa"/>
                  <w:noWrap w:val="0"/>
                  <w:vAlign w:val="center"/>
                </w:tcPr>
                <w:p w14:paraId="31D12A36">
                  <w:pPr>
                    <w:pStyle w:val="70"/>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污染物</w:t>
                  </w:r>
                </w:p>
              </w:tc>
              <w:tc>
                <w:tcPr>
                  <w:tcW w:w="2145" w:type="dxa"/>
                  <w:noWrap w:val="0"/>
                  <w:vAlign w:val="center"/>
                </w:tcPr>
                <w:p w14:paraId="792F0555">
                  <w:pPr>
                    <w:pStyle w:val="70"/>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排放限值</w:t>
                  </w:r>
                  <w:r>
                    <w:rPr>
                      <w:rFonts w:hint="default" w:ascii="Times New Roman" w:hAnsi="Times New Roman" w:cs="Times New Roman"/>
                      <w:color w:val="auto"/>
                      <w:highlight w:val="none"/>
                    </w:rPr>
                    <w:t>（mg/m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rPr>
                    <w:t>）</w:t>
                  </w:r>
                </w:p>
              </w:tc>
              <w:tc>
                <w:tcPr>
                  <w:tcW w:w="3932" w:type="dxa"/>
                  <w:noWrap w:val="0"/>
                  <w:vAlign w:val="center"/>
                </w:tcPr>
                <w:p w14:paraId="2C1FFE8B">
                  <w:pPr>
                    <w:pStyle w:val="70"/>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执行标准</w:t>
                  </w:r>
                </w:p>
              </w:tc>
            </w:tr>
            <w:tr w14:paraId="19CB3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369" w:type="dxa"/>
                  <w:vMerge w:val="restart"/>
                  <w:noWrap w:val="0"/>
                  <w:vAlign w:val="center"/>
                </w:tcPr>
                <w:p w14:paraId="25C5B5BF">
                  <w:pPr>
                    <w:pStyle w:val="70"/>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DA001及DA002（15m）</w:t>
                  </w:r>
                </w:p>
              </w:tc>
              <w:tc>
                <w:tcPr>
                  <w:tcW w:w="1692" w:type="dxa"/>
                  <w:noWrap w:val="0"/>
                  <w:vAlign w:val="center"/>
                </w:tcPr>
                <w:p w14:paraId="7F04EF3A">
                  <w:pPr>
                    <w:pStyle w:val="70"/>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颗粒物</w:t>
                  </w:r>
                </w:p>
              </w:tc>
              <w:tc>
                <w:tcPr>
                  <w:tcW w:w="2145" w:type="dxa"/>
                  <w:noWrap w:val="0"/>
                  <w:vAlign w:val="center"/>
                </w:tcPr>
                <w:p w14:paraId="52C9EE79">
                  <w:pPr>
                    <w:pStyle w:val="70"/>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10</w:t>
                  </w:r>
                </w:p>
              </w:tc>
              <w:tc>
                <w:tcPr>
                  <w:tcW w:w="3932" w:type="dxa"/>
                  <w:vMerge w:val="restart"/>
                  <w:noWrap w:val="0"/>
                  <w:vAlign w:val="center"/>
                </w:tcPr>
                <w:p w14:paraId="730A84D1">
                  <w:pPr>
                    <w:pStyle w:val="70"/>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《锅炉大气污染物排放标准》（DB44/765-2019）表3特别排放限值</w:t>
                  </w:r>
                </w:p>
              </w:tc>
            </w:tr>
            <w:tr w14:paraId="44DD3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369" w:type="dxa"/>
                  <w:vMerge w:val="continue"/>
                  <w:noWrap w:val="0"/>
                  <w:vAlign w:val="center"/>
                </w:tcPr>
                <w:p w14:paraId="71448C42">
                  <w:pPr>
                    <w:pStyle w:val="70"/>
                    <w:bidi w:val="0"/>
                    <w:rPr>
                      <w:rFonts w:hint="default" w:ascii="Times New Roman" w:hAnsi="Times New Roman" w:cs="Times New Roman"/>
                      <w:color w:val="auto"/>
                      <w:highlight w:val="none"/>
                      <w:lang w:val="en-US" w:eastAsia="zh-CN"/>
                    </w:rPr>
                  </w:pPr>
                </w:p>
              </w:tc>
              <w:tc>
                <w:tcPr>
                  <w:tcW w:w="1692" w:type="dxa"/>
                  <w:noWrap w:val="0"/>
                  <w:vAlign w:val="center"/>
                </w:tcPr>
                <w:p w14:paraId="281290ED">
                  <w:pPr>
                    <w:pStyle w:val="70"/>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二氧化硫</w:t>
                  </w:r>
                </w:p>
              </w:tc>
              <w:tc>
                <w:tcPr>
                  <w:tcW w:w="2145" w:type="dxa"/>
                  <w:noWrap w:val="0"/>
                  <w:vAlign w:val="center"/>
                </w:tcPr>
                <w:p w14:paraId="047F6DFD">
                  <w:pPr>
                    <w:pStyle w:val="70"/>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35</w:t>
                  </w:r>
                </w:p>
              </w:tc>
              <w:tc>
                <w:tcPr>
                  <w:tcW w:w="3932" w:type="dxa"/>
                  <w:vMerge w:val="continue"/>
                  <w:noWrap w:val="0"/>
                  <w:vAlign w:val="center"/>
                </w:tcPr>
                <w:p w14:paraId="48E3DA17">
                  <w:pPr>
                    <w:pStyle w:val="70"/>
                    <w:bidi w:val="0"/>
                    <w:rPr>
                      <w:rFonts w:hint="default" w:ascii="Times New Roman" w:hAnsi="Times New Roman" w:cs="Times New Roman"/>
                      <w:color w:val="auto"/>
                      <w:highlight w:val="none"/>
                      <w:lang w:val="en-US" w:eastAsia="zh-CN"/>
                    </w:rPr>
                  </w:pPr>
                </w:p>
              </w:tc>
            </w:tr>
            <w:tr w14:paraId="2D0BD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1369" w:type="dxa"/>
                  <w:vMerge w:val="continue"/>
                  <w:noWrap w:val="0"/>
                  <w:vAlign w:val="center"/>
                </w:tcPr>
                <w:p w14:paraId="1D54D3A1">
                  <w:pPr>
                    <w:pStyle w:val="70"/>
                    <w:bidi w:val="0"/>
                    <w:rPr>
                      <w:rFonts w:hint="default" w:ascii="Times New Roman" w:hAnsi="Times New Roman" w:cs="Times New Roman"/>
                      <w:color w:val="auto"/>
                      <w:highlight w:val="none"/>
                      <w:lang w:val="en-US" w:eastAsia="zh-CN"/>
                    </w:rPr>
                  </w:pPr>
                </w:p>
              </w:tc>
              <w:tc>
                <w:tcPr>
                  <w:tcW w:w="1692" w:type="dxa"/>
                  <w:noWrap w:val="0"/>
                  <w:vAlign w:val="center"/>
                </w:tcPr>
                <w:p w14:paraId="6D14E7DD">
                  <w:pPr>
                    <w:pStyle w:val="70"/>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氮氧化物</w:t>
                  </w:r>
                </w:p>
              </w:tc>
              <w:tc>
                <w:tcPr>
                  <w:tcW w:w="2145" w:type="dxa"/>
                  <w:noWrap w:val="0"/>
                  <w:vAlign w:val="center"/>
                </w:tcPr>
                <w:p w14:paraId="6E642458">
                  <w:pPr>
                    <w:pStyle w:val="70"/>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50</w:t>
                  </w:r>
                </w:p>
              </w:tc>
              <w:tc>
                <w:tcPr>
                  <w:tcW w:w="3932" w:type="dxa"/>
                  <w:vMerge w:val="continue"/>
                  <w:noWrap w:val="0"/>
                  <w:vAlign w:val="center"/>
                </w:tcPr>
                <w:p w14:paraId="00D51C5F">
                  <w:pPr>
                    <w:pStyle w:val="70"/>
                    <w:bidi w:val="0"/>
                    <w:rPr>
                      <w:rFonts w:hint="default" w:ascii="Times New Roman" w:hAnsi="Times New Roman" w:cs="Times New Roman"/>
                      <w:color w:val="auto"/>
                      <w:highlight w:val="none"/>
                      <w:lang w:val="en-US" w:eastAsia="zh-CN"/>
                    </w:rPr>
                  </w:pPr>
                </w:p>
              </w:tc>
            </w:tr>
            <w:tr w14:paraId="4553F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9138" w:type="dxa"/>
                  <w:gridSpan w:val="4"/>
                  <w:noWrap w:val="0"/>
                  <w:vAlign w:val="center"/>
                </w:tcPr>
                <w:p w14:paraId="53341C52">
                  <w:pPr>
                    <w:pStyle w:val="70"/>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注：</w:t>
                  </w:r>
                  <w:r>
                    <w:rPr>
                      <w:rFonts w:hint="default" w:ascii="Times New Roman" w:hAnsi="Times New Roman" w:cs="Times New Roman"/>
                      <w:color w:val="auto"/>
                      <w:highlight w:val="none"/>
                    </w:rPr>
                    <w:t>《锅炉大气污染物排放标准》（DB44/765-2019）中4.5规定，燃油、燃气锅炉烟囱不低于8m，新建锅炉房的烟囱周围半径200m距离内有建筑物时，其烟囱应高出最高建筑物3m以上。本项目锅炉房周围半径200m范围内有建筑，最高的建筑物为</w:t>
                  </w:r>
                  <w:r>
                    <w:rPr>
                      <w:rFonts w:hint="default" w:ascii="Times New Roman" w:hAnsi="Times New Roman" w:cs="Times New Roman"/>
                      <w:color w:val="auto"/>
                      <w:highlight w:val="none"/>
                      <w:lang w:val="en-US" w:eastAsia="zh-CN"/>
                    </w:rPr>
                    <w:t>本项目北面</w:t>
                  </w:r>
                  <w:r>
                    <w:rPr>
                      <w:rFonts w:hint="default" w:ascii="Times New Roman" w:hAnsi="Times New Roman" w:eastAsia="宋体" w:cs="Times New Roman"/>
                      <w:color w:val="auto"/>
                      <w:highlight w:val="none"/>
                      <w:lang w:val="en-US" w:eastAsia="zh-CN"/>
                    </w:rPr>
                    <w:t>的</w:t>
                  </w:r>
                  <w:r>
                    <w:rPr>
                      <w:rFonts w:hint="default" w:ascii="Times New Roman" w:hAnsi="Times New Roman" w:eastAsia="宋体" w:cs="Times New Roman"/>
                      <w:color w:val="auto"/>
                      <w:highlight w:val="none"/>
                      <w:lang w:eastAsia="zh-CN"/>
                    </w:rPr>
                    <w:t>惠州市沃特新材料有限公司</w:t>
                  </w:r>
                  <w:r>
                    <w:rPr>
                      <w:rFonts w:hint="default" w:ascii="Times New Roman" w:hAnsi="Times New Roman" w:eastAsia="宋体" w:cs="Times New Roman"/>
                      <w:color w:val="auto"/>
                      <w:highlight w:val="none"/>
                      <w:lang w:val="en-US" w:eastAsia="zh-CN"/>
                    </w:rPr>
                    <w:t>所在厂房，高度为12m</w:t>
                  </w:r>
                  <w:r>
                    <w:rPr>
                      <w:rFonts w:hint="default" w:ascii="Times New Roman" w:hAnsi="Times New Roman" w:eastAsia="宋体" w:cs="Times New Roman"/>
                      <w:color w:val="auto"/>
                      <w:highlight w:val="none"/>
                    </w:rPr>
                    <w:t>，本项目燃气锅炉排气筒高度高出最高建筑物3m，因此项目设置</w:t>
                  </w:r>
                  <w:r>
                    <w:rPr>
                      <w:rFonts w:hint="default" w:ascii="Times New Roman" w:hAnsi="Times New Roman" w:eastAsia="宋体" w:cs="Times New Roman"/>
                      <w:color w:val="auto"/>
                      <w:highlight w:val="none"/>
                      <w:lang w:val="en-US" w:eastAsia="zh-CN"/>
                    </w:rPr>
                    <w:t>15</w:t>
                  </w:r>
                  <w:r>
                    <w:rPr>
                      <w:rFonts w:hint="default" w:ascii="Times New Roman" w:hAnsi="Times New Roman" w:eastAsia="宋体" w:cs="Times New Roman"/>
                      <w:color w:val="auto"/>
                      <w:highlight w:val="none"/>
                    </w:rPr>
                    <w:t>m排</w:t>
                  </w:r>
                  <w:r>
                    <w:rPr>
                      <w:rFonts w:hint="default" w:ascii="Times New Roman" w:hAnsi="Times New Roman" w:cs="Times New Roman"/>
                      <w:color w:val="auto"/>
                      <w:highlight w:val="none"/>
                    </w:rPr>
                    <w:t>气筒符合要求。</w:t>
                  </w:r>
                </w:p>
              </w:tc>
            </w:tr>
          </w:tbl>
          <w:p w14:paraId="49F12C00">
            <w:pPr>
              <w:keepNext w:val="0"/>
              <w:keepLines w:val="0"/>
              <w:pageBreakBefore w:val="0"/>
              <w:widowControl w:val="0"/>
              <w:kinsoku/>
              <w:wordWrap/>
              <w:overflowPunct/>
              <w:topLinePunct w:val="0"/>
              <w:autoSpaceDE/>
              <w:autoSpaceDN/>
              <w:bidi w:val="0"/>
              <w:adjustRightInd w:val="0"/>
              <w:snapToGrid w:val="0"/>
              <w:spacing w:after="0" w:line="360" w:lineRule="auto"/>
              <w:ind w:firstLine="482" w:firstLineChars="200"/>
              <w:jc w:val="both"/>
              <w:textAlignment w:val="auto"/>
              <w:rPr>
                <w:rFonts w:hint="default" w:ascii="Times New Roman" w:hAnsi="Times New Roman" w:cs="Times New Roman"/>
                <w:b/>
                <w:bCs/>
                <w:color w:val="auto"/>
                <w:sz w:val="24"/>
                <w:highlight w:val="none"/>
                <w:lang w:val="en-US" w:eastAsia="zh-CN"/>
              </w:rPr>
            </w:pPr>
            <w:r>
              <w:rPr>
                <w:rFonts w:hint="default" w:ascii="Times New Roman" w:hAnsi="Times New Roman" w:cs="Times New Roman"/>
                <w:b/>
                <w:bCs/>
                <w:color w:val="auto"/>
                <w:sz w:val="24"/>
                <w:highlight w:val="none"/>
                <w:lang w:val="en-US" w:eastAsia="zh-CN"/>
              </w:rPr>
              <w:t>2.2.2 无组织废气排放标准</w:t>
            </w:r>
          </w:p>
          <w:p w14:paraId="328BC9CF">
            <w:pPr>
              <w:keepNext w:val="0"/>
              <w:keepLines w:val="0"/>
              <w:pageBreakBefore w:val="0"/>
              <w:widowControl w:val="0"/>
              <w:kinsoku/>
              <w:wordWrap/>
              <w:overflowPunct/>
              <w:topLinePunct w:val="0"/>
              <w:autoSpaceDE/>
              <w:autoSpaceDN/>
              <w:bidi w:val="0"/>
              <w:adjustRightInd w:val="0"/>
              <w:snapToGrid w:val="0"/>
              <w:spacing w:after="0" w:line="360" w:lineRule="auto"/>
              <w:ind w:firstLine="482" w:firstLineChars="200"/>
              <w:jc w:val="both"/>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筒仓呼吸、搅拌、料仓扬尘、车辆运输扬尘、卸料及物料输送废气：</w:t>
            </w:r>
          </w:p>
          <w:p w14:paraId="6F18EE1A">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auto"/>
                <w:kern w:val="2"/>
                <w:sz w:val="24"/>
                <w:szCs w:val="24"/>
                <w:highlight w:val="none"/>
                <w:lang w:eastAsia="zh-CN"/>
              </w:rPr>
            </w:pPr>
            <w:r>
              <w:rPr>
                <w:rFonts w:hint="default" w:ascii="Times New Roman" w:hAnsi="Times New Roman" w:cs="Times New Roman"/>
                <w:color w:val="auto"/>
                <w:sz w:val="24"/>
                <w:highlight w:val="none"/>
              </w:rPr>
              <w:t>项目产品为</w:t>
            </w:r>
            <w:r>
              <w:rPr>
                <w:rFonts w:hint="default" w:ascii="Times New Roman" w:hAnsi="Times New Roman" w:cs="Times New Roman"/>
                <w:color w:val="auto"/>
                <w:sz w:val="24"/>
                <w:highlight w:val="none"/>
                <w:lang w:val="en-US" w:eastAsia="zh-CN"/>
              </w:rPr>
              <w:t>轨道板及Ⅲa型轨枕</w:t>
            </w:r>
            <w:r>
              <w:rPr>
                <w:rFonts w:hint="default" w:ascii="Times New Roman" w:hAnsi="Times New Roman" w:cs="Times New Roman"/>
                <w:color w:val="auto"/>
                <w:sz w:val="24"/>
                <w:highlight w:val="none"/>
              </w:rPr>
              <w:t>，属于水泥制品生产</w:t>
            </w:r>
            <w:r>
              <w:rPr>
                <w:rFonts w:hint="default" w:ascii="Times New Roman" w:hAnsi="Times New Roman" w:cs="Times New Roman"/>
                <w:color w:val="auto"/>
                <w:sz w:val="24"/>
                <w:highlight w:val="none"/>
                <w:lang w:eastAsia="zh-CN"/>
              </w:rPr>
              <w:t>。项目</w:t>
            </w:r>
            <w:r>
              <w:rPr>
                <w:rFonts w:hint="default" w:ascii="Times New Roman" w:hAnsi="Times New Roman" w:eastAsia="宋体" w:cs="Times New Roman"/>
                <w:color w:val="auto"/>
                <w:kern w:val="2"/>
                <w:sz w:val="24"/>
                <w:szCs w:val="24"/>
                <w:highlight w:val="none"/>
                <w:lang w:val="en-US" w:eastAsia="zh-CN"/>
              </w:rPr>
              <w:t>水泥及粉煤灰筒仓呼吸孔</w:t>
            </w:r>
            <w:r>
              <w:rPr>
                <w:rFonts w:hint="default" w:ascii="Times New Roman" w:hAnsi="Times New Roman" w:eastAsia="宋体" w:cs="Times New Roman"/>
                <w:color w:val="auto"/>
                <w:kern w:val="2"/>
                <w:sz w:val="24"/>
                <w:szCs w:val="24"/>
                <w:highlight w:val="none"/>
              </w:rPr>
              <w:t>产生的</w:t>
            </w:r>
            <w:r>
              <w:rPr>
                <w:rFonts w:hint="default" w:ascii="Times New Roman" w:hAnsi="Times New Roman" w:eastAsia="宋体" w:cs="Times New Roman"/>
                <w:color w:val="auto"/>
                <w:kern w:val="2"/>
                <w:sz w:val="24"/>
                <w:szCs w:val="24"/>
                <w:highlight w:val="none"/>
                <w:lang w:val="en-US" w:eastAsia="zh-CN"/>
              </w:rPr>
              <w:t>粉尘，搅拌过程中产生的粉尘</w:t>
            </w:r>
            <w:r>
              <w:rPr>
                <w:rFonts w:hint="default" w:ascii="Times New Roman" w:hAnsi="Times New Roman" w:eastAsia="宋体" w:cs="Times New Roman"/>
                <w:color w:val="auto"/>
                <w:kern w:val="2"/>
                <w:sz w:val="24"/>
                <w:szCs w:val="24"/>
                <w:highlight w:val="none"/>
              </w:rPr>
              <w:t>经收集处理后</w:t>
            </w:r>
            <w:r>
              <w:rPr>
                <w:rFonts w:hint="default" w:ascii="Times New Roman" w:hAnsi="Times New Roman" w:eastAsia="宋体" w:cs="Times New Roman"/>
                <w:color w:val="auto"/>
                <w:kern w:val="2"/>
                <w:sz w:val="24"/>
                <w:szCs w:val="24"/>
                <w:highlight w:val="none"/>
                <w:lang w:val="en-US" w:eastAsia="zh-CN"/>
              </w:rPr>
              <w:t>回收利用，</w:t>
            </w:r>
            <w:r>
              <w:rPr>
                <w:rFonts w:hint="default" w:ascii="Times New Roman" w:hAnsi="Times New Roman" w:cs="Times New Roman"/>
                <w:color w:val="auto"/>
                <w:sz w:val="24"/>
                <w:szCs w:val="24"/>
                <w:highlight w:val="none"/>
                <w:lang w:eastAsia="zh-CN"/>
              </w:rPr>
              <w:t>未处理的部分无组织排放</w:t>
            </w:r>
            <w:r>
              <w:rPr>
                <w:rFonts w:hint="default" w:ascii="Times New Roman" w:hAnsi="Times New Roman" w:eastAsia="宋体" w:cs="Times New Roman"/>
                <w:color w:val="auto"/>
                <w:kern w:val="2"/>
                <w:sz w:val="24"/>
                <w:szCs w:val="24"/>
                <w:highlight w:val="none"/>
                <w:lang w:eastAsia="zh-CN"/>
              </w:rPr>
              <w:t>。水泥、粉煤灰筒仓粉尘、</w:t>
            </w:r>
            <w:r>
              <w:rPr>
                <w:rFonts w:hint="default" w:ascii="Times New Roman" w:hAnsi="Times New Roman" w:eastAsia="宋体" w:cs="Times New Roman"/>
                <w:color w:val="auto"/>
                <w:kern w:val="2"/>
                <w:sz w:val="24"/>
                <w:szCs w:val="24"/>
                <w:highlight w:val="none"/>
                <w:lang w:val="en-US" w:eastAsia="zh-CN"/>
              </w:rPr>
              <w:t>投料</w:t>
            </w:r>
            <w:r>
              <w:rPr>
                <w:rFonts w:hint="default" w:ascii="Times New Roman" w:hAnsi="Times New Roman" w:eastAsia="宋体" w:cs="Times New Roman"/>
                <w:color w:val="auto"/>
                <w:kern w:val="2"/>
                <w:sz w:val="24"/>
                <w:szCs w:val="24"/>
                <w:highlight w:val="none"/>
                <w:lang w:eastAsia="zh-CN"/>
              </w:rPr>
              <w:t>搅拌粉尘、</w:t>
            </w:r>
            <w:r>
              <w:rPr>
                <w:rFonts w:hint="default" w:ascii="Times New Roman" w:hAnsi="Times New Roman" w:eastAsia="宋体" w:cs="Times New Roman"/>
                <w:color w:val="auto"/>
                <w:kern w:val="2"/>
                <w:sz w:val="24"/>
                <w:szCs w:val="24"/>
                <w:highlight w:val="none"/>
                <w:lang w:val="en-US" w:eastAsia="zh-CN"/>
              </w:rPr>
              <w:t>料仓扬尘、车辆运输扬尘、卸料粉尘、物料输送粉尘等</w:t>
            </w:r>
            <w:r>
              <w:rPr>
                <w:rFonts w:hint="default" w:ascii="Times New Roman" w:hAnsi="Times New Roman" w:eastAsia="宋体" w:cs="Times New Roman"/>
                <w:color w:val="auto"/>
                <w:kern w:val="2"/>
                <w:sz w:val="24"/>
                <w:szCs w:val="24"/>
                <w:highlight w:val="none"/>
              </w:rPr>
              <w:t>排放</w:t>
            </w:r>
            <w:r>
              <w:rPr>
                <w:rFonts w:hint="default" w:ascii="Times New Roman" w:hAnsi="Times New Roman" w:eastAsia="宋体" w:cs="Times New Roman"/>
                <w:color w:val="auto"/>
                <w:kern w:val="2"/>
                <w:sz w:val="24"/>
                <w:szCs w:val="24"/>
                <w:highlight w:val="none"/>
                <w:lang w:eastAsia="zh-CN"/>
              </w:rPr>
              <w:t>均</w:t>
            </w:r>
            <w:r>
              <w:rPr>
                <w:rFonts w:hint="default" w:ascii="Times New Roman" w:hAnsi="Times New Roman" w:eastAsia="宋体" w:cs="Times New Roman"/>
                <w:color w:val="auto"/>
                <w:kern w:val="2"/>
                <w:sz w:val="24"/>
                <w:szCs w:val="24"/>
                <w:highlight w:val="none"/>
              </w:rPr>
              <w:t>执行《水泥工业大气污染物排放标准》（GB4915-2013）中表3大气污染物无组织排放限值</w:t>
            </w:r>
            <w:r>
              <w:rPr>
                <w:rFonts w:hint="default" w:ascii="Times New Roman" w:hAnsi="Times New Roman" w:eastAsia="宋体" w:cs="Times New Roman"/>
                <w:color w:val="auto"/>
                <w:kern w:val="2"/>
                <w:sz w:val="24"/>
                <w:szCs w:val="24"/>
                <w:highlight w:val="none"/>
                <w:lang w:eastAsia="zh-CN"/>
              </w:rPr>
              <w:t>；</w:t>
            </w:r>
          </w:p>
          <w:p w14:paraId="0C1BE96D">
            <w:pPr>
              <w:keepNext w:val="0"/>
              <w:keepLines w:val="0"/>
              <w:pageBreakBefore w:val="0"/>
              <w:widowControl w:val="0"/>
              <w:kinsoku/>
              <w:wordWrap/>
              <w:overflowPunct/>
              <w:topLinePunct w:val="0"/>
              <w:autoSpaceDE/>
              <w:autoSpaceDN/>
              <w:bidi w:val="0"/>
              <w:adjustRightInd w:val="0"/>
              <w:snapToGrid w:val="0"/>
              <w:spacing w:after="0" w:line="360" w:lineRule="auto"/>
              <w:ind w:firstLine="482" w:firstLineChars="200"/>
              <w:jc w:val="both"/>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运输车辆废气：</w:t>
            </w:r>
          </w:p>
          <w:p w14:paraId="3C073104">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eastAsia="宋体" w:cs="Times New Roman"/>
                <w:color w:val="auto"/>
                <w:kern w:val="2"/>
                <w:sz w:val="24"/>
                <w:szCs w:val="24"/>
                <w:highlight w:val="none"/>
                <w:lang w:val="en-US" w:eastAsia="zh-CN"/>
              </w:rPr>
              <w:t>项目运营期运输车辆尾气无组织排放执行广东省《大气污染物排放限值》（DB44/27-2001）第二时段无组织排放监控浓度限值；</w:t>
            </w:r>
          </w:p>
          <w:p w14:paraId="611C0FCB">
            <w:pPr>
              <w:keepNext w:val="0"/>
              <w:keepLines w:val="0"/>
              <w:pageBreakBefore w:val="0"/>
              <w:widowControl w:val="0"/>
              <w:kinsoku/>
              <w:wordWrap/>
              <w:overflowPunct/>
              <w:topLinePunct w:val="0"/>
              <w:autoSpaceDE/>
              <w:autoSpaceDN/>
              <w:bidi w:val="0"/>
              <w:adjustRightInd w:val="0"/>
              <w:snapToGrid w:val="0"/>
              <w:spacing w:after="0" w:line="360" w:lineRule="auto"/>
              <w:ind w:firstLine="482" w:firstLineChars="200"/>
              <w:jc w:val="both"/>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焊接废气：</w:t>
            </w:r>
          </w:p>
          <w:p w14:paraId="48984B49">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eastAsia="宋体" w:cs="Times New Roman"/>
                <w:color w:val="auto"/>
                <w:kern w:val="2"/>
                <w:sz w:val="24"/>
                <w:szCs w:val="24"/>
                <w:highlight w:val="none"/>
                <w:lang w:val="en-US" w:eastAsia="zh-CN"/>
              </w:rPr>
              <w:t>项目焊接工序产生的焊接烟尘颗粒物经移动式烟尘净化器处理后无组织排放执行广东省《大气污染物排放限值》（DB44/27-2001）第二时段无组织排放监控浓度限值；具体排放标准数据见下表。</w:t>
            </w:r>
          </w:p>
          <w:p w14:paraId="202CF267">
            <w:pPr>
              <w:widowControl/>
              <w:adjustRightInd w:val="0"/>
              <w:snapToGrid w:val="0"/>
              <w:spacing w:line="240" w:lineRule="auto"/>
              <w:jc w:val="center"/>
              <w:rPr>
                <w:rFonts w:hint="default" w:ascii="Times New Roman" w:hAnsi="Times New Roman" w:cs="Times New Roman"/>
                <w:b/>
                <w:bCs/>
                <w:color w:val="auto"/>
                <w:szCs w:val="21"/>
                <w:highlight w:val="none"/>
                <w:lang w:val="en-US" w:eastAsia="zh-CN"/>
              </w:rPr>
            </w:pPr>
            <w:r>
              <w:rPr>
                <w:rFonts w:hint="default" w:ascii="Times New Roman" w:hAnsi="Times New Roman" w:cs="Times New Roman"/>
                <w:b/>
                <w:bCs/>
                <w:color w:val="auto"/>
                <w:szCs w:val="21"/>
                <w:highlight w:val="none"/>
                <w:lang w:eastAsia="zh-CN"/>
              </w:rPr>
              <w:t>表</w:t>
            </w:r>
            <w:r>
              <w:rPr>
                <w:rFonts w:hint="default" w:ascii="Times New Roman" w:hAnsi="Times New Roman" w:cs="Times New Roman"/>
                <w:b/>
                <w:bCs/>
                <w:color w:val="auto"/>
                <w:szCs w:val="21"/>
                <w:highlight w:val="none"/>
                <w:lang w:val="en-US" w:eastAsia="zh-CN"/>
              </w:rPr>
              <w:t>3-8 项目废气厂界无组织排放标准一览表</w:t>
            </w:r>
          </w:p>
          <w:tbl>
            <w:tblPr>
              <w:tblStyle w:val="35"/>
              <w:tblW w:w="9139" w:type="dxa"/>
              <w:tblInd w:w="-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4"/>
              <w:gridCol w:w="720"/>
              <w:gridCol w:w="1125"/>
              <w:gridCol w:w="1695"/>
              <w:gridCol w:w="4515"/>
            </w:tblGrid>
            <w:tr w14:paraId="40B8D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84" w:type="dxa"/>
                  <w:noWrap w:val="0"/>
                  <w:vAlign w:val="center"/>
                </w:tcPr>
                <w:p w14:paraId="3190420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产污工序</w:t>
                  </w:r>
                </w:p>
              </w:tc>
              <w:tc>
                <w:tcPr>
                  <w:tcW w:w="720" w:type="dxa"/>
                  <w:noWrap w:val="0"/>
                  <w:vAlign w:val="center"/>
                </w:tcPr>
                <w:p w14:paraId="5AE42CE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 w:val="21"/>
                      <w:szCs w:val="21"/>
                      <w:highlight w:val="none"/>
                      <w:vertAlign w:val="baseline"/>
                      <w:lang w:eastAsia="zh-CN"/>
                    </w:rPr>
                  </w:pPr>
                  <w:r>
                    <w:rPr>
                      <w:rFonts w:hint="default" w:ascii="Times New Roman" w:hAnsi="Times New Roman" w:cs="Times New Roman"/>
                      <w:b/>
                      <w:bCs/>
                      <w:color w:val="auto"/>
                      <w:sz w:val="21"/>
                      <w:szCs w:val="21"/>
                      <w:highlight w:val="none"/>
                      <w:vertAlign w:val="baseline"/>
                      <w:lang w:eastAsia="zh-CN"/>
                    </w:rPr>
                    <w:t>污染物</w:t>
                  </w:r>
                </w:p>
              </w:tc>
              <w:tc>
                <w:tcPr>
                  <w:tcW w:w="1125" w:type="dxa"/>
                  <w:noWrap w:val="0"/>
                  <w:vAlign w:val="center"/>
                </w:tcPr>
                <w:p w14:paraId="7AAED28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 w:val="21"/>
                      <w:szCs w:val="21"/>
                      <w:highlight w:val="none"/>
                      <w:vertAlign w:val="baseline"/>
                    </w:rPr>
                  </w:pPr>
                  <w:r>
                    <w:rPr>
                      <w:rFonts w:hint="default" w:ascii="Times New Roman" w:hAnsi="Times New Roman" w:cs="Times New Roman"/>
                      <w:b/>
                      <w:bCs/>
                      <w:color w:val="auto"/>
                      <w:sz w:val="21"/>
                      <w:szCs w:val="21"/>
                      <w:highlight w:val="none"/>
                      <w:vertAlign w:val="baseline"/>
                      <w:lang w:eastAsia="zh-CN"/>
                    </w:rPr>
                    <w:t>限值</w:t>
                  </w:r>
                  <w:r>
                    <w:rPr>
                      <w:rFonts w:hint="default" w:ascii="Times New Roman" w:hAnsi="Times New Roman" w:cs="Times New Roman"/>
                      <w:b/>
                      <w:bCs/>
                      <w:color w:val="auto"/>
                      <w:sz w:val="21"/>
                      <w:szCs w:val="21"/>
                      <w:highlight w:val="none"/>
                      <w:vertAlign w:val="baseline"/>
                    </w:rPr>
                    <w:t>（mg/m</w:t>
                  </w:r>
                  <w:r>
                    <w:rPr>
                      <w:rFonts w:hint="default" w:ascii="Times New Roman" w:hAnsi="Times New Roman" w:cs="Times New Roman"/>
                      <w:b/>
                      <w:bCs/>
                      <w:color w:val="auto"/>
                      <w:sz w:val="21"/>
                      <w:szCs w:val="21"/>
                      <w:highlight w:val="none"/>
                      <w:vertAlign w:val="superscript"/>
                    </w:rPr>
                    <w:t>3</w:t>
                  </w:r>
                  <w:r>
                    <w:rPr>
                      <w:rFonts w:hint="default" w:ascii="Times New Roman" w:hAnsi="Times New Roman" w:cs="Times New Roman"/>
                      <w:b/>
                      <w:bCs/>
                      <w:color w:val="auto"/>
                      <w:sz w:val="21"/>
                      <w:szCs w:val="21"/>
                      <w:highlight w:val="none"/>
                      <w:vertAlign w:val="baseline"/>
                    </w:rPr>
                    <w:t>）</w:t>
                  </w:r>
                </w:p>
              </w:tc>
              <w:tc>
                <w:tcPr>
                  <w:tcW w:w="1695" w:type="dxa"/>
                  <w:noWrap w:val="0"/>
                  <w:vAlign w:val="center"/>
                </w:tcPr>
                <w:p w14:paraId="2059F90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 w:val="21"/>
                      <w:szCs w:val="21"/>
                      <w:highlight w:val="none"/>
                      <w:vertAlign w:val="baseline"/>
                      <w:lang w:eastAsia="zh-CN"/>
                    </w:rPr>
                  </w:pPr>
                  <w:r>
                    <w:rPr>
                      <w:rFonts w:hint="default" w:ascii="Times New Roman" w:hAnsi="Times New Roman" w:cs="Times New Roman"/>
                      <w:b/>
                      <w:bCs/>
                      <w:color w:val="auto"/>
                      <w:szCs w:val="21"/>
                      <w:highlight w:val="none"/>
                    </w:rPr>
                    <w:t>无组织排放监控</w:t>
                  </w:r>
                  <w:r>
                    <w:rPr>
                      <w:rFonts w:hint="default" w:ascii="Times New Roman" w:hAnsi="Times New Roman" w:cs="Times New Roman"/>
                      <w:b/>
                      <w:bCs/>
                      <w:color w:val="auto"/>
                      <w:szCs w:val="21"/>
                      <w:highlight w:val="none"/>
                      <w:lang w:val="en-US" w:eastAsia="zh-CN"/>
                    </w:rPr>
                    <w:t>点</w:t>
                  </w:r>
                  <w:r>
                    <w:rPr>
                      <w:rFonts w:hint="default" w:ascii="Times New Roman" w:hAnsi="Times New Roman" w:cs="Times New Roman"/>
                      <w:b/>
                      <w:bCs/>
                      <w:color w:val="auto"/>
                      <w:szCs w:val="21"/>
                      <w:highlight w:val="none"/>
                    </w:rPr>
                    <w:t>位置</w:t>
                  </w:r>
                </w:p>
              </w:tc>
              <w:tc>
                <w:tcPr>
                  <w:tcW w:w="4515" w:type="dxa"/>
                  <w:noWrap w:val="0"/>
                  <w:vAlign w:val="center"/>
                </w:tcPr>
                <w:p w14:paraId="70AED6A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Cs w:val="21"/>
                      <w:highlight w:val="none"/>
                      <w:lang w:val="en-US" w:eastAsia="zh-CN"/>
                    </w:rPr>
                  </w:pPr>
                  <w:r>
                    <w:rPr>
                      <w:rFonts w:hint="default" w:ascii="Times New Roman" w:hAnsi="Times New Roman" w:cs="Times New Roman"/>
                      <w:b/>
                      <w:bCs/>
                      <w:color w:val="auto"/>
                      <w:szCs w:val="21"/>
                      <w:highlight w:val="none"/>
                      <w:lang w:val="en-US" w:eastAsia="zh-CN"/>
                    </w:rPr>
                    <w:t>执行标准</w:t>
                  </w:r>
                </w:p>
              </w:tc>
            </w:tr>
            <w:tr w14:paraId="23DC1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1084" w:type="dxa"/>
                  <w:noWrap w:val="0"/>
                  <w:vAlign w:val="center"/>
                </w:tcPr>
                <w:p w14:paraId="18D21C48">
                  <w:pPr>
                    <w:adjustRightInd w:val="0"/>
                    <w:snapToGrid w:val="0"/>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筒仓呼吸、搅拌等粉尘</w:t>
                  </w:r>
                </w:p>
              </w:tc>
              <w:tc>
                <w:tcPr>
                  <w:tcW w:w="720" w:type="dxa"/>
                  <w:noWrap w:val="0"/>
                  <w:vAlign w:val="center"/>
                </w:tcPr>
                <w:p w14:paraId="2F2E37CB">
                  <w:pPr>
                    <w:adjustRightInd w:val="0"/>
                    <w:snapToGrid w:val="0"/>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颗粒物</w:t>
                  </w:r>
                </w:p>
              </w:tc>
              <w:tc>
                <w:tcPr>
                  <w:tcW w:w="1125" w:type="dxa"/>
                  <w:noWrap w:val="0"/>
                  <w:vAlign w:val="center"/>
                </w:tcPr>
                <w:p w14:paraId="43099F67">
                  <w:pPr>
                    <w:adjustRightInd w:val="0"/>
                    <w:snapToGrid w:val="0"/>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0.5</w:t>
                  </w:r>
                </w:p>
              </w:tc>
              <w:tc>
                <w:tcPr>
                  <w:tcW w:w="1695" w:type="dxa"/>
                  <w:noWrap w:val="0"/>
                  <w:vAlign w:val="center"/>
                </w:tcPr>
                <w:p w14:paraId="4BB94BCC">
                  <w:pPr>
                    <w:adjustRightInd w:val="0"/>
                    <w:snapToGrid w:val="0"/>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color w:val="auto"/>
                      <w:szCs w:val="21"/>
                      <w:highlight w:val="none"/>
                      <w:lang w:val="en-US" w:eastAsia="zh-CN"/>
                    </w:rPr>
                    <w:t>厂</w:t>
                  </w:r>
                  <w:r>
                    <w:rPr>
                      <w:rFonts w:hint="default" w:ascii="Times New Roman" w:hAnsi="Times New Roman" w:cs="Times New Roman"/>
                      <w:color w:val="auto"/>
                      <w:szCs w:val="21"/>
                      <w:highlight w:val="none"/>
                    </w:rPr>
                    <w:t>界外20m处上风向设参照点，下风向设监控点</w:t>
                  </w:r>
                </w:p>
              </w:tc>
              <w:tc>
                <w:tcPr>
                  <w:tcW w:w="4515" w:type="dxa"/>
                  <w:noWrap w:val="0"/>
                  <w:vAlign w:val="center"/>
                </w:tcPr>
                <w:p w14:paraId="2F4A1187">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szCs w:val="21"/>
                      <w:highlight w:val="none"/>
                    </w:rPr>
                    <w:t>《水泥工业大气污染物排放标准》（GB4915-2013）中表3大气污染物无组织排放限值</w:t>
                  </w:r>
                </w:p>
              </w:tc>
            </w:tr>
            <w:tr w14:paraId="67E6C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1084" w:type="dxa"/>
                  <w:noWrap w:val="0"/>
                  <w:vAlign w:val="center"/>
                </w:tcPr>
                <w:p w14:paraId="65019C59">
                  <w:pPr>
                    <w:adjustRightInd w:val="0"/>
                    <w:snapToGrid w:val="0"/>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焊接烟尘</w:t>
                  </w:r>
                </w:p>
              </w:tc>
              <w:tc>
                <w:tcPr>
                  <w:tcW w:w="720" w:type="dxa"/>
                  <w:noWrap w:val="0"/>
                  <w:vAlign w:val="center"/>
                </w:tcPr>
                <w:p w14:paraId="3499160D">
                  <w:pPr>
                    <w:adjustRightInd w:val="0"/>
                    <w:snapToGrid w:val="0"/>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颗粒物</w:t>
                  </w:r>
                </w:p>
              </w:tc>
              <w:tc>
                <w:tcPr>
                  <w:tcW w:w="1125" w:type="dxa"/>
                  <w:noWrap w:val="0"/>
                  <w:vAlign w:val="center"/>
                </w:tcPr>
                <w:p w14:paraId="7232B901">
                  <w:pPr>
                    <w:adjustRightInd w:val="0"/>
                    <w:snapToGrid w:val="0"/>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1.0</w:t>
                  </w:r>
                </w:p>
              </w:tc>
              <w:tc>
                <w:tcPr>
                  <w:tcW w:w="1695" w:type="dxa"/>
                  <w:noWrap w:val="0"/>
                  <w:vAlign w:val="center"/>
                </w:tcPr>
                <w:p w14:paraId="723B1310">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周界外浓度最</w:t>
                  </w:r>
                </w:p>
                <w:p w14:paraId="15389E6C">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高点</w:t>
                  </w:r>
                </w:p>
              </w:tc>
              <w:tc>
                <w:tcPr>
                  <w:tcW w:w="4515" w:type="dxa"/>
                  <w:noWrap w:val="0"/>
                  <w:vAlign w:val="center"/>
                </w:tcPr>
                <w:p w14:paraId="11DFD6C3">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广东省《大气污染物排放限值》（DB44/27-2001）第二时段无组织排放监控浓度限值</w:t>
                  </w:r>
                </w:p>
              </w:tc>
            </w:tr>
            <w:tr w14:paraId="2D318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1804" w:type="dxa"/>
                  <w:gridSpan w:val="2"/>
                  <w:noWrap w:val="0"/>
                  <w:vAlign w:val="center"/>
                </w:tcPr>
                <w:p w14:paraId="5B0A8CAD">
                  <w:pPr>
                    <w:adjustRightInd w:val="0"/>
                    <w:snapToGrid w:val="0"/>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颗粒物</w:t>
                  </w:r>
                </w:p>
              </w:tc>
              <w:tc>
                <w:tcPr>
                  <w:tcW w:w="1125" w:type="dxa"/>
                  <w:noWrap w:val="0"/>
                  <w:vAlign w:val="center"/>
                </w:tcPr>
                <w:p w14:paraId="70A56C46">
                  <w:pPr>
                    <w:adjustRightInd w:val="0"/>
                    <w:snapToGrid w:val="0"/>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0.5</w:t>
                  </w:r>
                </w:p>
              </w:tc>
              <w:tc>
                <w:tcPr>
                  <w:tcW w:w="1695" w:type="dxa"/>
                  <w:noWrap w:val="0"/>
                  <w:vAlign w:val="center"/>
                </w:tcPr>
                <w:p w14:paraId="2C46D56F">
                  <w:pPr>
                    <w:adjustRightInd w:val="0"/>
                    <w:snapToGrid w:val="0"/>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color w:val="auto"/>
                      <w:szCs w:val="21"/>
                      <w:highlight w:val="none"/>
                      <w:lang w:val="en-US" w:eastAsia="zh-CN"/>
                    </w:rPr>
                    <w:t>厂</w:t>
                  </w:r>
                  <w:r>
                    <w:rPr>
                      <w:rFonts w:hint="default" w:ascii="Times New Roman" w:hAnsi="Times New Roman" w:cs="Times New Roman"/>
                      <w:color w:val="auto"/>
                      <w:szCs w:val="21"/>
                      <w:highlight w:val="none"/>
                    </w:rPr>
                    <w:t>界外20m处上风向设参照点，下风向设监控点</w:t>
                  </w:r>
                </w:p>
              </w:tc>
              <w:tc>
                <w:tcPr>
                  <w:tcW w:w="4515" w:type="dxa"/>
                  <w:noWrap w:val="0"/>
                  <w:vAlign w:val="center"/>
                </w:tcPr>
                <w:p w14:paraId="46029381">
                  <w:pPr>
                    <w:adjustRightInd w:val="0"/>
                    <w:snapToGrid w:val="0"/>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rPr>
                    <w:t>水泥工业大气污染物排放标准》（GB4915-2013）中表3大气污染物无组织排放限值</w:t>
                  </w:r>
                  <w:r>
                    <w:rPr>
                      <w:rFonts w:hint="default" w:ascii="Times New Roman" w:hAnsi="Times New Roman" w:eastAsia="宋体" w:cs="Times New Roman"/>
                      <w:color w:val="auto"/>
                      <w:szCs w:val="21"/>
                      <w:highlight w:val="none"/>
                      <w:lang w:val="en-US" w:eastAsia="zh-CN"/>
                    </w:rPr>
                    <w:t>及广东省《大气污染物排放限值》（DB44/27-2001）第二时段无组织排放监控浓度限值较严值</w:t>
                  </w:r>
                </w:p>
              </w:tc>
            </w:tr>
            <w:tr w14:paraId="7C23C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084" w:type="dxa"/>
                  <w:vMerge w:val="restart"/>
                  <w:noWrap w:val="0"/>
                  <w:vAlign w:val="center"/>
                </w:tcPr>
                <w:p w14:paraId="45F85484">
                  <w:pPr>
                    <w:adjustRightInd w:val="0"/>
                    <w:snapToGrid w:val="0"/>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运输车辆尾气</w:t>
                  </w:r>
                </w:p>
              </w:tc>
              <w:tc>
                <w:tcPr>
                  <w:tcW w:w="720" w:type="dxa"/>
                  <w:noWrap w:val="0"/>
                  <w:vAlign w:val="center"/>
                </w:tcPr>
                <w:p w14:paraId="5849D0B3">
                  <w:pPr>
                    <w:adjustRightInd w:val="0"/>
                    <w:snapToGrid w:val="0"/>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CO</w:t>
                  </w:r>
                </w:p>
              </w:tc>
              <w:tc>
                <w:tcPr>
                  <w:tcW w:w="1125" w:type="dxa"/>
                  <w:noWrap w:val="0"/>
                  <w:vAlign w:val="center"/>
                </w:tcPr>
                <w:p w14:paraId="541D1CEA">
                  <w:pPr>
                    <w:adjustRightInd w:val="0"/>
                    <w:snapToGrid w:val="0"/>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8.0</w:t>
                  </w:r>
                </w:p>
              </w:tc>
              <w:tc>
                <w:tcPr>
                  <w:tcW w:w="1695" w:type="dxa"/>
                  <w:noWrap w:val="0"/>
                  <w:vAlign w:val="center"/>
                </w:tcPr>
                <w:p w14:paraId="2B7E19EA">
                  <w:pPr>
                    <w:adjustRightInd w:val="0"/>
                    <w:snapToGrid w:val="0"/>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w:t>
                  </w:r>
                </w:p>
              </w:tc>
              <w:tc>
                <w:tcPr>
                  <w:tcW w:w="4515" w:type="dxa"/>
                  <w:vMerge w:val="restart"/>
                  <w:noWrap w:val="0"/>
                  <w:vAlign w:val="center"/>
                </w:tcPr>
                <w:p w14:paraId="3BC2AC5E">
                  <w:pPr>
                    <w:adjustRightInd w:val="0"/>
                    <w:snapToGrid w:val="0"/>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eastAsia="宋体" w:cs="Times New Roman"/>
                      <w:color w:val="auto"/>
                      <w:szCs w:val="21"/>
                      <w:highlight w:val="none"/>
                      <w:lang w:val="en-US" w:eastAsia="zh-CN"/>
                    </w:rPr>
                    <w:t>广东省《大气污染物排放限值》（DB44/27-2001）第二时段无组织排放监控浓度限值</w:t>
                  </w:r>
                </w:p>
              </w:tc>
            </w:tr>
            <w:tr w14:paraId="2E8D3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084" w:type="dxa"/>
                  <w:vMerge w:val="continue"/>
                  <w:noWrap w:val="0"/>
                  <w:vAlign w:val="center"/>
                </w:tcPr>
                <w:p w14:paraId="3797B9FB">
                  <w:pPr>
                    <w:adjustRightInd w:val="0"/>
                    <w:snapToGrid w:val="0"/>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p>
              </w:tc>
              <w:tc>
                <w:tcPr>
                  <w:tcW w:w="720" w:type="dxa"/>
                  <w:noWrap w:val="0"/>
                  <w:vAlign w:val="center"/>
                </w:tcPr>
                <w:p w14:paraId="2B313529">
                  <w:pPr>
                    <w:adjustRightInd w:val="0"/>
                    <w:snapToGrid w:val="0"/>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NOx</w:t>
                  </w:r>
                </w:p>
              </w:tc>
              <w:tc>
                <w:tcPr>
                  <w:tcW w:w="1125" w:type="dxa"/>
                  <w:noWrap w:val="0"/>
                  <w:vAlign w:val="center"/>
                </w:tcPr>
                <w:p w14:paraId="69F2BF89">
                  <w:pPr>
                    <w:adjustRightInd w:val="0"/>
                    <w:snapToGrid w:val="0"/>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0.12</w:t>
                  </w:r>
                </w:p>
              </w:tc>
              <w:tc>
                <w:tcPr>
                  <w:tcW w:w="1695" w:type="dxa"/>
                  <w:noWrap w:val="0"/>
                  <w:vAlign w:val="center"/>
                </w:tcPr>
                <w:p w14:paraId="18AE32EB">
                  <w:pPr>
                    <w:adjustRightInd w:val="0"/>
                    <w:snapToGrid w:val="0"/>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w:t>
                  </w:r>
                </w:p>
              </w:tc>
              <w:tc>
                <w:tcPr>
                  <w:tcW w:w="4515" w:type="dxa"/>
                  <w:vMerge w:val="continue"/>
                  <w:noWrap w:val="0"/>
                  <w:vAlign w:val="center"/>
                </w:tcPr>
                <w:p w14:paraId="5067C591">
                  <w:pPr>
                    <w:adjustRightInd w:val="0"/>
                    <w:snapToGrid w:val="0"/>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p>
              </w:tc>
            </w:tr>
            <w:tr w14:paraId="0D62E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084" w:type="dxa"/>
                  <w:vMerge w:val="continue"/>
                  <w:noWrap w:val="0"/>
                  <w:vAlign w:val="center"/>
                </w:tcPr>
                <w:p w14:paraId="2404CA14">
                  <w:pPr>
                    <w:adjustRightInd w:val="0"/>
                    <w:snapToGrid w:val="0"/>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p>
              </w:tc>
              <w:tc>
                <w:tcPr>
                  <w:tcW w:w="720" w:type="dxa"/>
                  <w:noWrap w:val="0"/>
                  <w:vAlign w:val="center"/>
                </w:tcPr>
                <w:p w14:paraId="52BCEAC0">
                  <w:pPr>
                    <w:adjustRightInd w:val="0"/>
                    <w:snapToGrid w:val="0"/>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THC</w:t>
                  </w:r>
                </w:p>
              </w:tc>
              <w:tc>
                <w:tcPr>
                  <w:tcW w:w="1125" w:type="dxa"/>
                  <w:noWrap w:val="0"/>
                  <w:vAlign w:val="center"/>
                </w:tcPr>
                <w:p w14:paraId="1320F4B1">
                  <w:pPr>
                    <w:adjustRightInd w:val="0"/>
                    <w:snapToGrid w:val="0"/>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4.0</w:t>
                  </w:r>
                </w:p>
              </w:tc>
              <w:tc>
                <w:tcPr>
                  <w:tcW w:w="1695" w:type="dxa"/>
                  <w:noWrap w:val="0"/>
                  <w:vAlign w:val="center"/>
                </w:tcPr>
                <w:p w14:paraId="1A7335E7">
                  <w:pPr>
                    <w:adjustRightInd w:val="0"/>
                    <w:snapToGrid w:val="0"/>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w:t>
                  </w:r>
                </w:p>
              </w:tc>
              <w:tc>
                <w:tcPr>
                  <w:tcW w:w="4515" w:type="dxa"/>
                  <w:vMerge w:val="continue"/>
                  <w:noWrap w:val="0"/>
                  <w:vAlign w:val="center"/>
                </w:tcPr>
                <w:p w14:paraId="50C4B272">
                  <w:pPr>
                    <w:adjustRightInd w:val="0"/>
                    <w:snapToGrid w:val="0"/>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p>
              </w:tc>
            </w:tr>
          </w:tbl>
          <w:p w14:paraId="78828514">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cs="Times New Roman"/>
                <w:b/>
                <w:bCs/>
                <w:color w:val="auto"/>
                <w:sz w:val="24"/>
                <w:szCs w:val="21"/>
                <w:highlight w:val="none"/>
              </w:rPr>
            </w:pPr>
            <w:r>
              <w:rPr>
                <w:rFonts w:hint="default" w:ascii="Times New Roman" w:hAnsi="Times New Roman" w:cs="Times New Roman"/>
                <w:b/>
                <w:bCs/>
                <w:color w:val="auto"/>
                <w:sz w:val="24"/>
                <w:szCs w:val="21"/>
                <w:highlight w:val="none"/>
              </w:rPr>
              <w:t>3、噪声排放标准</w:t>
            </w:r>
          </w:p>
          <w:p w14:paraId="2F1B3932">
            <w:pPr>
              <w:pStyle w:val="64"/>
              <w:keepNext w:val="0"/>
              <w:keepLines w:val="0"/>
              <w:pageBreakBefore w:val="0"/>
              <w:widowControl w:val="0"/>
              <w:kinsoku/>
              <w:wordWrap/>
              <w:overflowPunct/>
              <w:topLinePunct w:val="0"/>
              <w:autoSpaceDE/>
              <w:autoSpaceDN/>
              <w:bidi w:val="0"/>
              <w:adjustRightInd w:val="0"/>
              <w:snapToGrid w:val="0"/>
              <w:spacing w:before="0" w:after="0"/>
              <w:ind w:firstLine="480"/>
              <w:textAlignment w:val="auto"/>
              <w:rPr>
                <w:rFonts w:hint="default" w:ascii="Times New Roman" w:hAnsi="Times New Roman" w:cs="Times New Roman"/>
                <w:b/>
                <w:color w:val="auto"/>
                <w:sz w:val="21"/>
                <w:szCs w:val="21"/>
                <w:highlight w:val="none"/>
              </w:rPr>
            </w:pPr>
            <w:r>
              <w:rPr>
                <w:rFonts w:hint="default" w:ascii="Times New Roman" w:hAnsi="Times New Roman" w:cs="Times New Roman"/>
                <w:color w:val="auto"/>
                <w:szCs w:val="21"/>
                <w:highlight w:val="none"/>
                <w:lang w:val="en-US" w:eastAsia="zh-CN"/>
              </w:rPr>
              <w:t>运营期</w:t>
            </w:r>
            <w:r>
              <w:rPr>
                <w:rFonts w:hint="default" w:ascii="Times New Roman" w:hAnsi="Times New Roman" w:cs="Times New Roman"/>
                <w:color w:val="auto"/>
                <w:highlight w:val="none"/>
                <w:lang w:val="en-US" w:eastAsia="zh-CN"/>
              </w:rPr>
              <w:t>厂界北面、西面、南面</w:t>
            </w:r>
            <w:r>
              <w:rPr>
                <w:rFonts w:hint="default" w:ascii="Times New Roman" w:hAnsi="Times New Roman" w:cs="Times New Roman"/>
                <w:color w:val="auto"/>
                <w:szCs w:val="21"/>
                <w:highlight w:val="none"/>
              </w:rPr>
              <w:t>噪声控制执行《工业企业厂界环境噪声排放标准》（GB12348-2008）中的</w:t>
            </w:r>
            <w:r>
              <w:rPr>
                <w:rFonts w:hint="default" w:ascii="Times New Roman" w:hAnsi="Times New Roman" w:cs="Times New Roman"/>
                <w:color w:val="auto"/>
                <w:szCs w:val="21"/>
                <w:highlight w:val="none"/>
                <w:lang w:val="en-US" w:eastAsia="zh-CN"/>
              </w:rPr>
              <w:t>3</w:t>
            </w:r>
            <w:r>
              <w:rPr>
                <w:rFonts w:hint="default" w:ascii="Times New Roman" w:hAnsi="Times New Roman" w:cs="Times New Roman"/>
                <w:color w:val="auto"/>
                <w:szCs w:val="21"/>
                <w:highlight w:val="none"/>
              </w:rPr>
              <w:t>类标准，</w:t>
            </w:r>
            <w:r>
              <w:rPr>
                <w:rFonts w:hint="default" w:ascii="Times New Roman" w:hAnsi="Times New Roman" w:cs="Times New Roman"/>
                <w:color w:val="auto"/>
                <w:highlight w:val="none"/>
                <w:lang w:val="en-US" w:eastAsia="zh-CN"/>
              </w:rPr>
              <w:t>厂界东面</w:t>
            </w:r>
            <w:r>
              <w:rPr>
                <w:rFonts w:hint="default" w:ascii="Times New Roman" w:hAnsi="Times New Roman" w:cs="Times New Roman"/>
                <w:color w:val="auto"/>
                <w:szCs w:val="21"/>
                <w:highlight w:val="none"/>
              </w:rPr>
              <w:t>噪声控制执行《工业企业厂界环境噪声排放标准》（GB12348-2008）中的</w:t>
            </w:r>
            <w:r>
              <w:rPr>
                <w:rFonts w:hint="default" w:ascii="Times New Roman" w:hAnsi="Times New Roman" w:cs="Times New Roman"/>
                <w:color w:val="auto"/>
                <w:szCs w:val="21"/>
                <w:highlight w:val="none"/>
                <w:lang w:val="en-US" w:eastAsia="zh-CN"/>
              </w:rPr>
              <w:t>4a</w:t>
            </w:r>
            <w:r>
              <w:rPr>
                <w:rFonts w:hint="default" w:ascii="Times New Roman" w:hAnsi="Times New Roman" w:cs="Times New Roman"/>
                <w:color w:val="auto"/>
                <w:szCs w:val="21"/>
                <w:highlight w:val="none"/>
              </w:rPr>
              <w:t>类标准</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具体</w:t>
            </w:r>
            <w:r>
              <w:rPr>
                <w:rFonts w:hint="default" w:ascii="Times New Roman" w:hAnsi="Times New Roman" w:cs="Times New Roman"/>
                <w:color w:val="auto"/>
                <w:szCs w:val="21"/>
                <w:highlight w:val="none"/>
              </w:rPr>
              <w:t>标准值见下表。</w:t>
            </w:r>
          </w:p>
          <w:p w14:paraId="14E76E6F">
            <w:pPr>
              <w:pStyle w:val="64"/>
              <w:spacing w:before="0" w:after="0" w:line="240" w:lineRule="auto"/>
              <w:ind w:firstLine="422"/>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表</w:t>
            </w:r>
            <w:r>
              <w:rPr>
                <w:rFonts w:hint="default" w:ascii="Times New Roman" w:hAnsi="Times New Roman" w:cs="Times New Roman"/>
                <w:b/>
                <w:color w:val="auto"/>
                <w:sz w:val="21"/>
                <w:szCs w:val="21"/>
                <w:highlight w:val="none"/>
                <w:lang w:val="en-US" w:eastAsia="zh-CN"/>
              </w:rPr>
              <w:t xml:space="preserve">3-9 </w:t>
            </w:r>
            <w:r>
              <w:rPr>
                <w:rFonts w:hint="default" w:ascii="Times New Roman" w:hAnsi="Times New Roman" w:cs="Times New Roman"/>
                <w:b/>
                <w:color w:val="auto"/>
                <w:sz w:val="21"/>
                <w:szCs w:val="21"/>
                <w:highlight w:val="none"/>
              </w:rPr>
              <w:t>噪声控制标准 单位：dB(A)</w:t>
            </w:r>
          </w:p>
          <w:tbl>
            <w:tblPr>
              <w:tblStyle w:val="34"/>
              <w:tblW w:w="9119" w:type="dxa"/>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2973"/>
              <w:gridCol w:w="1455"/>
              <w:gridCol w:w="1306"/>
              <w:gridCol w:w="3385"/>
            </w:tblGrid>
            <w:tr w14:paraId="3C7E2856">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PrEx>
              <w:trPr>
                <w:trHeight w:val="373" w:hRule="atLeast"/>
                <w:jc w:val="center"/>
              </w:trPr>
              <w:tc>
                <w:tcPr>
                  <w:tcW w:w="2973" w:type="dxa"/>
                  <w:tcBorders>
                    <w:top w:val="single" w:color="auto" w:sz="4" w:space="0"/>
                    <w:left w:val="single" w:color="auto" w:sz="0" w:space="0"/>
                    <w:bottom w:val="single" w:color="auto" w:sz="4" w:space="0"/>
                    <w:right w:val="single" w:color="auto" w:sz="4" w:space="0"/>
                  </w:tcBorders>
                  <w:noWrap w:val="0"/>
                  <w:vAlign w:val="center"/>
                </w:tcPr>
                <w:p w14:paraId="53617152">
                  <w:pPr>
                    <w:pStyle w:val="78"/>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类 别</w:t>
                  </w:r>
                </w:p>
              </w:tc>
              <w:tc>
                <w:tcPr>
                  <w:tcW w:w="1455" w:type="dxa"/>
                  <w:tcBorders>
                    <w:top w:val="single" w:color="auto" w:sz="4" w:space="0"/>
                    <w:left w:val="single" w:color="auto" w:sz="4" w:space="0"/>
                    <w:bottom w:val="single" w:color="auto" w:sz="4" w:space="0"/>
                    <w:right w:val="single" w:color="auto" w:sz="4" w:space="0"/>
                  </w:tcBorders>
                  <w:noWrap w:val="0"/>
                  <w:vAlign w:val="center"/>
                </w:tcPr>
                <w:p w14:paraId="1E140748">
                  <w:pPr>
                    <w:pStyle w:val="78"/>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昼间</w:t>
                  </w:r>
                </w:p>
              </w:tc>
              <w:tc>
                <w:tcPr>
                  <w:tcW w:w="1306" w:type="dxa"/>
                  <w:tcBorders>
                    <w:top w:val="single" w:color="auto" w:sz="4" w:space="0"/>
                    <w:left w:val="single" w:color="auto" w:sz="4" w:space="0"/>
                    <w:bottom w:val="single" w:color="auto" w:sz="4" w:space="0"/>
                    <w:right w:val="single" w:color="auto" w:sz="4" w:space="0"/>
                  </w:tcBorders>
                  <w:noWrap w:val="0"/>
                  <w:vAlign w:val="center"/>
                </w:tcPr>
                <w:p w14:paraId="59E6C4CC">
                  <w:pPr>
                    <w:pStyle w:val="78"/>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夜间</w:t>
                  </w:r>
                </w:p>
              </w:tc>
              <w:tc>
                <w:tcPr>
                  <w:tcW w:w="3385" w:type="dxa"/>
                  <w:tcBorders>
                    <w:top w:val="single" w:color="auto" w:sz="4" w:space="0"/>
                    <w:left w:val="single" w:color="auto" w:sz="4" w:space="0"/>
                    <w:bottom w:val="single" w:color="auto" w:sz="4" w:space="0"/>
                    <w:right w:val="single" w:color="auto" w:sz="4" w:space="0"/>
                  </w:tcBorders>
                  <w:noWrap w:val="0"/>
                  <w:vAlign w:val="center"/>
                </w:tcPr>
                <w:p w14:paraId="58732E65">
                  <w:pPr>
                    <w:pStyle w:val="78"/>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依据</w:t>
                  </w:r>
                </w:p>
              </w:tc>
            </w:tr>
            <w:tr w14:paraId="4C1078D2">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424" w:hRule="atLeast"/>
                <w:jc w:val="center"/>
              </w:trPr>
              <w:tc>
                <w:tcPr>
                  <w:tcW w:w="2973" w:type="dxa"/>
                  <w:tcBorders>
                    <w:top w:val="single" w:color="auto" w:sz="4" w:space="0"/>
                    <w:left w:val="single" w:color="auto" w:sz="4" w:space="0"/>
                    <w:bottom w:val="single" w:color="auto" w:sz="4" w:space="0"/>
                    <w:right w:val="single" w:color="auto" w:sz="4" w:space="0"/>
                  </w:tcBorders>
                  <w:noWrap w:val="0"/>
                  <w:vAlign w:val="center"/>
                </w:tcPr>
                <w:p w14:paraId="20FC3E62">
                  <w:pPr>
                    <w:pStyle w:val="78"/>
                    <w:rPr>
                      <w:rFonts w:hint="default" w:ascii="Times New Roman" w:hAnsi="Times New Roman" w:cs="Times New Roman"/>
                      <w:color w:val="auto"/>
                      <w:highlight w:val="none"/>
                      <w:lang w:val="en-US"/>
                    </w:rPr>
                  </w:pPr>
                  <w:r>
                    <w:rPr>
                      <w:rFonts w:hint="default" w:ascii="Times New Roman" w:hAnsi="Times New Roman" w:cs="Times New Roman"/>
                      <w:color w:val="auto"/>
                      <w:highlight w:val="none"/>
                      <w:lang w:val="en-US" w:eastAsia="zh-CN"/>
                    </w:rPr>
                    <w:t>项目厂界北面、西面、南面</w:t>
                  </w:r>
                </w:p>
              </w:tc>
              <w:tc>
                <w:tcPr>
                  <w:tcW w:w="1455" w:type="dxa"/>
                  <w:tcBorders>
                    <w:top w:val="single" w:color="auto" w:sz="4" w:space="0"/>
                    <w:left w:val="single" w:color="auto" w:sz="4" w:space="0"/>
                    <w:bottom w:val="single" w:color="auto" w:sz="4" w:space="0"/>
                    <w:right w:val="single" w:color="auto" w:sz="4" w:space="0"/>
                  </w:tcBorders>
                  <w:noWrap w:val="0"/>
                  <w:vAlign w:val="center"/>
                </w:tcPr>
                <w:p w14:paraId="467021FC">
                  <w:pPr>
                    <w:pStyle w:val="78"/>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65</w:t>
                  </w:r>
                </w:p>
              </w:tc>
              <w:tc>
                <w:tcPr>
                  <w:tcW w:w="1306" w:type="dxa"/>
                  <w:tcBorders>
                    <w:top w:val="single" w:color="auto" w:sz="4" w:space="0"/>
                    <w:left w:val="single" w:color="auto" w:sz="4" w:space="0"/>
                    <w:bottom w:val="single" w:color="auto" w:sz="4" w:space="0"/>
                    <w:right w:val="single" w:color="auto" w:sz="4" w:space="0"/>
                  </w:tcBorders>
                  <w:noWrap w:val="0"/>
                  <w:vAlign w:val="center"/>
                </w:tcPr>
                <w:p w14:paraId="4ED2BA7E">
                  <w:pPr>
                    <w:pStyle w:val="78"/>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55</w:t>
                  </w:r>
                </w:p>
              </w:tc>
              <w:tc>
                <w:tcPr>
                  <w:tcW w:w="3385" w:type="dxa"/>
                  <w:tcBorders>
                    <w:top w:val="single" w:color="auto" w:sz="4" w:space="0"/>
                    <w:left w:val="single" w:color="auto" w:sz="4" w:space="0"/>
                    <w:bottom w:val="single" w:color="auto" w:sz="4" w:space="0"/>
                    <w:right w:val="single" w:color="auto" w:sz="4" w:space="0"/>
                  </w:tcBorders>
                  <w:noWrap w:val="0"/>
                  <w:vAlign w:val="center"/>
                </w:tcPr>
                <w:p w14:paraId="4834C8B7">
                  <w:pPr>
                    <w:pStyle w:val="78"/>
                    <w:rPr>
                      <w:rFonts w:hint="default" w:ascii="Times New Roman" w:hAnsi="Times New Roman" w:cs="Times New Roman"/>
                      <w:color w:val="auto"/>
                      <w:highlight w:val="none"/>
                    </w:rPr>
                  </w:pPr>
                  <w:r>
                    <w:rPr>
                      <w:rFonts w:hint="default" w:ascii="Times New Roman" w:hAnsi="Times New Roman" w:cs="Times New Roman"/>
                      <w:color w:val="auto"/>
                      <w:highlight w:val="none"/>
                    </w:rPr>
                    <w:t>（GB12348-2008）</w:t>
                  </w:r>
                  <w:r>
                    <w:rPr>
                      <w:rFonts w:hint="default" w:ascii="Times New Roman" w:hAnsi="Times New Roman" w:cs="Times New Roman"/>
                      <w:color w:val="auto"/>
                      <w:highlight w:val="none"/>
                      <w:lang w:val="en-US" w:eastAsia="zh-CN"/>
                    </w:rPr>
                    <w:t>3</w:t>
                  </w:r>
                  <w:r>
                    <w:rPr>
                      <w:rFonts w:hint="default" w:ascii="Times New Roman" w:hAnsi="Times New Roman" w:cs="Times New Roman"/>
                      <w:color w:val="auto"/>
                      <w:highlight w:val="none"/>
                    </w:rPr>
                    <w:t>类标准</w:t>
                  </w:r>
                </w:p>
              </w:tc>
            </w:tr>
            <w:tr w14:paraId="0B261BF3">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430" w:hRule="atLeast"/>
                <w:jc w:val="center"/>
              </w:trPr>
              <w:tc>
                <w:tcPr>
                  <w:tcW w:w="2973" w:type="dxa"/>
                  <w:tcBorders>
                    <w:top w:val="single" w:color="auto" w:sz="4" w:space="0"/>
                    <w:left w:val="single" w:color="auto" w:sz="4" w:space="0"/>
                    <w:bottom w:val="single" w:color="auto" w:sz="4" w:space="0"/>
                    <w:right w:val="single" w:color="auto" w:sz="4" w:space="0"/>
                  </w:tcBorders>
                  <w:noWrap w:val="0"/>
                  <w:vAlign w:val="center"/>
                </w:tcPr>
                <w:p w14:paraId="0DE7169D">
                  <w:pPr>
                    <w:pStyle w:val="78"/>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项目厂界东面</w:t>
                  </w:r>
                </w:p>
              </w:tc>
              <w:tc>
                <w:tcPr>
                  <w:tcW w:w="1455" w:type="dxa"/>
                  <w:tcBorders>
                    <w:top w:val="single" w:color="auto" w:sz="4" w:space="0"/>
                    <w:left w:val="single" w:color="auto" w:sz="4" w:space="0"/>
                    <w:bottom w:val="single" w:color="auto" w:sz="4" w:space="0"/>
                    <w:right w:val="single" w:color="auto" w:sz="4" w:space="0"/>
                  </w:tcBorders>
                  <w:noWrap w:val="0"/>
                  <w:vAlign w:val="center"/>
                </w:tcPr>
                <w:p w14:paraId="6B5A6C01">
                  <w:pPr>
                    <w:pStyle w:val="78"/>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70</w:t>
                  </w:r>
                </w:p>
              </w:tc>
              <w:tc>
                <w:tcPr>
                  <w:tcW w:w="1306" w:type="dxa"/>
                  <w:tcBorders>
                    <w:top w:val="single" w:color="auto" w:sz="4" w:space="0"/>
                    <w:left w:val="single" w:color="auto" w:sz="4" w:space="0"/>
                    <w:bottom w:val="single" w:color="auto" w:sz="4" w:space="0"/>
                    <w:right w:val="single" w:color="auto" w:sz="4" w:space="0"/>
                  </w:tcBorders>
                  <w:noWrap w:val="0"/>
                  <w:vAlign w:val="center"/>
                </w:tcPr>
                <w:p w14:paraId="2EB673DE">
                  <w:pPr>
                    <w:pStyle w:val="78"/>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55</w:t>
                  </w:r>
                </w:p>
              </w:tc>
              <w:tc>
                <w:tcPr>
                  <w:tcW w:w="3385" w:type="dxa"/>
                  <w:tcBorders>
                    <w:top w:val="single" w:color="auto" w:sz="4" w:space="0"/>
                    <w:left w:val="single" w:color="auto" w:sz="4" w:space="0"/>
                    <w:bottom w:val="single" w:color="auto" w:sz="4" w:space="0"/>
                    <w:right w:val="single" w:color="auto" w:sz="4" w:space="0"/>
                  </w:tcBorders>
                  <w:noWrap w:val="0"/>
                  <w:vAlign w:val="center"/>
                </w:tcPr>
                <w:p w14:paraId="78679740">
                  <w:pPr>
                    <w:pStyle w:val="78"/>
                    <w:rPr>
                      <w:rFonts w:hint="default" w:ascii="Times New Roman" w:hAnsi="Times New Roman" w:cs="Times New Roman"/>
                      <w:color w:val="auto"/>
                      <w:highlight w:val="none"/>
                    </w:rPr>
                  </w:pPr>
                  <w:r>
                    <w:rPr>
                      <w:rFonts w:hint="default" w:ascii="Times New Roman" w:hAnsi="Times New Roman" w:cs="Times New Roman"/>
                      <w:color w:val="auto"/>
                      <w:highlight w:val="none"/>
                    </w:rPr>
                    <w:t>（GB12348-2008）</w:t>
                  </w:r>
                  <w:r>
                    <w:rPr>
                      <w:rFonts w:hint="default" w:ascii="Times New Roman" w:hAnsi="Times New Roman" w:cs="Times New Roman"/>
                      <w:color w:val="auto"/>
                      <w:highlight w:val="none"/>
                      <w:lang w:val="en-US" w:eastAsia="zh-CN"/>
                    </w:rPr>
                    <w:t>4a</w:t>
                  </w:r>
                  <w:r>
                    <w:rPr>
                      <w:rFonts w:hint="default" w:ascii="Times New Roman" w:hAnsi="Times New Roman" w:cs="Times New Roman"/>
                      <w:color w:val="auto"/>
                      <w:highlight w:val="none"/>
                    </w:rPr>
                    <w:t>类标准</w:t>
                  </w:r>
                </w:p>
              </w:tc>
            </w:tr>
          </w:tbl>
          <w:p w14:paraId="3145CAEC">
            <w:pPr>
              <w:adjustRightInd w:val="0"/>
              <w:snapToGrid w:val="0"/>
              <w:spacing w:line="360" w:lineRule="auto"/>
              <w:ind w:firstLine="482" w:firstLineChars="200"/>
              <w:rPr>
                <w:rFonts w:hint="default" w:ascii="Times New Roman" w:hAnsi="Times New Roman" w:cs="Times New Roman"/>
                <w:b/>
                <w:bCs/>
                <w:color w:val="auto"/>
                <w:sz w:val="24"/>
                <w:szCs w:val="21"/>
                <w:highlight w:val="none"/>
              </w:rPr>
            </w:pPr>
            <w:r>
              <w:rPr>
                <w:rFonts w:hint="default" w:ascii="Times New Roman" w:hAnsi="Times New Roman" w:cs="Times New Roman"/>
                <w:b/>
                <w:bCs/>
                <w:color w:val="auto"/>
                <w:sz w:val="24"/>
                <w:szCs w:val="21"/>
                <w:highlight w:val="none"/>
              </w:rPr>
              <w:t>4、固体废物执行标准</w:t>
            </w:r>
          </w:p>
          <w:p w14:paraId="43119085">
            <w:pPr>
              <w:pStyle w:val="15"/>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val="en-US" w:eastAsia="zh-CN"/>
              </w:rPr>
              <w:t>项目运营期</w:t>
            </w:r>
            <w:r>
              <w:rPr>
                <w:rFonts w:hint="default" w:ascii="Times New Roman" w:hAnsi="Times New Roman" w:cs="Times New Roman"/>
                <w:color w:val="auto"/>
                <w:sz w:val="24"/>
                <w:szCs w:val="24"/>
                <w:highlight w:val="none"/>
              </w:rPr>
              <w:t>一般固体废物执行《中华人民共和国固体废物污染环境防治法》（2020年4月29日修订，2020年9月1日施行）、《广东省固体废物污染环境防治条例》（20</w:t>
            </w:r>
            <w:r>
              <w:rPr>
                <w:rFonts w:hint="default" w:ascii="Times New Roman" w:hAnsi="Times New Roman" w:cs="Times New Roman"/>
                <w:color w:val="auto"/>
                <w:sz w:val="24"/>
                <w:szCs w:val="24"/>
                <w:highlight w:val="none"/>
                <w:lang w:val="en-US" w:eastAsia="zh-CN"/>
              </w:rPr>
              <w:t>22年</w:t>
            </w:r>
            <w:r>
              <w:rPr>
                <w:rFonts w:hint="default" w:ascii="Times New Roman" w:hAnsi="Times New Roman" w:cs="Times New Roman"/>
                <w:color w:val="auto"/>
                <w:sz w:val="24"/>
                <w:szCs w:val="24"/>
                <w:highlight w:val="none"/>
              </w:rPr>
              <w:t>修订，20</w:t>
            </w:r>
            <w:r>
              <w:rPr>
                <w:rFonts w:hint="default" w:ascii="Times New Roman" w:hAnsi="Times New Roman" w:cs="Times New Roman"/>
                <w:color w:val="auto"/>
                <w:sz w:val="24"/>
                <w:szCs w:val="24"/>
                <w:highlight w:val="none"/>
                <w:lang w:val="en-US" w:eastAsia="zh-CN"/>
              </w:rPr>
              <w:t>22</w:t>
            </w:r>
            <w:r>
              <w:rPr>
                <w:rFonts w:hint="default" w:ascii="Times New Roman" w:hAnsi="Times New Roman" w:cs="Times New Roman"/>
                <w:color w:val="auto"/>
                <w:sz w:val="24"/>
                <w:szCs w:val="24"/>
                <w:highlight w:val="none"/>
              </w:rPr>
              <w:t>年</w:t>
            </w:r>
            <w:r>
              <w:rPr>
                <w:rFonts w:hint="default" w:ascii="Times New Roman" w:hAnsi="Times New Roman" w:cs="Times New Roman"/>
                <w:color w:val="auto"/>
                <w:sz w:val="24"/>
                <w:szCs w:val="24"/>
                <w:highlight w:val="none"/>
                <w:lang w:val="en-US" w:eastAsia="zh-CN"/>
              </w:rPr>
              <w:t>11</w:t>
            </w:r>
            <w:r>
              <w:rPr>
                <w:rFonts w:hint="default" w:ascii="Times New Roman" w:hAnsi="Times New Roman" w:cs="Times New Roman"/>
                <w:color w:val="auto"/>
                <w:sz w:val="24"/>
                <w:szCs w:val="24"/>
                <w:highlight w:val="none"/>
              </w:rPr>
              <w:t>月1</w:t>
            </w:r>
            <w:r>
              <w:rPr>
                <w:rFonts w:hint="default" w:ascii="Times New Roman" w:hAnsi="Times New Roman" w:cs="Times New Roman"/>
                <w:color w:val="auto"/>
                <w:sz w:val="24"/>
                <w:szCs w:val="24"/>
                <w:highlight w:val="none"/>
                <w:lang w:val="en-US" w:eastAsia="zh-CN"/>
              </w:rPr>
              <w:t>3</w:t>
            </w:r>
            <w:r>
              <w:rPr>
                <w:rFonts w:hint="default" w:ascii="Times New Roman" w:hAnsi="Times New Roman" w:cs="Times New Roman"/>
                <w:color w:val="auto"/>
                <w:sz w:val="24"/>
                <w:szCs w:val="24"/>
                <w:highlight w:val="none"/>
              </w:rPr>
              <w:t>日施行）</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贮存过程应满足相应防渗漏、防雨淋、防扬尘等环境保护要求。</w:t>
            </w:r>
          </w:p>
          <w:p w14:paraId="76E4459F">
            <w:pPr>
              <w:adjustRightInd w:val="0"/>
              <w:snapToGrid w:val="0"/>
              <w:spacing w:line="360" w:lineRule="auto"/>
              <w:ind w:firstLine="480" w:firstLineChars="200"/>
              <w:rPr>
                <w:rFonts w:hint="default" w:ascii="Times New Roman" w:hAnsi="Times New Roman" w:eastAsia="宋体" w:cs="Times New Roman"/>
                <w:color w:val="auto"/>
                <w:kern w:val="0"/>
                <w:sz w:val="24"/>
                <w:szCs w:val="21"/>
                <w:highlight w:val="none"/>
                <w:lang w:eastAsia="zh-CN"/>
              </w:rPr>
            </w:pPr>
            <w:r>
              <w:rPr>
                <w:rFonts w:hint="default" w:ascii="Times New Roman" w:hAnsi="Times New Roman" w:cs="Times New Roman"/>
                <w:color w:val="auto"/>
                <w:sz w:val="24"/>
                <w:szCs w:val="24"/>
                <w:highlight w:val="none"/>
              </w:rPr>
              <w:t>危险废物执行《危险废物贮存污染控制标准》（GB18597-20</w:t>
            </w:r>
            <w:r>
              <w:rPr>
                <w:rFonts w:hint="default" w:ascii="Times New Roman" w:hAnsi="Times New Roman" w:cs="Times New Roman"/>
                <w:color w:val="auto"/>
                <w:sz w:val="24"/>
                <w:szCs w:val="24"/>
                <w:highlight w:val="none"/>
                <w:lang w:val="en-US" w:eastAsia="zh-CN"/>
              </w:rPr>
              <w:t>23</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《国家危险废物名录（202</w:t>
            </w:r>
            <w:r>
              <w:rPr>
                <w:rFonts w:hint="default" w:ascii="Times New Roman" w:hAnsi="Times New Roman" w:cs="Times New Roman"/>
                <w:color w:val="auto"/>
                <w:sz w:val="24"/>
                <w:szCs w:val="24"/>
                <w:highlight w:val="none"/>
                <w:lang w:val="en-US" w:eastAsia="zh-CN"/>
              </w:rPr>
              <w:t>5</w:t>
            </w:r>
            <w:r>
              <w:rPr>
                <w:rFonts w:hint="default" w:ascii="Times New Roman" w:hAnsi="Times New Roman" w:cs="Times New Roman"/>
                <w:color w:val="auto"/>
                <w:sz w:val="24"/>
                <w:szCs w:val="24"/>
                <w:highlight w:val="none"/>
              </w:rPr>
              <w:t>年版）》</w:t>
            </w:r>
            <w:r>
              <w:rPr>
                <w:rFonts w:hint="default" w:ascii="Times New Roman" w:hAnsi="Times New Roman" w:cs="Times New Roman"/>
                <w:color w:val="auto"/>
                <w:sz w:val="24"/>
                <w:szCs w:val="24"/>
                <w:highlight w:val="none"/>
                <w:lang w:eastAsia="zh-CN"/>
              </w:rPr>
              <w:t>和《危险废物识别标志设置技术规范》（HJ 1276-2022），同时其收集、运输、包装等应符合</w:t>
            </w:r>
            <w:r>
              <w:rPr>
                <w:rFonts w:hint="default" w:ascii="Times New Roman" w:hAnsi="Times New Roman" w:cs="Times New Roman"/>
                <w:color w:val="auto"/>
                <w:sz w:val="24"/>
                <w:szCs w:val="24"/>
                <w:highlight w:val="none"/>
              </w:rPr>
              <w:t>《危险废物收集贮存运输技术规范》（HJ2025-2012）</w:t>
            </w:r>
            <w:r>
              <w:rPr>
                <w:rFonts w:hint="default" w:ascii="Times New Roman" w:hAnsi="Times New Roman" w:cs="Times New Roman"/>
                <w:color w:val="auto"/>
                <w:sz w:val="24"/>
                <w:szCs w:val="21"/>
                <w:highlight w:val="none"/>
                <w:lang w:eastAsia="zh-CN"/>
              </w:rPr>
              <w:t>。</w:t>
            </w:r>
          </w:p>
        </w:tc>
      </w:tr>
      <w:tr w14:paraId="1CEB45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42" w:hRule="atLeast"/>
          <w:jc w:val="center"/>
        </w:trPr>
        <w:tc>
          <w:tcPr>
            <w:tcW w:w="445" w:type="dxa"/>
            <w:noWrap w:val="0"/>
            <w:vAlign w:val="center"/>
          </w:tcPr>
          <w:p w14:paraId="7D80E063">
            <w:pPr>
              <w:adjustRightInd w:val="0"/>
              <w:snapToGrid w:val="0"/>
              <w:jc w:val="center"/>
              <w:rPr>
                <w:rFonts w:hint="default" w:ascii="Times New Roman" w:hAnsi="Times New Roman" w:cs="Times New Roman"/>
                <w:color w:val="auto"/>
                <w:kern w:val="0"/>
                <w:sz w:val="24"/>
                <w:szCs w:val="21"/>
                <w:highlight w:val="none"/>
              </w:rPr>
            </w:pPr>
            <w:r>
              <w:rPr>
                <w:rFonts w:hint="default" w:ascii="Times New Roman" w:hAnsi="Times New Roman" w:cs="Times New Roman"/>
                <w:color w:val="auto"/>
                <w:kern w:val="0"/>
                <w:sz w:val="24"/>
                <w:szCs w:val="21"/>
                <w:highlight w:val="none"/>
              </w:rPr>
              <w:t>总量</w:t>
            </w:r>
          </w:p>
          <w:p w14:paraId="740E6E14">
            <w:pPr>
              <w:adjustRightInd w:val="0"/>
              <w:snapToGrid w:val="0"/>
              <w:jc w:val="center"/>
              <w:rPr>
                <w:rFonts w:hint="default" w:ascii="Times New Roman" w:hAnsi="Times New Roman" w:cs="Times New Roman"/>
                <w:color w:val="auto"/>
                <w:kern w:val="0"/>
                <w:sz w:val="24"/>
                <w:szCs w:val="21"/>
                <w:highlight w:val="none"/>
              </w:rPr>
            </w:pPr>
            <w:r>
              <w:rPr>
                <w:rFonts w:hint="default" w:ascii="Times New Roman" w:hAnsi="Times New Roman" w:cs="Times New Roman"/>
                <w:color w:val="auto"/>
                <w:kern w:val="0"/>
                <w:sz w:val="24"/>
                <w:szCs w:val="21"/>
                <w:highlight w:val="none"/>
              </w:rPr>
              <w:t>控制</w:t>
            </w:r>
          </w:p>
          <w:p w14:paraId="7D6792FD">
            <w:pPr>
              <w:adjustRightInd w:val="0"/>
              <w:snapToGrid w:val="0"/>
              <w:jc w:val="center"/>
              <w:rPr>
                <w:rFonts w:hint="default" w:ascii="Times New Roman" w:hAnsi="Times New Roman" w:cs="Times New Roman"/>
                <w:color w:val="auto"/>
                <w:kern w:val="0"/>
                <w:sz w:val="24"/>
                <w:szCs w:val="21"/>
                <w:highlight w:val="none"/>
              </w:rPr>
            </w:pPr>
            <w:r>
              <w:rPr>
                <w:rFonts w:hint="default" w:ascii="Times New Roman" w:hAnsi="Times New Roman" w:cs="Times New Roman"/>
                <w:color w:val="auto"/>
                <w:kern w:val="0"/>
                <w:sz w:val="24"/>
                <w:szCs w:val="21"/>
                <w:highlight w:val="none"/>
              </w:rPr>
              <w:t>指标</w:t>
            </w:r>
          </w:p>
        </w:tc>
        <w:tc>
          <w:tcPr>
            <w:tcW w:w="9213" w:type="dxa"/>
            <w:noWrap w:val="0"/>
            <w:vAlign w:val="center"/>
          </w:tcPr>
          <w:p w14:paraId="02CAAD42">
            <w:pPr>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szCs w:val="21"/>
                <w:highlight w:val="none"/>
              </w:rPr>
              <w:t>本报告结合项目自身特点给出项目总量控制因子及建议控制总量指标如下：</w:t>
            </w:r>
          </w:p>
          <w:p w14:paraId="03DC1621">
            <w:pPr>
              <w:widowControl w:val="0"/>
              <w:spacing w:after="0"/>
              <w:ind w:firstLine="482"/>
              <w:jc w:val="center"/>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rPr>
              <w:t>表</w:t>
            </w:r>
            <w:r>
              <w:rPr>
                <w:rFonts w:hint="default" w:ascii="Times New Roman" w:hAnsi="Times New Roman" w:eastAsia="宋体" w:cs="Times New Roman"/>
                <w:b/>
                <w:bCs/>
                <w:color w:val="auto"/>
                <w:kern w:val="2"/>
                <w:sz w:val="21"/>
                <w:szCs w:val="21"/>
                <w:highlight w:val="none"/>
                <w:lang w:val="en-US" w:eastAsia="zh-CN"/>
              </w:rPr>
              <w:t xml:space="preserve">3-10 </w:t>
            </w:r>
            <w:r>
              <w:rPr>
                <w:rFonts w:hint="default" w:ascii="Times New Roman" w:hAnsi="Times New Roman" w:eastAsia="宋体" w:cs="Times New Roman"/>
                <w:b/>
                <w:bCs/>
                <w:color w:val="auto"/>
                <w:kern w:val="2"/>
                <w:sz w:val="21"/>
                <w:szCs w:val="21"/>
                <w:highlight w:val="none"/>
              </w:rPr>
              <w:t>项目污染物总量控制指标</w:t>
            </w:r>
          </w:p>
          <w:tbl>
            <w:tblPr>
              <w:tblStyle w:val="34"/>
              <w:tblW w:w="9138" w:type="dxa"/>
              <w:tblInd w:w="-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0"/>
              <w:gridCol w:w="1150"/>
              <w:gridCol w:w="2039"/>
              <w:gridCol w:w="1942"/>
              <w:gridCol w:w="2737"/>
            </w:tblGrid>
            <w:tr w14:paraId="4ADDC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70" w:type="dxa"/>
                  <w:tcBorders>
                    <w:top w:val="single" w:color="auto" w:sz="4" w:space="0"/>
                    <w:left w:val="single" w:color="auto" w:sz="4" w:space="0"/>
                    <w:bottom w:val="single" w:color="auto" w:sz="4" w:space="0"/>
                    <w:right w:val="single" w:color="auto" w:sz="4" w:space="0"/>
                  </w:tcBorders>
                  <w:noWrap w:val="0"/>
                  <w:vAlign w:val="center"/>
                </w:tcPr>
                <w:p w14:paraId="6FA85590">
                  <w:pPr>
                    <w:widowControl w:val="0"/>
                    <w:adjustRightInd/>
                    <w:spacing w:after="0"/>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污染物</w:t>
                  </w:r>
                </w:p>
              </w:tc>
              <w:tc>
                <w:tcPr>
                  <w:tcW w:w="3189" w:type="dxa"/>
                  <w:gridSpan w:val="2"/>
                  <w:tcBorders>
                    <w:top w:val="single" w:color="auto" w:sz="4" w:space="0"/>
                    <w:left w:val="single" w:color="auto" w:sz="4" w:space="0"/>
                    <w:bottom w:val="single" w:color="auto" w:sz="4" w:space="0"/>
                    <w:right w:val="single" w:color="auto" w:sz="4" w:space="0"/>
                  </w:tcBorders>
                  <w:noWrap w:val="0"/>
                  <w:vAlign w:val="center"/>
                </w:tcPr>
                <w:p w14:paraId="307F8A03">
                  <w:pPr>
                    <w:widowControl w:val="0"/>
                    <w:adjustRightInd/>
                    <w:spacing w:after="0"/>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指标</w:t>
                  </w:r>
                </w:p>
              </w:tc>
              <w:tc>
                <w:tcPr>
                  <w:tcW w:w="1942" w:type="dxa"/>
                  <w:tcBorders>
                    <w:top w:val="single" w:color="auto" w:sz="4" w:space="0"/>
                    <w:left w:val="single" w:color="auto" w:sz="4" w:space="0"/>
                    <w:bottom w:val="single" w:color="auto" w:sz="4" w:space="0"/>
                    <w:right w:val="single" w:color="auto" w:sz="4" w:space="0"/>
                  </w:tcBorders>
                  <w:noWrap w:val="0"/>
                  <w:vAlign w:val="center"/>
                </w:tcPr>
                <w:p w14:paraId="2D1F13A3">
                  <w:pPr>
                    <w:widowControl w:val="0"/>
                    <w:adjustRightInd/>
                    <w:spacing w:after="0"/>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达标排放量</w:t>
                  </w:r>
                </w:p>
              </w:tc>
              <w:tc>
                <w:tcPr>
                  <w:tcW w:w="2737" w:type="dxa"/>
                  <w:tcBorders>
                    <w:top w:val="single" w:color="auto" w:sz="4" w:space="0"/>
                    <w:left w:val="single" w:color="auto" w:sz="4" w:space="0"/>
                    <w:bottom w:val="single" w:color="auto" w:sz="4" w:space="0"/>
                    <w:right w:val="single" w:color="auto" w:sz="4" w:space="0"/>
                  </w:tcBorders>
                  <w:noWrap w:val="0"/>
                  <w:vAlign w:val="center"/>
                </w:tcPr>
                <w:p w14:paraId="26DD59BA">
                  <w:pPr>
                    <w:widowControl w:val="0"/>
                    <w:adjustRightInd/>
                    <w:spacing w:after="0"/>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总量建议控制指标</w:t>
                  </w:r>
                </w:p>
              </w:tc>
            </w:tr>
            <w:tr w14:paraId="6A3A2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1270" w:type="dxa"/>
                  <w:vMerge w:val="restart"/>
                  <w:tcBorders>
                    <w:top w:val="single" w:color="auto" w:sz="4" w:space="0"/>
                    <w:left w:val="single" w:color="auto" w:sz="4" w:space="0"/>
                    <w:right w:val="single" w:color="auto" w:sz="4" w:space="0"/>
                  </w:tcBorders>
                  <w:noWrap w:val="0"/>
                  <w:vAlign w:val="center"/>
                </w:tcPr>
                <w:p w14:paraId="69417A4F">
                  <w:pPr>
                    <w:widowControl w:val="0"/>
                    <w:adjustRightInd/>
                    <w:spacing w:after="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生活</w:t>
                  </w:r>
                </w:p>
                <w:p w14:paraId="110A00DC">
                  <w:pPr>
                    <w:widowControl w:val="0"/>
                    <w:adjustRightInd/>
                    <w:spacing w:after="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污水</w:t>
                  </w:r>
                </w:p>
              </w:tc>
              <w:tc>
                <w:tcPr>
                  <w:tcW w:w="3189" w:type="dxa"/>
                  <w:gridSpan w:val="2"/>
                  <w:tcBorders>
                    <w:top w:val="single" w:color="auto" w:sz="4" w:space="0"/>
                    <w:left w:val="single" w:color="auto" w:sz="4" w:space="0"/>
                    <w:bottom w:val="single" w:color="auto" w:sz="4" w:space="0"/>
                    <w:right w:val="single" w:color="auto" w:sz="4" w:space="0"/>
                  </w:tcBorders>
                  <w:noWrap w:val="0"/>
                  <w:vAlign w:val="center"/>
                </w:tcPr>
                <w:p w14:paraId="1B2CA9A7">
                  <w:pPr>
                    <w:widowControl w:val="0"/>
                    <w:adjustRightInd/>
                    <w:spacing w:after="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废水量</w:t>
                  </w:r>
                </w:p>
              </w:tc>
              <w:tc>
                <w:tcPr>
                  <w:tcW w:w="1942" w:type="dxa"/>
                  <w:tcBorders>
                    <w:top w:val="single" w:color="auto" w:sz="4" w:space="0"/>
                    <w:left w:val="single" w:color="auto" w:sz="4" w:space="0"/>
                    <w:bottom w:val="single" w:color="auto" w:sz="4" w:space="0"/>
                    <w:right w:val="single" w:color="auto" w:sz="4" w:space="0"/>
                  </w:tcBorders>
                  <w:noWrap w:val="0"/>
                  <w:vAlign w:val="center"/>
                </w:tcPr>
                <w:p w14:paraId="5B8C9C86">
                  <w:pPr>
                    <w:widowControl w:val="0"/>
                    <w:adjustRightInd/>
                    <w:spacing w:after="0"/>
                    <w:jc w:val="center"/>
                    <w:rPr>
                      <w:rFonts w:hint="default" w:ascii="Times New Roman" w:hAnsi="Times New Roman" w:cs="Times New Roman"/>
                      <w:color w:val="auto"/>
                      <w:highlight w:val="none"/>
                    </w:rPr>
                  </w:pPr>
                  <w:r>
                    <w:rPr>
                      <w:rFonts w:hint="default" w:ascii="Times New Roman" w:hAnsi="Times New Roman" w:eastAsia="宋体" w:cs="Times New Roman"/>
                      <w:color w:val="auto"/>
                      <w:sz w:val="21"/>
                      <w:szCs w:val="21"/>
                      <w:highlight w:val="none"/>
                      <w:lang w:val="en-US" w:eastAsia="zh-CN"/>
                    </w:rPr>
                    <w:t>540</w:t>
                  </w:r>
                  <w:r>
                    <w:rPr>
                      <w:rFonts w:hint="default" w:ascii="Times New Roman" w:hAnsi="Times New Roman" w:eastAsia="宋体" w:cs="Times New Roman"/>
                      <w:i w:val="0"/>
                      <w:iCs w:val="0"/>
                      <w:color w:val="auto"/>
                      <w:kern w:val="0"/>
                      <w:sz w:val="21"/>
                      <w:szCs w:val="21"/>
                      <w:highlight w:val="none"/>
                      <w:u w:val="none"/>
                      <w:lang w:val="en-US" w:eastAsia="zh-CN" w:bidi="ar"/>
                    </w:rPr>
                    <w:t>t</w:t>
                  </w:r>
                  <w:r>
                    <w:rPr>
                      <w:rFonts w:hint="default" w:ascii="Times New Roman" w:hAnsi="Times New Roman" w:cs="Times New Roman"/>
                      <w:snapToGrid w:val="0"/>
                      <w:color w:val="auto"/>
                      <w:kern w:val="21"/>
                      <w:szCs w:val="21"/>
                      <w:highlight w:val="none"/>
                      <w:lang w:val="en-US" w:eastAsia="zh-CN"/>
                    </w:rPr>
                    <w:t>/a</w:t>
                  </w:r>
                </w:p>
              </w:tc>
              <w:tc>
                <w:tcPr>
                  <w:tcW w:w="2737" w:type="dxa"/>
                  <w:vMerge w:val="restart"/>
                  <w:tcBorders>
                    <w:top w:val="single" w:color="auto" w:sz="4" w:space="0"/>
                    <w:left w:val="single" w:color="auto" w:sz="4" w:space="0"/>
                    <w:right w:val="single" w:color="auto" w:sz="4" w:space="0"/>
                  </w:tcBorders>
                  <w:noWrap w:val="0"/>
                  <w:vAlign w:val="center"/>
                </w:tcPr>
                <w:p w14:paraId="546FEE1E">
                  <w:pPr>
                    <w:widowControl w:val="0"/>
                    <w:adjustRightInd/>
                    <w:spacing w:after="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由博罗县罗阳街道小金生活污水处理厂调配，不</w:t>
                  </w:r>
                  <w:r>
                    <w:rPr>
                      <w:rFonts w:hint="default" w:ascii="Times New Roman" w:hAnsi="Times New Roman" w:cs="Times New Roman"/>
                      <w:color w:val="auto"/>
                      <w:highlight w:val="none"/>
                      <w:lang w:val="en-US" w:eastAsia="zh-CN"/>
                    </w:rPr>
                    <w:t>额外</w:t>
                  </w:r>
                  <w:r>
                    <w:rPr>
                      <w:rFonts w:hint="default" w:ascii="Times New Roman" w:hAnsi="Times New Roman" w:cs="Times New Roman"/>
                      <w:color w:val="auto"/>
                      <w:highlight w:val="none"/>
                      <w:lang w:eastAsia="zh-CN"/>
                    </w:rPr>
                    <w:t>申请总量</w:t>
                  </w:r>
                </w:p>
              </w:tc>
            </w:tr>
            <w:tr w14:paraId="26984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270" w:type="dxa"/>
                  <w:vMerge w:val="continue"/>
                  <w:tcBorders>
                    <w:left w:val="single" w:color="auto" w:sz="4" w:space="0"/>
                    <w:right w:val="single" w:color="auto" w:sz="4" w:space="0"/>
                  </w:tcBorders>
                  <w:noWrap w:val="0"/>
                  <w:vAlign w:val="center"/>
                </w:tcPr>
                <w:p w14:paraId="2A344167">
                  <w:pPr>
                    <w:adjustRightInd/>
                    <w:spacing w:after="0"/>
                    <w:jc w:val="center"/>
                    <w:rPr>
                      <w:rFonts w:hint="default" w:ascii="Times New Roman" w:hAnsi="Times New Roman" w:cs="Times New Roman"/>
                      <w:color w:val="auto"/>
                      <w:highlight w:val="none"/>
                    </w:rPr>
                  </w:pPr>
                </w:p>
              </w:tc>
              <w:tc>
                <w:tcPr>
                  <w:tcW w:w="3189" w:type="dxa"/>
                  <w:gridSpan w:val="2"/>
                  <w:tcBorders>
                    <w:top w:val="single" w:color="auto" w:sz="4" w:space="0"/>
                    <w:left w:val="single" w:color="auto" w:sz="4" w:space="0"/>
                    <w:bottom w:val="single" w:color="auto" w:sz="4" w:space="0"/>
                    <w:right w:val="single" w:color="auto" w:sz="4" w:space="0"/>
                  </w:tcBorders>
                  <w:noWrap w:val="0"/>
                  <w:vAlign w:val="center"/>
                </w:tcPr>
                <w:p w14:paraId="774C8BA4">
                  <w:pPr>
                    <w:widowControl w:val="0"/>
                    <w:adjustRightInd/>
                    <w:spacing w:after="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CODcr</w:t>
                  </w:r>
                </w:p>
              </w:tc>
              <w:tc>
                <w:tcPr>
                  <w:tcW w:w="1942" w:type="dxa"/>
                  <w:tcBorders>
                    <w:top w:val="single" w:color="auto" w:sz="4" w:space="0"/>
                    <w:left w:val="single" w:color="auto" w:sz="4" w:space="0"/>
                    <w:bottom w:val="single" w:color="auto" w:sz="4" w:space="0"/>
                    <w:right w:val="single" w:color="auto" w:sz="4" w:space="0"/>
                  </w:tcBorders>
                  <w:noWrap w:val="0"/>
                  <w:vAlign w:val="center"/>
                </w:tcPr>
                <w:p w14:paraId="61913E13">
                  <w:pPr>
                    <w:widowControl w:val="0"/>
                    <w:adjustRightInd/>
                    <w:spacing w:after="0"/>
                    <w:jc w:val="center"/>
                    <w:rPr>
                      <w:rFonts w:hint="default" w:ascii="Times New Roman" w:hAnsi="Times New Roman" w:cs="Times New Roman"/>
                      <w:color w:val="auto"/>
                      <w:highlight w:val="none"/>
                    </w:rPr>
                  </w:pPr>
                  <w:r>
                    <w:rPr>
                      <w:rFonts w:hint="default" w:ascii="Times New Roman" w:hAnsi="Times New Roman" w:eastAsia="宋体" w:cs="Times New Roman"/>
                      <w:color w:val="auto"/>
                      <w:sz w:val="21"/>
                      <w:szCs w:val="21"/>
                      <w:highlight w:val="none"/>
                      <w:lang w:val="en-US" w:eastAsia="zh-CN"/>
                    </w:rPr>
                    <w:t>0.0</w:t>
                  </w:r>
                  <w:r>
                    <w:rPr>
                      <w:rFonts w:hint="eastAsia" w:ascii="Times New Roman" w:hAnsi="Times New Roman" w:eastAsia="宋体" w:cs="Times New Roman"/>
                      <w:color w:val="auto"/>
                      <w:sz w:val="21"/>
                      <w:szCs w:val="21"/>
                      <w:highlight w:val="none"/>
                      <w:lang w:val="en-US" w:eastAsia="zh-CN"/>
                    </w:rPr>
                    <w:t>16t</w:t>
                  </w:r>
                  <w:r>
                    <w:rPr>
                      <w:rFonts w:hint="default" w:ascii="Times New Roman" w:hAnsi="Times New Roman" w:cs="Times New Roman"/>
                      <w:snapToGrid w:val="0"/>
                      <w:color w:val="auto"/>
                      <w:kern w:val="21"/>
                      <w:szCs w:val="21"/>
                      <w:highlight w:val="none"/>
                    </w:rPr>
                    <w:t>/a</w:t>
                  </w:r>
                </w:p>
              </w:tc>
              <w:tc>
                <w:tcPr>
                  <w:tcW w:w="2737" w:type="dxa"/>
                  <w:vMerge w:val="continue"/>
                  <w:tcBorders>
                    <w:left w:val="single" w:color="auto" w:sz="4" w:space="0"/>
                    <w:right w:val="single" w:color="auto" w:sz="4" w:space="0"/>
                  </w:tcBorders>
                  <w:noWrap w:val="0"/>
                  <w:vAlign w:val="center"/>
                </w:tcPr>
                <w:p w14:paraId="5A74BFBA">
                  <w:pPr>
                    <w:widowControl w:val="0"/>
                    <w:adjustRightInd/>
                    <w:spacing w:after="0"/>
                    <w:jc w:val="center"/>
                    <w:rPr>
                      <w:rFonts w:hint="default" w:ascii="Times New Roman" w:hAnsi="Times New Roman" w:cs="Times New Roman"/>
                      <w:color w:val="auto"/>
                      <w:highlight w:val="none"/>
                    </w:rPr>
                  </w:pPr>
                </w:p>
              </w:tc>
            </w:tr>
            <w:tr w14:paraId="3AE22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1270" w:type="dxa"/>
                  <w:vMerge w:val="continue"/>
                  <w:tcBorders>
                    <w:left w:val="single" w:color="auto" w:sz="4" w:space="0"/>
                    <w:right w:val="single" w:color="auto" w:sz="4" w:space="0"/>
                  </w:tcBorders>
                  <w:noWrap w:val="0"/>
                  <w:vAlign w:val="center"/>
                </w:tcPr>
                <w:p w14:paraId="19E009F7">
                  <w:pPr>
                    <w:adjustRightInd/>
                    <w:spacing w:after="0"/>
                    <w:jc w:val="center"/>
                    <w:rPr>
                      <w:rFonts w:hint="default" w:ascii="Times New Roman" w:hAnsi="Times New Roman" w:cs="Times New Roman"/>
                      <w:color w:val="auto"/>
                      <w:highlight w:val="none"/>
                    </w:rPr>
                  </w:pPr>
                </w:p>
              </w:tc>
              <w:tc>
                <w:tcPr>
                  <w:tcW w:w="3189" w:type="dxa"/>
                  <w:gridSpan w:val="2"/>
                  <w:tcBorders>
                    <w:top w:val="single" w:color="auto" w:sz="4" w:space="0"/>
                    <w:left w:val="single" w:color="auto" w:sz="4" w:space="0"/>
                    <w:bottom w:val="single" w:color="auto" w:sz="4" w:space="0"/>
                    <w:right w:val="single" w:color="auto" w:sz="4" w:space="0"/>
                  </w:tcBorders>
                  <w:noWrap w:val="0"/>
                  <w:vAlign w:val="center"/>
                </w:tcPr>
                <w:p w14:paraId="1855859E">
                  <w:pPr>
                    <w:widowControl w:val="0"/>
                    <w:adjustRightInd/>
                    <w:spacing w:after="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NH</w:t>
                  </w:r>
                  <w:r>
                    <w:rPr>
                      <w:rFonts w:hint="default" w:ascii="Times New Roman" w:hAnsi="Times New Roman" w:cs="Times New Roman"/>
                      <w:color w:val="auto"/>
                      <w:highlight w:val="none"/>
                      <w:vertAlign w:val="subscript"/>
                    </w:rPr>
                    <w:t>3</w:t>
                  </w:r>
                  <w:r>
                    <w:rPr>
                      <w:rFonts w:hint="default" w:ascii="Times New Roman" w:hAnsi="Times New Roman" w:cs="Times New Roman"/>
                      <w:color w:val="auto"/>
                      <w:highlight w:val="none"/>
                    </w:rPr>
                    <w:t>-N</w:t>
                  </w:r>
                </w:p>
              </w:tc>
              <w:tc>
                <w:tcPr>
                  <w:tcW w:w="194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318209D">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0.00</w:t>
                  </w:r>
                  <w:r>
                    <w:rPr>
                      <w:rFonts w:hint="eastAsia"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i w:val="0"/>
                      <w:iCs w:val="0"/>
                      <w:color w:val="auto"/>
                      <w:kern w:val="0"/>
                      <w:sz w:val="21"/>
                      <w:szCs w:val="21"/>
                      <w:highlight w:val="none"/>
                      <w:u w:val="none"/>
                      <w:lang w:val="en-US" w:eastAsia="zh-CN" w:bidi="ar"/>
                    </w:rPr>
                    <w:t>t</w:t>
                  </w:r>
                  <w:r>
                    <w:rPr>
                      <w:rFonts w:hint="default" w:ascii="Times New Roman" w:hAnsi="Times New Roman" w:cs="Times New Roman"/>
                      <w:snapToGrid w:val="0"/>
                      <w:color w:val="auto"/>
                      <w:kern w:val="21"/>
                      <w:szCs w:val="21"/>
                      <w:highlight w:val="none"/>
                    </w:rPr>
                    <w:t>/a</w:t>
                  </w:r>
                </w:p>
              </w:tc>
              <w:tc>
                <w:tcPr>
                  <w:tcW w:w="2737" w:type="dxa"/>
                  <w:vMerge w:val="continue"/>
                  <w:tcBorders>
                    <w:left w:val="single" w:color="auto" w:sz="4" w:space="0"/>
                    <w:bottom w:val="single" w:color="auto" w:sz="4" w:space="0"/>
                    <w:right w:val="single" w:color="auto" w:sz="4" w:space="0"/>
                  </w:tcBorders>
                  <w:noWrap w:val="0"/>
                  <w:vAlign w:val="center"/>
                </w:tcPr>
                <w:p w14:paraId="2ECE43C7">
                  <w:pPr>
                    <w:widowControl w:val="0"/>
                    <w:adjustRightInd/>
                    <w:spacing w:after="0"/>
                    <w:jc w:val="center"/>
                    <w:rPr>
                      <w:rFonts w:hint="default" w:ascii="Times New Roman" w:hAnsi="Times New Roman" w:cs="Times New Roman"/>
                      <w:color w:val="auto"/>
                      <w:highlight w:val="none"/>
                    </w:rPr>
                  </w:pPr>
                </w:p>
              </w:tc>
            </w:tr>
            <w:tr w14:paraId="62A6B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270" w:type="dxa"/>
                  <w:vMerge w:val="restart"/>
                  <w:tcBorders>
                    <w:left w:val="single" w:color="auto" w:sz="4" w:space="0"/>
                    <w:right w:val="single" w:color="auto" w:sz="4" w:space="0"/>
                  </w:tcBorders>
                  <w:noWrap w:val="0"/>
                  <w:vAlign w:val="center"/>
                </w:tcPr>
                <w:p w14:paraId="56B3B771">
                  <w:pPr>
                    <w:widowControl w:val="0"/>
                    <w:adjustRightInd/>
                    <w:spacing w:after="0"/>
                    <w:ind w:firstLine="210" w:firstLineChars="100"/>
                    <w:jc w:val="left"/>
                    <w:rPr>
                      <w:rFonts w:hint="default" w:ascii="Times New Roman" w:hAnsi="Times New Roman" w:cs="Times New Roman"/>
                      <w:color w:val="auto"/>
                      <w:highlight w:val="none"/>
                    </w:rPr>
                  </w:pPr>
                  <w:r>
                    <w:rPr>
                      <w:rFonts w:hint="default" w:ascii="Times New Roman" w:hAnsi="Times New Roman" w:cs="Times New Roman"/>
                      <w:color w:val="auto"/>
                      <w:highlight w:val="none"/>
                    </w:rPr>
                    <w:t>废气</w:t>
                  </w:r>
                </w:p>
              </w:tc>
              <w:tc>
                <w:tcPr>
                  <w:tcW w:w="1150" w:type="dxa"/>
                  <w:vMerge w:val="restart"/>
                  <w:tcBorders>
                    <w:top w:val="single" w:color="auto" w:sz="4" w:space="0"/>
                    <w:left w:val="single" w:color="auto" w:sz="4" w:space="0"/>
                    <w:right w:val="single" w:color="auto" w:sz="4" w:space="0"/>
                  </w:tcBorders>
                  <w:noWrap w:val="0"/>
                  <w:vAlign w:val="center"/>
                </w:tcPr>
                <w:p w14:paraId="1DCD75F8">
                  <w:pPr>
                    <w:widowControl w:val="0"/>
                    <w:adjustRightInd/>
                    <w:snapToGrid/>
                    <w:spacing w:after="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颗粒物</w:t>
                  </w:r>
                </w:p>
              </w:tc>
              <w:tc>
                <w:tcPr>
                  <w:tcW w:w="2039" w:type="dxa"/>
                  <w:tcBorders>
                    <w:top w:val="single" w:color="auto" w:sz="4" w:space="0"/>
                    <w:left w:val="single" w:color="auto" w:sz="4" w:space="0"/>
                    <w:bottom w:val="single" w:color="auto" w:sz="4" w:space="0"/>
                    <w:right w:val="single" w:color="auto" w:sz="4" w:space="0"/>
                  </w:tcBorders>
                  <w:noWrap w:val="0"/>
                  <w:vAlign w:val="center"/>
                </w:tcPr>
                <w:p w14:paraId="3EE4C79F">
                  <w:pPr>
                    <w:widowControl w:val="0"/>
                    <w:adjustRightInd/>
                    <w:snapToGrid/>
                    <w:spacing w:after="0"/>
                    <w:jc w:val="center"/>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有组织</w:t>
                  </w:r>
                </w:p>
              </w:tc>
              <w:tc>
                <w:tcPr>
                  <w:tcW w:w="1942" w:type="dxa"/>
                  <w:tcBorders>
                    <w:top w:val="single" w:color="auto" w:sz="4" w:space="0"/>
                    <w:left w:val="single" w:color="auto" w:sz="4" w:space="0"/>
                    <w:bottom w:val="single" w:color="auto" w:sz="4" w:space="0"/>
                    <w:right w:val="single" w:color="auto" w:sz="4" w:space="0"/>
                  </w:tcBorders>
                  <w:noWrap w:val="0"/>
                  <w:vAlign w:val="center"/>
                </w:tcPr>
                <w:p w14:paraId="60B2192C">
                  <w:pPr>
                    <w:snapToGrid w:val="0"/>
                    <w:jc w:val="center"/>
                    <w:rPr>
                      <w:rFonts w:hint="default" w:ascii="Times New Roman" w:hAnsi="Times New Roman" w:cs="Times New Roman"/>
                      <w:color w:val="auto"/>
                      <w:highlight w:val="none"/>
                    </w:rPr>
                  </w:pPr>
                  <w:r>
                    <w:rPr>
                      <w:rFonts w:hint="default" w:ascii="Times New Roman" w:hAnsi="Times New Roman" w:eastAsia="宋体" w:cs="Times New Roman"/>
                      <w:color w:val="auto"/>
                      <w:kern w:val="44"/>
                      <w:sz w:val="21"/>
                      <w:szCs w:val="21"/>
                      <w:highlight w:val="none"/>
                      <w:lang w:val="en-US" w:eastAsia="zh-CN" w:bidi="ar-SA"/>
                    </w:rPr>
                    <w:t>0.018</w:t>
                  </w:r>
                  <w:r>
                    <w:rPr>
                      <w:rFonts w:hint="default" w:ascii="Times New Roman" w:hAnsi="Times New Roman" w:cs="Times New Roman"/>
                      <w:color w:val="auto"/>
                      <w:highlight w:val="none"/>
                    </w:rPr>
                    <w:t>t/a</w:t>
                  </w:r>
                </w:p>
              </w:tc>
              <w:tc>
                <w:tcPr>
                  <w:tcW w:w="2737" w:type="dxa"/>
                  <w:vMerge w:val="restart"/>
                  <w:tcBorders>
                    <w:top w:val="single" w:color="auto" w:sz="4" w:space="0"/>
                    <w:left w:val="single" w:color="auto" w:sz="4" w:space="0"/>
                    <w:right w:val="single" w:color="auto" w:sz="4" w:space="0"/>
                  </w:tcBorders>
                  <w:noWrap w:val="0"/>
                  <w:vAlign w:val="center"/>
                </w:tcPr>
                <w:p w14:paraId="7BC79A90">
                  <w:pPr>
                    <w:snapToGrid w:val="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无需申请总量</w:t>
                  </w:r>
                </w:p>
              </w:tc>
            </w:tr>
            <w:tr w14:paraId="42C4A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70" w:type="dxa"/>
                  <w:vMerge w:val="continue"/>
                  <w:tcBorders>
                    <w:left w:val="single" w:color="auto" w:sz="4" w:space="0"/>
                    <w:right w:val="single" w:color="auto" w:sz="4" w:space="0"/>
                  </w:tcBorders>
                  <w:noWrap w:val="0"/>
                  <w:vAlign w:val="center"/>
                </w:tcPr>
                <w:p w14:paraId="113266A6">
                  <w:pPr>
                    <w:widowControl w:val="0"/>
                    <w:adjustRightInd/>
                    <w:spacing w:after="0"/>
                    <w:ind w:firstLine="210" w:firstLineChars="100"/>
                    <w:jc w:val="left"/>
                    <w:rPr>
                      <w:rFonts w:hint="default" w:ascii="Times New Roman" w:hAnsi="Times New Roman" w:cs="Times New Roman"/>
                      <w:color w:val="auto"/>
                      <w:highlight w:val="none"/>
                    </w:rPr>
                  </w:pPr>
                </w:p>
              </w:tc>
              <w:tc>
                <w:tcPr>
                  <w:tcW w:w="1150" w:type="dxa"/>
                  <w:vMerge w:val="continue"/>
                  <w:tcBorders>
                    <w:left w:val="single" w:color="auto" w:sz="4" w:space="0"/>
                    <w:right w:val="single" w:color="auto" w:sz="4" w:space="0"/>
                  </w:tcBorders>
                  <w:noWrap w:val="0"/>
                  <w:vAlign w:val="center"/>
                </w:tcPr>
                <w:p w14:paraId="6D20CD96">
                  <w:pPr>
                    <w:widowControl w:val="0"/>
                    <w:adjustRightInd/>
                    <w:snapToGrid/>
                    <w:spacing w:after="0"/>
                    <w:jc w:val="center"/>
                    <w:rPr>
                      <w:rFonts w:hint="default" w:ascii="Times New Roman" w:hAnsi="Times New Roman" w:cs="Times New Roman"/>
                      <w:color w:val="auto"/>
                      <w:highlight w:val="none"/>
                      <w:lang w:eastAsia="zh-CN"/>
                    </w:rPr>
                  </w:pPr>
                </w:p>
              </w:tc>
              <w:tc>
                <w:tcPr>
                  <w:tcW w:w="2039" w:type="dxa"/>
                  <w:tcBorders>
                    <w:top w:val="single" w:color="auto" w:sz="4" w:space="0"/>
                    <w:left w:val="single" w:color="auto" w:sz="4" w:space="0"/>
                    <w:bottom w:val="single" w:color="auto" w:sz="4" w:space="0"/>
                    <w:right w:val="single" w:color="auto" w:sz="4" w:space="0"/>
                  </w:tcBorders>
                  <w:noWrap w:val="0"/>
                  <w:vAlign w:val="center"/>
                </w:tcPr>
                <w:p w14:paraId="29C6EE1B">
                  <w:pPr>
                    <w:widowControl w:val="0"/>
                    <w:adjustRightInd/>
                    <w:snapToGrid/>
                    <w:spacing w:after="0"/>
                    <w:jc w:val="center"/>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无组织</w:t>
                  </w:r>
                </w:p>
              </w:tc>
              <w:tc>
                <w:tcPr>
                  <w:tcW w:w="1942" w:type="dxa"/>
                  <w:tcBorders>
                    <w:top w:val="single" w:color="auto" w:sz="4" w:space="0"/>
                    <w:left w:val="single" w:color="auto" w:sz="4" w:space="0"/>
                    <w:bottom w:val="single" w:color="auto" w:sz="4" w:space="0"/>
                    <w:right w:val="single" w:color="auto" w:sz="4" w:space="0"/>
                  </w:tcBorders>
                  <w:noWrap w:val="0"/>
                  <w:vAlign w:val="center"/>
                </w:tcPr>
                <w:p w14:paraId="5437DB9F">
                  <w:pPr>
                    <w:snapToGrid w:val="0"/>
                    <w:jc w:val="center"/>
                    <w:rPr>
                      <w:rFonts w:hint="default" w:ascii="Times New Roman" w:hAnsi="Times New Roman" w:cs="Times New Roman"/>
                      <w:color w:val="auto"/>
                      <w:highlight w:val="none"/>
                      <w:lang w:val="en-US" w:eastAsia="zh-CN"/>
                    </w:rPr>
                  </w:pPr>
                  <w:r>
                    <w:rPr>
                      <w:rFonts w:hint="eastAsia" w:ascii="Times New Roman" w:hAnsi="Times New Roman" w:eastAsia="宋体" w:cs="Times New Roman"/>
                      <w:color w:val="auto"/>
                      <w:kern w:val="44"/>
                      <w:sz w:val="21"/>
                      <w:szCs w:val="21"/>
                      <w:highlight w:val="none"/>
                      <w:lang w:val="en-US" w:eastAsia="zh-CN" w:bidi="ar-SA"/>
                    </w:rPr>
                    <w:t>4.9949</w:t>
                  </w:r>
                  <w:r>
                    <w:rPr>
                      <w:rFonts w:hint="default" w:ascii="Times New Roman" w:hAnsi="Times New Roman" w:cs="Times New Roman"/>
                      <w:color w:val="auto"/>
                      <w:highlight w:val="none"/>
                    </w:rPr>
                    <w:t>t/a</w:t>
                  </w:r>
                </w:p>
              </w:tc>
              <w:tc>
                <w:tcPr>
                  <w:tcW w:w="2737" w:type="dxa"/>
                  <w:vMerge w:val="continue"/>
                  <w:tcBorders>
                    <w:left w:val="single" w:color="auto" w:sz="4" w:space="0"/>
                    <w:right w:val="single" w:color="auto" w:sz="4" w:space="0"/>
                  </w:tcBorders>
                  <w:noWrap w:val="0"/>
                  <w:vAlign w:val="center"/>
                </w:tcPr>
                <w:p w14:paraId="7D37AFF7">
                  <w:pPr>
                    <w:snapToGrid w:val="0"/>
                    <w:jc w:val="center"/>
                    <w:rPr>
                      <w:rFonts w:hint="default" w:ascii="Times New Roman" w:hAnsi="Times New Roman" w:cs="Times New Roman"/>
                      <w:color w:val="auto"/>
                      <w:highlight w:val="none"/>
                      <w:lang w:val="en-US" w:eastAsia="zh-CN"/>
                    </w:rPr>
                  </w:pPr>
                </w:p>
              </w:tc>
            </w:tr>
            <w:tr w14:paraId="137C3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1270" w:type="dxa"/>
                  <w:vMerge w:val="continue"/>
                  <w:tcBorders>
                    <w:left w:val="single" w:color="auto" w:sz="4" w:space="0"/>
                    <w:right w:val="single" w:color="auto" w:sz="4" w:space="0"/>
                  </w:tcBorders>
                  <w:noWrap w:val="0"/>
                  <w:vAlign w:val="center"/>
                </w:tcPr>
                <w:p w14:paraId="34BB99CB">
                  <w:pPr>
                    <w:widowControl w:val="0"/>
                    <w:adjustRightInd/>
                    <w:spacing w:after="0"/>
                    <w:ind w:firstLine="210" w:firstLineChars="100"/>
                    <w:jc w:val="left"/>
                    <w:rPr>
                      <w:rFonts w:hint="default" w:ascii="Times New Roman" w:hAnsi="Times New Roman" w:cs="Times New Roman"/>
                      <w:color w:val="auto"/>
                      <w:highlight w:val="none"/>
                    </w:rPr>
                  </w:pPr>
                </w:p>
              </w:tc>
              <w:tc>
                <w:tcPr>
                  <w:tcW w:w="1150" w:type="dxa"/>
                  <w:vMerge w:val="continue"/>
                  <w:tcBorders>
                    <w:left w:val="single" w:color="auto" w:sz="4" w:space="0"/>
                    <w:bottom w:val="single" w:color="auto" w:sz="4" w:space="0"/>
                    <w:right w:val="single" w:color="auto" w:sz="4" w:space="0"/>
                  </w:tcBorders>
                  <w:noWrap w:val="0"/>
                  <w:vAlign w:val="center"/>
                </w:tcPr>
                <w:p w14:paraId="703A7414">
                  <w:pPr>
                    <w:widowControl w:val="0"/>
                    <w:adjustRightInd/>
                    <w:snapToGrid/>
                    <w:spacing w:after="0"/>
                    <w:jc w:val="center"/>
                    <w:rPr>
                      <w:rFonts w:hint="default" w:ascii="Times New Roman" w:hAnsi="Times New Roman" w:cs="Times New Roman"/>
                      <w:color w:val="auto"/>
                      <w:highlight w:val="none"/>
                      <w:lang w:eastAsia="zh-CN"/>
                    </w:rPr>
                  </w:pPr>
                </w:p>
              </w:tc>
              <w:tc>
                <w:tcPr>
                  <w:tcW w:w="2039" w:type="dxa"/>
                  <w:tcBorders>
                    <w:top w:val="single" w:color="auto" w:sz="4" w:space="0"/>
                    <w:left w:val="single" w:color="auto" w:sz="4" w:space="0"/>
                    <w:bottom w:val="single" w:color="auto" w:sz="4" w:space="0"/>
                    <w:right w:val="single" w:color="auto" w:sz="4" w:space="0"/>
                  </w:tcBorders>
                  <w:noWrap w:val="0"/>
                  <w:vAlign w:val="center"/>
                </w:tcPr>
                <w:p w14:paraId="280D78C0">
                  <w:pPr>
                    <w:widowControl w:val="0"/>
                    <w:adjustRightInd/>
                    <w:snapToGrid/>
                    <w:spacing w:after="0"/>
                    <w:jc w:val="center"/>
                    <w:rPr>
                      <w:rFonts w:hint="default" w:ascii="Times New Roman" w:hAnsi="Times New Roman" w:eastAsia="宋体" w:cs="Times New Roman"/>
                      <w:b/>
                      <w:bCs/>
                      <w:color w:val="auto"/>
                      <w:highlight w:val="none"/>
                      <w:lang w:val="en-US" w:eastAsia="zh-CN"/>
                    </w:rPr>
                  </w:pPr>
                  <w:r>
                    <w:rPr>
                      <w:rFonts w:hint="default" w:ascii="Times New Roman" w:hAnsi="Times New Roman" w:cs="Times New Roman"/>
                      <w:b/>
                      <w:bCs/>
                      <w:color w:val="auto"/>
                      <w:highlight w:val="none"/>
                      <w:lang w:val="en-US" w:eastAsia="zh-CN"/>
                    </w:rPr>
                    <w:t>总计</w:t>
                  </w:r>
                </w:p>
              </w:tc>
              <w:tc>
                <w:tcPr>
                  <w:tcW w:w="1942" w:type="dxa"/>
                  <w:tcBorders>
                    <w:top w:val="single" w:color="auto" w:sz="4" w:space="0"/>
                    <w:left w:val="single" w:color="auto" w:sz="4" w:space="0"/>
                    <w:bottom w:val="single" w:color="auto" w:sz="4" w:space="0"/>
                    <w:right w:val="single" w:color="auto" w:sz="4" w:space="0"/>
                  </w:tcBorders>
                  <w:noWrap w:val="0"/>
                  <w:vAlign w:val="center"/>
                </w:tcPr>
                <w:p w14:paraId="4E717BA9">
                  <w:pPr>
                    <w:snapToGrid w:val="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5.0129</w:t>
                  </w:r>
                  <w:r>
                    <w:rPr>
                      <w:rFonts w:hint="default" w:ascii="Times New Roman" w:hAnsi="Times New Roman" w:cs="Times New Roman"/>
                      <w:color w:val="auto"/>
                      <w:highlight w:val="none"/>
                    </w:rPr>
                    <w:t>t/a</w:t>
                  </w:r>
                </w:p>
              </w:tc>
              <w:tc>
                <w:tcPr>
                  <w:tcW w:w="2737" w:type="dxa"/>
                  <w:vMerge w:val="continue"/>
                  <w:tcBorders>
                    <w:left w:val="single" w:color="auto" w:sz="4" w:space="0"/>
                    <w:right w:val="single" w:color="auto" w:sz="4" w:space="0"/>
                  </w:tcBorders>
                  <w:noWrap w:val="0"/>
                  <w:vAlign w:val="center"/>
                </w:tcPr>
                <w:p w14:paraId="6E5AB109">
                  <w:pPr>
                    <w:snapToGrid w:val="0"/>
                    <w:jc w:val="center"/>
                    <w:rPr>
                      <w:rFonts w:hint="default" w:ascii="Times New Roman" w:hAnsi="Times New Roman" w:cs="Times New Roman"/>
                      <w:color w:val="auto"/>
                      <w:highlight w:val="none"/>
                      <w:lang w:val="en-US" w:eastAsia="zh-CN"/>
                    </w:rPr>
                  </w:pPr>
                </w:p>
              </w:tc>
            </w:tr>
            <w:tr w14:paraId="126A7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1270" w:type="dxa"/>
                  <w:vMerge w:val="continue"/>
                  <w:tcBorders>
                    <w:left w:val="single" w:color="auto" w:sz="4" w:space="0"/>
                    <w:right w:val="single" w:color="auto" w:sz="4" w:space="0"/>
                  </w:tcBorders>
                  <w:noWrap w:val="0"/>
                  <w:vAlign w:val="center"/>
                </w:tcPr>
                <w:p w14:paraId="2F6DF810">
                  <w:pPr>
                    <w:widowControl w:val="0"/>
                    <w:adjustRightInd/>
                    <w:spacing w:after="0"/>
                    <w:ind w:firstLine="210" w:firstLineChars="100"/>
                    <w:jc w:val="center"/>
                    <w:rPr>
                      <w:rFonts w:hint="default" w:ascii="Times New Roman" w:hAnsi="Times New Roman" w:cs="Times New Roman"/>
                      <w:color w:val="auto"/>
                      <w:highlight w:val="none"/>
                    </w:rPr>
                  </w:pPr>
                </w:p>
              </w:tc>
              <w:tc>
                <w:tcPr>
                  <w:tcW w:w="1150" w:type="dxa"/>
                  <w:vMerge w:val="restart"/>
                  <w:tcBorders>
                    <w:top w:val="single" w:color="auto" w:sz="4" w:space="0"/>
                    <w:left w:val="single" w:color="auto" w:sz="4" w:space="0"/>
                    <w:right w:val="single" w:color="auto" w:sz="4" w:space="0"/>
                  </w:tcBorders>
                  <w:noWrap w:val="0"/>
                  <w:vAlign w:val="center"/>
                </w:tcPr>
                <w:p w14:paraId="4149BA4A">
                  <w:pPr>
                    <w:widowControl w:val="0"/>
                    <w:adjustRightInd/>
                    <w:snapToGrid/>
                    <w:spacing w:after="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二氧化硫</w:t>
                  </w:r>
                </w:p>
              </w:tc>
              <w:tc>
                <w:tcPr>
                  <w:tcW w:w="2039" w:type="dxa"/>
                  <w:tcBorders>
                    <w:top w:val="single" w:color="auto" w:sz="4" w:space="0"/>
                    <w:left w:val="single" w:color="auto" w:sz="4" w:space="0"/>
                    <w:bottom w:val="single" w:color="auto" w:sz="4" w:space="0"/>
                    <w:right w:val="single" w:color="auto" w:sz="4" w:space="0"/>
                  </w:tcBorders>
                  <w:noWrap w:val="0"/>
                  <w:vAlign w:val="center"/>
                </w:tcPr>
                <w:p w14:paraId="0CEDCC51">
                  <w:pPr>
                    <w:widowControl w:val="0"/>
                    <w:adjustRightInd/>
                    <w:snapToGrid/>
                    <w:spacing w:after="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有组织</w:t>
                  </w:r>
                </w:p>
              </w:tc>
              <w:tc>
                <w:tcPr>
                  <w:tcW w:w="1942" w:type="dxa"/>
                  <w:tcBorders>
                    <w:top w:val="single" w:color="auto" w:sz="4" w:space="0"/>
                    <w:left w:val="single" w:color="auto" w:sz="4" w:space="0"/>
                    <w:right w:val="single" w:color="auto" w:sz="4" w:space="0"/>
                  </w:tcBorders>
                  <w:noWrap w:val="0"/>
                  <w:vAlign w:val="center"/>
                </w:tcPr>
                <w:p w14:paraId="7242CDBC">
                  <w:pPr>
                    <w:snapToGrid w:val="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0.0078</w:t>
                  </w:r>
                  <w:r>
                    <w:rPr>
                      <w:rFonts w:hint="default" w:ascii="Times New Roman" w:hAnsi="Times New Roman" w:cs="Times New Roman"/>
                      <w:color w:val="auto"/>
                      <w:highlight w:val="none"/>
                    </w:rPr>
                    <w:t>t/a</w:t>
                  </w:r>
                </w:p>
              </w:tc>
              <w:tc>
                <w:tcPr>
                  <w:tcW w:w="2737" w:type="dxa"/>
                  <w:vMerge w:val="continue"/>
                  <w:tcBorders>
                    <w:left w:val="single" w:color="auto" w:sz="4" w:space="0"/>
                    <w:right w:val="single" w:color="auto" w:sz="4" w:space="0"/>
                  </w:tcBorders>
                  <w:noWrap w:val="0"/>
                  <w:vAlign w:val="center"/>
                </w:tcPr>
                <w:p w14:paraId="1A1E5401">
                  <w:pPr>
                    <w:snapToGrid w:val="0"/>
                    <w:jc w:val="center"/>
                    <w:rPr>
                      <w:rFonts w:hint="default" w:ascii="Times New Roman" w:hAnsi="Times New Roman" w:eastAsia="宋体" w:cs="Times New Roman"/>
                      <w:color w:val="auto"/>
                      <w:kern w:val="44"/>
                      <w:sz w:val="21"/>
                      <w:szCs w:val="21"/>
                      <w:highlight w:val="none"/>
                      <w:lang w:val="en-US" w:eastAsia="zh-CN" w:bidi="ar-SA"/>
                    </w:rPr>
                  </w:pPr>
                </w:p>
              </w:tc>
            </w:tr>
            <w:tr w14:paraId="56E95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1270" w:type="dxa"/>
                  <w:vMerge w:val="continue"/>
                  <w:tcBorders>
                    <w:left w:val="single" w:color="auto" w:sz="4" w:space="0"/>
                    <w:right w:val="single" w:color="auto" w:sz="4" w:space="0"/>
                  </w:tcBorders>
                  <w:noWrap w:val="0"/>
                  <w:vAlign w:val="center"/>
                </w:tcPr>
                <w:p w14:paraId="311B1EB8">
                  <w:pPr>
                    <w:widowControl w:val="0"/>
                    <w:adjustRightInd/>
                    <w:spacing w:after="0"/>
                    <w:ind w:firstLine="210" w:firstLineChars="100"/>
                    <w:jc w:val="center"/>
                    <w:rPr>
                      <w:rFonts w:hint="default" w:ascii="Times New Roman" w:hAnsi="Times New Roman" w:cs="Times New Roman"/>
                      <w:color w:val="auto"/>
                      <w:highlight w:val="none"/>
                    </w:rPr>
                  </w:pPr>
                </w:p>
              </w:tc>
              <w:tc>
                <w:tcPr>
                  <w:tcW w:w="1150" w:type="dxa"/>
                  <w:vMerge w:val="continue"/>
                  <w:tcBorders>
                    <w:left w:val="single" w:color="auto" w:sz="4" w:space="0"/>
                    <w:right w:val="single" w:color="auto" w:sz="4" w:space="0"/>
                  </w:tcBorders>
                  <w:noWrap w:val="0"/>
                  <w:vAlign w:val="center"/>
                </w:tcPr>
                <w:p w14:paraId="21B44740">
                  <w:pPr>
                    <w:widowControl w:val="0"/>
                    <w:adjustRightInd/>
                    <w:snapToGrid/>
                    <w:spacing w:after="0"/>
                    <w:jc w:val="center"/>
                    <w:rPr>
                      <w:rFonts w:hint="default" w:ascii="Times New Roman" w:hAnsi="Times New Roman" w:cs="Times New Roman"/>
                      <w:color w:val="auto"/>
                      <w:highlight w:val="none"/>
                      <w:lang w:val="en-US" w:eastAsia="zh-CN"/>
                    </w:rPr>
                  </w:pPr>
                </w:p>
              </w:tc>
              <w:tc>
                <w:tcPr>
                  <w:tcW w:w="2039" w:type="dxa"/>
                  <w:tcBorders>
                    <w:top w:val="single" w:color="auto" w:sz="4" w:space="0"/>
                    <w:left w:val="single" w:color="auto" w:sz="4" w:space="0"/>
                    <w:bottom w:val="single" w:color="auto" w:sz="4" w:space="0"/>
                    <w:right w:val="single" w:color="auto" w:sz="4" w:space="0"/>
                  </w:tcBorders>
                  <w:noWrap w:val="0"/>
                  <w:vAlign w:val="center"/>
                </w:tcPr>
                <w:p w14:paraId="4940B336">
                  <w:pPr>
                    <w:widowControl w:val="0"/>
                    <w:adjustRightInd/>
                    <w:snapToGrid/>
                    <w:spacing w:after="0"/>
                    <w:jc w:val="center"/>
                    <w:rPr>
                      <w:rFonts w:hint="default" w:ascii="Times New Roman" w:hAnsi="Times New Roman" w:cs="Times New Roman"/>
                      <w:color w:val="auto"/>
                      <w:highlight w:val="none"/>
                      <w:lang w:val="en-US" w:eastAsia="zh-CN"/>
                    </w:rPr>
                  </w:pPr>
                  <w:r>
                    <w:rPr>
                      <w:rFonts w:hint="default" w:ascii="Times New Roman" w:hAnsi="Times New Roman" w:cs="Times New Roman"/>
                      <w:b/>
                      <w:bCs/>
                      <w:color w:val="auto"/>
                      <w:highlight w:val="none"/>
                      <w:lang w:val="en-US" w:eastAsia="zh-CN"/>
                    </w:rPr>
                    <w:t>总计</w:t>
                  </w:r>
                </w:p>
              </w:tc>
              <w:tc>
                <w:tcPr>
                  <w:tcW w:w="1942" w:type="dxa"/>
                  <w:tcBorders>
                    <w:top w:val="single" w:color="auto" w:sz="4" w:space="0"/>
                    <w:left w:val="single" w:color="auto" w:sz="4" w:space="0"/>
                    <w:right w:val="single" w:color="auto" w:sz="4" w:space="0"/>
                  </w:tcBorders>
                  <w:noWrap w:val="0"/>
                  <w:vAlign w:val="center"/>
                </w:tcPr>
                <w:p w14:paraId="3867C6B2">
                  <w:pPr>
                    <w:snapToGrid w:val="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0.0078</w:t>
                  </w:r>
                  <w:r>
                    <w:rPr>
                      <w:rFonts w:hint="default" w:ascii="Times New Roman" w:hAnsi="Times New Roman" w:cs="Times New Roman"/>
                      <w:color w:val="auto"/>
                      <w:highlight w:val="none"/>
                    </w:rPr>
                    <w:t>t/a</w:t>
                  </w:r>
                </w:p>
              </w:tc>
              <w:tc>
                <w:tcPr>
                  <w:tcW w:w="2737" w:type="dxa"/>
                  <w:vMerge w:val="continue"/>
                  <w:tcBorders>
                    <w:left w:val="single" w:color="auto" w:sz="4" w:space="0"/>
                    <w:right w:val="single" w:color="auto" w:sz="4" w:space="0"/>
                  </w:tcBorders>
                  <w:noWrap w:val="0"/>
                  <w:vAlign w:val="center"/>
                </w:tcPr>
                <w:p w14:paraId="1C018DDF">
                  <w:pPr>
                    <w:snapToGrid w:val="0"/>
                    <w:jc w:val="center"/>
                    <w:rPr>
                      <w:rFonts w:hint="default" w:ascii="Times New Roman" w:hAnsi="Times New Roman" w:eastAsia="宋体" w:cs="Times New Roman"/>
                      <w:color w:val="auto"/>
                      <w:kern w:val="44"/>
                      <w:sz w:val="21"/>
                      <w:szCs w:val="21"/>
                      <w:highlight w:val="none"/>
                      <w:lang w:val="en-US" w:eastAsia="zh-CN" w:bidi="ar-SA"/>
                    </w:rPr>
                  </w:pPr>
                </w:p>
              </w:tc>
            </w:tr>
            <w:tr w14:paraId="0C812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1270" w:type="dxa"/>
                  <w:vMerge w:val="continue"/>
                  <w:tcBorders>
                    <w:left w:val="single" w:color="auto" w:sz="4" w:space="0"/>
                    <w:right w:val="single" w:color="auto" w:sz="4" w:space="0"/>
                  </w:tcBorders>
                  <w:noWrap w:val="0"/>
                  <w:vAlign w:val="center"/>
                </w:tcPr>
                <w:p w14:paraId="4B976D91">
                  <w:pPr>
                    <w:widowControl w:val="0"/>
                    <w:adjustRightInd/>
                    <w:spacing w:after="0"/>
                    <w:ind w:firstLine="210" w:firstLineChars="100"/>
                    <w:jc w:val="center"/>
                    <w:rPr>
                      <w:rFonts w:hint="default" w:ascii="Times New Roman" w:hAnsi="Times New Roman" w:cs="Times New Roman"/>
                      <w:color w:val="auto"/>
                      <w:highlight w:val="none"/>
                    </w:rPr>
                  </w:pPr>
                </w:p>
              </w:tc>
              <w:tc>
                <w:tcPr>
                  <w:tcW w:w="1150" w:type="dxa"/>
                  <w:vMerge w:val="restart"/>
                  <w:tcBorders>
                    <w:top w:val="single" w:color="auto" w:sz="4" w:space="0"/>
                    <w:left w:val="single" w:color="auto" w:sz="4" w:space="0"/>
                    <w:right w:val="single" w:color="auto" w:sz="4" w:space="0"/>
                  </w:tcBorders>
                  <w:noWrap w:val="0"/>
                  <w:vAlign w:val="center"/>
                </w:tcPr>
                <w:p w14:paraId="5CC8E839">
                  <w:pPr>
                    <w:widowControl w:val="0"/>
                    <w:adjustRightInd/>
                    <w:snapToGrid/>
                    <w:spacing w:after="0"/>
                    <w:jc w:val="center"/>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val="en-US" w:eastAsia="zh-CN"/>
                    </w:rPr>
                    <w:t>氮氧化物</w:t>
                  </w:r>
                </w:p>
              </w:tc>
              <w:tc>
                <w:tcPr>
                  <w:tcW w:w="2039" w:type="dxa"/>
                  <w:tcBorders>
                    <w:top w:val="single" w:color="auto" w:sz="4" w:space="0"/>
                    <w:left w:val="single" w:color="auto" w:sz="4" w:space="0"/>
                    <w:bottom w:val="single" w:color="auto" w:sz="4" w:space="0"/>
                    <w:right w:val="single" w:color="auto" w:sz="4" w:space="0"/>
                  </w:tcBorders>
                  <w:noWrap w:val="0"/>
                  <w:vAlign w:val="center"/>
                </w:tcPr>
                <w:p w14:paraId="2BCF8735">
                  <w:pPr>
                    <w:widowControl w:val="0"/>
                    <w:adjustRightInd/>
                    <w:snapToGrid/>
                    <w:spacing w:after="0"/>
                    <w:jc w:val="center"/>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val="en-US" w:eastAsia="zh-CN"/>
                    </w:rPr>
                    <w:t>有组织</w:t>
                  </w:r>
                </w:p>
              </w:tc>
              <w:tc>
                <w:tcPr>
                  <w:tcW w:w="1942" w:type="dxa"/>
                  <w:tcBorders>
                    <w:top w:val="single" w:color="auto" w:sz="4" w:space="0"/>
                    <w:left w:val="single" w:color="auto" w:sz="4" w:space="0"/>
                    <w:right w:val="single" w:color="auto" w:sz="4" w:space="0"/>
                  </w:tcBorders>
                  <w:noWrap w:val="0"/>
                  <w:vAlign w:val="center"/>
                </w:tcPr>
                <w:p w14:paraId="0664C096">
                  <w:pPr>
                    <w:snapToGrid w:val="0"/>
                    <w:jc w:val="center"/>
                    <w:rPr>
                      <w:rFonts w:hint="default" w:ascii="Times New Roman" w:hAnsi="Times New Roman"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0.054</w:t>
                  </w:r>
                  <w:r>
                    <w:rPr>
                      <w:rFonts w:hint="default" w:ascii="Times New Roman" w:hAnsi="Times New Roman" w:cs="Times New Roman"/>
                      <w:color w:val="auto"/>
                      <w:highlight w:val="none"/>
                    </w:rPr>
                    <w:t>t/a</w:t>
                  </w:r>
                </w:p>
              </w:tc>
              <w:tc>
                <w:tcPr>
                  <w:tcW w:w="2737" w:type="dxa"/>
                  <w:vMerge w:val="restart"/>
                  <w:tcBorders>
                    <w:left w:val="single" w:color="auto" w:sz="4" w:space="0"/>
                    <w:right w:val="single" w:color="auto" w:sz="4" w:space="0"/>
                  </w:tcBorders>
                  <w:noWrap w:val="0"/>
                  <w:vAlign w:val="center"/>
                </w:tcPr>
                <w:p w14:paraId="01E2F204">
                  <w:pPr>
                    <w:snapToGrid w:val="0"/>
                    <w:jc w:val="center"/>
                    <w:rPr>
                      <w:rFonts w:hint="default" w:ascii="Times New Roman" w:hAnsi="Times New Roman" w:cs="Times New Roman"/>
                      <w:color w:val="auto"/>
                      <w:highlight w:val="none"/>
                      <w:lang w:val="en-US" w:eastAsia="zh-CN"/>
                    </w:rPr>
                  </w:pPr>
                  <w:r>
                    <w:rPr>
                      <w:rFonts w:hint="default" w:ascii="Times New Roman" w:hAnsi="Times New Roman" w:eastAsia="宋体" w:cs="Times New Roman"/>
                      <w:color w:val="auto"/>
                      <w:kern w:val="44"/>
                      <w:sz w:val="21"/>
                      <w:szCs w:val="21"/>
                      <w:highlight w:val="none"/>
                      <w:lang w:val="en-US" w:eastAsia="zh-CN" w:bidi="ar-SA"/>
                    </w:rPr>
                    <w:t>由惠州市生态环境局博罗分局统一</w:t>
                  </w:r>
                  <w:r>
                    <w:rPr>
                      <w:rFonts w:hint="default" w:ascii="Times New Roman" w:hAnsi="Times New Roman" w:eastAsia="宋体" w:cs="Times New Roman"/>
                      <w:color w:val="auto"/>
                      <w:sz w:val="21"/>
                      <w:szCs w:val="21"/>
                      <w:highlight w:val="none"/>
                      <w:lang w:eastAsia="zh-CN"/>
                    </w:rPr>
                    <w:t>调配</w:t>
                  </w:r>
                </w:p>
              </w:tc>
            </w:tr>
            <w:tr w14:paraId="2F491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270" w:type="dxa"/>
                  <w:vMerge w:val="continue"/>
                  <w:tcBorders>
                    <w:left w:val="single" w:color="auto" w:sz="4" w:space="0"/>
                    <w:right w:val="single" w:color="auto" w:sz="4" w:space="0"/>
                  </w:tcBorders>
                  <w:noWrap w:val="0"/>
                  <w:vAlign w:val="center"/>
                </w:tcPr>
                <w:p w14:paraId="0BDECB6A">
                  <w:pPr>
                    <w:widowControl w:val="0"/>
                    <w:adjustRightInd/>
                    <w:snapToGrid/>
                    <w:spacing w:after="0"/>
                    <w:jc w:val="center"/>
                    <w:rPr>
                      <w:rFonts w:hint="default" w:ascii="Times New Roman" w:hAnsi="Times New Roman" w:cs="Times New Roman"/>
                      <w:color w:val="auto"/>
                      <w:highlight w:val="none"/>
                      <w:lang w:eastAsia="zh-CN"/>
                    </w:rPr>
                  </w:pPr>
                </w:p>
              </w:tc>
              <w:tc>
                <w:tcPr>
                  <w:tcW w:w="1150" w:type="dxa"/>
                  <w:vMerge w:val="continue"/>
                  <w:tcBorders>
                    <w:left w:val="single" w:color="auto" w:sz="4" w:space="0"/>
                    <w:right w:val="single" w:color="auto" w:sz="4" w:space="0"/>
                  </w:tcBorders>
                  <w:noWrap w:val="0"/>
                  <w:vAlign w:val="center"/>
                </w:tcPr>
                <w:p w14:paraId="36AB8F14">
                  <w:pPr>
                    <w:widowControl w:val="0"/>
                    <w:adjustRightInd/>
                    <w:snapToGrid/>
                    <w:spacing w:after="0"/>
                    <w:jc w:val="center"/>
                    <w:rPr>
                      <w:rFonts w:hint="default" w:ascii="Times New Roman" w:hAnsi="Times New Roman" w:cs="Times New Roman"/>
                      <w:color w:val="auto"/>
                      <w:highlight w:val="none"/>
                      <w:lang w:eastAsia="zh-CN"/>
                    </w:rPr>
                  </w:pPr>
                </w:p>
              </w:tc>
              <w:tc>
                <w:tcPr>
                  <w:tcW w:w="2039" w:type="dxa"/>
                  <w:tcBorders>
                    <w:top w:val="single" w:color="auto" w:sz="4" w:space="0"/>
                    <w:left w:val="single" w:color="auto" w:sz="4" w:space="0"/>
                    <w:bottom w:val="single" w:color="auto" w:sz="4" w:space="0"/>
                    <w:right w:val="single" w:color="auto" w:sz="4" w:space="0"/>
                  </w:tcBorders>
                  <w:noWrap w:val="0"/>
                  <w:vAlign w:val="center"/>
                </w:tcPr>
                <w:p w14:paraId="07AFA108">
                  <w:pPr>
                    <w:widowControl w:val="0"/>
                    <w:adjustRightInd/>
                    <w:snapToGrid/>
                    <w:spacing w:after="0"/>
                    <w:jc w:val="center"/>
                    <w:rPr>
                      <w:rFonts w:hint="default" w:ascii="Times New Roman" w:hAnsi="Times New Roman" w:cs="Times New Roman"/>
                      <w:color w:val="auto"/>
                      <w:highlight w:val="none"/>
                      <w:lang w:eastAsia="zh-CN"/>
                    </w:rPr>
                  </w:pPr>
                  <w:r>
                    <w:rPr>
                      <w:rFonts w:hint="default" w:ascii="Times New Roman" w:hAnsi="Times New Roman" w:cs="Times New Roman"/>
                      <w:b/>
                      <w:bCs/>
                      <w:color w:val="auto"/>
                      <w:highlight w:val="none"/>
                      <w:lang w:val="en-US" w:eastAsia="zh-CN"/>
                    </w:rPr>
                    <w:t>总计</w:t>
                  </w:r>
                </w:p>
              </w:tc>
              <w:tc>
                <w:tcPr>
                  <w:tcW w:w="1942" w:type="dxa"/>
                  <w:tcBorders>
                    <w:left w:val="single" w:color="auto" w:sz="4" w:space="0"/>
                    <w:right w:val="single" w:color="auto" w:sz="4" w:space="0"/>
                  </w:tcBorders>
                  <w:noWrap w:val="0"/>
                  <w:vAlign w:val="center"/>
                </w:tcPr>
                <w:p w14:paraId="33B1BD62">
                  <w:pPr>
                    <w:widowControl w:val="0"/>
                    <w:adjustRightInd/>
                    <w:snapToGrid/>
                    <w:spacing w:after="0"/>
                    <w:jc w:val="center"/>
                    <w:rPr>
                      <w:rFonts w:hint="default" w:ascii="Times New Roman" w:hAnsi="Times New Roman"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0.054</w:t>
                  </w:r>
                  <w:r>
                    <w:rPr>
                      <w:rFonts w:hint="default" w:ascii="Times New Roman" w:hAnsi="Times New Roman" w:cs="Times New Roman"/>
                      <w:color w:val="auto"/>
                      <w:highlight w:val="none"/>
                    </w:rPr>
                    <w:t>t/a</w:t>
                  </w:r>
                </w:p>
              </w:tc>
              <w:tc>
                <w:tcPr>
                  <w:tcW w:w="2737" w:type="dxa"/>
                  <w:vMerge w:val="continue"/>
                  <w:tcBorders>
                    <w:left w:val="single" w:color="auto" w:sz="4" w:space="0"/>
                    <w:right w:val="single" w:color="auto" w:sz="4" w:space="0"/>
                  </w:tcBorders>
                  <w:noWrap w:val="0"/>
                  <w:vAlign w:val="center"/>
                </w:tcPr>
                <w:p w14:paraId="38C8535D">
                  <w:pPr>
                    <w:widowControl w:val="0"/>
                    <w:adjustRightInd/>
                    <w:snapToGrid/>
                    <w:spacing w:after="0"/>
                    <w:jc w:val="center"/>
                    <w:rPr>
                      <w:rFonts w:hint="default" w:ascii="Times New Roman" w:hAnsi="Times New Roman" w:cs="Times New Roman"/>
                      <w:color w:val="auto"/>
                      <w:highlight w:val="none"/>
                      <w:lang w:eastAsia="zh-CN"/>
                    </w:rPr>
                  </w:pPr>
                </w:p>
              </w:tc>
            </w:tr>
          </w:tbl>
          <w:p w14:paraId="50C0EEF4">
            <w:pPr>
              <w:pStyle w:val="43"/>
              <w:rPr>
                <w:rFonts w:hint="default" w:ascii="Times New Roman" w:hAnsi="Times New Roman" w:cs="Times New Roman"/>
                <w:color w:val="auto"/>
                <w:highlight w:val="none"/>
              </w:rPr>
            </w:pPr>
          </w:p>
        </w:tc>
      </w:tr>
    </w:tbl>
    <w:p w14:paraId="3387CDEC">
      <w:pPr>
        <w:rPr>
          <w:rFonts w:hint="default" w:ascii="Times New Roman" w:hAnsi="Times New Roman" w:cs="Times New Roman"/>
          <w:color w:val="auto"/>
        </w:rPr>
        <w:sectPr>
          <w:pgSz w:w="11906" w:h="16838"/>
          <w:pgMar w:top="1440" w:right="1247" w:bottom="1440" w:left="1247" w:header="851" w:footer="1077" w:gutter="0"/>
          <w:pgNumType w:fmt="decimal"/>
          <w:cols w:space="720" w:num="1"/>
          <w:docGrid w:linePitch="312" w:charSpace="0"/>
        </w:sectPr>
      </w:pPr>
    </w:p>
    <w:p w14:paraId="561A9533">
      <w:pPr>
        <w:pStyle w:val="29"/>
        <w:numPr>
          <w:ilvl w:val="0"/>
          <w:numId w:val="0"/>
        </w:numPr>
        <w:adjustRightInd w:val="0"/>
        <w:snapToGrid w:val="0"/>
        <w:spacing w:before="0" w:beforeAutospacing="0" w:after="0" w:afterAutospacing="0"/>
        <w:ind w:leftChars="0"/>
        <w:jc w:val="center"/>
        <w:outlineLvl w:val="0"/>
        <w:rPr>
          <w:rFonts w:hint="default" w:ascii="Times New Roman" w:hAnsi="Times New Roman" w:eastAsia="宋体" w:cs="Times New Roman"/>
          <w:b/>
          <w:bCs/>
          <w:snapToGrid w:val="0"/>
          <w:color w:val="auto"/>
          <w:sz w:val="30"/>
          <w:szCs w:val="30"/>
          <w:highlight w:val="none"/>
        </w:rPr>
      </w:pPr>
      <w:r>
        <w:rPr>
          <w:rFonts w:hint="default" w:ascii="Times New Roman" w:hAnsi="Times New Roman" w:eastAsia="宋体" w:cs="Times New Roman"/>
          <w:b/>
          <w:bCs/>
          <w:snapToGrid w:val="0"/>
          <w:color w:val="auto"/>
          <w:sz w:val="30"/>
          <w:szCs w:val="30"/>
          <w:highlight w:val="none"/>
          <w:lang w:val="en-US" w:eastAsia="zh-CN"/>
        </w:rPr>
        <w:t>四、</w:t>
      </w:r>
      <w:r>
        <w:rPr>
          <w:rFonts w:hint="default" w:ascii="Times New Roman" w:hAnsi="Times New Roman" w:eastAsia="宋体" w:cs="Times New Roman"/>
          <w:b/>
          <w:bCs/>
          <w:snapToGrid w:val="0"/>
          <w:color w:val="auto"/>
          <w:sz w:val="30"/>
          <w:szCs w:val="30"/>
          <w:highlight w:val="none"/>
        </w:rPr>
        <w:t>主要环境影响和保护措施</w:t>
      </w:r>
    </w:p>
    <w:tbl>
      <w:tblPr>
        <w:tblStyle w:val="35"/>
        <w:tblW w:w="5003"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56"/>
        <w:gridCol w:w="9078"/>
      </w:tblGrid>
      <w:tr w14:paraId="65DB59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822" w:hRule="atLeast"/>
        </w:trPr>
        <w:tc>
          <w:tcPr>
            <w:tcW w:w="288" w:type="pct"/>
            <w:tcBorders>
              <w:tl2br w:val="nil"/>
              <w:tr2bl w:val="nil"/>
            </w:tcBorders>
            <w:noWrap w:val="0"/>
            <w:vAlign w:val="center"/>
          </w:tcPr>
          <w:p w14:paraId="7D74390B">
            <w:pPr>
              <w:pStyle w:val="29"/>
              <w:adjustRightInd w:val="0"/>
              <w:snapToGrid w:val="0"/>
              <w:spacing w:before="0" w:beforeAutospacing="0" w:after="0" w:afterAutospacing="0"/>
              <w:jc w:val="center"/>
              <w:rPr>
                <w:rFonts w:hint="default" w:ascii="Times New Roman" w:hAnsi="Times New Roman" w:cs="Times New Roman"/>
                <w:b/>
                <w:bCs/>
                <w:color w:val="auto"/>
                <w:kern w:val="2"/>
                <w:szCs w:val="24"/>
                <w:highlight w:val="none"/>
                <w:lang w:val="en-US" w:eastAsia="zh-CN"/>
              </w:rPr>
            </w:pPr>
            <w:r>
              <w:rPr>
                <w:rFonts w:hint="default" w:ascii="Times New Roman" w:hAnsi="Times New Roman" w:cs="Times New Roman"/>
                <w:b/>
                <w:bCs/>
                <w:color w:val="auto"/>
                <w:kern w:val="2"/>
                <w:szCs w:val="24"/>
                <w:highlight w:val="none"/>
                <w:lang w:val="en-US" w:eastAsia="zh-CN"/>
              </w:rPr>
              <w:t>施工</w:t>
            </w:r>
          </w:p>
          <w:p w14:paraId="1B838491">
            <w:pPr>
              <w:pStyle w:val="29"/>
              <w:adjustRightInd w:val="0"/>
              <w:snapToGrid w:val="0"/>
              <w:spacing w:before="0" w:beforeAutospacing="0" w:after="0" w:afterAutospacing="0"/>
              <w:jc w:val="center"/>
              <w:rPr>
                <w:rFonts w:hint="default" w:ascii="Times New Roman" w:hAnsi="Times New Roman" w:cs="Times New Roman"/>
                <w:b/>
                <w:bCs/>
                <w:color w:val="auto"/>
                <w:kern w:val="2"/>
                <w:szCs w:val="24"/>
                <w:highlight w:val="none"/>
                <w:lang w:val="en-US" w:eastAsia="zh-CN"/>
              </w:rPr>
            </w:pPr>
            <w:r>
              <w:rPr>
                <w:rFonts w:hint="default" w:ascii="Times New Roman" w:hAnsi="Times New Roman" w:cs="Times New Roman"/>
                <w:b/>
                <w:bCs/>
                <w:color w:val="auto"/>
                <w:kern w:val="2"/>
                <w:szCs w:val="24"/>
                <w:highlight w:val="none"/>
                <w:lang w:val="en-US" w:eastAsia="zh-CN"/>
              </w:rPr>
              <w:t>期环</w:t>
            </w:r>
          </w:p>
          <w:p w14:paraId="7313C503">
            <w:pPr>
              <w:pStyle w:val="29"/>
              <w:adjustRightInd w:val="0"/>
              <w:snapToGrid w:val="0"/>
              <w:spacing w:before="0" w:beforeAutospacing="0" w:after="0" w:afterAutospacing="0"/>
              <w:jc w:val="center"/>
              <w:rPr>
                <w:rFonts w:hint="default" w:ascii="Times New Roman" w:hAnsi="Times New Roman" w:cs="Times New Roman"/>
                <w:b/>
                <w:bCs/>
                <w:color w:val="auto"/>
                <w:kern w:val="2"/>
                <w:szCs w:val="24"/>
                <w:highlight w:val="none"/>
                <w:lang w:val="en-US" w:eastAsia="zh-CN"/>
              </w:rPr>
            </w:pPr>
            <w:r>
              <w:rPr>
                <w:rFonts w:hint="default" w:ascii="Times New Roman" w:hAnsi="Times New Roman" w:cs="Times New Roman"/>
                <w:b/>
                <w:bCs/>
                <w:color w:val="auto"/>
                <w:kern w:val="2"/>
                <w:szCs w:val="24"/>
                <w:highlight w:val="none"/>
                <w:lang w:val="en-US" w:eastAsia="zh-CN"/>
              </w:rPr>
              <w:t>境保</w:t>
            </w:r>
          </w:p>
          <w:p w14:paraId="36867E2B">
            <w:pPr>
              <w:pStyle w:val="29"/>
              <w:adjustRightInd w:val="0"/>
              <w:snapToGrid w:val="0"/>
              <w:spacing w:before="0" w:beforeAutospacing="0" w:after="0" w:afterAutospacing="0"/>
              <w:jc w:val="center"/>
              <w:rPr>
                <w:rFonts w:hint="default" w:ascii="Times New Roman" w:hAnsi="Times New Roman" w:cs="Times New Roman"/>
                <w:b/>
                <w:bCs/>
                <w:color w:val="auto"/>
                <w:kern w:val="2"/>
                <w:szCs w:val="24"/>
                <w:highlight w:val="none"/>
                <w:lang w:val="en-US" w:eastAsia="zh-CN"/>
              </w:rPr>
            </w:pPr>
            <w:r>
              <w:rPr>
                <w:rFonts w:hint="default" w:ascii="Times New Roman" w:hAnsi="Times New Roman" w:cs="Times New Roman"/>
                <w:b/>
                <w:bCs/>
                <w:color w:val="auto"/>
                <w:kern w:val="2"/>
                <w:szCs w:val="24"/>
                <w:highlight w:val="none"/>
                <w:lang w:val="en-US" w:eastAsia="zh-CN"/>
              </w:rPr>
              <w:t>护措</w:t>
            </w:r>
          </w:p>
          <w:p w14:paraId="5A46D57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2"/>
                <w:szCs w:val="22"/>
                <w:highlight w:val="none"/>
                <w:vertAlign w:val="baseline"/>
              </w:rPr>
            </w:pPr>
            <w:r>
              <w:rPr>
                <w:rFonts w:hint="default" w:ascii="Times New Roman" w:hAnsi="Times New Roman" w:cs="Times New Roman"/>
                <w:b/>
                <w:bCs/>
                <w:color w:val="auto"/>
                <w:kern w:val="2"/>
                <w:szCs w:val="24"/>
                <w:highlight w:val="none"/>
                <w:lang w:val="en-US" w:eastAsia="zh-CN"/>
              </w:rPr>
              <w:t>施</w:t>
            </w:r>
          </w:p>
        </w:tc>
        <w:tc>
          <w:tcPr>
            <w:tcW w:w="4711" w:type="pct"/>
            <w:tcBorders>
              <w:tl2br w:val="nil"/>
              <w:tr2bl w:val="nil"/>
            </w:tcBorders>
            <w:noWrap w:val="0"/>
            <w:vAlign w:val="center"/>
          </w:tcPr>
          <w:p w14:paraId="169B3542">
            <w:pPr>
              <w:bidi w:val="0"/>
              <w:ind w:firstLine="480" w:firstLineChars="200"/>
              <w:rPr>
                <w:rFonts w:hint="default" w:ascii="Times New Roman" w:hAnsi="Times New Roman" w:cs="Times New Roman"/>
                <w:lang w:val="en-US" w:eastAsia="zh-CN"/>
              </w:rPr>
            </w:pPr>
            <w:r>
              <w:rPr>
                <w:rFonts w:hint="default" w:ascii="Times New Roman" w:hAnsi="Times New Roman" w:cs="Times New Roman"/>
                <w:b w:val="0"/>
                <w:bCs/>
                <w:color w:val="auto"/>
                <w:sz w:val="24"/>
                <w:szCs w:val="24"/>
                <w:highlight w:val="none"/>
                <w:lang w:val="en-US" w:eastAsia="zh-CN"/>
              </w:rPr>
              <w:t>项目使用已建成厂房生产加工，不进行土建施工，因此不存在施工期环境影响</w:t>
            </w:r>
            <w:r>
              <w:rPr>
                <w:rFonts w:hint="default" w:ascii="Times New Roman" w:hAnsi="Times New Roman" w:cs="Times New Roman"/>
                <w:lang w:val="en-US" w:eastAsia="zh-CN"/>
              </w:rPr>
              <w:t>。</w:t>
            </w:r>
          </w:p>
        </w:tc>
      </w:tr>
    </w:tbl>
    <w:p w14:paraId="790E8736">
      <w:pPr>
        <w:pStyle w:val="43"/>
        <w:rPr>
          <w:rFonts w:hint="default" w:ascii="Times New Roman" w:hAnsi="Times New Roman" w:cs="Times New Roman"/>
          <w:color w:val="auto"/>
        </w:rPr>
        <w:sectPr>
          <w:pgSz w:w="11906" w:h="16838"/>
          <w:pgMar w:top="1440" w:right="1247" w:bottom="1440" w:left="1247" w:header="851" w:footer="1077" w:gutter="0"/>
          <w:pgNumType w:fmt="decimal"/>
          <w:cols w:space="720" w:num="1"/>
          <w:docGrid w:linePitch="312" w:charSpace="0"/>
        </w:sectPr>
      </w:pPr>
    </w:p>
    <w:tbl>
      <w:tblPr>
        <w:tblStyle w:val="35"/>
        <w:tblW w:w="145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82"/>
        <w:gridCol w:w="14078"/>
      </w:tblGrid>
      <w:tr w14:paraId="4EEF32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124" w:hRule="atLeast"/>
        </w:trPr>
        <w:tc>
          <w:tcPr>
            <w:tcW w:w="482" w:type="dxa"/>
            <w:tcBorders>
              <w:tl2br w:val="nil"/>
              <w:tr2bl w:val="nil"/>
            </w:tcBorders>
            <w:noWrap w:val="0"/>
            <w:vAlign w:val="center"/>
          </w:tcPr>
          <w:p w14:paraId="0E35B5B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2"/>
                <w:szCs w:val="22"/>
                <w:highlight w:val="none"/>
                <w:vertAlign w:val="baseline"/>
              </w:rPr>
            </w:pPr>
            <w:r>
              <w:rPr>
                <w:rFonts w:hint="default" w:ascii="Times New Roman" w:hAnsi="Times New Roman" w:eastAsia="宋体" w:cs="Times New Roman"/>
                <w:color w:val="auto"/>
                <w:sz w:val="22"/>
                <w:szCs w:val="22"/>
                <w:highlight w:val="none"/>
                <w:vertAlign w:val="baseline"/>
              </w:rPr>
              <w:t>运营</w:t>
            </w:r>
          </w:p>
          <w:p w14:paraId="0720C25D">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2"/>
                <w:szCs w:val="22"/>
                <w:highlight w:val="none"/>
                <w:vertAlign w:val="baseline"/>
              </w:rPr>
            </w:pPr>
            <w:r>
              <w:rPr>
                <w:rFonts w:hint="default" w:ascii="Times New Roman" w:hAnsi="Times New Roman" w:eastAsia="宋体" w:cs="Times New Roman"/>
                <w:color w:val="auto"/>
                <w:sz w:val="22"/>
                <w:szCs w:val="22"/>
                <w:highlight w:val="none"/>
                <w:vertAlign w:val="baseline"/>
              </w:rPr>
              <w:t>期环</w:t>
            </w:r>
          </w:p>
          <w:p w14:paraId="14794E3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2"/>
                <w:szCs w:val="22"/>
                <w:highlight w:val="none"/>
                <w:vertAlign w:val="baseline"/>
              </w:rPr>
            </w:pPr>
            <w:r>
              <w:rPr>
                <w:rFonts w:hint="default" w:ascii="Times New Roman" w:hAnsi="Times New Roman" w:eastAsia="宋体" w:cs="Times New Roman"/>
                <w:color w:val="auto"/>
                <w:sz w:val="22"/>
                <w:szCs w:val="22"/>
                <w:highlight w:val="none"/>
                <w:vertAlign w:val="baseline"/>
              </w:rPr>
              <w:t>境影</w:t>
            </w:r>
          </w:p>
          <w:p w14:paraId="1836769D">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2"/>
                <w:szCs w:val="22"/>
                <w:highlight w:val="none"/>
                <w:vertAlign w:val="baseline"/>
              </w:rPr>
            </w:pPr>
            <w:r>
              <w:rPr>
                <w:rFonts w:hint="default" w:ascii="Times New Roman" w:hAnsi="Times New Roman" w:eastAsia="宋体" w:cs="Times New Roman"/>
                <w:color w:val="auto"/>
                <w:sz w:val="22"/>
                <w:szCs w:val="22"/>
                <w:highlight w:val="none"/>
                <w:vertAlign w:val="baseline"/>
              </w:rPr>
              <w:t>响和</w:t>
            </w:r>
          </w:p>
          <w:p w14:paraId="01015D7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2"/>
                <w:szCs w:val="22"/>
                <w:highlight w:val="none"/>
                <w:vertAlign w:val="baseline"/>
              </w:rPr>
            </w:pPr>
            <w:r>
              <w:rPr>
                <w:rFonts w:hint="default" w:ascii="Times New Roman" w:hAnsi="Times New Roman" w:eastAsia="宋体" w:cs="Times New Roman"/>
                <w:color w:val="auto"/>
                <w:sz w:val="22"/>
                <w:szCs w:val="22"/>
                <w:highlight w:val="none"/>
                <w:vertAlign w:val="baseline"/>
              </w:rPr>
              <w:t>保护</w:t>
            </w:r>
          </w:p>
          <w:p w14:paraId="1064699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2"/>
                <w:szCs w:val="22"/>
                <w:highlight w:val="none"/>
                <w:vertAlign w:val="baseline"/>
              </w:rPr>
            </w:pPr>
            <w:r>
              <w:rPr>
                <w:rFonts w:hint="default" w:ascii="Times New Roman" w:hAnsi="Times New Roman" w:eastAsia="宋体" w:cs="Times New Roman"/>
                <w:color w:val="auto"/>
                <w:sz w:val="22"/>
                <w:szCs w:val="22"/>
                <w:highlight w:val="none"/>
                <w:vertAlign w:val="baseline"/>
              </w:rPr>
              <w:t>措施</w:t>
            </w:r>
          </w:p>
        </w:tc>
        <w:tc>
          <w:tcPr>
            <w:tcW w:w="14078" w:type="dxa"/>
            <w:tcBorders>
              <w:tl2br w:val="nil"/>
              <w:tr2bl w:val="nil"/>
            </w:tcBorders>
            <w:noWrap w:val="0"/>
            <w:vAlign w:val="center"/>
          </w:tcPr>
          <w:p w14:paraId="66310D06">
            <w:pPr>
              <w:pageBreakBefore w:val="0"/>
              <w:widowControl w:val="0"/>
              <w:numPr>
                <w:ilvl w:val="0"/>
                <w:numId w:val="0"/>
              </w:numPr>
              <w:kinsoku/>
              <w:wordWrap/>
              <w:overflowPunct/>
              <w:topLinePunct w:val="0"/>
              <w:autoSpaceDE/>
              <w:autoSpaceDN/>
              <w:bidi w:val="0"/>
              <w:adjustRightInd w:val="0"/>
              <w:snapToGrid w:val="0"/>
              <w:spacing w:line="360" w:lineRule="auto"/>
              <w:ind w:left="0" w:firstLine="482" w:firstLineChars="200"/>
              <w:textAlignment w:val="auto"/>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lang w:val="en-US" w:eastAsia="zh-CN"/>
              </w:rPr>
              <w:t>1、</w:t>
            </w:r>
            <w:r>
              <w:rPr>
                <w:rFonts w:hint="default" w:ascii="Times New Roman" w:hAnsi="Times New Roman" w:cs="Times New Roman"/>
                <w:b/>
                <w:bCs/>
                <w:color w:val="auto"/>
                <w:sz w:val="24"/>
                <w:highlight w:val="none"/>
              </w:rPr>
              <w:t>废气</w:t>
            </w:r>
          </w:p>
          <w:p w14:paraId="7A226CC6">
            <w:pPr>
              <w:pStyle w:val="2"/>
              <w:pageBreakBefore w:val="0"/>
              <w:widowControl w:val="0"/>
              <w:kinsoku/>
              <w:wordWrap/>
              <w:overflowPunct/>
              <w:topLinePunct w:val="0"/>
              <w:autoSpaceDE/>
              <w:autoSpaceDN/>
              <w:bidi w:val="0"/>
              <w:adjustRightInd w:val="0"/>
              <w:snapToGrid w:val="0"/>
              <w:spacing w:before="0" w:after="0" w:line="360" w:lineRule="auto"/>
              <w:ind w:left="0" w:firstLine="482" w:firstLineChars="200"/>
              <w:textAlignment w:val="auto"/>
              <w:outlineLvl w:val="0"/>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1.1废气源强</w:t>
            </w:r>
          </w:p>
          <w:p w14:paraId="38D85D71">
            <w:pPr>
              <w:pageBreakBefore w:val="0"/>
              <w:widowControl w:val="0"/>
              <w:kinsoku/>
              <w:wordWrap/>
              <w:overflowPunct/>
              <w:topLinePunct w:val="0"/>
              <w:autoSpaceDE w:val="0"/>
              <w:autoSpaceDN w:val="0"/>
              <w:bidi w:val="0"/>
              <w:adjustRightInd w:val="0"/>
              <w:snapToGrid w:val="0"/>
              <w:spacing w:after="0" w:line="360" w:lineRule="auto"/>
              <w:ind w:firstLine="480" w:firstLineChars="200"/>
              <w:jc w:val="both"/>
              <w:textAlignment w:val="baseline"/>
              <w:rPr>
                <w:rFonts w:hint="default" w:ascii="Times New Roman" w:hAnsi="Times New Roman" w:cs="Times New Roman"/>
                <w:bCs/>
                <w:color w:val="auto"/>
                <w:spacing w:val="-10"/>
                <w:sz w:val="24"/>
                <w:highlight w:val="none"/>
              </w:rPr>
            </w:pPr>
            <w:r>
              <w:rPr>
                <w:rFonts w:hint="default" w:ascii="Times New Roman" w:hAnsi="Times New Roman" w:cs="Times New Roman"/>
                <w:color w:val="auto"/>
                <w:sz w:val="24"/>
                <w:highlight w:val="none"/>
                <w:lang w:eastAsia="zh-CN"/>
              </w:rPr>
              <w:t>本项目</w:t>
            </w:r>
            <w:r>
              <w:rPr>
                <w:rFonts w:hint="default" w:ascii="Times New Roman" w:hAnsi="Times New Roman" w:cs="Times New Roman"/>
                <w:color w:val="auto"/>
                <w:sz w:val="24"/>
                <w:highlight w:val="none"/>
              </w:rPr>
              <w:t>运营期废气主要为</w:t>
            </w:r>
            <w:r>
              <w:rPr>
                <w:rFonts w:hint="default" w:ascii="Times New Roman" w:hAnsi="Times New Roman" w:eastAsia="宋体" w:cs="Times New Roman"/>
                <w:color w:val="auto"/>
                <w:kern w:val="2"/>
                <w:sz w:val="24"/>
                <w:szCs w:val="24"/>
                <w:highlight w:val="none"/>
                <w:lang w:val="en-US" w:eastAsia="zh-CN"/>
              </w:rPr>
              <w:t>砂石卸料粉尘、砂石料仓扬尘、砂石物料输送粉尘、水泥、粉煤灰筒仓呼吸废气（颗粒物）、搅拌废气（颗粒物）、焊接烟尘、</w:t>
            </w:r>
            <w:r>
              <w:rPr>
                <w:rFonts w:hint="default" w:ascii="Times New Roman" w:hAnsi="Times New Roman" w:eastAsia="宋体" w:cs="Times New Roman"/>
                <w:color w:val="auto"/>
                <w:kern w:val="2"/>
                <w:sz w:val="24"/>
                <w:szCs w:val="24"/>
                <w:highlight w:val="none"/>
              </w:rPr>
              <w:t>运输车辆引起的动力扬尘</w:t>
            </w:r>
            <w:r>
              <w:rPr>
                <w:rFonts w:hint="default" w:ascii="Times New Roman" w:hAnsi="Times New Roman" w:eastAsia="宋体" w:cs="Times New Roman"/>
                <w:color w:val="auto"/>
                <w:kern w:val="2"/>
                <w:sz w:val="24"/>
                <w:szCs w:val="24"/>
                <w:highlight w:val="none"/>
                <w:lang w:val="en-US" w:eastAsia="zh-CN"/>
              </w:rPr>
              <w:t>（颗粒物）</w:t>
            </w:r>
            <w:r>
              <w:rPr>
                <w:rFonts w:hint="default" w:ascii="Times New Roman" w:hAnsi="Times New Roman" w:eastAsia="宋体" w:cs="Times New Roman"/>
                <w:color w:val="auto"/>
                <w:kern w:val="2"/>
                <w:sz w:val="24"/>
                <w:szCs w:val="24"/>
                <w:highlight w:val="none"/>
              </w:rPr>
              <w:t>；</w:t>
            </w:r>
            <w:r>
              <w:rPr>
                <w:rFonts w:hint="default" w:ascii="Times New Roman" w:hAnsi="Times New Roman" w:eastAsia="宋体" w:cs="Times New Roman"/>
                <w:color w:val="auto"/>
                <w:kern w:val="2"/>
                <w:sz w:val="24"/>
                <w:szCs w:val="24"/>
                <w:highlight w:val="none"/>
                <w:lang w:val="en-US" w:eastAsia="zh-CN"/>
              </w:rPr>
              <w:t>锅炉燃烧废气、</w:t>
            </w:r>
            <w:r>
              <w:rPr>
                <w:rFonts w:hint="default" w:ascii="Times New Roman" w:hAnsi="Times New Roman" w:eastAsia="宋体" w:cs="Times New Roman"/>
                <w:color w:val="auto"/>
                <w:kern w:val="2"/>
                <w:sz w:val="24"/>
                <w:szCs w:val="24"/>
                <w:highlight w:val="none"/>
              </w:rPr>
              <w:t>汽车运输产生的尾气</w:t>
            </w:r>
            <w:r>
              <w:rPr>
                <w:rFonts w:hint="default" w:ascii="Times New Roman" w:hAnsi="Times New Roman" w:eastAsia="宋体" w:cs="Times New Roman"/>
                <w:color w:val="auto"/>
                <w:sz w:val="24"/>
                <w:highlight w:val="none"/>
                <w:lang w:eastAsia="zh-CN"/>
              </w:rPr>
              <w:t>；</w:t>
            </w:r>
            <w:r>
              <w:rPr>
                <w:rFonts w:hint="default" w:ascii="Times New Roman" w:hAnsi="Times New Roman" w:cs="Times New Roman"/>
                <w:color w:val="auto"/>
                <w:sz w:val="24"/>
                <w:highlight w:val="none"/>
              </w:rPr>
              <w:t>废气产排情况详见下表：</w:t>
            </w:r>
          </w:p>
          <w:p w14:paraId="7A6A81E0">
            <w:pPr>
              <w:adjustRightInd w:val="0"/>
              <w:snapToGrid w:val="0"/>
              <w:jc w:val="center"/>
              <w:rPr>
                <w:rFonts w:hint="default" w:ascii="Times New Roman" w:hAnsi="Times New Roman" w:cs="Times New Roman"/>
                <w:b/>
                <w:bCs/>
                <w:color w:val="auto"/>
                <w:szCs w:val="21"/>
                <w:highlight w:val="none"/>
              </w:rPr>
            </w:pPr>
            <w:r>
              <w:rPr>
                <w:rFonts w:hint="default" w:ascii="Times New Roman" w:hAnsi="Times New Roman" w:eastAsia="宋体" w:cs="Times New Roman"/>
                <w:b/>
                <w:bCs/>
                <w:color w:val="auto"/>
                <w:kern w:val="2"/>
                <w:sz w:val="21"/>
                <w:szCs w:val="21"/>
                <w:highlight w:val="none"/>
              </w:rPr>
              <w:t>表</w:t>
            </w:r>
            <w:r>
              <w:rPr>
                <w:rFonts w:hint="default" w:ascii="Times New Roman" w:hAnsi="Times New Roman" w:eastAsia="宋体" w:cs="Times New Roman"/>
                <w:b/>
                <w:bCs/>
                <w:color w:val="auto"/>
                <w:kern w:val="2"/>
                <w:sz w:val="21"/>
                <w:szCs w:val="21"/>
                <w:highlight w:val="none"/>
                <w:lang w:val="en-US" w:eastAsia="zh-CN"/>
              </w:rPr>
              <w:t xml:space="preserve">4-1 </w:t>
            </w:r>
            <w:r>
              <w:rPr>
                <w:rFonts w:hint="default" w:ascii="Times New Roman" w:hAnsi="Times New Roman" w:eastAsia="宋体" w:cs="Times New Roman"/>
                <w:b/>
                <w:bCs/>
                <w:color w:val="auto"/>
                <w:kern w:val="2"/>
                <w:sz w:val="21"/>
                <w:szCs w:val="21"/>
                <w:highlight w:val="none"/>
              </w:rPr>
              <w:t>废气污染物源强核算结果一览表</w:t>
            </w:r>
          </w:p>
          <w:tbl>
            <w:tblPr>
              <w:tblStyle w:val="34"/>
              <w:tblW w:w="140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82"/>
              <w:gridCol w:w="900"/>
              <w:gridCol w:w="768"/>
              <w:gridCol w:w="825"/>
              <w:gridCol w:w="705"/>
              <w:gridCol w:w="585"/>
              <w:gridCol w:w="735"/>
              <w:gridCol w:w="810"/>
              <w:gridCol w:w="885"/>
              <w:gridCol w:w="1335"/>
              <w:gridCol w:w="510"/>
              <w:gridCol w:w="720"/>
              <w:gridCol w:w="765"/>
              <w:gridCol w:w="900"/>
              <w:gridCol w:w="1110"/>
              <w:gridCol w:w="660"/>
              <w:gridCol w:w="841"/>
            </w:tblGrid>
            <w:tr w14:paraId="7C1C9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7" w:hRule="atLeast"/>
                <w:jc w:val="center"/>
              </w:trPr>
              <w:tc>
                <w:tcPr>
                  <w:tcW w:w="982" w:type="dxa"/>
                  <w:vMerge w:val="restart"/>
                  <w:tcBorders>
                    <w:tl2br w:val="nil"/>
                    <w:tr2bl w:val="nil"/>
                  </w:tcBorders>
                  <w:noWrap/>
                  <w:tcMar>
                    <w:top w:w="15" w:type="dxa"/>
                    <w:left w:w="15" w:type="dxa"/>
                    <w:right w:w="15" w:type="dxa"/>
                  </w:tcMar>
                  <w:vAlign w:val="center"/>
                </w:tcPr>
                <w:p w14:paraId="50F73B7C">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产污环节</w:t>
                  </w:r>
                </w:p>
              </w:tc>
              <w:tc>
                <w:tcPr>
                  <w:tcW w:w="900" w:type="dxa"/>
                  <w:vMerge w:val="restart"/>
                  <w:tcBorders>
                    <w:tl2br w:val="nil"/>
                    <w:tr2bl w:val="nil"/>
                  </w:tcBorders>
                  <w:noWrap/>
                  <w:tcMar>
                    <w:top w:w="15" w:type="dxa"/>
                    <w:left w:w="15" w:type="dxa"/>
                    <w:right w:w="15" w:type="dxa"/>
                  </w:tcMar>
                  <w:vAlign w:val="center"/>
                </w:tcPr>
                <w:p w14:paraId="7942A258">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污染物</w:t>
                  </w:r>
                </w:p>
              </w:tc>
              <w:tc>
                <w:tcPr>
                  <w:tcW w:w="768" w:type="dxa"/>
                  <w:vMerge w:val="restart"/>
                  <w:tcBorders>
                    <w:tl2br w:val="nil"/>
                    <w:tr2bl w:val="nil"/>
                  </w:tcBorders>
                  <w:noWrap/>
                  <w:tcMar>
                    <w:top w:w="15" w:type="dxa"/>
                    <w:left w:w="15" w:type="dxa"/>
                    <w:right w:w="15" w:type="dxa"/>
                  </w:tcMar>
                  <w:vAlign w:val="center"/>
                </w:tcPr>
                <w:p w14:paraId="16A1DA2C">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18"/>
                      <w:szCs w:val="18"/>
                      <w:highlight w:val="none"/>
                    </w:rPr>
                    <w:t>产生量t/a</w:t>
                  </w:r>
                </w:p>
              </w:tc>
              <w:tc>
                <w:tcPr>
                  <w:tcW w:w="825" w:type="dxa"/>
                  <w:vMerge w:val="restart"/>
                  <w:tcBorders>
                    <w:tl2br w:val="nil"/>
                    <w:tr2bl w:val="nil"/>
                  </w:tcBorders>
                  <w:noWrap/>
                  <w:tcMar>
                    <w:top w:w="15" w:type="dxa"/>
                    <w:left w:w="15" w:type="dxa"/>
                    <w:right w:w="15" w:type="dxa"/>
                  </w:tcMar>
                  <w:vAlign w:val="center"/>
                </w:tcPr>
                <w:p w14:paraId="5F3C19C1">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最大产生速率kg/h</w:t>
                  </w:r>
                </w:p>
              </w:tc>
              <w:tc>
                <w:tcPr>
                  <w:tcW w:w="3720" w:type="dxa"/>
                  <w:gridSpan w:val="5"/>
                  <w:tcBorders>
                    <w:tl2br w:val="nil"/>
                    <w:tr2bl w:val="nil"/>
                  </w:tcBorders>
                  <w:noWrap/>
                  <w:tcMar>
                    <w:top w:w="15" w:type="dxa"/>
                    <w:left w:w="15" w:type="dxa"/>
                    <w:right w:w="15" w:type="dxa"/>
                  </w:tcMar>
                  <w:vAlign w:val="center"/>
                </w:tcPr>
                <w:p w14:paraId="436815B6">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收集情况</w:t>
                  </w:r>
                </w:p>
              </w:tc>
              <w:tc>
                <w:tcPr>
                  <w:tcW w:w="5340" w:type="dxa"/>
                  <w:gridSpan w:val="6"/>
                  <w:tcBorders>
                    <w:tl2br w:val="nil"/>
                    <w:tr2bl w:val="nil"/>
                  </w:tcBorders>
                  <w:noWrap/>
                  <w:tcMar>
                    <w:top w:w="15" w:type="dxa"/>
                    <w:left w:w="15" w:type="dxa"/>
                    <w:right w:w="15" w:type="dxa"/>
                  </w:tcMar>
                  <w:vAlign w:val="center"/>
                </w:tcPr>
                <w:p w14:paraId="59F4CDC2">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lang w:val="en-US" w:eastAsia="zh-CN"/>
                    </w:rPr>
                    <w:t>收集处理</w:t>
                  </w:r>
                  <w:r>
                    <w:rPr>
                      <w:rFonts w:hint="eastAsia" w:cs="Times New Roman"/>
                      <w:b/>
                      <w:bCs/>
                      <w:color w:val="auto"/>
                      <w:sz w:val="21"/>
                      <w:szCs w:val="21"/>
                      <w:highlight w:val="none"/>
                      <w:lang w:val="en-US" w:eastAsia="zh-CN"/>
                    </w:rPr>
                    <w:t>后有组织排放</w:t>
                  </w:r>
                  <w:r>
                    <w:rPr>
                      <w:rFonts w:hint="default" w:ascii="Times New Roman" w:hAnsi="Times New Roman" w:cs="Times New Roman"/>
                      <w:b/>
                      <w:bCs/>
                      <w:color w:val="auto"/>
                      <w:sz w:val="21"/>
                      <w:szCs w:val="21"/>
                      <w:highlight w:val="none"/>
                      <w:lang w:val="en-US" w:eastAsia="zh-CN"/>
                    </w:rPr>
                    <w:t>/处理后无</w:t>
                  </w:r>
                  <w:r>
                    <w:rPr>
                      <w:rFonts w:hint="default" w:ascii="Times New Roman" w:hAnsi="Times New Roman" w:cs="Times New Roman"/>
                      <w:b/>
                      <w:bCs/>
                      <w:color w:val="auto"/>
                      <w:sz w:val="21"/>
                      <w:szCs w:val="21"/>
                      <w:highlight w:val="none"/>
                    </w:rPr>
                    <w:t>组织</w:t>
                  </w:r>
                  <w:r>
                    <w:rPr>
                      <w:rFonts w:hint="default" w:ascii="Times New Roman" w:hAnsi="Times New Roman" w:cs="Times New Roman"/>
                      <w:b/>
                      <w:bCs/>
                      <w:color w:val="auto"/>
                      <w:sz w:val="21"/>
                      <w:szCs w:val="21"/>
                      <w:highlight w:val="none"/>
                      <w:lang w:val="en-US" w:eastAsia="zh-CN"/>
                    </w:rPr>
                    <w:t>排放</w:t>
                  </w:r>
                </w:p>
              </w:tc>
              <w:tc>
                <w:tcPr>
                  <w:tcW w:w="1501" w:type="dxa"/>
                  <w:gridSpan w:val="2"/>
                  <w:tcBorders>
                    <w:tl2br w:val="nil"/>
                    <w:tr2bl w:val="nil"/>
                  </w:tcBorders>
                  <w:noWrap/>
                  <w:tcMar>
                    <w:top w:w="15" w:type="dxa"/>
                    <w:left w:w="15" w:type="dxa"/>
                    <w:right w:w="15" w:type="dxa"/>
                  </w:tcMar>
                  <w:vAlign w:val="center"/>
                </w:tcPr>
                <w:p w14:paraId="7ED50D53">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lang w:val="en-US" w:eastAsia="zh-CN"/>
                    </w:rPr>
                    <w:t>未收集处理/处理</w:t>
                  </w:r>
                  <w:r>
                    <w:rPr>
                      <w:rFonts w:hint="default" w:ascii="Times New Roman" w:hAnsi="Times New Roman" w:cs="Times New Roman"/>
                      <w:b/>
                      <w:bCs/>
                      <w:color w:val="auto"/>
                      <w:sz w:val="21"/>
                      <w:szCs w:val="21"/>
                      <w:highlight w:val="none"/>
                    </w:rPr>
                    <w:t>无组织排放</w:t>
                  </w:r>
                </w:p>
              </w:tc>
            </w:tr>
            <w:tr w14:paraId="114A0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982" w:type="dxa"/>
                  <w:vMerge w:val="continue"/>
                  <w:tcBorders>
                    <w:tl2br w:val="nil"/>
                    <w:tr2bl w:val="nil"/>
                  </w:tcBorders>
                  <w:noWrap/>
                  <w:tcMar>
                    <w:top w:w="15" w:type="dxa"/>
                    <w:left w:w="15" w:type="dxa"/>
                    <w:right w:w="15" w:type="dxa"/>
                  </w:tcMar>
                  <w:vAlign w:val="center"/>
                </w:tcPr>
                <w:p w14:paraId="4535E0F0">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cs="Times New Roman"/>
                      <w:b/>
                      <w:bCs/>
                      <w:color w:val="auto"/>
                      <w:sz w:val="21"/>
                      <w:szCs w:val="21"/>
                      <w:highlight w:val="none"/>
                    </w:rPr>
                  </w:pPr>
                </w:p>
              </w:tc>
              <w:tc>
                <w:tcPr>
                  <w:tcW w:w="900" w:type="dxa"/>
                  <w:vMerge w:val="continue"/>
                  <w:tcBorders>
                    <w:tl2br w:val="nil"/>
                    <w:tr2bl w:val="nil"/>
                  </w:tcBorders>
                  <w:noWrap/>
                  <w:tcMar>
                    <w:top w:w="15" w:type="dxa"/>
                    <w:left w:w="15" w:type="dxa"/>
                    <w:right w:w="15" w:type="dxa"/>
                  </w:tcMar>
                  <w:vAlign w:val="center"/>
                </w:tcPr>
                <w:p w14:paraId="2037F59A">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cs="Times New Roman"/>
                      <w:b/>
                      <w:bCs/>
                      <w:color w:val="auto"/>
                      <w:sz w:val="21"/>
                      <w:szCs w:val="21"/>
                      <w:highlight w:val="none"/>
                    </w:rPr>
                  </w:pPr>
                </w:p>
              </w:tc>
              <w:tc>
                <w:tcPr>
                  <w:tcW w:w="768" w:type="dxa"/>
                  <w:vMerge w:val="continue"/>
                  <w:tcBorders>
                    <w:tl2br w:val="nil"/>
                    <w:tr2bl w:val="nil"/>
                  </w:tcBorders>
                  <w:noWrap/>
                  <w:tcMar>
                    <w:top w:w="15" w:type="dxa"/>
                    <w:left w:w="15" w:type="dxa"/>
                    <w:right w:w="15" w:type="dxa"/>
                  </w:tcMar>
                  <w:vAlign w:val="center"/>
                </w:tcPr>
                <w:p w14:paraId="12CC9DE0">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cs="Times New Roman"/>
                      <w:b/>
                      <w:bCs/>
                      <w:color w:val="auto"/>
                      <w:sz w:val="21"/>
                      <w:szCs w:val="21"/>
                      <w:highlight w:val="none"/>
                    </w:rPr>
                  </w:pPr>
                </w:p>
              </w:tc>
              <w:tc>
                <w:tcPr>
                  <w:tcW w:w="825" w:type="dxa"/>
                  <w:vMerge w:val="continue"/>
                  <w:tcBorders>
                    <w:tl2br w:val="nil"/>
                    <w:tr2bl w:val="nil"/>
                  </w:tcBorders>
                  <w:noWrap/>
                  <w:tcMar>
                    <w:top w:w="15" w:type="dxa"/>
                    <w:left w:w="15" w:type="dxa"/>
                    <w:right w:w="15" w:type="dxa"/>
                  </w:tcMar>
                  <w:vAlign w:val="center"/>
                </w:tcPr>
                <w:p w14:paraId="09689BF4">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cs="Times New Roman"/>
                      <w:b/>
                      <w:bCs/>
                      <w:color w:val="auto"/>
                      <w:sz w:val="21"/>
                      <w:szCs w:val="21"/>
                      <w:highlight w:val="none"/>
                    </w:rPr>
                  </w:pPr>
                </w:p>
              </w:tc>
              <w:tc>
                <w:tcPr>
                  <w:tcW w:w="705" w:type="dxa"/>
                  <w:tcBorders>
                    <w:tl2br w:val="nil"/>
                    <w:tr2bl w:val="nil"/>
                  </w:tcBorders>
                  <w:noWrap/>
                  <w:tcMar>
                    <w:top w:w="15" w:type="dxa"/>
                    <w:left w:w="15" w:type="dxa"/>
                    <w:right w:w="15" w:type="dxa"/>
                  </w:tcMar>
                  <w:vAlign w:val="center"/>
                </w:tcPr>
                <w:p w14:paraId="0EB527D7">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收集效率%</w:t>
                  </w:r>
                </w:p>
              </w:tc>
              <w:tc>
                <w:tcPr>
                  <w:tcW w:w="585" w:type="dxa"/>
                  <w:tcBorders>
                    <w:tl2br w:val="nil"/>
                    <w:tr2bl w:val="nil"/>
                  </w:tcBorders>
                  <w:noWrap/>
                  <w:tcMar>
                    <w:top w:w="15" w:type="dxa"/>
                    <w:left w:w="15" w:type="dxa"/>
                    <w:right w:w="15" w:type="dxa"/>
                  </w:tcMar>
                  <w:vAlign w:val="center"/>
                </w:tcPr>
                <w:p w14:paraId="23004FEE">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风量</w:t>
                  </w:r>
                </w:p>
                <w:p w14:paraId="60E278CD">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cs="Times New Roman"/>
                      <w:color w:val="auto"/>
                      <w:sz w:val="21"/>
                      <w:szCs w:val="21"/>
                      <w:highlight w:val="none"/>
                    </w:rPr>
                  </w:pPr>
                  <w:r>
                    <w:rPr>
                      <w:rFonts w:hint="default" w:ascii="Times New Roman" w:hAnsi="Times New Roman" w:cs="Times New Roman"/>
                      <w:b/>
                      <w:bCs/>
                      <w:color w:val="auto"/>
                      <w:sz w:val="21"/>
                      <w:szCs w:val="21"/>
                      <w:highlight w:val="none"/>
                    </w:rPr>
                    <w:t>m³/h</w:t>
                  </w:r>
                </w:p>
              </w:tc>
              <w:tc>
                <w:tcPr>
                  <w:tcW w:w="735" w:type="dxa"/>
                  <w:tcBorders>
                    <w:tl2br w:val="nil"/>
                    <w:tr2bl w:val="nil"/>
                  </w:tcBorders>
                  <w:noWrap/>
                  <w:tcMar>
                    <w:top w:w="15" w:type="dxa"/>
                    <w:left w:w="15" w:type="dxa"/>
                    <w:right w:w="15" w:type="dxa"/>
                  </w:tcMar>
                  <w:vAlign w:val="center"/>
                </w:tcPr>
                <w:p w14:paraId="08700633">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收集量t/a</w:t>
                  </w:r>
                </w:p>
              </w:tc>
              <w:tc>
                <w:tcPr>
                  <w:tcW w:w="810" w:type="dxa"/>
                  <w:tcBorders>
                    <w:tl2br w:val="nil"/>
                    <w:tr2bl w:val="nil"/>
                  </w:tcBorders>
                  <w:noWrap/>
                  <w:tcMar>
                    <w:top w:w="15" w:type="dxa"/>
                    <w:left w:w="15" w:type="dxa"/>
                    <w:right w:w="15" w:type="dxa"/>
                  </w:tcMar>
                  <w:vAlign w:val="center"/>
                </w:tcPr>
                <w:p w14:paraId="5DBC0802">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收集速率kg/h</w:t>
                  </w:r>
                </w:p>
              </w:tc>
              <w:tc>
                <w:tcPr>
                  <w:tcW w:w="885" w:type="dxa"/>
                  <w:tcBorders>
                    <w:tl2br w:val="nil"/>
                    <w:tr2bl w:val="nil"/>
                  </w:tcBorders>
                  <w:noWrap/>
                  <w:tcMar>
                    <w:top w:w="15" w:type="dxa"/>
                    <w:left w:w="15" w:type="dxa"/>
                    <w:right w:w="15" w:type="dxa"/>
                  </w:tcMar>
                  <w:vAlign w:val="center"/>
                </w:tcPr>
                <w:p w14:paraId="68A8C5CD">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收集浓度mg/m³</w:t>
                  </w:r>
                </w:p>
              </w:tc>
              <w:tc>
                <w:tcPr>
                  <w:tcW w:w="1335" w:type="dxa"/>
                  <w:tcBorders>
                    <w:tl2br w:val="nil"/>
                    <w:tr2bl w:val="nil"/>
                  </w:tcBorders>
                  <w:noWrap/>
                  <w:tcMar>
                    <w:top w:w="15" w:type="dxa"/>
                    <w:left w:w="15" w:type="dxa"/>
                    <w:right w:w="15" w:type="dxa"/>
                  </w:tcMar>
                  <w:vAlign w:val="center"/>
                </w:tcPr>
                <w:p w14:paraId="6B1F1B8E">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治理措施</w:t>
                  </w:r>
                </w:p>
              </w:tc>
              <w:tc>
                <w:tcPr>
                  <w:tcW w:w="510" w:type="dxa"/>
                  <w:tcBorders>
                    <w:tl2br w:val="nil"/>
                    <w:tr2bl w:val="nil"/>
                  </w:tcBorders>
                  <w:noWrap/>
                  <w:tcMar>
                    <w:top w:w="15" w:type="dxa"/>
                    <w:left w:w="15" w:type="dxa"/>
                    <w:right w:w="15" w:type="dxa"/>
                  </w:tcMar>
                  <w:vAlign w:val="center"/>
                </w:tcPr>
                <w:p w14:paraId="12DDC390">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去除率%</w:t>
                  </w:r>
                </w:p>
              </w:tc>
              <w:tc>
                <w:tcPr>
                  <w:tcW w:w="720" w:type="dxa"/>
                  <w:tcBorders>
                    <w:tl2br w:val="nil"/>
                    <w:tr2bl w:val="nil"/>
                  </w:tcBorders>
                  <w:noWrap/>
                  <w:tcMar>
                    <w:top w:w="15" w:type="dxa"/>
                    <w:left w:w="15" w:type="dxa"/>
                    <w:right w:w="15" w:type="dxa"/>
                  </w:tcMar>
                  <w:vAlign w:val="center"/>
                </w:tcPr>
                <w:p w14:paraId="05905612">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排放量t/a</w:t>
                  </w:r>
                </w:p>
              </w:tc>
              <w:tc>
                <w:tcPr>
                  <w:tcW w:w="765" w:type="dxa"/>
                  <w:tcBorders>
                    <w:tl2br w:val="nil"/>
                    <w:tr2bl w:val="nil"/>
                  </w:tcBorders>
                  <w:noWrap/>
                  <w:tcMar>
                    <w:top w:w="15" w:type="dxa"/>
                    <w:left w:w="15" w:type="dxa"/>
                    <w:right w:w="15" w:type="dxa"/>
                  </w:tcMar>
                  <w:vAlign w:val="center"/>
                </w:tcPr>
                <w:p w14:paraId="6DEBAD12">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排放速率kg/h</w:t>
                  </w:r>
                </w:p>
              </w:tc>
              <w:tc>
                <w:tcPr>
                  <w:tcW w:w="900" w:type="dxa"/>
                  <w:tcBorders>
                    <w:tl2br w:val="nil"/>
                    <w:tr2bl w:val="nil"/>
                  </w:tcBorders>
                  <w:noWrap/>
                  <w:tcMar>
                    <w:top w:w="15" w:type="dxa"/>
                    <w:left w:w="15" w:type="dxa"/>
                    <w:right w:w="15" w:type="dxa"/>
                  </w:tcMar>
                  <w:vAlign w:val="center"/>
                </w:tcPr>
                <w:p w14:paraId="6D6729EE">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排放浓度mg/m³</w:t>
                  </w:r>
                </w:p>
              </w:tc>
              <w:tc>
                <w:tcPr>
                  <w:tcW w:w="1110" w:type="dxa"/>
                  <w:tcBorders>
                    <w:tl2br w:val="nil"/>
                    <w:tr2bl w:val="nil"/>
                  </w:tcBorders>
                  <w:noWrap/>
                  <w:tcMar>
                    <w:top w:w="15" w:type="dxa"/>
                    <w:left w:w="15" w:type="dxa"/>
                    <w:right w:w="15" w:type="dxa"/>
                  </w:tcMar>
                  <w:vAlign w:val="center"/>
                </w:tcPr>
                <w:p w14:paraId="7AAFC545">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排气筒编号</w:t>
                  </w:r>
                </w:p>
              </w:tc>
              <w:tc>
                <w:tcPr>
                  <w:tcW w:w="660" w:type="dxa"/>
                  <w:tcBorders>
                    <w:tl2br w:val="nil"/>
                    <w:tr2bl w:val="nil"/>
                  </w:tcBorders>
                  <w:noWrap/>
                  <w:tcMar>
                    <w:top w:w="15" w:type="dxa"/>
                    <w:left w:w="15" w:type="dxa"/>
                    <w:right w:w="15" w:type="dxa"/>
                  </w:tcMar>
                  <w:vAlign w:val="center"/>
                </w:tcPr>
                <w:p w14:paraId="7EB7044F">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排放量t/a</w:t>
                  </w:r>
                </w:p>
              </w:tc>
              <w:tc>
                <w:tcPr>
                  <w:tcW w:w="841" w:type="dxa"/>
                  <w:tcBorders>
                    <w:tl2br w:val="nil"/>
                    <w:tr2bl w:val="nil"/>
                  </w:tcBorders>
                  <w:noWrap/>
                  <w:tcMar>
                    <w:top w:w="15" w:type="dxa"/>
                    <w:left w:w="15" w:type="dxa"/>
                    <w:right w:w="15" w:type="dxa"/>
                  </w:tcMar>
                  <w:vAlign w:val="center"/>
                </w:tcPr>
                <w:p w14:paraId="0A5FEDEC">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排放速率kg/h</w:t>
                  </w:r>
                </w:p>
              </w:tc>
            </w:tr>
            <w:tr w14:paraId="3656B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2" w:hRule="atLeast"/>
                <w:jc w:val="center"/>
              </w:trPr>
              <w:tc>
                <w:tcPr>
                  <w:tcW w:w="982" w:type="dxa"/>
                  <w:tcBorders>
                    <w:tl2br w:val="nil"/>
                    <w:tr2bl w:val="nil"/>
                  </w:tcBorders>
                  <w:noWrap/>
                  <w:tcMar>
                    <w:top w:w="15" w:type="dxa"/>
                    <w:left w:w="15" w:type="dxa"/>
                    <w:right w:w="15" w:type="dxa"/>
                  </w:tcMar>
                  <w:vAlign w:val="center"/>
                </w:tcPr>
                <w:p w14:paraId="28BCCBE7">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搅拌废气</w:t>
                  </w:r>
                </w:p>
              </w:tc>
              <w:tc>
                <w:tcPr>
                  <w:tcW w:w="900" w:type="dxa"/>
                  <w:tcBorders>
                    <w:tl2br w:val="nil"/>
                    <w:tr2bl w:val="nil"/>
                  </w:tcBorders>
                  <w:noWrap/>
                  <w:tcMar>
                    <w:top w:w="15" w:type="dxa"/>
                    <w:left w:w="15" w:type="dxa"/>
                    <w:right w:w="15" w:type="dxa"/>
                  </w:tcMar>
                  <w:vAlign w:val="center"/>
                </w:tcPr>
                <w:p w14:paraId="7385FD2D">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颗粒物</w:t>
                  </w:r>
                </w:p>
              </w:tc>
              <w:tc>
                <w:tcPr>
                  <w:tcW w:w="768" w:type="dxa"/>
                  <w:tcBorders>
                    <w:tl2br w:val="nil"/>
                    <w:tr2bl w:val="nil"/>
                  </w:tcBorders>
                  <w:noWrap/>
                  <w:tcMar>
                    <w:top w:w="15" w:type="dxa"/>
                    <w:left w:w="15" w:type="dxa"/>
                    <w:right w:w="15" w:type="dxa"/>
                  </w:tcMar>
                  <w:vAlign w:val="center"/>
                </w:tcPr>
                <w:p w14:paraId="0C0C82DE">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292.786</w:t>
                  </w:r>
                </w:p>
              </w:tc>
              <w:tc>
                <w:tcPr>
                  <w:tcW w:w="825" w:type="dxa"/>
                  <w:tcBorders>
                    <w:tl2br w:val="nil"/>
                    <w:tr2bl w:val="nil"/>
                  </w:tcBorders>
                  <w:noWrap/>
                  <w:tcMar>
                    <w:top w:w="15" w:type="dxa"/>
                    <w:left w:w="15" w:type="dxa"/>
                    <w:right w:w="15" w:type="dxa"/>
                  </w:tcMar>
                  <w:vAlign w:val="center"/>
                </w:tcPr>
                <w:p w14:paraId="48718BB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81.329</w:t>
                  </w:r>
                  <w:r>
                    <w:rPr>
                      <w:rFonts w:hint="default" w:ascii="Times New Roman" w:hAnsi="Times New Roman" w:eastAsia="宋体" w:cs="Times New Roman"/>
                      <w:i w:val="0"/>
                      <w:iCs w:val="0"/>
                      <w:color w:val="auto"/>
                      <w:kern w:val="0"/>
                      <w:sz w:val="21"/>
                      <w:szCs w:val="21"/>
                      <w:highlight w:val="none"/>
                      <w:u w:val="none"/>
                      <w:lang w:val="en-US" w:eastAsia="zh-CN" w:bidi="ar"/>
                    </w:rPr>
                    <w:t xml:space="preserve"> </w:t>
                  </w:r>
                </w:p>
              </w:tc>
              <w:tc>
                <w:tcPr>
                  <w:tcW w:w="705" w:type="dxa"/>
                  <w:tcBorders>
                    <w:tl2br w:val="nil"/>
                    <w:tr2bl w:val="nil"/>
                  </w:tcBorders>
                  <w:noWrap/>
                  <w:tcMar>
                    <w:top w:w="15" w:type="dxa"/>
                    <w:left w:w="15" w:type="dxa"/>
                    <w:right w:w="15" w:type="dxa"/>
                  </w:tcMar>
                  <w:vAlign w:val="center"/>
                </w:tcPr>
                <w:p w14:paraId="7CCDEE91">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99</w:t>
                  </w:r>
                </w:p>
              </w:tc>
              <w:tc>
                <w:tcPr>
                  <w:tcW w:w="585" w:type="dxa"/>
                  <w:tcBorders>
                    <w:tl2br w:val="nil"/>
                    <w:tr2bl w:val="nil"/>
                  </w:tcBorders>
                  <w:noWrap/>
                  <w:tcMar>
                    <w:top w:w="15" w:type="dxa"/>
                    <w:left w:w="15" w:type="dxa"/>
                    <w:right w:w="15" w:type="dxa"/>
                  </w:tcMar>
                  <w:vAlign w:val="center"/>
                </w:tcPr>
                <w:p w14:paraId="413FCEFA">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8000</w:t>
                  </w:r>
                </w:p>
              </w:tc>
              <w:tc>
                <w:tcPr>
                  <w:tcW w:w="735" w:type="dxa"/>
                  <w:tcBorders>
                    <w:tl2br w:val="nil"/>
                    <w:tr2bl w:val="nil"/>
                  </w:tcBorders>
                  <w:noWrap/>
                  <w:tcMar>
                    <w:top w:w="15" w:type="dxa"/>
                    <w:left w:w="15" w:type="dxa"/>
                    <w:right w:w="15" w:type="dxa"/>
                  </w:tcMar>
                  <w:vAlign w:val="center"/>
                </w:tcPr>
                <w:p w14:paraId="1B6D2FAF">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289.858 </w:t>
                  </w:r>
                </w:p>
              </w:tc>
              <w:tc>
                <w:tcPr>
                  <w:tcW w:w="810" w:type="dxa"/>
                  <w:tcBorders>
                    <w:tl2br w:val="nil"/>
                    <w:tr2bl w:val="nil"/>
                  </w:tcBorders>
                  <w:noWrap/>
                  <w:tcMar>
                    <w:top w:w="15" w:type="dxa"/>
                    <w:left w:w="15" w:type="dxa"/>
                    <w:right w:w="15" w:type="dxa"/>
                  </w:tcMar>
                  <w:vAlign w:val="center"/>
                </w:tcPr>
                <w:p w14:paraId="5E567045">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80.516 </w:t>
                  </w:r>
                </w:p>
              </w:tc>
              <w:tc>
                <w:tcPr>
                  <w:tcW w:w="885" w:type="dxa"/>
                  <w:tcBorders>
                    <w:tl2br w:val="nil"/>
                    <w:tr2bl w:val="nil"/>
                  </w:tcBorders>
                  <w:noWrap/>
                  <w:tcMar>
                    <w:top w:w="15" w:type="dxa"/>
                    <w:left w:w="15" w:type="dxa"/>
                    <w:right w:w="15" w:type="dxa"/>
                  </w:tcMar>
                  <w:vAlign w:val="center"/>
                </w:tcPr>
                <w:p w14:paraId="5546FA1E">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10064.52 </w:t>
                  </w:r>
                </w:p>
              </w:tc>
              <w:tc>
                <w:tcPr>
                  <w:tcW w:w="1335" w:type="dxa"/>
                  <w:tcBorders>
                    <w:tl2br w:val="nil"/>
                    <w:tr2bl w:val="nil"/>
                  </w:tcBorders>
                  <w:noWrap/>
                  <w:tcMar>
                    <w:top w:w="15" w:type="dxa"/>
                    <w:left w:w="15" w:type="dxa"/>
                    <w:right w:w="15" w:type="dxa"/>
                  </w:tcMar>
                  <w:vAlign w:val="center"/>
                </w:tcPr>
                <w:p w14:paraId="1963E336">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脉冲布袋除尘</w:t>
                  </w:r>
                </w:p>
              </w:tc>
              <w:tc>
                <w:tcPr>
                  <w:tcW w:w="510" w:type="dxa"/>
                  <w:tcBorders>
                    <w:tl2br w:val="nil"/>
                    <w:tr2bl w:val="nil"/>
                  </w:tcBorders>
                  <w:noWrap/>
                  <w:tcMar>
                    <w:top w:w="15" w:type="dxa"/>
                    <w:left w:w="15" w:type="dxa"/>
                    <w:right w:w="15" w:type="dxa"/>
                  </w:tcMar>
                  <w:vAlign w:val="center"/>
                </w:tcPr>
                <w:p w14:paraId="45584B5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99.7</w:t>
                  </w:r>
                </w:p>
              </w:tc>
              <w:tc>
                <w:tcPr>
                  <w:tcW w:w="720" w:type="dxa"/>
                  <w:tcBorders>
                    <w:tl2br w:val="nil"/>
                    <w:tr2bl w:val="nil"/>
                  </w:tcBorders>
                  <w:noWrap/>
                  <w:tcMar>
                    <w:top w:w="15" w:type="dxa"/>
                    <w:left w:w="15" w:type="dxa"/>
                    <w:right w:w="15" w:type="dxa"/>
                  </w:tcMar>
                  <w:vAlign w:val="center"/>
                </w:tcPr>
                <w:p w14:paraId="0D08F5A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0.870 </w:t>
                  </w:r>
                </w:p>
              </w:tc>
              <w:tc>
                <w:tcPr>
                  <w:tcW w:w="765" w:type="dxa"/>
                  <w:tcBorders>
                    <w:tl2br w:val="nil"/>
                    <w:tr2bl w:val="nil"/>
                  </w:tcBorders>
                  <w:noWrap/>
                  <w:tcMar>
                    <w:top w:w="15" w:type="dxa"/>
                    <w:left w:w="15" w:type="dxa"/>
                    <w:right w:w="15" w:type="dxa"/>
                  </w:tcMar>
                  <w:vAlign w:val="center"/>
                </w:tcPr>
                <w:p w14:paraId="75D9B1D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0.242 </w:t>
                  </w:r>
                </w:p>
              </w:tc>
              <w:tc>
                <w:tcPr>
                  <w:tcW w:w="900" w:type="dxa"/>
                  <w:tcBorders>
                    <w:tl2br w:val="nil"/>
                    <w:tr2bl w:val="nil"/>
                  </w:tcBorders>
                  <w:noWrap/>
                  <w:tcMar>
                    <w:top w:w="15" w:type="dxa"/>
                    <w:left w:w="15" w:type="dxa"/>
                    <w:right w:w="15" w:type="dxa"/>
                  </w:tcMar>
                  <w:vAlign w:val="center"/>
                </w:tcPr>
                <w:p w14:paraId="5E82F893">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110" w:type="dxa"/>
                  <w:tcBorders>
                    <w:tl2br w:val="nil"/>
                    <w:tr2bl w:val="nil"/>
                  </w:tcBorders>
                  <w:noWrap/>
                  <w:tcMar>
                    <w:top w:w="15" w:type="dxa"/>
                    <w:left w:w="15" w:type="dxa"/>
                    <w:right w:w="15" w:type="dxa"/>
                  </w:tcMar>
                  <w:vAlign w:val="center"/>
                </w:tcPr>
                <w:p w14:paraId="24779664">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660" w:type="dxa"/>
                  <w:tcBorders>
                    <w:tl2br w:val="nil"/>
                    <w:tr2bl w:val="nil"/>
                  </w:tcBorders>
                  <w:noWrap/>
                  <w:tcMar>
                    <w:top w:w="15" w:type="dxa"/>
                    <w:left w:w="15" w:type="dxa"/>
                    <w:right w:w="15" w:type="dxa"/>
                  </w:tcMar>
                  <w:vAlign w:val="center"/>
                </w:tcPr>
                <w:p w14:paraId="342216E8">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2.928 </w:t>
                  </w:r>
                </w:p>
              </w:tc>
              <w:tc>
                <w:tcPr>
                  <w:tcW w:w="841" w:type="dxa"/>
                  <w:tcBorders>
                    <w:tl2br w:val="nil"/>
                    <w:tr2bl w:val="nil"/>
                  </w:tcBorders>
                  <w:noWrap/>
                  <w:tcMar>
                    <w:top w:w="15" w:type="dxa"/>
                    <w:left w:w="15" w:type="dxa"/>
                    <w:right w:w="15" w:type="dxa"/>
                  </w:tcMar>
                  <w:vAlign w:val="center"/>
                </w:tcPr>
                <w:p w14:paraId="691A1018">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0.813 </w:t>
                  </w:r>
                </w:p>
              </w:tc>
            </w:tr>
            <w:tr w14:paraId="3F157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982" w:type="dxa"/>
                  <w:tcBorders>
                    <w:tl2br w:val="nil"/>
                    <w:tr2bl w:val="nil"/>
                  </w:tcBorders>
                  <w:noWrap/>
                  <w:tcMar>
                    <w:top w:w="15" w:type="dxa"/>
                    <w:left w:w="15" w:type="dxa"/>
                    <w:right w:w="15" w:type="dxa"/>
                  </w:tcMar>
                  <w:vAlign w:val="center"/>
                </w:tcPr>
                <w:p w14:paraId="6FD63331">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Cs/>
                      <w:color w:val="auto"/>
                      <w:spacing w:val="-10"/>
                      <w:sz w:val="21"/>
                      <w:szCs w:val="21"/>
                      <w:highlight w:val="none"/>
                      <w:lang w:val="en-US" w:eastAsia="zh-CN"/>
                    </w:rPr>
                  </w:pPr>
                  <w:r>
                    <w:rPr>
                      <w:rFonts w:hint="default" w:ascii="Times New Roman" w:hAnsi="Times New Roman" w:eastAsia="宋体" w:cs="Times New Roman"/>
                      <w:bCs/>
                      <w:color w:val="auto"/>
                      <w:spacing w:val="-10"/>
                      <w:sz w:val="21"/>
                      <w:szCs w:val="21"/>
                      <w:highlight w:val="none"/>
                      <w:lang w:val="en-US" w:eastAsia="zh-CN"/>
                    </w:rPr>
                    <w:t>水泥</w:t>
                  </w:r>
                  <w:r>
                    <w:rPr>
                      <w:rFonts w:hint="default" w:ascii="Times New Roman" w:hAnsi="Times New Roman" w:eastAsia="宋体" w:cs="Times New Roman"/>
                      <w:bCs/>
                      <w:color w:val="auto"/>
                      <w:spacing w:val="-10"/>
                      <w:sz w:val="21"/>
                      <w:szCs w:val="21"/>
                      <w:highlight w:val="none"/>
                      <w:lang w:eastAsia="zh-CN"/>
                    </w:rPr>
                    <w:t>筒仓呼吸废气</w:t>
                  </w:r>
                </w:p>
              </w:tc>
              <w:tc>
                <w:tcPr>
                  <w:tcW w:w="900" w:type="dxa"/>
                  <w:tcBorders>
                    <w:tl2br w:val="nil"/>
                    <w:tr2bl w:val="nil"/>
                  </w:tcBorders>
                  <w:noWrap/>
                  <w:tcMar>
                    <w:top w:w="15" w:type="dxa"/>
                    <w:left w:w="15" w:type="dxa"/>
                    <w:right w:w="15" w:type="dxa"/>
                  </w:tcMar>
                  <w:vAlign w:val="center"/>
                </w:tcPr>
                <w:p w14:paraId="4E607093">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颗粒物</w:t>
                  </w:r>
                </w:p>
              </w:tc>
              <w:tc>
                <w:tcPr>
                  <w:tcW w:w="768" w:type="dxa"/>
                  <w:tcBorders>
                    <w:tl2br w:val="nil"/>
                    <w:tr2bl w:val="nil"/>
                  </w:tcBorders>
                  <w:noWrap/>
                  <w:tcMar>
                    <w:top w:w="15" w:type="dxa"/>
                    <w:left w:w="15" w:type="dxa"/>
                    <w:right w:w="15" w:type="dxa"/>
                  </w:tcMar>
                  <w:vAlign w:val="center"/>
                </w:tcPr>
                <w:p w14:paraId="5F2CCBA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9</w:t>
                  </w:r>
                </w:p>
              </w:tc>
              <w:tc>
                <w:tcPr>
                  <w:tcW w:w="825" w:type="dxa"/>
                  <w:tcBorders>
                    <w:tl2br w:val="nil"/>
                    <w:tr2bl w:val="nil"/>
                  </w:tcBorders>
                  <w:noWrap/>
                  <w:tcMar>
                    <w:top w:w="15" w:type="dxa"/>
                    <w:left w:w="15" w:type="dxa"/>
                    <w:right w:w="15" w:type="dxa"/>
                  </w:tcMar>
                  <w:vAlign w:val="center"/>
                </w:tcPr>
                <w:p w14:paraId="06D7B08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4.800 </w:t>
                  </w:r>
                </w:p>
              </w:tc>
              <w:tc>
                <w:tcPr>
                  <w:tcW w:w="705" w:type="dxa"/>
                  <w:tcBorders>
                    <w:tl2br w:val="nil"/>
                    <w:tr2bl w:val="nil"/>
                  </w:tcBorders>
                  <w:noWrap/>
                  <w:tcMar>
                    <w:top w:w="15" w:type="dxa"/>
                    <w:left w:w="15" w:type="dxa"/>
                    <w:right w:w="15" w:type="dxa"/>
                  </w:tcMar>
                  <w:vAlign w:val="center"/>
                </w:tcPr>
                <w:p w14:paraId="066D04A0">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97</w:t>
                  </w:r>
                </w:p>
              </w:tc>
              <w:tc>
                <w:tcPr>
                  <w:tcW w:w="585" w:type="dxa"/>
                  <w:tcBorders>
                    <w:tl2br w:val="nil"/>
                    <w:tr2bl w:val="nil"/>
                  </w:tcBorders>
                  <w:noWrap/>
                  <w:tcMar>
                    <w:top w:w="15" w:type="dxa"/>
                    <w:left w:w="15" w:type="dxa"/>
                    <w:right w:w="15" w:type="dxa"/>
                  </w:tcMar>
                  <w:vAlign w:val="center"/>
                </w:tcPr>
                <w:p w14:paraId="1B69DBA1">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735" w:type="dxa"/>
                  <w:tcBorders>
                    <w:tl2br w:val="nil"/>
                    <w:tr2bl w:val="nil"/>
                  </w:tcBorders>
                  <w:noWrap/>
                  <w:tcMar>
                    <w:top w:w="15" w:type="dxa"/>
                    <w:left w:w="15" w:type="dxa"/>
                    <w:right w:w="15" w:type="dxa"/>
                  </w:tcMar>
                  <w:vAlign w:val="center"/>
                </w:tcPr>
                <w:p w14:paraId="74BC95D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8.730 </w:t>
                  </w:r>
                </w:p>
              </w:tc>
              <w:tc>
                <w:tcPr>
                  <w:tcW w:w="810" w:type="dxa"/>
                  <w:tcBorders>
                    <w:tl2br w:val="nil"/>
                    <w:tr2bl w:val="nil"/>
                  </w:tcBorders>
                  <w:noWrap/>
                  <w:tcMar>
                    <w:top w:w="15" w:type="dxa"/>
                    <w:left w:w="15" w:type="dxa"/>
                    <w:right w:w="15" w:type="dxa"/>
                  </w:tcMar>
                  <w:vAlign w:val="center"/>
                </w:tcPr>
                <w:p w14:paraId="5035C1C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4.656 </w:t>
                  </w:r>
                </w:p>
              </w:tc>
              <w:tc>
                <w:tcPr>
                  <w:tcW w:w="885" w:type="dxa"/>
                  <w:tcBorders>
                    <w:tl2br w:val="nil"/>
                    <w:tr2bl w:val="nil"/>
                  </w:tcBorders>
                  <w:noWrap/>
                  <w:tcMar>
                    <w:top w:w="15" w:type="dxa"/>
                    <w:left w:w="15" w:type="dxa"/>
                    <w:right w:w="15" w:type="dxa"/>
                  </w:tcMar>
                  <w:vAlign w:val="center"/>
                </w:tcPr>
                <w:p w14:paraId="2BE358E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lang w:val="en-US" w:eastAsia="zh-CN"/>
                    </w:rPr>
                    <w:t>/</w:t>
                  </w:r>
                </w:p>
              </w:tc>
              <w:tc>
                <w:tcPr>
                  <w:tcW w:w="1335" w:type="dxa"/>
                  <w:tcBorders>
                    <w:tl2br w:val="nil"/>
                    <w:tr2bl w:val="nil"/>
                  </w:tcBorders>
                  <w:noWrap/>
                  <w:tcMar>
                    <w:top w:w="15" w:type="dxa"/>
                    <w:left w:w="15" w:type="dxa"/>
                    <w:right w:w="15" w:type="dxa"/>
                  </w:tcMar>
                  <w:vAlign w:val="center"/>
                </w:tcPr>
                <w:p w14:paraId="6C351C33">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脉冲布袋除尘</w:t>
                  </w:r>
                </w:p>
              </w:tc>
              <w:tc>
                <w:tcPr>
                  <w:tcW w:w="510" w:type="dxa"/>
                  <w:tcBorders>
                    <w:tl2br w:val="nil"/>
                    <w:tr2bl w:val="nil"/>
                  </w:tcBorders>
                  <w:noWrap/>
                  <w:tcMar>
                    <w:top w:w="15" w:type="dxa"/>
                    <w:left w:w="15" w:type="dxa"/>
                    <w:right w:w="15" w:type="dxa"/>
                  </w:tcMar>
                  <w:vAlign w:val="center"/>
                </w:tcPr>
                <w:p w14:paraId="498FFB68">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99.7</w:t>
                  </w:r>
                </w:p>
              </w:tc>
              <w:tc>
                <w:tcPr>
                  <w:tcW w:w="720" w:type="dxa"/>
                  <w:tcBorders>
                    <w:tl2br w:val="nil"/>
                    <w:tr2bl w:val="nil"/>
                  </w:tcBorders>
                  <w:noWrap/>
                  <w:tcMar>
                    <w:top w:w="15" w:type="dxa"/>
                    <w:left w:w="15" w:type="dxa"/>
                    <w:right w:w="15" w:type="dxa"/>
                  </w:tcMar>
                  <w:vAlign w:val="center"/>
                </w:tcPr>
                <w:p w14:paraId="7E99618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0.026 </w:t>
                  </w:r>
                </w:p>
              </w:tc>
              <w:tc>
                <w:tcPr>
                  <w:tcW w:w="765" w:type="dxa"/>
                  <w:tcBorders>
                    <w:tl2br w:val="nil"/>
                    <w:tr2bl w:val="nil"/>
                  </w:tcBorders>
                  <w:noWrap/>
                  <w:tcMar>
                    <w:top w:w="15" w:type="dxa"/>
                    <w:left w:w="15" w:type="dxa"/>
                    <w:right w:w="15" w:type="dxa"/>
                  </w:tcMar>
                  <w:vAlign w:val="center"/>
                </w:tcPr>
                <w:p w14:paraId="10B0F1B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0.014 </w:t>
                  </w:r>
                </w:p>
              </w:tc>
              <w:tc>
                <w:tcPr>
                  <w:tcW w:w="900" w:type="dxa"/>
                  <w:tcBorders>
                    <w:tl2br w:val="nil"/>
                    <w:tr2bl w:val="nil"/>
                  </w:tcBorders>
                  <w:noWrap/>
                  <w:tcMar>
                    <w:top w:w="15" w:type="dxa"/>
                    <w:left w:w="15" w:type="dxa"/>
                    <w:right w:w="15" w:type="dxa"/>
                  </w:tcMar>
                  <w:vAlign w:val="center"/>
                </w:tcPr>
                <w:p w14:paraId="4E3A1660">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lang w:val="en-US" w:eastAsia="zh-CN"/>
                    </w:rPr>
                    <w:t>/</w:t>
                  </w:r>
                </w:p>
              </w:tc>
              <w:tc>
                <w:tcPr>
                  <w:tcW w:w="1110" w:type="dxa"/>
                  <w:tcBorders>
                    <w:tl2br w:val="nil"/>
                    <w:tr2bl w:val="nil"/>
                  </w:tcBorders>
                  <w:noWrap/>
                  <w:tcMar>
                    <w:top w:w="15" w:type="dxa"/>
                    <w:left w:w="15" w:type="dxa"/>
                    <w:right w:w="15" w:type="dxa"/>
                  </w:tcMar>
                  <w:vAlign w:val="center"/>
                </w:tcPr>
                <w:p w14:paraId="3D355C33">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44"/>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w:t>
                  </w:r>
                </w:p>
              </w:tc>
              <w:tc>
                <w:tcPr>
                  <w:tcW w:w="660" w:type="dxa"/>
                  <w:tcBorders>
                    <w:tl2br w:val="nil"/>
                    <w:tr2bl w:val="nil"/>
                  </w:tcBorders>
                  <w:noWrap/>
                  <w:tcMar>
                    <w:top w:w="15" w:type="dxa"/>
                    <w:left w:w="15" w:type="dxa"/>
                    <w:right w:w="15" w:type="dxa"/>
                  </w:tcMar>
                  <w:vAlign w:val="center"/>
                </w:tcPr>
                <w:p w14:paraId="6D8DCE1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0.270 </w:t>
                  </w:r>
                </w:p>
              </w:tc>
              <w:tc>
                <w:tcPr>
                  <w:tcW w:w="841" w:type="dxa"/>
                  <w:tcBorders>
                    <w:tl2br w:val="nil"/>
                    <w:tr2bl w:val="nil"/>
                  </w:tcBorders>
                  <w:noWrap/>
                  <w:tcMar>
                    <w:top w:w="15" w:type="dxa"/>
                    <w:left w:w="15" w:type="dxa"/>
                    <w:right w:w="15" w:type="dxa"/>
                  </w:tcMar>
                  <w:vAlign w:val="center"/>
                </w:tcPr>
                <w:p w14:paraId="185EF7D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0.144 </w:t>
                  </w:r>
                </w:p>
              </w:tc>
            </w:tr>
            <w:tr w14:paraId="62FE2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7" w:hRule="atLeast"/>
                <w:jc w:val="center"/>
              </w:trPr>
              <w:tc>
                <w:tcPr>
                  <w:tcW w:w="982" w:type="dxa"/>
                  <w:tcBorders>
                    <w:tl2br w:val="nil"/>
                    <w:tr2bl w:val="nil"/>
                  </w:tcBorders>
                  <w:noWrap/>
                  <w:tcMar>
                    <w:top w:w="15" w:type="dxa"/>
                    <w:left w:w="15" w:type="dxa"/>
                    <w:right w:w="15" w:type="dxa"/>
                  </w:tcMar>
                  <w:vAlign w:val="center"/>
                </w:tcPr>
                <w:p w14:paraId="3BC31482">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bCs/>
                      <w:color w:val="auto"/>
                      <w:spacing w:val="-10"/>
                      <w:sz w:val="21"/>
                      <w:szCs w:val="21"/>
                      <w:highlight w:val="none"/>
                      <w:lang w:val="en-US" w:eastAsia="zh-CN"/>
                    </w:rPr>
                    <w:t>粉煤灰</w:t>
                  </w:r>
                  <w:r>
                    <w:rPr>
                      <w:rFonts w:hint="default" w:ascii="Times New Roman" w:hAnsi="Times New Roman" w:eastAsia="宋体" w:cs="Times New Roman"/>
                      <w:bCs/>
                      <w:color w:val="auto"/>
                      <w:spacing w:val="-10"/>
                      <w:sz w:val="21"/>
                      <w:szCs w:val="21"/>
                      <w:highlight w:val="none"/>
                      <w:lang w:eastAsia="zh-CN"/>
                    </w:rPr>
                    <w:t>筒仓呼吸废气</w:t>
                  </w:r>
                </w:p>
              </w:tc>
              <w:tc>
                <w:tcPr>
                  <w:tcW w:w="900" w:type="dxa"/>
                  <w:tcBorders>
                    <w:tl2br w:val="nil"/>
                    <w:tr2bl w:val="nil"/>
                  </w:tcBorders>
                  <w:noWrap/>
                  <w:tcMar>
                    <w:top w:w="15" w:type="dxa"/>
                    <w:left w:w="15" w:type="dxa"/>
                    <w:right w:w="15" w:type="dxa"/>
                  </w:tcMar>
                  <w:vAlign w:val="center"/>
                </w:tcPr>
                <w:p w14:paraId="113E22DD">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颗粒物</w:t>
                  </w:r>
                </w:p>
              </w:tc>
              <w:tc>
                <w:tcPr>
                  <w:tcW w:w="768" w:type="dxa"/>
                  <w:tcBorders>
                    <w:tl2br w:val="nil"/>
                    <w:tr2bl w:val="nil"/>
                  </w:tcBorders>
                  <w:noWrap/>
                  <w:tcMar>
                    <w:top w:w="15" w:type="dxa"/>
                    <w:left w:w="15" w:type="dxa"/>
                    <w:right w:w="15" w:type="dxa"/>
                  </w:tcMar>
                  <w:vAlign w:val="center"/>
                </w:tcPr>
                <w:p w14:paraId="7333C4B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0.984</w:t>
                  </w:r>
                </w:p>
              </w:tc>
              <w:tc>
                <w:tcPr>
                  <w:tcW w:w="825" w:type="dxa"/>
                  <w:tcBorders>
                    <w:tl2br w:val="nil"/>
                    <w:tr2bl w:val="nil"/>
                  </w:tcBorders>
                  <w:noWrap/>
                  <w:tcMar>
                    <w:top w:w="15" w:type="dxa"/>
                    <w:left w:w="15" w:type="dxa"/>
                    <w:right w:w="15" w:type="dxa"/>
                  </w:tcMar>
                  <w:vAlign w:val="center"/>
                </w:tcPr>
                <w:p w14:paraId="23DAB57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2.400 </w:t>
                  </w:r>
                </w:p>
              </w:tc>
              <w:tc>
                <w:tcPr>
                  <w:tcW w:w="705" w:type="dxa"/>
                  <w:tcBorders>
                    <w:tl2br w:val="nil"/>
                    <w:tr2bl w:val="nil"/>
                  </w:tcBorders>
                  <w:noWrap/>
                  <w:tcMar>
                    <w:top w:w="15" w:type="dxa"/>
                    <w:left w:w="15" w:type="dxa"/>
                    <w:right w:w="15" w:type="dxa"/>
                  </w:tcMar>
                  <w:vAlign w:val="center"/>
                </w:tcPr>
                <w:p w14:paraId="0B78235E">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97</w:t>
                  </w:r>
                </w:p>
              </w:tc>
              <w:tc>
                <w:tcPr>
                  <w:tcW w:w="585" w:type="dxa"/>
                  <w:tcBorders>
                    <w:tl2br w:val="nil"/>
                    <w:tr2bl w:val="nil"/>
                  </w:tcBorders>
                  <w:noWrap/>
                  <w:tcMar>
                    <w:top w:w="15" w:type="dxa"/>
                    <w:left w:w="15" w:type="dxa"/>
                    <w:right w:w="15" w:type="dxa"/>
                  </w:tcMar>
                  <w:vAlign w:val="center"/>
                </w:tcPr>
                <w:p w14:paraId="62898707">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35" w:type="dxa"/>
                  <w:tcBorders>
                    <w:tl2br w:val="nil"/>
                    <w:tr2bl w:val="nil"/>
                  </w:tcBorders>
                  <w:noWrap/>
                  <w:tcMar>
                    <w:top w:w="15" w:type="dxa"/>
                    <w:left w:w="15" w:type="dxa"/>
                    <w:right w:w="15" w:type="dxa"/>
                  </w:tcMar>
                  <w:vAlign w:val="center"/>
                </w:tcPr>
                <w:p w14:paraId="15D2412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0.954 </w:t>
                  </w:r>
                </w:p>
              </w:tc>
              <w:tc>
                <w:tcPr>
                  <w:tcW w:w="810" w:type="dxa"/>
                  <w:tcBorders>
                    <w:tl2br w:val="nil"/>
                    <w:tr2bl w:val="nil"/>
                  </w:tcBorders>
                  <w:noWrap/>
                  <w:tcMar>
                    <w:top w:w="15" w:type="dxa"/>
                    <w:left w:w="15" w:type="dxa"/>
                    <w:right w:w="15" w:type="dxa"/>
                  </w:tcMar>
                  <w:vAlign w:val="center"/>
                </w:tcPr>
                <w:p w14:paraId="0AA9448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2.328 </w:t>
                  </w:r>
                </w:p>
              </w:tc>
              <w:tc>
                <w:tcPr>
                  <w:tcW w:w="885" w:type="dxa"/>
                  <w:tcBorders>
                    <w:tl2br w:val="nil"/>
                    <w:tr2bl w:val="nil"/>
                  </w:tcBorders>
                  <w:noWrap/>
                  <w:tcMar>
                    <w:top w:w="15" w:type="dxa"/>
                    <w:left w:w="15" w:type="dxa"/>
                    <w:right w:w="15" w:type="dxa"/>
                  </w:tcMar>
                  <w:vAlign w:val="center"/>
                </w:tcPr>
                <w:p w14:paraId="4CB55A0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lang w:val="en-US" w:eastAsia="zh-CN"/>
                    </w:rPr>
                    <w:t>/</w:t>
                  </w:r>
                </w:p>
              </w:tc>
              <w:tc>
                <w:tcPr>
                  <w:tcW w:w="1335" w:type="dxa"/>
                  <w:tcBorders>
                    <w:tl2br w:val="nil"/>
                    <w:tr2bl w:val="nil"/>
                  </w:tcBorders>
                  <w:noWrap/>
                  <w:tcMar>
                    <w:top w:w="15" w:type="dxa"/>
                    <w:left w:w="15" w:type="dxa"/>
                    <w:right w:w="15" w:type="dxa"/>
                  </w:tcMar>
                  <w:vAlign w:val="center"/>
                </w:tcPr>
                <w:p w14:paraId="1726546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脉冲布袋除尘</w:t>
                  </w:r>
                </w:p>
              </w:tc>
              <w:tc>
                <w:tcPr>
                  <w:tcW w:w="510" w:type="dxa"/>
                  <w:tcBorders>
                    <w:tl2br w:val="nil"/>
                    <w:tr2bl w:val="nil"/>
                  </w:tcBorders>
                  <w:noWrap/>
                  <w:tcMar>
                    <w:top w:w="15" w:type="dxa"/>
                    <w:left w:w="15" w:type="dxa"/>
                    <w:right w:w="15" w:type="dxa"/>
                  </w:tcMar>
                  <w:vAlign w:val="center"/>
                </w:tcPr>
                <w:p w14:paraId="00121FA0">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99.7</w:t>
                  </w:r>
                </w:p>
              </w:tc>
              <w:tc>
                <w:tcPr>
                  <w:tcW w:w="720" w:type="dxa"/>
                  <w:tcBorders>
                    <w:tl2br w:val="nil"/>
                    <w:tr2bl w:val="nil"/>
                  </w:tcBorders>
                  <w:noWrap/>
                  <w:tcMar>
                    <w:top w:w="15" w:type="dxa"/>
                    <w:left w:w="15" w:type="dxa"/>
                    <w:right w:w="15" w:type="dxa"/>
                  </w:tcMar>
                  <w:vAlign w:val="center"/>
                </w:tcPr>
                <w:p w14:paraId="5F2F2C8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0.003 </w:t>
                  </w:r>
                </w:p>
              </w:tc>
              <w:tc>
                <w:tcPr>
                  <w:tcW w:w="765" w:type="dxa"/>
                  <w:tcBorders>
                    <w:tl2br w:val="nil"/>
                    <w:tr2bl w:val="nil"/>
                  </w:tcBorders>
                  <w:noWrap/>
                  <w:tcMar>
                    <w:top w:w="15" w:type="dxa"/>
                    <w:left w:w="15" w:type="dxa"/>
                    <w:right w:w="15" w:type="dxa"/>
                  </w:tcMar>
                  <w:vAlign w:val="center"/>
                </w:tcPr>
                <w:p w14:paraId="59975A0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0.007 </w:t>
                  </w:r>
                </w:p>
              </w:tc>
              <w:tc>
                <w:tcPr>
                  <w:tcW w:w="900" w:type="dxa"/>
                  <w:tcBorders>
                    <w:tl2br w:val="nil"/>
                    <w:tr2bl w:val="nil"/>
                  </w:tcBorders>
                  <w:noWrap/>
                  <w:tcMar>
                    <w:top w:w="15" w:type="dxa"/>
                    <w:left w:w="15" w:type="dxa"/>
                    <w:right w:w="15" w:type="dxa"/>
                  </w:tcMar>
                  <w:vAlign w:val="center"/>
                </w:tcPr>
                <w:p w14:paraId="7A60B9C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w:t>
                  </w:r>
                </w:p>
              </w:tc>
              <w:tc>
                <w:tcPr>
                  <w:tcW w:w="1110" w:type="dxa"/>
                  <w:tcBorders>
                    <w:tl2br w:val="nil"/>
                    <w:tr2bl w:val="nil"/>
                  </w:tcBorders>
                  <w:noWrap/>
                  <w:tcMar>
                    <w:top w:w="15" w:type="dxa"/>
                    <w:left w:w="15" w:type="dxa"/>
                    <w:right w:w="15" w:type="dxa"/>
                  </w:tcMar>
                  <w:vAlign w:val="center"/>
                </w:tcPr>
                <w:p w14:paraId="78D40AEB">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44"/>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w:t>
                  </w:r>
                </w:p>
              </w:tc>
              <w:tc>
                <w:tcPr>
                  <w:tcW w:w="660" w:type="dxa"/>
                  <w:tcBorders>
                    <w:tl2br w:val="nil"/>
                    <w:tr2bl w:val="nil"/>
                  </w:tcBorders>
                  <w:noWrap/>
                  <w:tcMar>
                    <w:top w:w="15" w:type="dxa"/>
                    <w:left w:w="15" w:type="dxa"/>
                    <w:right w:w="15" w:type="dxa"/>
                  </w:tcMar>
                  <w:vAlign w:val="center"/>
                </w:tcPr>
                <w:p w14:paraId="0C2D5BF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0.030 </w:t>
                  </w:r>
                </w:p>
              </w:tc>
              <w:tc>
                <w:tcPr>
                  <w:tcW w:w="841" w:type="dxa"/>
                  <w:tcBorders>
                    <w:tl2br w:val="nil"/>
                    <w:tr2bl w:val="nil"/>
                  </w:tcBorders>
                  <w:noWrap/>
                  <w:tcMar>
                    <w:top w:w="15" w:type="dxa"/>
                    <w:left w:w="15" w:type="dxa"/>
                    <w:right w:w="15" w:type="dxa"/>
                  </w:tcMar>
                  <w:vAlign w:val="center"/>
                </w:tcPr>
                <w:p w14:paraId="1459034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0.072 </w:t>
                  </w:r>
                </w:p>
              </w:tc>
            </w:tr>
            <w:tr w14:paraId="58735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7" w:hRule="atLeast"/>
                <w:jc w:val="center"/>
              </w:trPr>
              <w:tc>
                <w:tcPr>
                  <w:tcW w:w="982" w:type="dxa"/>
                  <w:tcBorders>
                    <w:tl2br w:val="nil"/>
                    <w:tr2bl w:val="nil"/>
                  </w:tcBorders>
                  <w:noWrap/>
                  <w:tcMar>
                    <w:top w:w="15" w:type="dxa"/>
                    <w:left w:w="15" w:type="dxa"/>
                    <w:right w:w="15" w:type="dxa"/>
                  </w:tcMar>
                  <w:vAlign w:val="center"/>
                </w:tcPr>
                <w:p w14:paraId="522068EC">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Cs/>
                      <w:color w:val="auto"/>
                      <w:spacing w:val="-10"/>
                      <w:sz w:val="21"/>
                      <w:szCs w:val="21"/>
                      <w:highlight w:val="none"/>
                      <w:lang w:val="en-US" w:eastAsia="zh-CN"/>
                    </w:rPr>
                  </w:pPr>
                  <w:r>
                    <w:rPr>
                      <w:rFonts w:hint="default" w:ascii="Times New Roman" w:hAnsi="Times New Roman" w:cs="Times New Roman"/>
                      <w:color w:val="auto"/>
                      <w:sz w:val="21"/>
                      <w:szCs w:val="21"/>
                      <w:highlight w:val="none"/>
                      <w:lang w:val="en-US" w:eastAsia="zh-CN"/>
                    </w:rPr>
                    <w:t>砂石卸料粉尘</w:t>
                  </w:r>
                </w:p>
              </w:tc>
              <w:tc>
                <w:tcPr>
                  <w:tcW w:w="900" w:type="dxa"/>
                  <w:tcBorders>
                    <w:tl2br w:val="nil"/>
                    <w:tr2bl w:val="nil"/>
                  </w:tcBorders>
                  <w:noWrap/>
                  <w:tcMar>
                    <w:top w:w="15" w:type="dxa"/>
                    <w:left w:w="15" w:type="dxa"/>
                    <w:right w:w="15" w:type="dxa"/>
                  </w:tcMar>
                  <w:vAlign w:val="center"/>
                </w:tcPr>
                <w:p w14:paraId="666C8144">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颗粒物</w:t>
                  </w:r>
                </w:p>
              </w:tc>
              <w:tc>
                <w:tcPr>
                  <w:tcW w:w="768" w:type="dxa"/>
                  <w:tcBorders>
                    <w:tl2br w:val="nil"/>
                    <w:tr2bl w:val="nil"/>
                  </w:tcBorders>
                  <w:noWrap/>
                  <w:tcMar>
                    <w:top w:w="15" w:type="dxa"/>
                    <w:left w:w="15" w:type="dxa"/>
                    <w:right w:w="15" w:type="dxa"/>
                  </w:tcMar>
                  <w:vAlign w:val="center"/>
                </w:tcPr>
                <w:p w14:paraId="5504A617">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0.101</w:t>
                  </w:r>
                </w:p>
              </w:tc>
              <w:tc>
                <w:tcPr>
                  <w:tcW w:w="825" w:type="dxa"/>
                  <w:tcBorders>
                    <w:tl2br w:val="nil"/>
                    <w:tr2bl w:val="nil"/>
                  </w:tcBorders>
                  <w:noWrap/>
                  <w:tcMar>
                    <w:top w:w="15" w:type="dxa"/>
                    <w:left w:w="15" w:type="dxa"/>
                    <w:right w:w="15" w:type="dxa"/>
                  </w:tcMar>
                  <w:vAlign w:val="center"/>
                </w:tcPr>
                <w:p w14:paraId="2AA3F8E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0.112 </w:t>
                  </w:r>
                </w:p>
              </w:tc>
              <w:tc>
                <w:tcPr>
                  <w:tcW w:w="705" w:type="dxa"/>
                  <w:tcBorders>
                    <w:tl2br w:val="nil"/>
                    <w:tr2bl w:val="nil"/>
                  </w:tcBorders>
                  <w:noWrap/>
                  <w:tcMar>
                    <w:top w:w="15" w:type="dxa"/>
                    <w:left w:w="15" w:type="dxa"/>
                    <w:right w:w="15" w:type="dxa"/>
                  </w:tcMar>
                  <w:vAlign w:val="center"/>
                </w:tcPr>
                <w:p w14:paraId="1D37B394">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585" w:type="dxa"/>
                  <w:tcBorders>
                    <w:tl2br w:val="nil"/>
                    <w:tr2bl w:val="nil"/>
                  </w:tcBorders>
                  <w:noWrap/>
                  <w:tcMar>
                    <w:top w:w="15" w:type="dxa"/>
                    <w:left w:w="15" w:type="dxa"/>
                    <w:right w:w="15" w:type="dxa"/>
                  </w:tcMar>
                  <w:vAlign w:val="center"/>
                </w:tcPr>
                <w:p w14:paraId="4C57D918">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735" w:type="dxa"/>
                  <w:tcBorders>
                    <w:tl2br w:val="nil"/>
                    <w:tr2bl w:val="nil"/>
                  </w:tcBorders>
                  <w:noWrap/>
                  <w:tcMar>
                    <w:top w:w="15" w:type="dxa"/>
                    <w:left w:w="15" w:type="dxa"/>
                    <w:right w:w="15" w:type="dxa"/>
                  </w:tcMar>
                  <w:vAlign w:val="center"/>
                </w:tcPr>
                <w:p w14:paraId="3A929EBA">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lang w:val="en-US" w:eastAsia="zh-CN"/>
                    </w:rPr>
                    <w:t>/</w:t>
                  </w:r>
                </w:p>
              </w:tc>
              <w:tc>
                <w:tcPr>
                  <w:tcW w:w="810" w:type="dxa"/>
                  <w:tcBorders>
                    <w:tl2br w:val="nil"/>
                    <w:tr2bl w:val="nil"/>
                  </w:tcBorders>
                  <w:noWrap/>
                  <w:tcMar>
                    <w:top w:w="15" w:type="dxa"/>
                    <w:left w:w="15" w:type="dxa"/>
                    <w:right w:w="15" w:type="dxa"/>
                  </w:tcMar>
                  <w:vAlign w:val="center"/>
                </w:tcPr>
                <w:p w14:paraId="7BFA8070">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lang w:val="en-US" w:eastAsia="zh-CN"/>
                    </w:rPr>
                    <w:t>/</w:t>
                  </w:r>
                </w:p>
              </w:tc>
              <w:tc>
                <w:tcPr>
                  <w:tcW w:w="885" w:type="dxa"/>
                  <w:tcBorders>
                    <w:tl2br w:val="nil"/>
                    <w:tr2bl w:val="nil"/>
                  </w:tcBorders>
                  <w:noWrap/>
                  <w:tcMar>
                    <w:top w:w="15" w:type="dxa"/>
                    <w:left w:w="15" w:type="dxa"/>
                    <w:right w:w="15" w:type="dxa"/>
                  </w:tcMar>
                  <w:vAlign w:val="center"/>
                </w:tcPr>
                <w:p w14:paraId="1597EABA">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1335" w:type="dxa"/>
                  <w:tcBorders>
                    <w:tl2br w:val="nil"/>
                    <w:tr2bl w:val="nil"/>
                  </w:tcBorders>
                  <w:noWrap/>
                  <w:tcMar>
                    <w:top w:w="15" w:type="dxa"/>
                    <w:left w:w="15" w:type="dxa"/>
                    <w:right w:w="15" w:type="dxa"/>
                  </w:tcMar>
                  <w:vAlign w:val="center"/>
                </w:tcPr>
                <w:p w14:paraId="2EEC7B98">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洒水抑尘</w:t>
                  </w:r>
                </w:p>
              </w:tc>
              <w:tc>
                <w:tcPr>
                  <w:tcW w:w="510" w:type="dxa"/>
                  <w:tcBorders>
                    <w:tl2br w:val="nil"/>
                    <w:tr2bl w:val="nil"/>
                  </w:tcBorders>
                  <w:noWrap/>
                  <w:tcMar>
                    <w:top w:w="15" w:type="dxa"/>
                    <w:left w:w="15" w:type="dxa"/>
                    <w:right w:w="15" w:type="dxa"/>
                  </w:tcMar>
                  <w:vAlign w:val="center"/>
                </w:tcPr>
                <w:p w14:paraId="48BF273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74</w:t>
                  </w:r>
                </w:p>
              </w:tc>
              <w:tc>
                <w:tcPr>
                  <w:tcW w:w="720" w:type="dxa"/>
                  <w:tcBorders>
                    <w:tl2br w:val="nil"/>
                    <w:tr2bl w:val="nil"/>
                  </w:tcBorders>
                  <w:noWrap/>
                  <w:tcMar>
                    <w:top w:w="15" w:type="dxa"/>
                    <w:left w:w="15" w:type="dxa"/>
                    <w:right w:w="15" w:type="dxa"/>
                  </w:tcMar>
                  <w:vAlign w:val="center"/>
                </w:tcPr>
                <w:p w14:paraId="4FC54EB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0.026 </w:t>
                  </w:r>
                </w:p>
              </w:tc>
              <w:tc>
                <w:tcPr>
                  <w:tcW w:w="765" w:type="dxa"/>
                  <w:tcBorders>
                    <w:tl2br w:val="nil"/>
                    <w:tr2bl w:val="nil"/>
                  </w:tcBorders>
                  <w:noWrap/>
                  <w:tcMar>
                    <w:top w:w="15" w:type="dxa"/>
                    <w:left w:w="15" w:type="dxa"/>
                    <w:right w:w="15" w:type="dxa"/>
                  </w:tcMar>
                  <w:vAlign w:val="center"/>
                </w:tcPr>
                <w:p w14:paraId="0726AC8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0.029 </w:t>
                  </w:r>
                </w:p>
              </w:tc>
              <w:tc>
                <w:tcPr>
                  <w:tcW w:w="900" w:type="dxa"/>
                  <w:tcBorders>
                    <w:tl2br w:val="nil"/>
                    <w:tr2bl w:val="nil"/>
                  </w:tcBorders>
                  <w:noWrap/>
                  <w:tcMar>
                    <w:top w:w="15" w:type="dxa"/>
                    <w:left w:w="15" w:type="dxa"/>
                    <w:right w:w="15" w:type="dxa"/>
                  </w:tcMar>
                  <w:vAlign w:val="center"/>
                </w:tcPr>
                <w:p w14:paraId="4CDFDEE9">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1110" w:type="dxa"/>
                  <w:tcBorders>
                    <w:tl2br w:val="nil"/>
                    <w:tr2bl w:val="nil"/>
                  </w:tcBorders>
                  <w:noWrap/>
                  <w:tcMar>
                    <w:top w:w="15" w:type="dxa"/>
                    <w:left w:w="15" w:type="dxa"/>
                    <w:right w:w="15" w:type="dxa"/>
                  </w:tcMar>
                  <w:vAlign w:val="center"/>
                </w:tcPr>
                <w:p w14:paraId="659425B5">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660" w:type="dxa"/>
                  <w:tcBorders>
                    <w:tl2br w:val="nil"/>
                    <w:tr2bl w:val="nil"/>
                  </w:tcBorders>
                  <w:noWrap/>
                  <w:tcMar>
                    <w:top w:w="15" w:type="dxa"/>
                    <w:left w:w="15" w:type="dxa"/>
                    <w:right w:w="15" w:type="dxa"/>
                  </w:tcMar>
                  <w:vAlign w:val="center"/>
                </w:tcPr>
                <w:p w14:paraId="2B661CE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lang w:val="en-US" w:eastAsia="zh-CN"/>
                    </w:rPr>
                    <w:t>/</w:t>
                  </w:r>
                </w:p>
              </w:tc>
              <w:tc>
                <w:tcPr>
                  <w:tcW w:w="841" w:type="dxa"/>
                  <w:tcBorders>
                    <w:tl2br w:val="nil"/>
                    <w:tr2bl w:val="nil"/>
                  </w:tcBorders>
                  <w:noWrap/>
                  <w:tcMar>
                    <w:top w:w="15" w:type="dxa"/>
                    <w:left w:w="15" w:type="dxa"/>
                    <w:right w:w="15" w:type="dxa"/>
                  </w:tcMar>
                  <w:vAlign w:val="center"/>
                </w:tcPr>
                <w:p w14:paraId="471194F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lang w:val="en-US" w:eastAsia="zh-CN"/>
                    </w:rPr>
                    <w:t>/</w:t>
                  </w:r>
                </w:p>
              </w:tc>
            </w:tr>
            <w:tr w14:paraId="19FD0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982" w:type="dxa"/>
                  <w:tcBorders>
                    <w:tl2br w:val="nil"/>
                    <w:tr2bl w:val="nil"/>
                  </w:tcBorders>
                  <w:noWrap/>
                  <w:tcMar>
                    <w:top w:w="15" w:type="dxa"/>
                    <w:left w:w="15" w:type="dxa"/>
                    <w:right w:w="15" w:type="dxa"/>
                  </w:tcMar>
                  <w:vAlign w:val="center"/>
                </w:tcPr>
                <w:p w14:paraId="6BFCE82A">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Cs/>
                      <w:color w:val="auto"/>
                      <w:spacing w:val="-10"/>
                      <w:sz w:val="21"/>
                      <w:szCs w:val="21"/>
                      <w:highlight w:val="none"/>
                      <w:lang w:val="en-US" w:eastAsia="zh-CN"/>
                    </w:rPr>
                  </w:pPr>
                  <w:r>
                    <w:rPr>
                      <w:rFonts w:hint="default" w:ascii="Times New Roman" w:hAnsi="Times New Roman" w:cs="Times New Roman"/>
                      <w:bCs/>
                      <w:color w:val="auto"/>
                      <w:spacing w:val="-10"/>
                      <w:sz w:val="21"/>
                      <w:szCs w:val="21"/>
                      <w:highlight w:val="none"/>
                      <w:lang w:val="en-US" w:eastAsia="zh-CN"/>
                    </w:rPr>
                    <w:t>砂石</w:t>
                  </w:r>
                  <w:r>
                    <w:rPr>
                      <w:rFonts w:hint="default" w:ascii="Times New Roman" w:hAnsi="Times New Roman" w:cs="Times New Roman"/>
                      <w:bCs/>
                      <w:color w:val="auto"/>
                      <w:spacing w:val="-10"/>
                      <w:sz w:val="21"/>
                      <w:szCs w:val="21"/>
                      <w:highlight w:val="none"/>
                      <w:lang w:eastAsia="zh-CN"/>
                    </w:rPr>
                    <w:t>料仓</w:t>
                  </w:r>
                  <w:r>
                    <w:rPr>
                      <w:rFonts w:hint="default" w:ascii="Times New Roman" w:hAnsi="Times New Roman" w:cs="Times New Roman"/>
                      <w:bCs/>
                      <w:color w:val="auto"/>
                      <w:spacing w:val="-10"/>
                      <w:sz w:val="21"/>
                      <w:szCs w:val="21"/>
                      <w:highlight w:val="none"/>
                    </w:rPr>
                    <w:t>扬尘</w:t>
                  </w:r>
                </w:p>
              </w:tc>
              <w:tc>
                <w:tcPr>
                  <w:tcW w:w="900" w:type="dxa"/>
                  <w:tcBorders>
                    <w:tl2br w:val="nil"/>
                    <w:tr2bl w:val="nil"/>
                  </w:tcBorders>
                  <w:noWrap/>
                  <w:tcMar>
                    <w:top w:w="15" w:type="dxa"/>
                    <w:left w:w="15" w:type="dxa"/>
                    <w:right w:w="15" w:type="dxa"/>
                  </w:tcMar>
                  <w:vAlign w:val="center"/>
                </w:tcPr>
                <w:p w14:paraId="52B43C79">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颗粒物</w:t>
                  </w:r>
                </w:p>
              </w:tc>
              <w:tc>
                <w:tcPr>
                  <w:tcW w:w="768" w:type="dxa"/>
                  <w:tcBorders>
                    <w:tl2br w:val="nil"/>
                    <w:tr2bl w:val="nil"/>
                  </w:tcBorders>
                  <w:noWrap/>
                  <w:tcMar>
                    <w:top w:w="15" w:type="dxa"/>
                    <w:left w:w="15" w:type="dxa"/>
                    <w:right w:w="15" w:type="dxa"/>
                  </w:tcMar>
                  <w:vAlign w:val="center"/>
                </w:tcPr>
                <w:p w14:paraId="2683CC85">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0.353</w:t>
                  </w:r>
                </w:p>
              </w:tc>
              <w:tc>
                <w:tcPr>
                  <w:tcW w:w="825" w:type="dxa"/>
                  <w:tcBorders>
                    <w:tl2br w:val="nil"/>
                    <w:tr2bl w:val="nil"/>
                  </w:tcBorders>
                  <w:noWrap/>
                  <w:tcMar>
                    <w:top w:w="15" w:type="dxa"/>
                    <w:left w:w="15" w:type="dxa"/>
                    <w:right w:w="15" w:type="dxa"/>
                  </w:tcMar>
                  <w:vAlign w:val="center"/>
                </w:tcPr>
                <w:p w14:paraId="551B850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0.049 </w:t>
                  </w:r>
                </w:p>
              </w:tc>
              <w:tc>
                <w:tcPr>
                  <w:tcW w:w="705" w:type="dxa"/>
                  <w:tcBorders>
                    <w:tl2br w:val="nil"/>
                    <w:tr2bl w:val="nil"/>
                  </w:tcBorders>
                  <w:noWrap/>
                  <w:tcMar>
                    <w:top w:w="15" w:type="dxa"/>
                    <w:left w:w="15" w:type="dxa"/>
                    <w:right w:w="15" w:type="dxa"/>
                  </w:tcMar>
                  <w:vAlign w:val="center"/>
                </w:tcPr>
                <w:p w14:paraId="152E9317">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585" w:type="dxa"/>
                  <w:tcBorders>
                    <w:tl2br w:val="nil"/>
                    <w:tr2bl w:val="nil"/>
                  </w:tcBorders>
                  <w:noWrap/>
                  <w:tcMar>
                    <w:top w:w="15" w:type="dxa"/>
                    <w:left w:w="15" w:type="dxa"/>
                    <w:right w:w="15" w:type="dxa"/>
                  </w:tcMar>
                  <w:vAlign w:val="center"/>
                </w:tcPr>
                <w:p w14:paraId="589F3EDA">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735" w:type="dxa"/>
                  <w:tcBorders>
                    <w:tl2br w:val="nil"/>
                    <w:tr2bl w:val="nil"/>
                  </w:tcBorders>
                  <w:noWrap/>
                  <w:tcMar>
                    <w:top w:w="15" w:type="dxa"/>
                    <w:left w:w="15" w:type="dxa"/>
                    <w:right w:w="15" w:type="dxa"/>
                  </w:tcMar>
                  <w:vAlign w:val="center"/>
                </w:tcPr>
                <w:p w14:paraId="3701D9F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w:t>
                  </w:r>
                </w:p>
              </w:tc>
              <w:tc>
                <w:tcPr>
                  <w:tcW w:w="810" w:type="dxa"/>
                  <w:tcBorders>
                    <w:tl2br w:val="nil"/>
                    <w:tr2bl w:val="nil"/>
                  </w:tcBorders>
                  <w:noWrap/>
                  <w:tcMar>
                    <w:top w:w="15" w:type="dxa"/>
                    <w:left w:w="15" w:type="dxa"/>
                    <w:right w:w="15" w:type="dxa"/>
                  </w:tcMar>
                  <w:vAlign w:val="center"/>
                </w:tcPr>
                <w:p w14:paraId="43331BB4">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lang w:val="en-US" w:eastAsia="zh-CN"/>
                    </w:rPr>
                    <w:t>/</w:t>
                  </w:r>
                </w:p>
              </w:tc>
              <w:tc>
                <w:tcPr>
                  <w:tcW w:w="885" w:type="dxa"/>
                  <w:tcBorders>
                    <w:tl2br w:val="nil"/>
                    <w:tr2bl w:val="nil"/>
                  </w:tcBorders>
                  <w:noWrap/>
                  <w:tcMar>
                    <w:top w:w="15" w:type="dxa"/>
                    <w:left w:w="15" w:type="dxa"/>
                    <w:right w:w="15" w:type="dxa"/>
                  </w:tcMar>
                  <w:vAlign w:val="center"/>
                </w:tcPr>
                <w:p w14:paraId="75704AB1">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335" w:type="dxa"/>
                  <w:tcBorders>
                    <w:tl2br w:val="nil"/>
                    <w:tr2bl w:val="nil"/>
                  </w:tcBorders>
                  <w:noWrap/>
                  <w:tcMar>
                    <w:top w:w="15" w:type="dxa"/>
                    <w:left w:w="15" w:type="dxa"/>
                    <w:right w:w="15" w:type="dxa"/>
                  </w:tcMar>
                  <w:vAlign w:val="center"/>
                </w:tcPr>
                <w:p w14:paraId="2A3ABA49">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洒水抑尘</w:t>
                  </w:r>
                </w:p>
              </w:tc>
              <w:tc>
                <w:tcPr>
                  <w:tcW w:w="510" w:type="dxa"/>
                  <w:tcBorders>
                    <w:tl2br w:val="nil"/>
                    <w:tr2bl w:val="nil"/>
                  </w:tcBorders>
                  <w:noWrap/>
                  <w:tcMar>
                    <w:top w:w="15" w:type="dxa"/>
                    <w:left w:w="15" w:type="dxa"/>
                    <w:right w:w="15" w:type="dxa"/>
                  </w:tcMar>
                  <w:vAlign w:val="center"/>
                </w:tcPr>
                <w:p w14:paraId="2465061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74</w:t>
                  </w:r>
                </w:p>
              </w:tc>
              <w:tc>
                <w:tcPr>
                  <w:tcW w:w="720" w:type="dxa"/>
                  <w:tcBorders>
                    <w:tl2br w:val="nil"/>
                    <w:tr2bl w:val="nil"/>
                  </w:tcBorders>
                  <w:noWrap/>
                  <w:tcMar>
                    <w:top w:w="15" w:type="dxa"/>
                    <w:left w:w="15" w:type="dxa"/>
                    <w:right w:w="15" w:type="dxa"/>
                  </w:tcMar>
                  <w:vAlign w:val="center"/>
                </w:tcPr>
                <w:p w14:paraId="7C8771B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0.092 </w:t>
                  </w:r>
                </w:p>
              </w:tc>
              <w:tc>
                <w:tcPr>
                  <w:tcW w:w="765" w:type="dxa"/>
                  <w:tcBorders>
                    <w:tl2br w:val="nil"/>
                    <w:tr2bl w:val="nil"/>
                  </w:tcBorders>
                  <w:noWrap/>
                  <w:tcMar>
                    <w:top w:w="15" w:type="dxa"/>
                    <w:left w:w="15" w:type="dxa"/>
                    <w:right w:w="15" w:type="dxa"/>
                  </w:tcMar>
                  <w:vAlign w:val="center"/>
                </w:tcPr>
                <w:p w14:paraId="207BD6C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0.013 </w:t>
                  </w:r>
                </w:p>
              </w:tc>
              <w:tc>
                <w:tcPr>
                  <w:tcW w:w="900" w:type="dxa"/>
                  <w:tcBorders>
                    <w:tl2br w:val="nil"/>
                    <w:tr2bl w:val="nil"/>
                  </w:tcBorders>
                  <w:noWrap/>
                  <w:tcMar>
                    <w:top w:w="15" w:type="dxa"/>
                    <w:left w:w="15" w:type="dxa"/>
                    <w:right w:w="15" w:type="dxa"/>
                  </w:tcMar>
                  <w:vAlign w:val="center"/>
                </w:tcPr>
                <w:p w14:paraId="765C5D9E">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110" w:type="dxa"/>
                  <w:tcBorders>
                    <w:tl2br w:val="nil"/>
                    <w:tr2bl w:val="nil"/>
                  </w:tcBorders>
                  <w:noWrap/>
                  <w:tcMar>
                    <w:top w:w="15" w:type="dxa"/>
                    <w:left w:w="15" w:type="dxa"/>
                    <w:right w:w="15" w:type="dxa"/>
                  </w:tcMar>
                  <w:vAlign w:val="center"/>
                </w:tcPr>
                <w:p w14:paraId="44F0B13B">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660" w:type="dxa"/>
                  <w:tcBorders>
                    <w:tl2br w:val="nil"/>
                    <w:tr2bl w:val="nil"/>
                  </w:tcBorders>
                  <w:noWrap/>
                  <w:tcMar>
                    <w:top w:w="15" w:type="dxa"/>
                    <w:left w:w="15" w:type="dxa"/>
                    <w:right w:w="15" w:type="dxa"/>
                  </w:tcMar>
                  <w:vAlign w:val="center"/>
                </w:tcPr>
                <w:p w14:paraId="3DF1322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lang w:val="en-US" w:eastAsia="zh-CN"/>
                    </w:rPr>
                    <w:t>/</w:t>
                  </w:r>
                </w:p>
              </w:tc>
              <w:tc>
                <w:tcPr>
                  <w:tcW w:w="841" w:type="dxa"/>
                  <w:tcBorders>
                    <w:tl2br w:val="nil"/>
                    <w:tr2bl w:val="nil"/>
                  </w:tcBorders>
                  <w:noWrap/>
                  <w:tcMar>
                    <w:top w:w="15" w:type="dxa"/>
                    <w:left w:w="15" w:type="dxa"/>
                    <w:right w:w="15" w:type="dxa"/>
                  </w:tcMar>
                  <w:vAlign w:val="center"/>
                </w:tcPr>
                <w:p w14:paraId="309FB92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lang w:val="en-US" w:eastAsia="zh-CN"/>
                    </w:rPr>
                    <w:t>/</w:t>
                  </w:r>
                </w:p>
              </w:tc>
            </w:tr>
            <w:tr w14:paraId="7D529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7" w:hRule="atLeast"/>
                <w:jc w:val="center"/>
              </w:trPr>
              <w:tc>
                <w:tcPr>
                  <w:tcW w:w="982" w:type="dxa"/>
                  <w:tcBorders>
                    <w:tl2br w:val="nil"/>
                    <w:tr2bl w:val="nil"/>
                  </w:tcBorders>
                  <w:noWrap/>
                  <w:tcMar>
                    <w:top w:w="15" w:type="dxa"/>
                    <w:left w:w="15" w:type="dxa"/>
                    <w:right w:w="15" w:type="dxa"/>
                  </w:tcMar>
                  <w:vAlign w:val="center"/>
                </w:tcPr>
                <w:p w14:paraId="4459745E">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Cs/>
                      <w:color w:val="auto"/>
                      <w:spacing w:val="-10"/>
                      <w:sz w:val="21"/>
                      <w:szCs w:val="21"/>
                      <w:highlight w:val="none"/>
                      <w:lang w:val="en-US" w:eastAsia="zh-CN"/>
                    </w:rPr>
                  </w:pPr>
                  <w:r>
                    <w:rPr>
                      <w:rFonts w:hint="default" w:ascii="Times New Roman" w:hAnsi="Times New Roman" w:cs="Times New Roman"/>
                      <w:bCs/>
                      <w:color w:val="auto"/>
                      <w:spacing w:val="-10"/>
                      <w:sz w:val="21"/>
                      <w:szCs w:val="21"/>
                      <w:highlight w:val="none"/>
                      <w:lang w:val="en-US" w:eastAsia="zh-CN"/>
                    </w:rPr>
                    <w:t>砂石物料输送粉尘</w:t>
                  </w:r>
                </w:p>
              </w:tc>
              <w:tc>
                <w:tcPr>
                  <w:tcW w:w="900" w:type="dxa"/>
                  <w:tcBorders>
                    <w:tl2br w:val="nil"/>
                    <w:tr2bl w:val="nil"/>
                  </w:tcBorders>
                  <w:noWrap/>
                  <w:tcMar>
                    <w:top w:w="15" w:type="dxa"/>
                    <w:left w:w="15" w:type="dxa"/>
                    <w:right w:w="15" w:type="dxa"/>
                  </w:tcMar>
                  <w:vAlign w:val="center"/>
                </w:tcPr>
                <w:p w14:paraId="0077F4E4">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颗粒物</w:t>
                  </w:r>
                </w:p>
              </w:tc>
              <w:tc>
                <w:tcPr>
                  <w:tcW w:w="768" w:type="dxa"/>
                  <w:tcBorders>
                    <w:tl2br w:val="nil"/>
                    <w:tr2bl w:val="nil"/>
                  </w:tcBorders>
                  <w:noWrap/>
                  <w:tcMar>
                    <w:top w:w="15" w:type="dxa"/>
                    <w:left w:w="15" w:type="dxa"/>
                    <w:right w:w="15" w:type="dxa"/>
                  </w:tcMar>
                  <w:vAlign w:val="center"/>
                </w:tcPr>
                <w:p w14:paraId="7C8795F0">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r>
                    <w:rPr>
                      <w:rFonts w:hint="eastAsia" w:ascii="Times New Roman" w:hAnsi="Times New Roman" w:eastAsia="宋体" w:cs="Times New Roman"/>
                      <w:i w:val="0"/>
                      <w:iCs w:val="0"/>
                      <w:color w:val="auto"/>
                      <w:kern w:val="0"/>
                      <w:sz w:val="21"/>
                      <w:szCs w:val="21"/>
                      <w:highlight w:val="none"/>
                      <w:u w:val="none"/>
                      <w:lang w:val="en-US" w:eastAsia="zh-CN" w:bidi="ar"/>
                    </w:rPr>
                    <w:t>0</w:t>
                  </w:r>
                  <w:r>
                    <w:rPr>
                      <w:rFonts w:hint="default" w:ascii="Times New Roman" w:hAnsi="Times New Roman" w:eastAsia="宋体" w:cs="Times New Roman"/>
                      <w:i w:val="0"/>
                      <w:iCs w:val="0"/>
                      <w:color w:val="auto"/>
                      <w:kern w:val="0"/>
                      <w:sz w:val="21"/>
                      <w:szCs w:val="21"/>
                      <w:highlight w:val="none"/>
                      <w:u w:val="none"/>
                      <w:lang w:val="en-US" w:eastAsia="zh-CN" w:bidi="ar"/>
                    </w:rPr>
                    <w:t>76</w:t>
                  </w:r>
                </w:p>
              </w:tc>
              <w:tc>
                <w:tcPr>
                  <w:tcW w:w="825" w:type="dxa"/>
                  <w:tcBorders>
                    <w:tl2br w:val="nil"/>
                    <w:tr2bl w:val="nil"/>
                  </w:tcBorders>
                  <w:noWrap/>
                  <w:tcMar>
                    <w:top w:w="15" w:type="dxa"/>
                    <w:left w:w="15" w:type="dxa"/>
                    <w:right w:w="15" w:type="dxa"/>
                  </w:tcMar>
                  <w:vAlign w:val="center"/>
                </w:tcPr>
                <w:p w14:paraId="5F9ECA7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0.021 </w:t>
                  </w:r>
                </w:p>
              </w:tc>
              <w:tc>
                <w:tcPr>
                  <w:tcW w:w="705" w:type="dxa"/>
                  <w:tcBorders>
                    <w:tl2br w:val="nil"/>
                    <w:tr2bl w:val="nil"/>
                  </w:tcBorders>
                  <w:noWrap/>
                  <w:tcMar>
                    <w:top w:w="15" w:type="dxa"/>
                    <w:left w:w="15" w:type="dxa"/>
                    <w:right w:w="15" w:type="dxa"/>
                  </w:tcMar>
                  <w:vAlign w:val="center"/>
                </w:tcPr>
                <w:p w14:paraId="57A9EB42">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585" w:type="dxa"/>
                  <w:tcBorders>
                    <w:tl2br w:val="nil"/>
                    <w:tr2bl w:val="nil"/>
                  </w:tcBorders>
                  <w:noWrap/>
                  <w:tcMar>
                    <w:top w:w="15" w:type="dxa"/>
                    <w:left w:w="15" w:type="dxa"/>
                    <w:right w:w="15" w:type="dxa"/>
                  </w:tcMar>
                  <w:vAlign w:val="center"/>
                </w:tcPr>
                <w:p w14:paraId="386724C9">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735" w:type="dxa"/>
                  <w:tcBorders>
                    <w:tl2br w:val="nil"/>
                    <w:tr2bl w:val="nil"/>
                  </w:tcBorders>
                  <w:noWrap/>
                  <w:tcMar>
                    <w:top w:w="15" w:type="dxa"/>
                    <w:left w:w="15" w:type="dxa"/>
                    <w:right w:w="15" w:type="dxa"/>
                  </w:tcMar>
                  <w:vAlign w:val="center"/>
                </w:tcPr>
                <w:p w14:paraId="721B4AF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w:t>
                  </w:r>
                </w:p>
              </w:tc>
              <w:tc>
                <w:tcPr>
                  <w:tcW w:w="810" w:type="dxa"/>
                  <w:tcBorders>
                    <w:tl2br w:val="nil"/>
                    <w:tr2bl w:val="nil"/>
                  </w:tcBorders>
                  <w:noWrap/>
                  <w:tcMar>
                    <w:top w:w="15" w:type="dxa"/>
                    <w:left w:w="15" w:type="dxa"/>
                    <w:right w:w="15" w:type="dxa"/>
                  </w:tcMar>
                  <w:vAlign w:val="center"/>
                </w:tcPr>
                <w:p w14:paraId="7A3BD3DB">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lang w:val="en-US" w:eastAsia="zh-CN"/>
                    </w:rPr>
                    <w:t>/</w:t>
                  </w:r>
                </w:p>
              </w:tc>
              <w:tc>
                <w:tcPr>
                  <w:tcW w:w="885" w:type="dxa"/>
                  <w:tcBorders>
                    <w:tl2br w:val="nil"/>
                    <w:tr2bl w:val="nil"/>
                  </w:tcBorders>
                  <w:noWrap/>
                  <w:tcMar>
                    <w:top w:w="15" w:type="dxa"/>
                    <w:left w:w="15" w:type="dxa"/>
                    <w:right w:w="15" w:type="dxa"/>
                  </w:tcMar>
                  <w:vAlign w:val="center"/>
                </w:tcPr>
                <w:p w14:paraId="606A6828">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335" w:type="dxa"/>
                  <w:tcBorders>
                    <w:tl2br w:val="nil"/>
                    <w:tr2bl w:val="nil"/>
                  </w:tcBorders>
                  <w:noWrap/>
                  <w:tcMar>
                    <w:top w:w="15" w:type="dxa"/>
                    <w:left w:w="15" w:type="dxa"/>
                    <w:right w:w="15" w:type="dxa"/>
                  </w:tcMar>
                  <w:vAlign w:val="center"/>
                </w:tcPr>
                <w:p w14:paraId="421B97B3">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洒水抑尘</w:t>
                  </w:r>
                </w:p>
              </w:tc>
              <w:tc>
                <w:tcPr>
                  <w:tcW w:w="510" w:type="dxa"/>
                  <w:tcBorders>
                    <w:tl2br w:val="nil"/>
                    <w:tr2bl w:val="nil"/>
                  </w:tcBorders>
                  <w:noWrap/>
                  <w:tcMar>
                    <w:top w:w="15" w:type="dxa"/>
                    <w:left w:w="15" w:type="dxa"/>
                    <w:right w:w="15" w:type="dxa"/>
                  </w:tcMar>
                  <w:vAlign w:val="center"/>
                </w:tcPr>
                <w:p w14:paraId="52BC33D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74</w:t>
                  </w:r>
                </w:p>
              </w:tc>
              <w:tc>
                <w:tcPr>
                  <w:tcW w:w="720" w:type="dxa"/>
                  <w:tcBorders>
                    <w:tl2br w:val="nil"/>
                    <w:tr2bl w:val="nil"/>
                  </w:tcBorders>
                  <w:noWrap/>
                  <w:tcMar>
                    <w:top w:w="15" w:type="dxa"/>
                    <w:left w:w="15" w:type="dxa"/>
                    <w:right w:w="15" w:type="dxa"/>
                  </w:tcMar>
                  <w:vAlign w:val="center"/>
                </w:tcPr>
                <w:p w14:paraId="42F726E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0.198 </w:t>
                  </w:r>
                </w:p>
              </w:tc>
              <w:tc>
                <w:tcPr>
                  <w:tcW w:w="765" w:type="dxa"/>
                  <w:tcBorders>
                    <w:tl2br w:val="nil"/>
                    <w:tr2bl w:val="nil"/>
                  </w:tcBorders>
                  <w:noWrap/>
                  <w:tcMar>
                    <w:top w:w="15" w:type="dxa"/>
                    <w:left w:w="15" w:type="dxa"/>
                    <w:right w:w="15" w:type="dxa"/>
                  </w:tcMar>
                  <w:vAlign w:val="center"/>
                </w:tcPr>
                <w:p w14:paraId="5B3E6E0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0.055 </w:t>
                  </w:r>
                </w:p>
              </w:tc>
              <w:tc>
                <w:tcPr>
                  <w:tcW w:w="900" w:type="dxa"/>
                  <w:tcBorders>
                    <w:tl2br w:val="nil"/>
                    <w:tr2bl w:val="nil"/>
                  </w:tcBorders>
                  <w:noWrap/>
                  <w:tcMar>
                    <w:top w:w="15" w:type="dxa"/>
                    <w:left w:w="15" w:type="dxa"/>
                    <w:right w:w="15" w:type="dxa"/>
                  </w:tcMar>
                  <w:vAlign w:val="center"/>
                </w:tcPr>
                <w:p w14:paraId="79E2E897">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110" w:type="dxa"/>
                  <w:tcBorders>
                    <w:tl2br w:val="nil"/>
                    <w:tr2bl w:val="nil"/>
                  </w:tcBorders>
                  <w:noWrap/>
                  <w:tcMar>
                    <w:top w:w="15" w:type="dxa"/>
                    <w:left w:w="15" w:type="dxa"/>
                    <w:right w:w="15" w:type="dxa"/>
                  </w:tcMar>
                  <w:vAlign w:val="center"/>
                </w:tcPr>
                <w:p w14:paraId="640A4A31">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660" w:type="dxa"/>
                  <w:tcBorders>
                    <w:tl2br w:val="nil"/>
                    <w:tr2bl w:val="nil"/>
                  </w:tcBorders>
                  <w:noWrap/>
                  <w:tcMar>
                    <w:top w:w="15" w:type="dxa"/>
                    <w:left w:w="15" w:type="dxa"/>
                    <w:right w:w="15" w:type="dxa"/>
                  </w:tcMar>
                  <w:vAlign w:val="center"/>
                </w:tcPr>
                <w:p w14:paraId="7C9EAEF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lang w:val="en-US" w:eastAsia="zh-CN"/>
                    </w:rPr>
                    <w:t>/</w:t>
                  </w:r>
                </w:p>
              </w:tc>
              <w:tc>
                <w:tcPr>
                  <w:tcW w:w="841" w:type="dxa"/>
                  <w:tcBorders>
                    <w:tl2br w:val="nil"/>
                    <w:tr2bl w:val="nil"/>
                  </w:tcBorders>
                  <w:noWrap/>
                  <w:tcMar>
                    <w:top w:w="15" w:type="dxa"/>
                    <w:left w:w="15" w:type="dxa"/>
                    <w:right w:w="15" w:type="dxa"/>
                  </w:tcMar>
                  <w:vAlign w:val="center"/>
                </w:tcPr>
                <w:p w14:paraId="3582647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lang w:val="en-US" w:eastAsia="zh-CN"/>
                    </w:rPr>
                    <w:t>/</w:t>
                  </w:r>
                </w:p>
              </w:tc>
            </w:tr>
            <w:tr w14:paraId="26DEA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4" w:hRule="atLeast"/>
                <w:jc w:val="center"/>
              </w:trPr>
              <w:tc>
                <w:tcPr>
                  <w:tcW w:w="982" w:type="dxa"/>
                  <w:tcBorders>
                    <w:tl2br w:val="nil"/>
                    <w:tr2bl w:val="nil"/>
                  </w:tcBorders>
                  <w:noWrap/>
                  <w:tcMar>
                    <w:top w:w="15" w:type="dxa"/>
                    <w:left w:w="15" w:type="dxa"/>
                    <w:right w:w="15" w:type="dxa"/>
                  </w:tcMar>
                  <w:vAlign w:val="center"/>
                </w:tcPr>
                <w:p w14:paraId="1A42318B">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焊接烟尘</w:t>
                  </w:r>
                </w:p>
              </w:tc>
              <w:tc>
                <w:tcPr>
                  <w:tcW w:w="900" w:type="dxa"/>
                  <w:tcBorders>
                    <w:tl2br w:val="nil"/>
                    <w:tr2bl w:val="nil"/>
                  </w:tcBorders>
                  <w:noWrap/>
                  <w:tcMar>
                    <w:top w:w="15" w:type="dxa"/>
                    <w:left w:w="15" w:type="dxa"/>
                    <w:right w:w="15" w:type="dxa"/>
                  </w:tcMar>
                  <w:vAlign w:val="center"/>
                </w:tcPr>
                <w:p w14:paraId="03C4069E">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颗粒物</w:t>
                  </w:r>
                </w:p>
              </w:tc>
              <w:tc>
                <w:tcPr>
                  <w:tcW w:w="768" w:type="dxa"/>
                  <w:tcBorders>
                    <w:tl2br w:val="nil"/>
                    <w:tr2bl w:val="nil"/>
                  </w:tcBorders>
                  <w:noWrap/>
                  <w:tcMar>
                    <w:top w:w="15" w:type="dxa"/>
                    <w:left w:w="15" w:type="dxa"/>
                    <w:right w:w="15" w:type="dxa"/>
                  </w:tcMar>
                  <w:vAlign w:val="center"/>
                </w:tcPr>
                <w:p w14:paraId="4C1AC45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0.063</w:t>
                  </w:r>
                </w:p>
              </w:tc>
              <w:tc>
                <w:tcPr>
                  <w:tcW w:w="825" w:type="dxa"/>
                  <w:tcBorders>
                    <w:tl2br w:val="nil"/>
                    <w:tr2bl w:val="nil"/>
                  </w:tcBorders>
                  <w:noWrap/>
                  <w:tcMar>
                    <w:top w:w="15" w:type="dxa"/>
                    <w:left w:w="15" w:type="dxa"/>
                    <w:right w:w="15" w:type="dxa"/>
                  </w:tcMar>
                  <w:vAlign w:val="center"/>
                </w:tcPr>
                <w:p w14:paraId="1E34E4F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0.018 </w:t>
                  </w:r>
                </w:p>
              </w:tc>
              <w:tc>
                <w:tcPr>
                  <w:tcW w:w="705" w:type="dxa"/>
                  <w:tcBorders>
                    <w:tl2br w:val="nil"/>
                    <w:tr2bl w:val="nil"/>
                  </w:tcBorders>
                  <w:noWrap/>
                  <w:tcMar>
                    <w:top w:w="15" w:type="dxa"/>
                    <w:left w:w="15" w:type="dxa"/>
                    <w:right w:w="15" w:type="dxa"/>
                  </w:tcMar>
                  <w:vAlign w:val="center"/>
                </w:tcPr>
                <w:p w14:paraId="1532758A">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30</w:t>
                  </w:r>
                </w:p>
              </w:tc>
              <w:tc>
                <w:tcPr>
                  <w:tcW w:w="585" w:type="dxa"/>
                  <w:tcBorders>
                    <w:tl2br w:val="nil"/>
                    <w:tr2bl w:val="nil"/>
                  </w:tcBorders>
                  <w:noWrap/>
                  <w:tcMar>
                    <w:top w:w="15" w:type="dxa"/>
                    <w:left w:w="15" w:type="dxa"/>
                    <w:right w:w="15" w:type="dxa"/>
                  </w:tcMar>
                  <w:vAlign w:val="center"/>
                </w:tcPr>
                <w:p w14:paraId="5392F3B2">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3000</w:t>
                  </w:r>
                </w:p>
              </w:tc>
              <w:tc>
                <w:tcPr>
                  <w:tcW w:w="735" w:type="dxa"/>
                  <w:tcBorders>
                    <w:tl2br w:val="nil"/>
                    <w:tr2bl w:val="nil"/>
                  </w:tcBorders>
                  <w:noWrap/>
                  <w:tcMar>
                    <w:top w:w="15" w:type="dxa"/>
                    <w:left w:w="15" w:type="dxa"/>
                    <w:right w:w="15" w:type="dxa"/>
                  </w:tcMar>
                  <w:vAlign w:val="center"/>
                </w:tcPr>
                <w:p w14:paraId="2B7D067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0.019 </w:t>
                  </w:r>
                </w:p>
              </w:tc>
              <w:tc>
                <w:tcPr>
                  <w:tcW w:w="810" w:type="dxa"/>
                  <w:tcBorders>
                    <w:tl2br w:val="nil"/>
                    <w:tr2bl w:val="nil"/>
                  </w:tcBorders>
                  <w:shd w:val="clear" w:color="auto" w:fill="auto"/>
                  <w:noWrap/>
                  <w:tcMar>
                    <w:top w:w="15" w:type="dxa"/>
                    <w:left w:w="15" w:type="dxa"/>
                    <w:right w:w="15" w:type="dxa"/>
                  </w:tcMar>
                  <w:vAlign w:val="center"/>
                </w:tcPr>
                <w:p w14:paraId="3EE9C0B7">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0.005 </w:t>
                  </w:r>
                </w:p>
              </w:tc>
              <w:tc>
                <w:tcPr>
                  <w:tcW w:w="885" w:type="dxa"/>
                  <w:tcBorders>
                    <w:tl2br w:val="nil"/>
                    <w:tr2bl w:val="nil"/>
                  </w:tcBorders>
                  <w:shd w:val="clear" w:color="auto" w:fill="auto"/>
                  <w:noWrap/>
                  <w:tcMar>
                    <w:top w:w="15" w:type="dxa"/>
                    <w:left w:w="15" w:type="dxa"/>
                    <w:right w:w="15" w:type="dxa"/>
                  </w:tcMar>
                  <w:vAlign w:val="center"/>
                </w:tcPr>
                <w:p w14:paraId="03281701">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1.75 </w:t>
                  </w:r>
                </w:p>
              </w:tc>
              <w:tc>
                <w:tcPr>
                  <w:tcW w:w="1335" w:type="dxa"/>
                  <w:tcBorders>
                    <w:tl2br w:val="nil"/>
                    <w:tr2bl w:val="nil"/>
                  </w:tcBorders>
                  <w:noWrap/>
                  <w:tcMar>
                    <w:top w:w="15" w:type="dxa"/>
                    <w:left w:w="15" w:type="dxa"/>
                    <w:right w:w="15" w:type="dxa"/>
                  </w:tcMar>
                  <w:vAlign w:val="center"/>
                </w:tcPr>
                <w:p w14:paraId="09B38FBF">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移动式烟尘净化器</w:t>
                  </w:r>
                </w:p>
              </w:tc>
              <w:tc>
                <w:tcPr>
                  <w:tcW w:w="510" w:type="dxa"/>
                  <w:tcBorders>
                    <w:tl2br w:val="nil"/>
                    <w:tr2bl w:val="nil"/>
                  </w:tcBorders>
                  <w:noWrap/>
                  <w:tcMar>
                    <w:top w:w="15" w:type="dxa"/>
                    <w:left w:w="15" w:type="dxa"/>
                    <w:right w:w="15" w:type="dxa"/>
                  </w:tcMar>
                  <w:vAlign w:val="center"/>
                </w:tcPr>
                <w:p w14:paraId="67E99380">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95</w:t>
                  </w:r>
                </w:p>
              </w:tc>
              <w:tc>
                <w:tcPr>
                  <w:tcW w:w="720" w:type="dxa"/>
                  <w:tcBorders>
                    <w:tl2br w:val="nil"/>
                    <w:tr2bl w:val="nil"/>
                  </w:tcBorders>
                  <w:noWrap/>
                  <w:tcMar>
                    <w:top w:w="15" w:type="dxa"/>
                    <w:left w:w="15" w:type="dxa"/>
                    <w:right w:w="15" w:type="dxa"/>
                  </w:tcMar>
                  <w:vAlign w:val="center"/>
                </w:tcPr>
                <w:p w14:paraId="08B4AC9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0.0009 </w:t>
                  </w:r>
                </w:p>
              </w:tc>
              <w:tc>
                <w:tcPr>
                  <w:tcW w:w="765" w:type="dxa"/>
                  <w:tcBorders>
                    <w:tl2br w:val="nil"/>
                    <w:tr2bl w:val="nil"/>
                  </w:tcBorders>
                  <w:noWrap/>
                  <w:tcMar>
                    <w:top w:w="15" w:type="dxa"/>
                    <w:left w:w="15" w:type="dxa"/>
                    <w:right w:w="15" w:type="dxa"/>
                  </w:tcMar>
                  <w:vAlign w:val="center"/>
                </w:tcPr>
                <w:p w14:paraId="2DEE30F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0.0003 </w:t>
                  </w:r>
                </w:p>
              </w:tc>
              <w:tc>
                <w:tcPr>
                  <w:tcW w:w="900" w:type="dxa"/>
                  <w:tcBorders>
                    <w:tl2br w:val="nil"/>
                    <w:tr2bl w:val="nil"/>
                  </w:tcBorders>
                  <w:noWrap/>
                  <w:tcMar>
                    <w:top w:w="15" w:type="dxa"/>
                    <w:left w:w="15" w:type="dxa"/>
                    <w:right w:w="15" w:type="dxa"/>
                  </w:tcMar>
                  <w:vAlign w:val="center"/>
                </w:tcPr>
                <w:p w14:paraId="3BAFF360">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lang w:val="en-US" w:eastAsia="zh-CN"/>
                    </w:rPr>
                    <w:t>/</w:t>
                  </w:r>
                </w:p>
              </w:tc>
              <w:tc>
                <w:tcPr>
                  <w:tcW w:w="1110" w:type="dxa"/>
                  <w:tcBorders>
                    <w:tl2br w:val="nil"/>
                    <w:tr2bl w:val="nil"/>
                  </w:tcBorders>
                  <w:noWrap/>
                  <w:tcMar>
                    <w:top w:w="15" w:type="dxa"/>
                    <w:left w:w="15" w:type="dxa"/>
                    <w:right w:w="15" w:type="dxa"/>
                  </w:tcMar>
                  <w:vAlign w:val="center"/>
                </w:tcPr>
                <w:p w14:paraId="730F6E1D">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44"/>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w:t>
                  </w:r>
                </w:p>
              </w:tc>
              <w:tc>
                <w:tcPr>
                  <w:tcW w:w="660" w:type="dxa"/>
                  <w:tcBorders>
                    <w:tl2br w:val="nil"/>
                    <w:tr2bl w:val="nil"/>
                  </w:tcBorders>
                  <w:noWrap/>
                  <w:tcMar>
                    <w:top w:w="15" w:type="dxa"/>
                    <w:left w:w="15" w:type="dxa"/>
                    <w:right w:w="15" w:type="dxa"/>
                  </w:tcMar>
                  <w:vAlign w:val="center"/>
                </w:tcPr>
                <w:p w14:paraId="6490520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0.044 </w:t>
                  </w:r>
                </w:p>
              </w:tc>
              <w:tc>
                <w:tcPr>
                  <w:tcW w:w="841" w:type="dxa"/>
                  <w:tcBorders>
                    <w:tl2br w:val="nil"/>
                    <w:tr2bl w:val="nil"/>
                  </w:tcBorders>
                  <w:noWrap/>
                  <w:tcMar>
                    <w:top w:w="15" w:type="dxa"/>
                    <w:left w:w="15" w:type="dxa"/>
                    <w:right w:w="15" w:type="dxa"/>
                  </w:tcMar>
                  <w:vAlign w:val="center"/>
                </w:tcPr>
                <w:p w14:paraId="242B4B6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0.012 </w:t>
                  </w:r>
                </w:p>
              </w:tc>
            </w:tr>
            <w:tr w14:paraId="05FE3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4" w:hRule="atLeast"/>
                <w:jc w:val="center"/>
              </w:trPr>
              <w:tc>
                <w:tcPr>
                  <w:tcW w:w="982" w:type="dxa"/>
                  <w:tcBorders>
                    <w:tl2br w:val="nil"/>
                    <w:tr2bl w:val="nil"/>
                  </w:tcBorders>
                  <w:noWrap/>
                  <w:tcMar>
                    <w:top w:w="15" w:type="dxa"/>
                    <w:left w:w="15" w:type="dxa"/>
                    <w:right w:w="15" w:type="dxa"/>
                  </w:tcMar>
                  <w:vAlign w:val="center"/>
                </w:tcPr>
                <w:p w14:paraId="0D78727F">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汽车动力扬尘</w:t>
                  </w:r>
                </w:p>
              </w:tc>
              <w:tc>
                <w:tcPr>
                  <w:tcW w:w="900" w:type="dxa"/>
                  <w:tcBorders>
                    <w:tl2br w:val="nil"/>
                    <w:tr2bl w:val="nil"/>
                  </w:tcBorders>
                  <w:noWrap/>
                  <w:tcMar>
                    <w:top w:w="15" w:type="dxa"/>
                    <w:left w:w="15" w:type="dxa"/>
                    <w:right w:w="15" w:type="dxa"/>
                  </w:tcMar>
                  <w:vAlign w:val="center"/>
                </w:tcPr>
                <w:p w14:paraId="0B66ECF6">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颗粒物</w:t>
                  </w:r>
                </w:p>
              </w:tc>
              <w:tc>
                <w:tcPr>
                  <w:tcW w:w="768" w:type="dxa"/>
                  <w:tcBorders>
                    <w:tl2br w:val="nil"/>
                    <w:tr2bl w:val="nil"/>
                  </w:tcBorders>
                  <w:noWrap/>
                  <w:tcMar>
                    <w:top w:w="15" w:type="dxa"/>
                    <w:left w:w="15" w:type="dxa"/>
                    <w:right w:w="15" w:type="dxa"/>
                  </w:tcMar>
                  <w:vAlign w:val="center"/>
                </w:tcPr>
                <w:p w14:paraId="06CE417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1.95</w:t>
                  </w:r>
                </w:p>
              </w:tc>
              <w:tc>
                <w:tcPr>
                  <w:tcW w:w="825" w:type="dxa"/>
                  <w:tcBorders>
                    <w:tl2br w:val="nil"/>
                    <w:tr2bl w:val="nil"/>
                  </w:tcBorders>
                  <w:noWrap/>
                  <w:tcMar>
                    <w:top w:w="15" w:type="dxa"/>
                    <w:left w:w="15" w:type="dxa"/>
                    <w:right w:w="15" w:type="dxa"/>
                  </w:tcMar>
                  <w:vAlign w:val="center"/>
                </w:tcPr>
                <w:p w14:paraId="42B4A1C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0.542 </w:t>
                  </w:r>
                </w:p>
              </w:tc>
              <w:tc>
                <w:tcPr>
                  <w:tcW w:w="705" w:type="dxa"/>
                  <w:tcBorders>
                    <w:tl2br w:val="nil"/>
                    <w:tr2bl w:val="nil"/>
                  </w:tcBorders>
                  <w:noWrap/>
                  <w:tcMar>
                    <w:top w:w="15" w:type="dxa"/>
                    <w:left w:w="15" w:type="dxa"/>
                    <w:right w:w="15" w:type="dxa"/>
                  </w:tcMar>
                  <w:vAlign w:val="center"/>
                </w:tcPr>
                <w:p w14:paraId="723E8344">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585" w:type="dxa"/>
                  <w:tcBorders>
                    <w:tl2br w:val="nil"/>
                    <w:tr2bl w:val="nil"/>
                  </w:tcBorders>
                  <w:noWrap/>
                  <w:tcMar>
                    <w:top w:w="15" w:type="dxa"/>
                    <w:left w:w="15" w:type="dxa"/>
                    <w:right w:w="15" w:type="dxa"/>
                  </w:tcMar>
                  <w:vAlign w:val="center"/>
                </w:tcPr>
                <w:p w14:paraId="6B2ED297">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735" w:type="dxa"/>
                  <w:tcBorders>
                    <w:tl2br w:val="nil"/>
                    <w:tr2bl w:val="nil"/>
                  </w:tcBorders>
                  <w:noWrap/>
                  <w:tcMar>
                    <w:top w:w="15" w:type="dxa"/>
                    <w:left w:w="15" w:type="dxa"/>
                    <w:right w:w="15" w:type="dxa"/>
                  </w:tcMar>
                  <w:vAlign w:val="center"/>
                </w:tcPr>
                <w:p w14:paraId="5AF61C46">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lang w:val="en-US" w:eastAsia="zh-CN"/>
                    </w:rPr>
                    <w:t>/</w:t>
                  </w:r>
                </w:p>
              </w:tc>
              <w:tc>
                <w:tcPr>
                  <w:tcW w:w="810" w:type="dxa"/>
                  <w:tcBorders>
                    <w:tl2br w:val="nil"/>
                    <w:tr2bl w:val="nil"/>
                  </w:tcBorders>
                  <w:noWrap/>
                  <w:tcMar>
                    <w:top w:w="15" w:type="dxa"/>
                    <w:left w:w="15" w:type="dxa"/>
                    <w:right w:w="15" w:type="dxa"/>
                  </w:tcMar>
                  <w:vAlign w:val="center"/>
                </w:tcPr>
                <w:p w14:paraId="7BC09D09">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lang w:val="en-US" w:eastAsia="zh-CN"/>
                    </w:rPr>
                    <w:t>/</w:t>
                  </w:r>
                </w:p>
              </w:tc>
              <w:tc>
                <w:tcPr>
                  <w:tcW w:w="885" w:type="dxa"/>
                  <w:tcBorders>
                    <w:tl2br w:val="nil"/>
                    <w:tr2bl w:val="nil"/>
                  </w:tcBorders>
                  <w:noWrap/>
                  <w:tcMar>
                    <w:top w:w="15" w:type="dxa"/>
                    <w:left w:w="15" w:type="dxa"/>
                    <w:right w:w="15" w:type="dxa"/>
                  </w:tcMar>
                  <w:vAlign w:val="center"/>
                </w:tcPr>
                <w:p w14:paraId="1E9358CC">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lang w:val="en-US" w:eastAsia="zh-CN"/>
                    </w:rPr>
                    <w:t>/</w:t>
                  </w:r>
                </w:p>
              </w:tc>
              <w:tc>
                <w:tcPr>
                  <w:tcW w:w="1335" w:type="dxa"/>
                  <w:tcBorders>
                    <w:tl2br w:val="nil"/>
                    <w:tr2bl w:val="nil"/>
                  </w:tcBorders>
                  <w:noWrap/>
                  <w:tcMar>
                    <w:top w:w="15" w:type="dxa"/>
                    <w:left w:w="15" w:type="dxa"/>
                    <w:right w:w="15" w:type="dxa"/>
                  </w:tcMar>
                  <w:vAlign w:val="center"/>
                </w:tcPr>
                <w:p w14:paraId="19607636">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洒水抑尘</w:t>
                  </w:r>
                </w:p>
              </w:tc>
              <w:tc>
                <w:tcPr>
                  <w:tcW w:w="510" w:type="dxa"/>
                  <w:tcBorders>
                    <w:tl2br w:val="nil"/>
                    <w:tr2bl w:val="nil"/>
                  </w:tcBorders>
                  <w:noWrap/>
                  <w:tcMar>
                    <w:top w:w="15" w:type="dxa"/>
                    <w:left w:w="15" w:type="dxa"/>
                    <w:right w:w="15" w:type="dxa"/>
                  </w:tcMar>
                  <w:vAlign w:val="center"/>
                </w:tcPr>
                <w:p w14:paraId="1F31E25C">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74</w:t>
                  </w:r>
                </w:p>
              </w:tc>
              <w:tc>
                <w:tcPr>
                  <w:tcW w:w="720" w:type="dxa"/>
                  <w:tcBorders>
                    <w:tl2br w:val="nil"/>
                    <w:tr2bl w:val="nil"/>
                  </w:tcBorders>
                  <w:noWrap/>
                  <w:tcMar>
                    <w:top w:w="15" w:type="dxa"/>
                    <w:left w:w="15" w:type="dxa"/>
                    <w:right w:w="15" w:type="dxa"/>
                  </w:tcMar>
                  <w:vAlign w:val="center"/>
                </w:tcPr>
                <w:p w14:paraId="23FE55D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0.507 </w:t>
                  </w:r>
                </w:p>
              </w:tc>
              <w:tc>
                <w:tcPr>
                  <w:tcW w:w="765" w:type="dxa"/>
                  <w:tcBorders>
                    <w:tl2br w:val="nil"/>
                    <w:tr2bl w:val="nil"/>
                  </w:tcBorders>
                  <w:noWrap/>
                  <w:tcMar>
                    <w:top w:w="15" w:type="dxa"/>
                    <w:left w:w="15" w:type="dxa"/>
                    <w:right w:w="15" w:type="dxa"/>
                  </w:tcMar>
                  <w:vAlign w:val="center"/>
                </w:tcPr>
                <w:p w14:paraId="1B678B2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0.141 </w:t>
                  </w:r>
                </w:p>
              </w:tc>
              <w:tc>
                <w:tcPr>
                  <w:tcW w:w="900" w:type="dxa"/>
                  <w:tcBorders>
                    <w:tl2br w:val="nil"/>
                    <w:tr2bl w:val="nil"/>
                  </w:tcBorders>
                  <w:noWrap/>
                  <w:tcMar>
                    <w:top w:w="15" w:type="dxa"/>
                    <w:left w:w="15" w:type="dxa"/>
                    <w:right w:w="15" w:type="dxa"/>
                  </w:tcMar>
                  <w:vAlign w:val="center"/>
                </w:tcPr>
                <w:p w14:paraId="5E7B857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w:t>
                  </w:r>
                </w:p>
              </w:tc>
              <w:tc>
                <w:tcPr>
                  <w:tcW w:w="1110" w:type="dxa"/>
                  <w:tcBorders>
                    <w:tl2br w:val="nil"/>
                    <w:tr2bl w:val="nil"/>
                  </w:tcBorders>
                  <w:noWrap/>
                  <w:tcMar>
                    <w:top w:w="15" w:type="dxa"/>
                    <w:left w:w="15" w:type="dxa"/>
                    <w:right w:w="15" w:type="dxa"/>
                  </w:tcMar>
                  <w:vAlign w:val="center"/>
                </w:tcPr>
                <w:p w14:paraId="6E95FB54">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44"/>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w:t>
                  </w:r>
                </w:p>
              </w:tc>
              <w:tc>
                <w:tcPr>
                  <w:tcW w:w="660" w:type="dxa"/>
                  <w:tcBorders>
                    <w:tl2br w:val="nil"/>
                    <w:tr2bl w:val="nil"/>
                  </w:tcBorders>
                  <w:noWrap/>
                  <w:tcMar>
                    <w:top w:w="15" w:type="dxa"/>
                    <w:left w:w="15" w:type="dxa"/>
                    <w:right w:w="15" w:type="dxa"/>
                  </w:tcMar>
                  <w:vAlign w:val="center"/>
                </w:tcPr>
                <w:p w14:paraId="7DAA518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lang w:val="en-US" w:eastAsia="zh-CN"/>
                    </w:rPr>
                    <w:t>/</w:t>
                  </w:r>
                </w:p>
              </w:tc>
              <w:tc>
                <w:tcPr>
                  <w:tcW w:w="841" w:type="dxa"/>
                  <w:tcBorders>
                    <w:tl2br w:val="nil"/>
                    <w:tr2bl w:val="nil"/>
                  </w:tcBorders>
                  <w:noWrap/>
                  <w:tcMar>
                    <w:top w:w="15" w:type="dxa"/>
                    <w:left w:w="15" w:type="dxa"/>
                    <w:right w:w="15" w:type="dxa"/>
                  </w:tcMar>
                  <w:vAlign w:val="center"/>
                </w:tcPr>
                <w:p w14:paraId="5F13123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lang w:val="en-US" w:eastAsia="zh-CN"/>
                    </w:rPr>
                    <w:t>/</w:t>
                  </w:r>
                </w:p>
              </w:tc>
            </w:tr>
            <w:tr w14:paraId="27D01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6" w:hRule="atLeast"/>
                <w:jc w:val="center"/>
              </w:trPr>
              <w:tc>
                <w:tcPr>
                  <w:tcW w:w="982" w:type="dxa"/>
                  <w:vMerge w:val="restart"/>
                  <w:tcBorders>
                    <w:tl2br w:val="nil"/>
                    <w:tr2bl w:val="nil"/>
                  </w:tcBorders>
                  <w:noWrap/>
                  <w:tcMar>
                    <w:top w:w="15" w:type="dxa"/>
                    <w:left w:w="15" w:type="dxa"/>
                    <w:right w:w="15" w:type="dxa"/>
                  </w:tcMar>
                  <w:vAlign w:val="center"/>
                </w:tcPr>
                <w:p w14:paraId="28EB886D">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产污环节</w:t>
                  </w:r>
                </w:p>
              </w:tc>
              <w:tc>
                <w:tcPr>
                  <w:tcW w:w="900" w:type="dxa"/>
                  <w:vMerge w:val="restart"/>
                  <w:tcBorders>
                    <w:tl2br w:val="nil"/>
                    <w:tr2bl w:val="nil"/>
                  </w:tcBorders>
                  <w:noWrap/>
                  <w:tcMar>
                    <w:top w:w="15" w:type="dxa"/>
                    <w:left w:w="15" w:type="dxa"/>
                    <w:right w:w="15" w:type="dxa"/>
                  </w:tcMar>
                  <w:vAlign w:val="center"/>
                </w:tcPr>
                <w:p w14:paraId="05247F6B">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cs="Times New Roman"/>
                      <w:color w:val="auto"/>
                      <w:sz w:val="21"/>
                      <w:szCs w:val="21"/>
                      <w:highlight w:val="none"/>
                    </w:rPr>
                  </w:pPr>
                  <w:r>
                    <w:rPr>
                      <w:rFonts w:hint="default" w:ascii="Times New Roman" w:hAnsi="Times New Roman" w:cs="Times New Roman"/>
                      <w:b/>
                      <w:bCs/>
                      <w:color w:val="auto"/>
                      <w:sz w:val="21"/>
                      <w:szCs w:val="21"/>
                      <w:highlight w:val="none"/>
                    </w:rPr>
                    <w:t>污染物</w:t>
                  </w:r>
                </w:p>
              </w:tc>
              <w:tc>
                <w:tcPr>
                  <w:tcW w:w="768" w:type="dxa"/>
                  <w:vMerge w:val="restart"/>
                  <w:tcBorders>
                    <w:tl2br w:val="nil"/>
                    <w:tr2bl w:val="nil"/>
                  </w:tcBorders>
                  <w:noWrap/>
                  <w:tcMar>
                    <w:top w:w="15" w:type="dxa"/>
                    <w:left w:w="15" w:type="dxa"/>
                    <w:right w:w="15" w:type="dxa"/>
                  </w:tcMar>
                  <w:vAlign w:val="center"/>
                </w:tcPr>
                <w:p w14:paraId="2718E021">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b/>
                      <w:bCs/>
                      <w:color w:val="auto"/>
                      <w:sz w:val="21"/>
                      <w:szCs w:val="21"/>
                      <w:highlight w:val="none"/>
                    </w:rPr>
                    <w:t>产生量t/a</w:t>
                  </w:r>
                </w:p>
              </w:tc>
              <w:tc>
                <w:tcPr>
                  <w:tcW w:w="825" w:type="dxa"/>
                  <w:vMerge w:val="restart"/>
                  <w:tcBorders>
                    <w:tl2br w:val="nil"/>
                    <w:tr2bl w:val="nil"/>
                  </w:tcBorders>
                  <w:noWrap/>
                  <w:tcMar>
                    <w:top w:w="15" w:type="dxa"/>
                    <w:left w:w="15" w:type="dxa"/>
                    <w:right w:w="15" w:type="dxa"/>
                  </w:tcMar>
                  <w:vAlign w:val="center"/>
                </w:tcPr>
                <w:p w14:paraId="377388ED">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b/>
                      <w:bCs/>
                      <w:color w:val="auto"/>
                      <w:sz w:val="21"/>
                      <w:szCs w:val="21"/>
                      <w:highlight w:val="none"/>
                    </w:rPr>
                    <w:t>最大产生速率kg/h</w:t>
                  </w:r>
                </w:p>
              </w:tc>
              <w:tc>
                <w:tcPr>
                  <w:tcW w:w="3720" w:type="dxa"/>
                  <w:gridSpan w:val="5"/>
                  <w:tcBorders>
                    <w:tl2br w:val="nil"/>
                    <w:tr2bl w:val="nil"/>
                  </w:tcBorders>
                  <w:noWrap/>
                  <w:tcMar>
                    <w:top w:w="15" w:type="dxa"/>
                    <w:left w:w="15" w:type="dxa"/>
                    <w:right w:w="15" w:type="dxa"/>
                  </w:tcMar>
                  <w:vAlign w:val="center"/>
                </w:tcPr>
                <w:p w14:paraId="6D502621">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b/>
                      <w:bCs/>
                      <w:color w:val="auto"/>
                      <w:sz w:val="21"/>
                      <w:szCs w:val="21"/>
                      <w:highlight w:val="none"/>
                      <w:lang w:val="en-US" w:eastAsia="zh-CN"/>
                    </w:rPr>
                    <w:t>收集情况</w:t>
                  </w:r>
                </w:p>
              </w:tc>
              <w:tc>
                <w:tcPr>
                  <w:tcW w:w="5340" w:type="dxa"/>
                  <w:gridSpan w:val="6"/>
                  <w:tcBorders>
                    <w:tl2br w:val="nil"/>
                    <w:tr2bl w:val="nil"/>
                  </w:tcBorders>
                  <w:noWrap/>
                  <w:tcMar>
                    <w:top w:w="15" w:type="dxa"/>
                    <w:left w:w="15" w:type="dxa"/>
                    <w:right w:w="15" w:type="dxa"/>
                  </w:tcMar>
                  <w:vAlign w:val="center"/>
                </w:tcPr>
                <w:p w14:paraId="5AB9E1F5">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color w:val="auto"/>
                      <w:kern w:val="44"/>
                      <w:sz w:val="21"/>
                      <w:szCs w:val="21"/>
                      <w:highlight w:val="none"/>
                      <w:lang w:val="en-US" w:eastAsia="zh-CN" w:bidi="ar-SA"/>
                    </w:rPr>
                  </w:pPr>
                  <w:r>
                    <w:rPr>
                      <w:rFonts w:hint="default" w:ascii="Times New Roman" w:hAnsi="Times New Roman" w:cs="Times New Roman"/>
                      <w:b/>
                      <w:bCs/>
                      <w:color w:val="auto"/>
                      <w:sz w:val="21"/>
                      <w:szCs w:val="21"/>
                      <w:highlight w:val="none"/>
                      <w:lang w:val="en-US" w:eastAsia="zh-CN"/>
                    </w:rPr>
                    <w:t>有</w:t>
                  </w:r>
                  <w:r>
                    <w:rPr>
                      <w:rFonts w:hint="default" w:ascii="Times New Roman" w:hAnsi="Times New Roman" w:cs="Times New Roman"/>
                      <w:b/>
                      <w:bCs/>
                      <w:color w:val="auto"/>
                      <w:sz w:val="21"/>
                      <w:szCs w:val="21"/>
                      <w:highlight w:val="none"/>
                    </w:rPr>
                    <w:t>组织</w:t>
                  </w:r>
                  <w:r>
                    <w:rPr>
                      <w:rFonts w:hint="default" w:ascii="Times New Roman" w:hAnsi="Times New Roman" w:cs="Times New Roman"/>
                      <w:b/>
                      <w:bCs/>
                      <w:color w:val="auto"/>
                      <w:sz w:val="21"/>
                      <w:szCs w:val="21"/>
                      <w:highlight w:val="none"/>
                      <w:lang w:val="en-US" w:eastAsia="zh-CN"/>
                    </w:rPr>
                    <w:t>排放</w:t>
                  </w:r>
                </w:p>
              </w:tc>
              <w:tc>
                <w:tcPr>
                  <w:tcW w:w="1501" w:type="dxa"/>
                  <w:gridSpan w:val="2"/>
                  <w:tcBorders>
                    <w:tl2br w:val="nil"/>
                    <w:tr2bl w:val="nil"/>
                  </w:tcBorders>
                  <w:noWrap/>
                  <w:tcMar>
                    <w:top w:w="15" w:type="dxa"/>
                    <w:left w:w="15" w:type="dxa"/>
                    <w:right w:w="15" w:type="dxa"/>
                  </w:tcMar>
                  <w:vAlign w:val="center"/>
                </w:tcPr>
                <w:p w14:paraId="0758177D">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b/>
                      <w:bCs/>
                      <w:color w:val="auto"/>
                      <w:sz w:val="21"/>
                      <w:szCs w:val="21"/>
                      <w:highlight w:val="none"/>
                    </w:rPr>
                    <w:t>无组织排放</w:t>
                  </w:r>
                </w:p>
              </w:tc>
            </w:tr>
            <w:tr w14:paraId="10087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2" w:hRule="atLeast"/>
                <w:jc w:val="center"/>
              </w:trPr>
              <w:tc>
                <w:tcPr>
                  <w:tcW w:w="982" w:type="dxa"/>
                  <w:vMerge w:val="continue"/>
                  <w:tcBorders>
                    <w:tl2br w:val="nil"/>
                    <w:tr2bl w:val="nil"/>
                  </w:tcBorders>
                  <w:noWrap/>
                  <w:tcMar>
                    <w:top w:w="15" w:type="dxa"/>
                    <w:left w:w="15" w:type="dxa"/>
                    <w:right w:w="15" w:type="dxa"/>
                  </w:tcMar>
                  <w:vAlign w:val="center"/>
                </w:tcPr>
                <w:p w14:paraId="49B8FCDA">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p>
              </w:tc>
              <w:tc>
                <w:tcPr>
                  <w:tcW w:w="900" w:type="dxa"/>
                  <w:vMerge w:val="continue"/>
                  <w:tcBorders>
                    <w:tl2br w:val="nil"/>
                    <w:tr2bl w:val="nil"/>
                  </w:tcBorders>
                  <w:noWrap/>
                  <w:tcMar>
                    <w:top w:w="15" w:type="dxa"/>
                    <w:left w:w="15" w:type="dxa"/>
                    <w:right w:w="15" w:type="dxa"/>
                  </w:tcMar>
                  <w:vAlign w:val="center"/>
                </w:tcPr>
                <w:p w14:paraId="695AEE42">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rPr>
                  </w:pPr>
                </w:p>
              </w:tc>
              <w:tc>
                <w:tcPr>
                  <w:tcW w:w="768" w:type="dxa"/>
                  <w:vMerge w:val="continue"/>
                  <w:tcBorders>
                    <w:tl2br w:val="nil"/>
                    <w:tr2bl w:val="nil"/>
                  </w:tcBorders>
                  <w:noWrap/>
                  <w:tcMar>
                    <w:top w:w="15" w:type="dxa"/>
                    <w:left w:w="15" w:type="dxa"/>
                    <w:right w:w="15" w:type="dxa"/>
                  </w:tcMar>
                  <w:vAlign w:val="center"/>
                </w:tcPr>
                <w:p w14:paraId="61C2291C">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825" w:type="dxa"/>
                  <w:vMerge w:val="continue"/>
                  <w:tcBorders>
                    <w:tl2br w:val="nil"/>
                    <w:tr2bl w:val="nil"/>
                  </w:tcBorders>
                  <w:noWrap/>
                  <w:tcMar>
                    <w:top w:w="15" w:type="dxa"/>
                    <w:left w:w="15" w:type="dxa"/>
                    <w:right w:w="15" w:type="dxa"/>
                  </w:tcMar>
                  <w:vAlign w:val="center"/>
                </w:tcPr>
                <w:p w14:paraId="3A550DE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705" w:type="dxa"/>
                  <w:tcBorders>
                    <w:tl2br w:val="nil"/>
                    <w:tr2bl w:val="nil"/>
                  </w:tcBorders>
                  <w:noWrap/>
                  <w:tcMar>
                    <w:top w:w="15" w:type="dxa"/>
                    <w:left w:w="15" w:type="dxa"/>
                    <w:right w:w="15" w:type="dxa"/>
                  </w:tcMar>
                  <w:vAlign w:val="center"/>
                </w:tcPr>
                <w:p w14:paraId="2DD6EDB3">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b/>
                      <w:bCs/>
                      <w:color w:val="auto"/>
                      <w:sz w:val="21"/>
                      <w:szCs w:val="21"/>
                      <w:highlight w:val="none"/>
                    </w:rPr>
                    <w:t>收集效率%</w:t>
                  </w:r>
                </w:p>
              </w:tc>
              <w:tc>
                <w:tcPr>
                  <w:tcW w:w="585" w:type="dxa"/>
                  <w:tcBorders>
                    <w:tl2br w:val="nil"/>
                    <w:tr2bl w:val="nil"/>
                  </w:tcBorders>
                  <w:noWrap/>
                  <w:tcMar>
                    <w:top w:w="15" w:type="dxa"/>
                    <w:left w:w="15" w:type="dxa"/>
                    <w:right w:w="15" w:type="dxa"/>
                  </w:tcMar>
                  <w:vAlign w:val="center"/>
                </w:tcPr>
                <w:p w14:paraId="3803BDAB">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风量</w:t>
                  </w:r>
                </w:p>
                <w:p w14:paraId="5539257A">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b/>
                      <w:bCs/>
                      <w:color w:val="auto"/>
                      <w:sz w:val="21"/>
                      <w:szCs w:val="21"/>
                      <w:highlight w:val="none"/>
                    </w:rPr>
                    <w:t>m³/h</w:t>
                  </w:r>
                </w:p>
              </w:tc>
              <w:tc>
                <w:tcPr>
                  <w:tcW w:w="735" w:type="dxa"/>
                  <w:tcBorders>
                    <w:tl2br w:val="nil"/>
                    <w:tr2bl w:val="nil"/>
                  </w:tcBorders>
                  <w:noWrap/>
                  <w:tcMar>
                    <w:top w:w="15" w:type="dxa"/>
                    <w:left w:w="15" w:type="dxa"/>
                    <w:right w:w="15" w:type="dxa"/>
                  </w:tcMar>
                  <w:vAlign w:val="center"/>
                </w:tcPr>
                <w:p w14:paraId="02C16FFF">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b/>
                      <w:bCs/>
                      <w:color w:val="auto"/>
                      <w:sz w:val="21"/>
                      <w:szCs w:val="21"/>
                      <w:highlight w:val="none"/>
                    </w:rPr>
                    <w:t>收集量t/a</w:t>
                  </w:r>
                </w:p>
              </w:tc>
              <w:tc>
                <w:tcPr>
                  <w:tcW w:w="810" w:type="dxa"/>
                  <w:tcBorders>
                    <w:tl2br w:val="nil"/>
                    <w:tr2bl w:val="nil"/>
                  </w:tcBorders>
                  <w:noWrap/>
                  <w:tcMar>
                    <w:top w:w="15" w:type="dxa"/>
                    <w:left w:w="15" w:type="dxa"/>
                    <w:right w:w="15" w:type="dxa"/>
                  </w:tcMar>
                  <w:vAlign w:val="center"/>
                </w:tcPr>
                <w:p w14:paraId="335F4C1D">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b/>
                      <w:bCs/>
                      <w:color w:val="auto"/>
                      <w:sz w:val="21"/>
                      <w:szCs w:val="21"/>
                      <w:highlight w:val="none"/>
                    </w:rPr>
                    <w:t>收集速率kg/h</w:t>
                  </w:r>
                </w:p>
              </w:tc>
              <w:tc>
                <w:tcPr>
                  <w:tcW w:w="885" w:type="dxa"/>
                  <w:tcBorders>
                    <w:tl2br w:val="nil"/>
                    <w:tr2bl w:val="nil"/>
                  </w:tcBorders>
                  <w:noWrap/>
                  <w:tcMar>
                    <w:top w:w="15" w:type="dxa"/>
                    <w:left w:w="15" w:type="dxa"/>
                    <w:right w:w="15" w:type="dxa"/>
                  </w:tcMar>
                  <w:vAlign w:val="center"/>
                </w:tcPr>
                <w:p w14:paraId="63EB2E7A">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b/>
                      <w:bCs/>
                      <w:color w:val="auto"/>
                      <w:sz w:val="21"/>
                      <w:szCs w:val="21"/>
                      <w:highlight w:val="none"/>
                    </w:rPr>
                    <w:t>收集浓度mg/m³</w:t>
                  </w:r>
                </w:p>
              </w:tc>
              <w:tc>
                <w:tcPr>
                  <w:tcW w:w="1335" w:type="dxa"/>
                  <w:tcBorders>
                    <w:tl2br w:val="nil"/>
                    <w:tr2bl w:val="nil"/>
                  </w:tcBorders>
                  <w:noWrap/>
                  <w:tcMar>
                    <w:top w:w="15" w:type="dxa"/>
                    <w:left w:w="15" w:type="dxa"/>
                    <w:right w:w="15" w:type="dxa"/>
                  </w:tcMar>
                  <w:vAlign w:val="center"/>
                </w:tcPr>
                <w:p w14:paraId="2AC58C91">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b/>
                      <w:bCs/>
                      <w:color w:val="auto"/>
                      <w:sz w:val="21"/>
                      <w:szCs w:val="21"/>
                      <w:highlight w:val="none"/>
                    </w:rPr>
                    <w:t>治理措施</w:t>
                  </w:r>
                </w:p>
              </w:tc>
              <w:tc>
                <w:tcPr>
                  <w:tcW w:w="510" w:type="dxa"/>
                  <w:tcBorders>
                    <w:tl2br w:val="nil"/>
                    <w:tr2bl w:val="nil"/>
                  </w:tcBorders>
                  <w:noWrap/>
                  <w:tcMar>
                    <w:top w:w="15" w:type="dxa"/>
                    <w:left w:w="15" w:type="dxa"/>
                    <w:right w:w="15" w:type="dxa"/>
                  </w:tcMar>
                  <w:vAlign w:val="center"/>
                </w:tcPr>
                <w:p w14:paraId="0F5CE636">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b/>
                      <w:bCs/>
                      <w:color w:val="auto"/>
                      <w:sz w:val="21"/>
                      <w:szCs w:val="21"/>
                      <w:highlight w:val="none"/>
                    </w:rPr>
                    <w:t>去除率%</w:t>
                  </w:r>
                </w:p>
              </w:tc>
              <w:tc>
                <w:tcPr>
                  <w:tcW w:w="720" w:type="dxa"/>
                  <w:tcBorders>
                    <w:tl2br w:val="nil"/>
                    <w:tr2bl w:val="nil"/>
                  </w:tcBorders>
                  <w:noWrap/>
                  <w:tcMar>
                    <w:top w:w="15" w:type="dxa"/>
                    <w:left w:w="15" w:type="dxa"/>
                    <w:right w:w="15" w:type="dxa"/>
                  </w:tcMar>
                  <w:vAlign w:val="center"/>
                </w:tcPr>
                <w:p w14:paraId="257246E6">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b/>
                      <w:bCs/>
                      <w:color w:val="auto"/>
                      <w:sz w:val="21"/>
                      <w:szCs w:val="21"/>
                      <w:highlight w:val="none"/>
                    </w:rPr>
                    <w:t>排放量t/a</w:t>
                  </w:r>
                </w:p>
              </w:tc>
              <w:tc>
                <w:tcPr>
                  <w:tcW w:w="765" w:type="dxa"/>
                  <w:tcBorders>
                    <w:tl2br w:val="nil"/>
                    <w:tr2bl w:val="nil"/>
                  </w:tcBorders>
                  <w:noWrap/>
                  <w:tcMar>
                    <w:top w:w="15" w:type="dxa"/>
                    <w:left w:w="15" w:type="dxa"/>
                    <w:right w:w="15" w:type="dxa"/>
                  </w:tcMar>
                  <w:vAlign w:val="center"/>
                </w:tcPr>
                <w:p w14:paraId="7F48BBC5">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b/>
                      <w:bCs/>
                      <w:color w:val="auto"/>
                      <w:sz w:val="21"/>
                      <w:szCs w:val="21"/>
                      <w:highlight w:val="none"/>
                    </w:rPr>
                    <w:t>排放速率kg/h</w:t>
                  </w:r>
                </w:p>
              </w:tc>
              <w:tc>
                <w:tcPr>
                  <w:tcW w:w="900" w:type="dxa"/>
                  <w:tcBorders>
                    <w:tl2br w:val="nil"/>
                    <w:tr2bl w:val="nil"/>
                  </w:tcBorders>
                  <w:noWrap/>
                  <w:tcMar>
                    <w:top w:w="15" w:type="dxa"/>
                    <w:left w:w="15" w:type="dxa"/>
                    <w:right w:w="15" w:type="dxa"/>
                  </w:tcMar>
                  <w:vAlign w:val="center"/>
                </w:tcPr>
                <w:p w14:paraId="47F6FE9D">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b/>
                      <w:bCs/>
                      <w:color w:val="auto"/>
                      <w:sz w:val="21"/>
                      <w:szCs w:val="21"/>
                      <w:highlight w:val="none"/>
                    </w:rPr>
                    <w:t>排放浓度mg/m³</w:t>
                  </w:r>
                </w:p>
              </w:tc>
              <w:tc>
                <w:tcPr>
                  <w:tcW w:w="1110" w:type="dxa"/>
                  <w:tcBorders>
                    <w:tl2br w:val="nil"/>
                    <w:tr2bl w:val="nil"/>
                  </w:tcBorders>
                  <w:noWrap/>
                  <w:tcMar>
                    <w:top w:w="15" w:type="dxa"/>
                    <w:left w:w="15" w:type="dxa"/>
                    <w:right w:w="15" w:type="dxa"/>
                  </w:tcMar>
                  <w:vAlign w:val="center"/>
                </w:tcPr>
                <w:p w14:paraId="1F216147">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color w:val="auto"/>
                      <w:kern w:val="44"/>
                      <w:sz w:val="21"/>
                      <w:szCs w:val="21"/>
                      <w:highlight w:val="none"/>
                      <w:lang w:val="en-US" w:eastAsia="zh-CN" w:bidi="ar-SA"/>
                    </w:rPr>
                  </w:pPr>
                  <w:r>
                    <w:rPr>
                      <w:rFonts w:hint="default" w:ascii="Times New Roman" w:hAnsi="Times New Roman" w:cs="Times New Roman"/>
                      <w:b/>
                      <w:bCs/>
                      <w:color w:val="auto"/>
                      <w:sz w:val="21"/>
                      <w:szCs w:val="21"/>
                      <w:highlight w:val="none"/>
                      <w:lang w:val="en-US" w:eastAsia="zh-CN"/>
                    </w:rPr>
                    <w:t>排气筒编号</w:t>
                  </w:r>
                </w:p>
              </w:tc>
              <w:tc>
                <w:tcPr>
                  <w:tcW w:w="660" w:type="dxa"/>
                  <w:tcBorders>
                    <w:tl2br w:val="nil"/>
                    <w:tr2bl w:val="nil"/>
                  </w:tcBorders>
                  <w:noWrap/>
                  <w:tcMar>
                    <w:top w:w="15" w:type="dxa"/>
                    <w:left w:w="15" w:type="dxa"/>
                    <w:right w:w="15" w:type="dxa"/>
                  </w:tcMar>
                  <w:vAlign w:val="center"/>
                </w:tcPr>
                <w:p w14:paraId="6BBD930A">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b/>
                      <w:bCs/>
                      <w:color w:val="auto"/>
                      <w:sz w:val="21"/>
                      <w:szCs w:val="21"/>
                      <w:highlight w:val="none"/>
                    </w:rPr>
                    <w:t>排放量t/a</w:t>
                  </w:r>
                </w:p>
              </w:tc>
              <w:tc>
                <w:tcPr>
                  <w:tcW w:w="841" w:type="dxa"/>
                  <w:tcBorders>
                    <w:tl2br w:val="nil"/>
                    <w:tr2bl w:val="nil"/>
                  </w:tcBorders>
                  <w:noWrap/>
                  <w:tcMar>
                    <w:top w:w="15" w:type="dxa"/>
                    <w:left w:w="15" w:type="dxa"/>
                    <w:right w:w="15" w:type="dxa"/>
                  </w:tcMar>
                  <w:vAlign w:val="center"/>
                </w:tcPr>
                <w:p w14:paraId="0E8FF3F5">
                  <w:pPr>
                    <w:pStyle w:val="5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b/>
                      <w:bCs/>
                      <w:color w:val="auto"/>
                      <w:sz w:val="21"/>
                      <w:szCs w:val="21"/>
                      <w:highlight w:val="none"/>
                    </w:rPr>
                    <w:t>排放速率kg/h</w:t>
                  </w:r>
                </w:p>
              </w:tc>
            </w:tr>
            <w:tr w14:paraId="51954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982" w:type="dxa"/>
                  <w:vMerge w:val="restart"/>
                  <w:tcBorders>
                    <w:tl2br w:val="nil"/>
                    <w:tr2bl w:val="nil"/>
                  </w:tcBorders>
                  <w:noWrap/>
                  <w:tcMar>
                    <w:top w:w="15" w:type="dxa"/>
                    <w:left w:w="15" w:type="dxa"/>
                    <w:right w:w="15" w:type="dxa"/>
                  </w:tcMar>
                  <w:vAlign w:val="center"/>
                </w:tcPr>
                <w:p w14:paraId="630BDB25">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锅炉燃烧废气</w:t>
                  </w:r>
                </w:p>
              </w:tc>
              <w:tc>
                <w:tcPr>
                  <w:tcW w:w="900" w:type="dxa"/>
                  <w:tcBorders>
                    <w:tl2br w:val="nil"/>
                    <w:tr2bl w:val="nil"/>
                  </w:tcBorders>
                  <w:noWrap/>
                  <w:tcMar>
                    <w:top w:w="15" w:type="dxa"/>
                    <w:left w:w="15" w:type="dxa"/>
                    <w:right w:w="15" w:type="dxa"/>
                  </w:tcMar>
                  <w:vAlign w:val="center"/>
                </w:tcPr>
                <w:p w14:paraId="3F2FFD9F">
                  <w:pPr>
                    <w:keepNext w:val="0"/>
                    <w:keepLines w:val="0"/>
                    <w:widowControl/>
                    <w:suppressLineNumbers w:val="0"/>
                    <w:jc w:val="center"/>
                    <w:textAlignment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颗粒物</w:t>
                  </w:r>
                </w:p>
              </w:tc>
              <w:tc>
                <w:tcPr>
                  <w:tcW w:w="768" w:type="dxa"/>
                  <w:tcBorders>
                    <w:tl2br w:val="nil"/>
                    <w:tr2bl w:val="nil"/>
                  </w:tcBorders>
                  <w:noWrap/>
                  <w:tcMar>
                    <w:top w:w="15" w:type="dxa"/>
                    <w:left w:w="15" w:type="dxa"/>
                    <w:right w:w="15" w:type="dxa"/>
                  </w:tcMar>
                  <w:vAlign w:val="center"/>
                </w:tcPr>
                <w:p w14:paraId="6C577A0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0.009</w:t>
                  </w:r>
                </w:p>
              </w:tc>
              <w:tc>
                <w:tcPr>
                  <w:tcW w:w="825" w:type="dxa"/>
                  <w:tcBorders>
                    <w:tl2br w:val="nil"/>
                    <w:tr2bl w:val="nil"/>
                  </w:tcBorders>
                  <w:noWrap/>
                  <w:tcMar>
                    <w:top w:w="15" w:type="dxa"/>
                    <w:left w:w="15" w:type="dxa"/>
                    <w:right w:w="15" w:type="dxa"/>
                  </w:tcMar>
                  <w:vAlign w:val="center"/>
                </w:tcPr>
                <w:p w14:paraId="0B6155F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0.008 </w:t>
                  </w:r>
                </w:p>
              </w:tc>
              <w:tc>
                <w:tcPr>
                  <w:tcW w:w="705" w:type="dxa"/>
                  <w:tcBorders>
                    <w:tl2br w:val="nil"/>
                    <w:tr2bl w:val="nil"/>
                  </w:tcBorders>
                  <w:noWrap/>
                  <w:tcMar>
                    <w:top w:w="15" w:type="dxa"/>
                    <w:left w:w="15" w:type="dxa"/>
                    <w:right w:w="15" w:type="dxa"/>
                  </w:tcMar>
                  <w:vAlign w:val="center"/>
                </w:tcPr>
                <w:p w14:paraId="1BC6295A">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100%</w:t>
                  </w:r>
                </w:p>
              </w:tc>
              <w:tc>
                <w:tcPr>
                  <w:tcW w:w="585" w:type="dxa"/>
                  <w:vMerge w:val="restart"/>
                  <w:tcBorders>
                    <w:tl2br w:val="nil"/>
                    <w:tr2bl w:val="nil"/>
                  </w:tcBorders>
                  <w:noWrap/>
                  <w:tcMar>
                    <w:top w:w="15" w:type="dxa"/>
                    <w:left w:w="15" w:type="dxa"/>
                    <w:right w:w="15" w:type="dxa"/>
                  </w:tcMar>
                  <w:vAlign w:val="center"/>
                </w:tcPr>
                <w:p w14:paraId="1E7F3AE3">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800</w:t>
                  </w:r>
                </w:p>
              </w:tc>
              <w:tc>
                <w:tcPr>
                  <w:tcW w:w="735" w:type="dxa"/>
                  <w:tcBorders>
                    <w:tl2br w:val="nil"/>
                    <w:tr2bl w:val="nil"/>
                  </w:tcBorders>
                  <w:noWrap/>
                  <w:tcMar>
                    <w:top w:w="15" w:type="dxa"/>
                    <w:left w:w="15" w:type="dxa"/>
                    <w:right w:w="15" w:type="dxa"/>
                  </w:tcMar>
                  <w:vAlign w:val="center"/>
                </w:tcPr>
                <w:p w14:paraId="28228FF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0.009 </w:t>
                  </w:r>
                </w:p>
              </w:tc>
              <w:tc>
                <w:tcPr>
                  <w:tcW w:w="810" w:type="dxa"/>
                  <w:tcBorders>
                    <w:tl2br w:val="nil"/>
                    <w:tr2bl w:val="nil"/>
                  </w:tcBorders>
                  <w:noWrap/>
                  <w:tcMar>
                    <w:top w:w="15" w:type="dxa"/>
                    <w:left w:w="15" w:type="dxa"/>
                    <w:right w:w="15" w:type="dxa"/>
                  </w:tcMar>
                  <w:vAlign w:val="center"/>
                </w:tcPr>
                <w:p w14:paraId="009D5A3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0.008 </w:t>
                  </w:r>
                </w:p>
              </w:tc>
              <w:tc>
                <w:tcPr>
                  <w:tcW w:w="885" w:type="dxa"/>
                  <w:tcBorders>
                    <w:tl2br w:val="nil"/>
                    <w:tr2bl w:val="nil"/>
                  </w:tcBorders>
                  <w:noWrap/>
                  <w:tcMar>
                    <w:top w:w="15" w:type="dxa"/>
                    <w:left w:w="15" w:type="dxa"/>
                    <w:right w:w="15" w:type="dxa"/>
                  </w:tcMar>
                  <w:vAlign w:val="center"/>
                </w:tcPr>
                <w:p w14:paraId="34BAA16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9.38 </w:t>
                  </w:r>
                </w:p>
              </w:tc>
              <w:tc>
                <w:tcPr>
                  <w:tcW w:w="1335" w:type="dxa"/>
                  <w:vMerge w:val="restart"/>
                  <w:tcBorders>
                    <w:tl2br w:val="nil"/>
                    <w:tr2bl w:val="nil"/>
                  </w:tcBorders>
                  <w:noWrap/>
                  <w:tcMar>
                    <w:top w:w="15" w:type="dxa"/>
                    <w:left w:w="15" w:type="dxa"/>
                    <w:right w:w="15" w:type="dxa"/>
                  </w:tcMar>
                  <w:vAlign w:val="center"/>
                </w:tcPr>
                <w:p w14:paraId="096EDB9E">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低氮燃烧装置</w:t>
                  </w:r>
                </w:p>
              </w:tc>
              <w:tc>
                <w:tcPr>
                  <w:tcW w:w="510" w:type="dxa"/>
                  <w:tcBorders>
                    <w:tl2br w:val="nil"/>
                    <w:tr2bl w:val="nil"/>
                  </w:tcBorders>
                  <w:noWrap/>
                  <w:tcMar>
                    <w:top w:w="15" w:type="dxa"/>
                    <w:left w:w="15" w:type="dxa"/>
                    <w:right w:w="15" w:type="dxa"/>
                  </w:tcMar>
                  <w:vAlign w:val="center"/>
                </w:tcPr>
                <w:p w14:paraId="06C7577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720" w:type="dxa"/>
                  <w:tcBorders>
                    <w:tl2br w:val="nil"/>
                    <w:tr2bl w:val="nil"/>
                  </w:tcBorders>
                  <w:noWrap/>
                  <w:tcMar>
                    <w:top w:w="15" w:type="dxa"/>
                    <w:left w:w="15" w:type="dxa"/>
                    <w:right w:w="15" w:type="dxa"/>
                  </w:tcMar>
                  <w:vAlign w:val="center"/>
                </w:tcPr>
                <w:p w14:paraId="67E2CB5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0.009 </w:t>
                  </w:r>
                </w:p>
              </w:tc>
              <w:tc>
                <w:tcPr>
                  <w:tcW w:w="765" w:type="dxa"/>
                  <w:tcBorders>
                    <w:tl2br w:val="nil"/>
                    <w:tr2bl w:val="nil"/>
                  </w:tcBorders>
                  <w:noWrap/>
                  <w:tcMar>
                    <w:top w:w="15" w:type="dxa"/>
                    <w:left w:w="15" w:type="dxa"/>
                    <w:right w:w="15" w:type="dxa"/>
                  </w:tcMar>
                  <w:vAlign w:val="center"/>
                </w:tcPr>
                <w:p w14:paraId="41697F1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0.008 </w:t>
                  </w:r>
                </w:p>
              </w:tc>
              <w:tc>
                <w:tcPr>
                  <w:tcW w:w="900" w:type="dxa"/>
                  <w:tcBorders>
                    <w:tl2br w:val="nil"/>
                    <w:tr2bl w:val="nil"/>
                  </w:tcBorders>
                  <w:noWrap/>
                  <w:tcMar>
                    <w:top w:w="15" w:type="dxa"/>
                    <w:left w:w="15" w:type="dxa"/>
                    <w:right w:w="15" w:type="dxa"/>
                  </w:tcMar>
                  <w:vAlign w:val="center"/>
                </w:tcPr>
                <w:p w14:paraId="21E2499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9.38 </w:t>
                  </w:r>
                </w:p>
              </w:tc>
              <w:tc>
                <w:tcPr>
                  <w:tcW w:w="1110" w:type="dxa"/>
                  <w:vMerge w:val="restart"/>
                  <w:tcBorders>
                    <w:tl2br w:val="nil"/>
                    <w:tr2bl w:val="nil"/>
                  </w:tcBorders>
                  <w:noWrap/>
                  <w:tcMar>
                    <w:top w:w="15" w:type="dxa"/>
                    <w:left w:w="15" w:type="dxa"/>
                    <w:right w:w="15" w:type="dxa"/>
                  </w:tcMar>
                  <w:vAlign w:val="center"/>
                </w:tcPr>
                <w:p w14:paraId="14F75C31">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44"/>
                      <w:sz w:val="21"/>
                      <w:szCs w:val="21"/>
                      <w:highlight w:val="none"/>
                      <w:lang w:val="en-US" w:eastAsia="zh-CN" w:bidi="ar-SA"/>
                    </w:rPr>
                  </w:pPr>
                  <w:r>
                    <w:rPr>
                      <w:rFonts w:hint="default" w:ascii="Times New Roman" w:hAnsi="Times New Roman" w:eastAsia="宋体" w:cs="Times New Roman"/>
                      <w:color w:val="auto"/>
                      <w:kern w:val="44"/>
                      <w:sz w:val="21"/>
                      <w:szCs w:val="21"/>
                      <w:highlight w:val="none"/>
                      <w:lang w:val="en-US" w:eastAsia="zh-CN" w:bidi="ar-SA"/>
                    </w:rPr>
                    <w:t>DA001</w:t>
                  </w:r>
                </w:p>
              </w:tc>
              <w:tc>
                <w:tcPr>
                  <w:tcW w:w="660" w:type="dxa"/>
                  <w:tcBorders>
                    <w:tl2br w:val="nil"/>
                    <w:tr2bl w:val="nil"/>
                  </w:tcBorders>
                  <w:noWrap/>
                  <w:tcMar>
                    <w:top w:w="15" w:type="dxa"/>
                    <w:left w:w="15" w:type="dxa"/>
                    <w:right w:w="15" w:type="dxa"/>
                  </w:tcMar>
                  <w:vAlign w:val="center"/>
                </w:tcPr>
                <w:p w14:paraId="49BDD956">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lang w:val="en-US" w:eastAsia="zh-CN"/>
                    </w:rPr>
                    <w:t>/</w:t>
                  </w:r>
                </w:p>
              </w:tc>
              <w:tc>
                <w:tcPr>
                  <w:tcW w:w="841" w:type="dxa"/>
                  <w:tcBorders>
                    <w:tl2br w:val="nil"/>
                    <w:tr2bl w:val="nil"/>
                  </w:tcBorders>
                  <w:noWrap/>
                  <w:tcMar>
                    <w:top w:w="15" w:type="dxa"/>
                    <w:left w:w="15" w:type="dxa"/>
                    <w:right w:w="15" w:type="dxa"/>
                  </w:tcMar>
                  <w:vAlign w:val="center"/>
                </w:tcPr>
                <w:p w14:paraId="503DF5B9">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lang w:val="en-US" w:eastAsia="zh-CN"/>
                    </w:rPr>
                    <w:t>/</w:t>
                  </w:r>
                </w:p>
              </w:tc>
            </w:tr>
            <w:tr w14:paraId="5F0D3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67" w:hRule="atLeast"/>
                <w:jc w:val="center"/>
              </w:trPr>
              <w:tc>
                <w:tcPr>
                  <w:tcW w:w="982" w:type="dxa"/>
                  <w:vMerge w:val="continue"/>
                  <w:tcBorders>
                    <w:tl2br w:val="nil"/>
                    <w:tr2bl w:val="nil"/>
                  </w:tcBorders>
                  <w:noWrap/>
                  <w:tcMar>
                    <w:top w:w="15" w:type="dxa"/>
                    <w:left w:w="15" w:type="dxa"/>
                    <w:right w:w="15" w:type="dxa"/>
                  </w:tcMar>
                  <w:vAlign w:val="center"/>
                </w:tcPr>
                <w:p w14:paraId="531B9351">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p>
              </w:tc>
              <w:tc>
                <w:tcPr>
                  <w:tcW w:w="900" w:type="dxa"/>
                  <w:tcBorders>
                    <w:tl2br w:val="nil"/>
                    <w:tr2bl w:val="nil"/>
                  </w:tcBorders>
                  <w:noWrap/>
                  <w:tcMar>
                    <w:top w:w="15" w:type="dxa"/>
                    <w:left w:w="15" w:type="dxa"/>
                    <w:right w:w="15" w:type="dxa"/>
                  </w:tcMar>
                  <w:vAlign w:val="center"/>
                </w:tcPr>
                <w:p w14:paraId="5E99EC5A">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氮氧化物</w:t>
                  </w:r>
                </w:p>
              </w:tc>
              <w:tc>
                <w:tcPr>
                  <w:tcW w:w="768" w:type="dxa"/>
                  <w:tcBorders>
                    <w:tl2br w:val="nil"/>
                    <w:tr2bl w:val="nil"/>
                  </w:tcBorders>
                  <w:noWrap/>
                  <w:tcMar>
                    <w:top w:w="15" w:type="dxa"/>
                    <w:left w:w="15" w:type="dxa"/>
                    <w:right w:w="15" w:type="dxa"/>
                  </w:tcMar>
                  <w:vAlign w:val="center"/>
                </w:tcPr>
                <w:p w14:paraId="3688BA1D">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0.027</w:t>
                  </w:r>
                </w:p>
              </w:tc>
              <w:tc>
                <w:tcPr>
                  <w:tcW w:w="825" w:type="dxa"/>
                  <w:tcBorders>
                    <w:tl2br w:val="nil"/>
                    <w:tr2bl w:val="nil"/>
                  </w:tcBorders>
                  <w:noWrap/>
                  <w:tcMar>
                    <w:top w:w="15" w:type="dxa"/>
                    <w:left w:w="15" w:type="dxa"/>
                    <w:right w:w="15" w:type="dxa"/>
                  </w:tcMar>
                  <w:vAlign w:val="center"/>
                </w:tcPr>
                <w:p w14:paraId="1905609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0.023 </w:t>
                  </w:r>
                </w:p>
              </w:tc>
              <w:tc>
                <w:tcPr>
                  <w:tcW w:w="705" w:type="dxa"/>
                  <w:tcBorders>
                    <w:tl2br w:val="nil"/>
                    <w:tr2bl w:val="nil"/>
                  </w:tcBorders>
                  <w:noWrap/>
                  <w:tcMar>
                    <w:top w:w="15" w:type="dxa"/>
                    <w:left w:w="15" w:type="dxa"/>
                    <w:right w:w="15" w:type="dxa"/>
                  </w:tcMar>
                  <w:vAlign w:val="center"/>
                </w:tcPr>
                <w:p w14:paraId="0C4A40FD">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100%</w:t>
                  </w:r>
                </w:p>
              </w:tc>
              <w:tc>
                <w:tcPr>
                  <w:tcW w:w="585" w:type="dxa"/>
                  <w:vMerge w:val="continue"/>
                  <w:tcBorders>
                    <w:tl2br w:val="nil"/>
                    <w:tr2bl w:val="nil"/>
                  </w:tcBorders>
                  <w:noWrap/>
                  <w:tcMar>
                    <w:top w:w="15" w:type="dxa"/>
                    <w:left w:w="15" w:type="dxa"/>
                    <w:right w:w="15" w:type="dxa"/>
                  </w:tcMar>
                  <w:vAlign w:val="center"/>
                </w:tcPr>
                <w:p w14:paraId="6E6146EB">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p>
              </w:tc>
              <w:tc>
                <w:tcPr>
                  <w:tcW w:w="735" w:type="dxa"/>
                  <w:tcBorders>
                    <w:tl2br w:val="nil"/>
                    <w:tr2bl w:val="nil"/>
                  </w:tcBorders>
                  <w:noWrap/>
                  <w:tcMar>
                    <w:top w:w="15" w:type="dxa"/>
                    <w:left w:w="15" w:type="dxa"/>
                    <w:right w:w="15" w:type="dxa"/>
                  </w:tcMar>
                  <w:vAlign w:val="center"/>
                </w:tcPr>
                <w:p w14:paraId="2E4AA30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0.027 </w:t>
                  </w:r>
                </w:p>
              </w:tc>
              <w:tc>
                <w:tcPr>
                  <w:tcW w:w="810" w:type="dxa"/>
                  <w:tcBorders>
                    <w:tl2br w:val="nil"/>
                    <w:tr2bl w:val="nil"/>
                  </w:tcBorders>
                  <w:noWrap/>
                  <w:tcMar>
                    <w:top w:w="15" w:type="dxa"/>
                    <w:left w:w="15" w:type="dxa"/>
                    <w:right w:w="15" w:type="dxa"/>
                  </w:tcMar>
                  <w:vAlign w:val="center"/>
                </w:tcPr>
                <w:p w14:paraId="7DC90A0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0.023 </w:t>
                  </w:r>
                </w:p>
              </w:tc>
              <w:tc>
                <w:tcPr>
                  <w:tcW w:w="885" w:type="dxa"/>
                  <w:tcBorders>
                    <w:tl2br w:val="nil"/>
                    <w:tr2bl w:val="nil"/>
                  </w:tcBorders>
                  <w:noWrap/>
                  <w:tcMar>
                    <w:top w:w="15" w:type="dxa"/>
                    <w:left w:w="15" w:type="dxa"/>
                    <w:right w:w="15" w:type="dxa"/>
                  </w:tcMar>
                  <w:vAlign w:val="center"/>
                </w:tcPr>
                <w:p w14:paraId="77F5447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28.13 </w:t>
                  </w:r>
                </w:p>
              </w:tc>
              <w:tc>
                <w:tcPr>
                  <w:tcW w:w="1335" w:type="dxa"/>
                  <w:vMerge w:val="continue"/>
                  <w:tcBorders>
                    <w:tl2br w:val="nil"/>
                    <w:tr2bl w:val="nil"/>
                  </w:tcBorders>
                  <w:noWrap/>
                  <w:tcMar>
                    <w:top w:w="15" w:type="dxa"/>
                    <w:left w:w="15" w:type="dxa"/>
                    <w:right w:w="15" w:type="dxa"/>
                  </w:tcMar>
                  <w:vAlign w:val="center"/>
                </w:tcPr>
                <w:p w14:paraId="204BEACD">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p>
              </w:tc>
              <w:tc>
                <w:tcPr>
                  <w:tcW w:w="510" w:type="dxa"/>
                  <w:tcBorders>
                    <w:tl2br w:val="nil"/>
                    <w:tr2bl w:val="nil"/>
                  </w:tcBorders>
                  <w:noWrap/>
                  <w:tcMar>
                    <w:top w:w="15" w:type="dxa"/>
                    <w:left w:w="15" w:type="dxa"/>
                    <w:right w:w="15" w:type="dxa"/>
                  </w:tcMar>
                  <w:vAlign w:val="center"/>
                </w:tcPr>
                <w:p w14:paraId="5146826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sz w:val="21"/>
                      <w:szCs w:val="21"/>
                      <w:highlight w:val="none"/>
                      <w:lang w:val="en-US" w:eastAsia="zh-CN"/>
                    </w:rPr>
                    <w:t>/</w:t>
                  </w:r>
                </w:p>
              </w:tc>
              <w:tc>
                <w:tcPr>
                  <w:tcW w:w="720" w:type="dxa"/>
                  <w:tcBorders>
                    <w:tl2br w:val="nil"/>
                    <w:tr2bl w:val="nil"/>
                  </w:tcBorders>
                  <w:noWrap/>
                  <w:tcMar>
                    <w:top w:w="15" w:type="dxa"/>
                    <w:left w:w="15" w:type="dxa"/>
                    <w:right w:w="15" w:type="dxa"/>
                  </w:tcMar>
                  <w:vAlign w:val="center"/>
                </w:tcPr>
                <w:p w14:paraId="1C70E8FE">
                  <w:pPr>
                    <w:keepNext w:val="0"/>
                    <w:keepLines w:val="0"/>
                    <w:widowControl/>
                    <w:suppressLineNumbers w:val="0"/>
                    <w:jc w:val="center"/>
                    <w:textAlignment w:val="center"/>
                    <w:rPr>
                      <w:rFonts w:hint="default" w:ascii="Times New Roman" w:hAnsi="Times New Roman" w:cs="Times New Roman"/>
                      <w:color w:val="auto"/>
                      <w:highlight w:val="none"/>
                      <w:lang w:val="en-US"/>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0.027 </w:t>
                  </w:r>
                </w:p>
              </w:tc>
              <w:tc>
                <w:tcPr>
                  <w:tcW w:w="765" w:type="dxa"/>
                  <w:tcBorders>
                    <w:tl2br w:val="nil"/>
                    <w:tr2bl w:val="nil"/>
                  </w:tcBorders>
                  <w:noWrap/>
                  <w:tcMar>
                    <w:top w:w="15" w:type="dxa"/>
                    <w:left w:w="15" w:type="dxa"/>
                    <w:right w:w="15" w:type="dxa"/>
                  </w:tcMar>
                  <w:vAlign w:val="center"/>
                </w:tcPr>
                <w:p w14:paraId="092D0CF6">
                  <w:pPr>
                    <w:keepNext w:val="0"/>
                    <w:keepLines w:val="0"/>
                    <w:widowControl/>
                    <w:suppressLineNumbers w:val="0"/>
                    <w:jc w:val="center"/>
                    <w:textAlignment w:val="center"/>
                    <w:rPr>
                      <w:rFonts w:hint="default" w:ascii="Times New Roman" w:hAnsi="Times New Roman" w:cs="Times New Roman"/>
                      <w:color w:val="auto"/>
                      <w:highlight w:val="none"/>
                      <w:lang w:val="en-US"/>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0.023 </w:t>
                  </w:r>
                </w:p>
              </w:tc>
              <w:tc>
                <w:tcPr>
                  <w:tcW w:w="900" w:type="dxa"/>
                  <w:tcBorders>
                    <w:tl2br w:val="nil"/>
                    <w:tr2bl w:val="nil"/>
                  </w:tcBorders>
                  <w:noWrap/>
                  <w:tcMar>
                    <w:top w:w="15" w:type="dxa"/>
                    <w:left w:w="15" w:type="dxa"/>
                    <w:right w:w="15" w:type="dxa"/>
                  </w:tcMar>
                  <w:vAlign w:val="center"/>
                </w:tcPr>
                <w:p w14:paraId="700D12A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28.13 </w:t>
                  </w:r>
                </w:p>
              </w:tc>
              <w:tc>
                <w:tcPr>
                  <w:tcW w:w="1110" w:type="dxa"/>
                  <w:vMerge w:val="continue"/>
                  <w:tcBorders>
                    <w:tl2br w:val="nil"/>
                    <w:tr2bl w:val="nil"/>
                  </w:tcBorders>
                  <w:noWrap/>
                  <w:tcMar>
                    <w:top w:w="15" w:type="dxa"/>
                    <w:left w:w="15" w:type="dxa"/>
                    <w:right w:w="15" w:type="dxa"/>
                  </w:tcMar>
                  <w:vAlign w:val="center"/>
                </w:tcPr>
                <w:p w14:paraId="386A14E2">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44"/>
                      <w:sz w:val="21"/>
                      <w:szCs w:val="21"/>
                      <w:highlight w:val="none"/>
                      <w:lang w:val="en-US" w:eastAsia="zh-CN" w:bidi="ar-SA"/>
                    </w:rPr>
                  </w:pPr>
                </w:p>
              </w:tc>
              <w:tc>
                <w:tcPr>
                  <w:tcW w:w="660" w:type="dxa"/>
                  <w:tcBorders>
                    <w:tl2br w:val="nil"/>
                    <w:tr2bl w:val="nil"/>
                  </w:tcBorders>
                  <w:noWrap/>
                  <w:tcMar>
                    <w:top w:w="15" w:type="dxa"/>
                    <w:left w:w="15" w:type="dxa"/>
                    <w:right w:w="15" w:type="dxa"/>
                  </w:tcMar>
                  <w:vAlign w:val="center"/>
                </w:tcPr>
                <w:p w14:paraId="1D58FFA4">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lang w:val="en-US" w:eastAsia="zh-CN"/>
                    </w:rPr>
                    <w:t>/</w:t>
                  </w:r>
                </w:p>
              </w:tc>
              <w:tc>
                <w:tcPr>
                  <w:tcW w:w="841" w:type="dxa"/>
                  <w:tcBorders>
                    <w:tl2br w:val="nil"/>
                    <w:tr2bl w:val="nil"/>
                  </w:tcBorders>
                  <w:noWrap/>
                  <w:tcMar>
                    <w:top w:w="15" w:type="dxa"/>
                    <w:left w:w="15" w:type="dxa"/>
                    <w:right w:w="15" w:type="dxa"/>
                  </w:tcMar>
                  <w:vAlign w:val="center"/>
                </w:tcPr>
                <w:p w14:paraId="25E2598D">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lang w:val="en-US" w:eastAsia="zh-CN"/>
                    </w:rPr>
                    <w:t>/</w:t>
                  </w:r>
                </w:p>
              </w:tc>
            </w:tr>
            <w:tr w14:paraId="1F638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982" w:type="dxa"/>
                  <w:vMerge w:val="continue"/>
                  <w:tcBorders>
                    <w:tl2br w:val="nil"/>
                    <w:tr2bl w:val="nil"/>
                  </w:tcBorders>
                  <w:noWrap/>
                  <w:tcMar>
                    <w:top w:w="15" w:type="dxa"/>
                    <w:left w:w="15" w:type="dxa"/>
                    <w:right w:w="15" w:type="dxa"/>
                  </w:tcMar>
                  <w:vAlign w:val="center"/>
                </w:tcPr>
                <w:p w14:paraId="49047532">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p>
              </w:tc>
              <w:tc>
                <w:tcPr>
                  <w:tcW w:w="900" w:type="dxa"/>
                  <w:tcBorders>
                    <w:tl2br w:val="nil"/>
                    <w:tr2bl w:val="nil"/>
                  </w:tcBorders>
                  <w:noWrap/>
                  <w:tcMar>
                    <w:top w:w="15" w:type="dxa"/>
                    <w:left w:w="15" w:type="dxa"/>
                    <w:right w:w="15" w:type="dxa"/>
                  </w:tcMar>
                  <w:vAlign w:val="center"/>
                </w:tcPr>
                <w:p w14:paraId="6BFD7B4B">
                  <w:pPr>
                    <w:keepNext w:val="0"/>
                    <w:keepLines w:val="0"/>
                    <w:widowControl/>
                    <w:suppressLineNumbers w:val="0"/>
                    <w:jc w:val="center"/>
                    <w:textAlignment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二氧化硫</w:t>
                  </w:r>
                </w:p>
              </w:tc>
              <w:tc>
                <w:tcPr>
                  <w:tcW w:w="768" w:type="dxa"/>
                  <w:tcBorders>
                    <w:tl2br w:val="nil"/>
                    <w:tr2bl w:val="nil"/>
                  </w:tcBorders>
                  <w:noWrap/>
                  <w:tcMar>
                    <w:top w:w="15" w:type="dxa"/>
                    <w:left w:w="15" w:type="dxa"/>
                    <w:right w:w="15" w:type="dxa"/>
                  </w:tcMar>
                  <w:vAlign w:val="center"/>
                </w:tcPr>
                <w:p w14:paraId="33407A5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w:t>
                  </w:r>
                  <w:r>
                    <w:rPr>
                      <w:rFonts w:hint="eastAsia" w:ascii="Times New Roman" w:hAnsi="Times New Roman" w:eastAsia="宋体" w:cs="Times New Roman"/>
                      <w:i w:val="0"/>
                      <w:iCs w:val="0"/>
                      <w:color w:val="auto"/>
                      <w:kern w:val="0"/>
                      <w:sz w:val="21"/>
                      <w:szCs w:val="21"/>
                      <w:highlight w:val="none"/>
                      <w:u w:val="none"/>
                      <w:lang w:val="en-US" w:eastAsia="zh-CN" w:bidi="ar"/>
                    </w:rPr>
                    <w:t>36</w:t>
                  </w:r>
                </w:p>
              </w:tc>
              <w:tc>
                <w:tcPr>
                  <w:tcW w:w="825" w:type="dxa"/>
                  <w:tcBorders>
                    <w:tl2br w:val="nil"/>
                    <w:tr2bl w:val="nil"/>
                  </w:tcBorders>
                  <w:noWrap/>
                  <w:tcMar>
                    <w:top w:w="15" w:type="dxa"/>
                    <w:left w:w="15" w:type="dxa"/>
                    <w:right w:w="15" w:type="dxa"/>
                  </w:tcMar>
                  <w:vAlign w:val="center"/>
                </w:tcPr>
                <w:p w14:paraId="5DCB953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w:t>
                  </w:r>
                  <w:r>
                    <w:rPr>
                      <w:rFonts w:hint="eastAsia" w:ascii="Times New Roman" w:hAnsi="Times New Roman" w:eastAsia="宋体" w:cs="Times New Roman"/>
                      <w:i w:val="0"/>
                      <w:iCs w:val="0"/>
                      <w:color w:val="auto"/>
                      <w:kern w:val="0"/>
                      <w:sz w:val="21"/>
                      <w:szCs w:val="21"/>
                      <w:highlight w:val="none"/>
                      <w:u w:val="none"/>
                      <w:lang w:val="en-US" w:eastAsia="zh-CN" w:bidi="ar"/>
                    </w:rPr>
                    <w:t>3</w:t>
                  </w:r>
                  <w:r>
                    <w:rPr>
                      <w:rFonts w:hint="default" w:ascii="Times New Roman" w:hAnsi="Times New Roman" w:eastAsia="宋体" w:cs="Times New Roman"/>
                      <w:i w:val="0"/>
                      <w:iCs w:val="0"/>
                      <w:color w:val="auto"/>
                      <w:kern w:val="0"/>
                      <w:sz w:val="21"/>
                      <w:szCs w:val="21"/>
                      <w:highlight w:val="none"/>
                      <w:u w:val="none"/>
                      <w:lang w:val="en-US" w:eastAsia="zh-CN" w:bidi="ar"/>
                    </w:rPr>
                    <w:t xml:space="preserve"> </w:t>
                  </w:r>
                </w:p>
              </w:tc>
              <w:tc>
                <w:tcPr>
                  <w:tcW w:w="705" w:type="dxa"/>
                  <w:tcBorders>
                    <w:tl2br w:val="nil"/>
                    <w:tr2bl w:val="nil"/>
                  </w:tcBorders>
                  <w:noWrap/>
                  <w:tcMar>
                    <w:top w:w="15" w:type="dxa"/>
                    <w:left w:w="15" w:type="dxa"/>
                    <w:right w:w="15" w:type="dxa"/>
                  </w:tcMar>
                  <w:vAlign w:val="center"/>
                </w:tcPr>
                <w:p w14:paraId="4C700E17">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100%</w:t>
                  </w:r>
                </w:p>
              </w:tc>
              <w:tc>
                <w:tcPr>
                  <w:tcW w:w="585" w:type="dxa"/>
                  <w:vMerge w:val="continue"/>
                  <w:tcBorders>
                    <w:tl2br w:val="nil"/>
                    <w:tr2bl w:val="nil"/>
                  </w:tcBorders>
                  <w:noWrap/>
                  <w:tcMar>
                    <w:top w:w="15" w:type="dxa"/>
                    <w:left w:w="15" w:type="dxa"/>
                    <w:right w:w="15" w:type="dxa"/>
                  </w:tcMar>
                  <w:vAlign w:val="center"/>
                </w:tcPr>
                <w:p w14:paraId="581EE163">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p>
              </w:tc>
              <w:tc>
                <w:tcPr>
                  <w:tcW w:w="735" w:type="dxa"/>
                  <w:tcBorders>
                    <w:tl2br w:val="nil"/>
                    <w:tr2bl w:val="nil"/>
                  </w:tcBorders>
                  <w:noWrap/>
                  <w:tcMar>
                    <w:top w:w="15" w:type="dxa"/>
                    <w:left w:w="15" w:type="dxa"/>
                    <w:right w:w="15" w:type="dxa"/>
                  </w:tcMar>
                  <w:vAlign w:val="center"/>
                </w:tcPr>
                <w:p w14:paraId="7CCE89E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0.0036 </w:t>
                  </w:r>
                </w:p>
              </w:tc>
              <w:tc>
                <w:tcPr>
                  <w:tcW w:w="810" w:type="dxa"/>
                  <w:tcBorders>
                    <w:tl2br w:val="nil"/>
                    <w:tr2bl w:val="nil"/>
                  </w:tcBorders>
                  <w:noWrap/>
                  <w:tcMar>
                    <w:top w:w="15" w:type="dxa"/>
                    <w:left w:w="15" w:type="dxa"/>
                    <w:right w:w="15" w:type="dxa"/>
                  </w:tcMar>
                  <w:vAlign w:val="center"/>
                </w:tcPr>
                <w:p w14:paraId="40B30E9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w:t>
                  </w:r>
                  <w:r>
                    <w:rPr>
                      <w:rFonts w:hint="eastAsia" w:ascii="Times New Roman" w:hAnsi="Times New Roman" w:eastAsia="宋体" w:cs="Times New Roman"/>
                      <w:i w:val="0"/>
                      <w:iCs w:val="0"/>
                      <w:color w:val="auto"/>
                      <w:kern w:val="0"/>
                      <w:sz w:val="21"/>
                      <w:szCs w:val="21"/>
                      <w:highlight w:val="none"/>
                      <w:u w:val="none"/>
                      <w:lang w:val="en-US" w:eastAsia="zh-CN" w:bidi="ar"/>
                    </w:rPr>
                    <w:t>3</w:t>
                  </w:r>
                  <w:r>
                    <w:rPr>
                      <w:rFonts w:hint="default" w:ascii="Times New Roman" w:hAnsi="Times New Roman" w:eastAsia="宋体" w:cs="Times New Roman"/>
                      <w:i w:val="0"/>
                      <w:iCs w:val="0"/>
                      <w:color w:val="auto"/>
                      <w:kern w:val="0"/>
                      <w:sz w:val="21"/>
                      <w:szCs w:val="21"/>
                      <w:highlight w:val="none"/>
                      <w:u w:val="none"/>
                      <w:lang w:val="en-US" w:eastAsia="zh-CN" w:bidi="ar"/>
                    </w:rPr>
                    <w:t xml:space="preserve"> </w:t>
                  </w:r>
                </w:p>
              </w:tc>
              <w:tc>
                <w:tcPr>
                  <w:tcW w:w="885" w:type="dxa"/>
                  <w:tcBorders>
                    <w:tl2br w:val="nil"/>
                    <w:tr2bl w:val="nil"/>
                  </w:tcBorders>
                  <w:noWrap/>
                  <w:tcMar>
                    <w:top w:w="15" w:type="dxa"/>
                    <w:left w:w="15" w:type="dxa"/>
                    <w:right w:w="15" w:type="dxa"/>
                  </w:tcMar>
                  <w:vAlign w:val="center"/>
                </w:tcPr>
                <w:p w14:paraId="78E35A9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3.75</w:t>
                  </w:r>
                </w:p>
              </w:tc>
              <w:tc>
                <w:tcPr>
                  <w:tcW w:w="1335" w:type="dxa"/>
                  <w:vMerge w:val="continue"/>
                  <w:tcBorders>
                    <w:tl2br w:val="nil"/>
                    <w:tr2bl w:val="nil"/>
                  </w:tcBorders>
                  <w:noWrap/>
                  <w:tcMar>
                    <w:top w:w="15" w:type="dxa"/>
                    <w:left w:w="15" w:type="dxa"/>
                    <w:right w:w="15" w:type="dxa"/>
                  </w:tcMar>
                  <w:vAlign w:val="center"/>
                </w:tcPr>
                <w:p w14:paraId="70286BE6">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p>
              </w:tc>
              <w:tc>
                <w:tcPr>
                  <w:tcW w:w="510" w:type="dxa"/>
                  <w:tcBorders>
                    <w:tl2br w:val="nil"/>
                    <w:tr2bl w:val="nil"/>
                  </w:tcBorders>
                  <w:noWrap/>
                  <w:tcMar>
                    <w:top w:w="15" w:type="dxa"/>
                    <w:left w:w="15" w:type="dxa"/>
                    <w:right w:w="15" w:type="dxa"/>
                  </w:tcMar>
                  <w:vAlign w:val="center"/>
                </w:tcPr>
                <w:p w14:paraId="14CBB9C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720" w:type="dxa"/>
                  <w:tcBorders>
                    <w:tl2br w:val="nil"/>
                    <w:tr2bl w:val="nil"/>
                  </w:tcBorders>
                  <w:noWrap/>
                  <w:tcMar>
                    <w:top w:w="15" w:type="dxa"/>
                    <w:left w:w="15" w:type="dxa"/>
                    <w:right w:w="15" w:type="dxa"/>
                  </w:tcMar>
                  <w:vAlign w:val="center"/>
                </w:tcPr>
                <w:p w14:paraId="7FED43E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0.0036 </w:t>
                  </w:r>
                </w:p>
              </w:tc>
              <w:tc>
                <w:tcPr>
                  <w:tcW w:w="765" w:type="dxa"/>
                  <w:tcBorders>
                    <w:tl2br w:val="nil"/>
                    <w:tr2bl w:val="nil"/>
                  </w:tcBorders>
                  <w:noWrap/>
                  <w:tcMar>
                    <w:top w:w="15" w:type="dxa"/>
                    <w:left w:w="15" w:type="dxa"/>
                    <w:right w:w="15" w:type="dxa"/>
                  </w:tcMar>
                  <w:vAlign w:val="center"/>
                </w:tcPr>
                <w:p w14:paraId="357E2BC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w:t>
                  </w:r>
                  <w:r>
                    <w:rPr>
                      <w:rFonts w:hint="eastAsia" w:ascii="Times New Roman" w:hAnsi="Times New Roman" w:eastAsia="宋体" w:cs="Times New Roman"/>
                      <w:i w:val="0"/>
                      <w:iCs w:val="0"/>
                      <w:color w:val="auto"/>
                      <w:kern w:val="0"/>
                      <w:sz w:val="21"/>
                      <w:szCs w:val="21"/>
                      <w:highlight w:val="none"/>
                      <w:u w:val="none"/>
                      <w:lang w:val="en-US" w:eastAsia="zh-CN" w:bidi="ar"/>
                    </w:rPr>
                    <w:t>3</w:t>
                  </w:r>
                  <w:r>
                    <w:rPr>
                      <w:rFonts w:hint="default" w:ascii="Times New Roman" w:hAnsi="Times New Roman" w:eastAsia="宋体" w:cs="Times New Roman"/>
                      <w:i w:val="0"/>
                      <w:iCs w:val="0"/>
                      <w:color w:val="auto"/>
                      <w:kern w:val="0"/>
                      <w:sz w:val="21"/>
                      <w:szCs w:val="21"/>
                      <w:highlight w:val="none"/>
                      <w:u w:val="none"/>
                      <w:lang w:val="en-US" w:eastAsia="zh-CN" w:bidi="ar"/>
                    </w:rPr>
                    <w:t xml:space="preserve"> </w:t>
                  </w:r>
                </w:p>
              </w:tc>
              <w:tc>
                <w:tcPr>
                  <w:tcW w:w="900" w:type="dxa"/>
                  <w:tcBorders>
                    <w:tl2br w:val="nil"/>
                    <w:tr2bl w:val="nil"/>
                  </w:tcBorders>
                  <w:noWrap/>
                  <w:tcMar>
                    <w:top w:w="15" w:type="dxa"/>
                    <w:left w:w="15" w:type="dxa"/>
                    <w:right w:w="15" w:type="dxa"/>
                  </w:tcMar>
                  <w:vAlign w:val="center"/>
                </w:tcPr>
                <w:p w14:paraId="0B9126A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3.75</w:t>
                  </w:r>
                </w:p>
              </w:tc>
              <w:tc>
                <w:tcPr>
                  <w:tcW w:w="1110" w:type="dxa"/>
                  <w:vMerge w:val="continue"/>
                  <w:tcBorders>
                    <w:tl2br w:val="nil"/>
                    <w:tr2bl w:val="nil"/>
                  </w:tcBorders>
                  <w:noWrap/>
                  <w:tcMar>
                    <w:top w:w="15" w:type="dxa"/>
                    <w:left w:w="15" w:type="dxa"/>
                    <w:right w:w="15" w:type="dxa"/>
                  </w:tcMar>
                  <w:vAlign w:val="center"/>
                </w:tcPr>
                <w:p w14:paraId="07C9A2A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44"/>
                      <w:sz w:val="21"/>
                      <w:szCs w:val="21"/>
                      <w:highlight w:val="none"/>
                      <w:lang w:val="en-US" w:eastAsia="zh-CN" w:bidi="ar-SA"/>
                    </w:rPr>
                  </w:pPr>
                </w:p>
              </w:tc>
              <w:tc>
                <w:tcPr>
                  <w:tcW w:w="660" w:type="dxa"/>
                  <w:tcBorders>
                    <w:tl2br w:val="nil"/>
                    <w:tr2bl w:val="nil"/>
                  </w:tcBorders>
                  <w:noWrap/>
                  <w:tcMar>
                    <w:top w:w="15" w:type="dxa"/>
                    <w:left w:w="15" w:type="dxa"/>
                    <w:right w:w="15" w:type="dxa"/>
                  </w:tcMar>
                  <w:vAlign w:val="center"/>
                </w:tcPr>
                <w:p w14:paraId="6B3821C9">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lang w:val="en-US" w:eastAsia="zh-CN"/>
                    </w:rPr>
                    <w:t>/</w:t>
                  </w:r>
                </w:p>
              </w:tc>
              <w:tc>
                <w:tcPr>
                  <w:tcW w:w="841" w:type="dxa"/>
                  <w:tcBorders>
                    <w:tl2br w:val="nil"/>
                    <w:tr2bl w:val="nil"/>
                  </w:tcBorders>
                  <w:noWrap/>
                  <w:tcMar>
                    <w:top w:w="15" w:type="dxa"/>
                    <w:left w:w="15" w:type="dxa"/>
                    <w:right w:w="15" w:type="dxa"/>
                  </w:tcMar>
                  <w:vAlign w:val="center"/>
                </w:tcPr>
                <w:p w14:paraId="056BCF71">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lang w:val="en-US" w:eastAsia="zh-CN"/>
                    </w:rPr>
                    <w:t>/</w:t>
                  </w:r>
                </w:p>
              </w:tc>
            </w:tr>
            <w:tr w14:paraId="2B46C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982" w:type="dxa"/>
                  <w:vMerge w:val="restart"/>
                  <w:tcBorders>
                    <w:tl2br w:val="nil"/>
                    <w:tr2bl w:val="nil"/>
                  </w:tcBorders>
                  <w:noWrap/>
                  <w:tcMar>
                    <w:top w:w="15" w:type="dxa"/>
                    <w:left w:w="15" w:type="dxa"/>
                    <w:right w:w="15" w:type="dxa"/>
                  </w:tcMar>
                  <w:vAlign w:val="center"/>
                </w:tcPr>
                <w:p w14:paraId="3B9C154A">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锅炉燃烧废气</w:t>
                  </w:r>
                </w:p>
              </w:tc>
              <w:tc>
                <w:tcPr>
                  <w:tcW w:w="900" w:type="dxa"/>
                  <w:tcBorders>
                    <w:tl2br w:val="nil"/>
                    <w:tr2bl w:val="nil"/>
                  </w:tcBorders>
                  <w:noWrap/>
                  <w:tcMar>
                    <w:top w:w="15" w:type="dxa"/>
                    <w:left w:w="15" w:type="dxa"/>
                    <w:right w:w="15" w:type="dxa"/>
                  </w:tcMar>
                  <w:vAlign w:val="center"/>
                </w:tcPr>
                <w:p w14:paraId="298ED75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颗粒物</w:t>
                  </w:r>
                </w:p>
              </w:tc>
              <w:tc>
                <w:tcPr>
                  <w:tcW w:w="768" w:type="dxa"/>
                  <w:tcBorders>
                    <w:tl2br w:val="nil"/>
                    <w:tr2bl w:val="nil"/>
                  </w:tcBorders>
                  <w:noWrap/>
                  <w:tcMar>
                    <w:top w:w="15" w:type="dxa"/>
                    <w:left w:w="15" w:type="dxa"/>
                    <w:right w:w="15" w:type="dxa"/>
                  </w:tcMar>
                  <w:vAlign w:val="center"/>
                </w:tcPr>
                <w:p w14:paraId="613056E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0.009</w:t>
                  </w:r>
                </w:p>
              </w:tc>
              <w:tc>
                <w:tcPr>
                  <w:tcW w:w="825" w:type="dxa"/>
                  <w:tcBorders>
                    <w:tl2br w:val="nil"/>
                    <w:tr2bl w:val="nil"/>
                  </w:tcBorders>
                  <w:noWrap/>
                  <w:tcMar>
                    <w:top w:w="15" w:type="dxa"/>
                    <w:left w:w="15" w:type="dxa"/>
                    <w:right w:w="15" w:type="dxa"/>
                  </w:tcMar>
                  <w:vAlign w:val="center"/>
                </w:tcPr>
                <w:p w14:paraId="10BA5FA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0.008 </w:t>
                  </w:r>
                </w:p>
              </w:tc>
              <w:tc>
                <w:tcPr>
                  <w:tcW w:w="705" w:type="dxa"/>
                  <w:tcBorders>
                    <w:tl2br w:val="nil"/>
                    <w:tr2bl w:val="nil"/>
                  </w:tcBorders>
                  <w:noWrap/>
                  <w:tcMar>
                    <w:top w:w="15" w:type="dxa"/>
                    <w:left w:w="15" w:type="dxa"/>
                    <w:right w:w="15" w:type="dxa"/>
                  </w:tcMar>
                  <w:vAlign w:val="center"/>
                </w:tcPr>
                <w:p w14:paraId="3CD19763">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100%</w:t>
                  </w:r>
                </w:p>
              </w:tc>
              <w:tc>
                <w:tcPr>
                  <w:tcW w:w="585" w:type="dxa"/>
                  <w:vMerge w:val="restart"/>
                  <w:tcBorders>
                    <w:tl2br w:val="nil"/>
                    <w:tr2bl w:val="nil"/>
                  </w:tcBorders>
                  <w:noWrap/>
                  <w:tcMar>
                    <w:top w:w="15" w:type="dxa"/>
                    <w:left w:w="15" w:type="dxa"/>
                    <w:right w:w="15" w:type="dxa"/>
                  </w:tcMar>
                  <w:vAlign w:val="center"/>
                </w:tcPr>
                <w:p w14:paraId="036518EE">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800</w:t>
                  </w:r>
                </w:p>
              </w:tc>
              <w:tc>
                <w:tcPr>
                  <w:tcW w:w="735" w:type="dxa"/>
                  <w:tcBorders>
                    <w:tl2br w:val="nil"/>
                    <w:tr2bl w:val="nil"/>
                  </w:tcBorders>
                  <w:noWrap/>
                  <w:tcMar>
                    <w:top w:w="15" w:type="dxa"/>
                    <w:left w:w="15" w:type="dxa"/>
                    <w:right w:w="15" w:type="dxa"/>
                  </w:tcMar>
                  <w:vAlign w:val="center"/>
                </w:tcPr>
                <w:p w14:paraId="691ECAE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0.009 </w:t>
                  </w:r>
                </w:p>
              </w:tc>
              <w:tc>
                <w:tcPr>
                  <w:tcW w:w="810" w:type="dxa"/>
                  <w:tcBorders>
                    <w:tl2br w:val="nil"/>
                    <w:tr2bl w:val="nil"/>
                  </w:tcBorders>
                  <w:noWrap/>
                  <w:tcMar>
                    <w:top w:w="15" w:type="dxa"/>
                    <w:left w:w="15" w:type="dxa"/>
                    <w:right w:w="15" w:type="dxa"/>
                  </w:tcMar>
                  <w:vAlign w:val="center"/>
                </w:tcPr>
                <w:p w14:paraId="4DD22B0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0.008 </w:t>
                  </w:r>
                </w:p>
              </w:tc>
              <w:tc>
                <w:tcPr>
                  <w:tcW w:w="885" w:type="dxa"/>
                  <w:tcBorders>
                    <w:tl2br w:val="nil"/>
                    <w:tr2bl w:val="nil"/>
                  </w:tcBorders>
                  <w:noWrap/>
                  <w:tcMar>
                    <w:top w:w="15" w:type="dxa"/>
                    <w:left w:w="15" w:type="dxa"/>
                    <w:right w:w="15" w:type="dxa"/>
                  </w:tcMar>
                  <w:vAlign w:val="center"/>
                </w:tcPr>
                <w:p w14:paraId="5753D1E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9.38 </w:t>
                  </w:r>
                </w:p>
              </w:tc>
              <w:tc>
                <w:tcPr>
                  <w:tcW w:w="1335" w:type="dxa"/>
                  <w:vMerge w:val="restart"/>
                  <w:tcBorders>
                    <w:tl2br w:val="nil"/>
                    <w:tr2bl w:val="nil"/>
                  </w:tcBorders>
                  <w:noWrap/>
                  <w:tcMar>
                    <w:top w:w="15" w:type="dxa"/>
                    <w:left w:w="15" w:type="dxa"/>
                    <w:right w:w="15" w:type="dxa"/>
                  </w:tcMar>
                  <w:vAlign w:val="center"/>
                </w:tcPr>
                <w:p w14:paraId="6B8CAAA4">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低氮燃烧装置</w:t>
                  </w:r>
                </w:p>
              </w:tc>
              <w:tc>
                <w:tcPr>
                  <w:tcW w:w="510" w:type="dxa"/>
                  <w:tcBorders>
                    <w:tl2br w:val="nil"/>
                    <w:tr2bl w:val="nil"/>
                  </w:tcBorders>
                  <w:noWrap/>
                  <w:tcMar>
                    <w:top w:w="15" w:type="dxa"/>
                    <w:left w:w="15" w:type="dxa"/>
                    <w:right w:w="15" w:type="dxa"/>
                  </w:tcMar>
                  <w:vAlign w:val="center"/>
                </w:tcPr>
                <w:p w14:paraId="6458010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720" w:type="dxa"/>
                  <w:tcBorders>
                    <w:tl2br w:val="nil"/>
                    <w:tr2bl w:val="nil"/>
                  </w:tcBorders>
                  <w:noWrap/>
                  <w:tcMar>
                    <w:top w:w="15" w:type="dxa"/>
                    <w:left w:w="15" w:type="dxa"/>
                    <w:right w:w="15" w:type="dxa"/>
                  </w:tcMar>
                  <w:vAlign w:val="center"/>
                </w:tcPr>
                <w:p w14:paraId="603250F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0.009 </w:t>
                  </w:r>
                </w:p>
              </w:tc>
              <w:tc>
                <w:tcPr>
                  <w:tcW w:w="765" w:type="dxa"/>
                  <w:tcBorders>
                    <w:tl2br w:val="nil"/>
                    <w:tr2bl w:val="nil"/>
                  </w:tcBorders>
                  <w:noWrap/>
                  <w:tcMar>
                    <w:top w:w="15" w:type="dxa"/>
                    <w:left w:w="15" w:type="dxa"/>
                    <w:right w:w="15" w:type="dxa"/>
                  </w:tcMar>
                  <w:vAlign w:val="center"/>
                </w:tcPr>
                <w:p w14:paraId="3AC5CD8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0.008 </w:t>
                  </w:r>
                </w:p>
              </w:tc>
              <w:tc>
                <w:tcPr>
                  <w:tcW w:w="900" w:type="dxa"/>
                  <w:tcBorders>
                    <w:tl2br w:val="nil"/>
                    <w:tr2bl w:val="nil"/>
                  </w:tcBorders>
                  <w:noWrap/>
                  <w:tcMar>
                    <w:top w:w="15" w:type="dxa"/>
                    <w:left w:w="15" w:type="dxa"/>
                    <w:right w:w="15" w:type="dxa"/>
                  </w:tcMar>
                  <w:vAlign w:val="center"/>
                </w:tcPr>
                <w:p w14:paraId="4C8BBEE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9.38 </w:t>
                  </w:r>
                </w:p>
              </w:tc>
              <w:tc>
                <w:tcPr>
                  <w:tcW w:w="1110" w:type="dxa"/>
                  <w:vMerge w:val="restart"/>
                  <w:tcBorders>
                    <w:tl2br w:val="nil"/>
                    <w:tr2bl w:val="nil"/>
                  </w:tcBorders>
                  <w:noWrap/>
                  <w:tcMar>
                    <w:top w:w="15" w:type="dxa"/>
                    <w:left w:w="15" w:type="dxa"/>
                    <w:right w:w="15" w:type="dxa"/>
                  </w:tcMar>
                  <w:vAlign w:val="center"/>
                </w:tcPr>
                <w:p w14:paraId="256C2CC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44"/>
                      <w:sz w:val="21"/>
                      <w:szCs w:val="21"/>
                      <w:highlight w:val="none"/>
                      <w:lang w:val="en-US" w:eastAsia="zh-CN" w:bidi="ar-SA"/>
                    </w:rPr>
                  </w:pPr>
                  <w:r>
                    <w:rPr>
                      <w:rFonts w:hint="default" w:ascii="Times New Roman" w:hAnsi="Times New Roman" w:eastAsia="宋体" w:cs="Times New Roman"/>
                      <w:color w:val="auto"/>
                      <w:kern w:val="44"/>
                      <w:sz w:val="21"/>
                      <w:szCs w:val="21"/>
                      <w:highlight w:val="none"/>
                      <w:lang w:val="en-US" w:eastAsia="zh-CN" w:bidi="ar-SA"/>
                    </w:rPr>
                    <w:t>DA002</w:t>
                  </w:r>
                </w:p>
              </w:tc>
              <w:tc>
                <w:tcPr>
                  <w:tcW w:w="660" w:type="dxa"/>
                  <w:tcBorders>
                    <w:tl2br w:val="nil"/>
                    <w:tr2bl w:val="nil"/>
                  </w:tcBorders>
                  <w:noWrap/>
                  <w:tcMar>
                    <w:top w:w="15" w:type="dxa"/>
                    <w:left w:w="15" w:type="dxa"/>
                    <w:right w:w="15" w:type="dxa"/>
                  </w:tcMar>
                  <w:vAlign w:val="center"/>
                </w:tcPr>
                <w:p w14:paraId="78BCED4C">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841" w:type="dxa"/>
                  <w:tcBorders>
                    <w:tl2br w:val="nil"/>
                    <w:tr2bl w:val="nil"/>
                  </w:tcBorders>
                  <w:noWrap/>
                  <w:tcMar>
                    <w:top w:w="15" w:type="dxa"/>
                    <w:left w:w="15" w:type="dxa"/>
                    <w:right w:w="15" w:type="dxa"/>
                  </w:tcMar>
                  <w:vAlign w:val="center"/>
                </w:tcPr>
                <w:p w14:paraId="6B91F84A">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r>
            <w:tr w14:paraId="1EBC2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982" w:type="dxa"/>
                  <w:vMerge w:val="continue"/>
                  <w:tcBorders>
                    <w:tl2br w:val="nil"/>
                    <w:tr2bl w:val="nil"/>
                  </w:tcBorders>
                  <w:noWrap/>
                  <w:tcMar>
                    <w:top w:w="15" w:type="dxa"/>
                    <w:left w:w="15" w:type="dxa"/>
                    <w:right w:w="15" w:type="dxa"/>
                  </w:tcMar>
                  <w:vAlign w:val="center"/>
                </w:tcPr>
                <w:p w14:paraId="59EEA77F">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p>
              </w:tc>
              <w:tc>
                <w:tcPr>
                  <w:tcW w:w="900" w:type="dxa"/>
                  <w:tcBorders>
                    <w:tl2br w:val="nil"/>
                    <w:tr2bl w:val="nil"/>
                  </w:tcBorders>
                  <w:noWrap/>
                  <w:tcMar>
                    <w:top w:w="15" w:type="dxa"/>
                    <w:left w:w="15" w:type="dxa"/>
                    <w:right w:w="15" w:type="dxa"/>
                  </w:tcMar>
                  <w:vAlign w:val="center"/>
                </w:tcPr>
                <w:p w14:paraId="6BA959C6">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氮氧化物</w:t>
                  </w:r>
                </w:p>
              </w:tc>
              <w:tc>
                <w:tcPr>
                  <w:tcW w:w="768" w:type="dxa"/>
                  <w:tcBorders>
                    <w:tl2br w:val="nil"/>
                    <w:tr2bl w:val="nil"/>
                  </w:tcBorders>
                  <w:noWrap/>
                  <w:tcMar>
                    <w:top w:w="15" w:type="dxa"/>
                    <w:left w:w="15" w:type="dxa"/>
                    <w:right w:w="15" w:type="dxa"/>
                  </w:tcMar>
                  <w:vAlign w:val="center"/>
                </w:tcPr>
                <w:p w14:paraId="40A60447">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0.027</w:t>
                  </w:r>
                </w:p>
              </w:tc>
              <w:tc>
                <w:tcPr>
                  <w:tcW w:w="825" w:type="dxa"/>
                  <w:tcBorders>
                    <w:tl2br w:val="nil"/>
                    <w:tr2bl w:val="nil"/>
                  </w:tcBorders>
                  <w:noWrap/>
                  <w:tcMar>
                    <w:top w:w="15" w:type="dxa"/>
                    <w:left w:w="15" w:type="dxa"/>
                    <w:right w:w="15" w:type="dxa"/>
                  </w:tcMar>
                  <w:vAlign w:val="center"/>
                </w:tcPr>
                <w:p w14:paraId="055C9A1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0.023 </w:t>
                  </w:r>
                </w:p>
              </w:tc>
              <w:tc>
                <w:tcPr>
                  <w:tcW w:w="705" w:type="dxa"/>
                  <w:tcBorders>
                    <w:tl2br w:val="nil"/>
                    <w:tr2bl w:val="nil"/>
                  </w:tcBorders>
                  <w:noWrap/>
                  <w:tcMar>
                    <w:top w:w="15" w:type="dxa"/>
                    <w:left w:w="15" w:type="dxa"/>
                    <w:right w:w="15" w:type="dxa"/>
                  </w:tcMar>
                  <w:vAlign w:val="center"/>
                </w:tcPr>
                <w:p w14:paraId="2189F4B6">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100%</w:t>
                  </w:r>
                </w:p>
              </w:tc>
              <w:tc>
                <w:tcPr>
                  <w:tcW w:w="585" w:type="dxa"/>
                  <w:vMerge w:val="continue"/>
                  <w:tcBorders>
                    <w:tl2br w:val="nil"/>
                    <w:tr2bl w:val="nil"/>
                  </w:tcBorders>
                  <w:noWrap/>
                  <w:tcMar>
                    <w:top w:w="15" w:type="dxa"/>
                    <w:left w:w="15" w:type="dxa"/>
                    <w:right w:w="15" w:type="dxa"/>
                  </w:tcMar>
                  <w:vAlign w:val="center"/>
                </w:tcPr>
                <w:p w14:paraId="1A97A084">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p>
              </w:tc>
              <w:tc>
                <w:tcPr>
                  <w:tcW w:w="735" w:type="dxa"/>
                  <w:tcBorders>
                    <w:tl2br w:val="nil"/>
                    <w:tr2bl w:val="nil"/>
                  </w:tcBorders>
                  <w:noWrap/>
                  <w:tcMar>
                    <w:top w:w="15" w:type="dxa"/>
                    <w:left w:w="15" w:type="dxa"/>
                    <w:right w:w="15" w:type="dxa"/>
                  </w:tcMar>
                  <w:vAlign w:val="center"/>
                </w:tcPr>
                <w:p w14:paraId="354E899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0.027 </w:t>
                  </w:r>
                </w:p>
              </w:tc>
              <w:tc>
                <w:tcPr>
                  <w:tcW w:w="810" w:type="dxa"/>
                  <w:tcBorders>
                    <w:tl2br w:val="nil"/>
                    <w:tr2bl w:val="nil"/>
                  </w:tcBorders>
                  <w:noWrap/>
                  <w:tcMar>
                    <w:top w:w="15" w:type="dxa"/>
                    <w:left w:w="15" w:type="dxa"/>
                    <w:right w:w="15" w:type="dxa"/>
                  </w:tcMar>
                  <w:vAlign w:val="center"/>
                </w:tcPr>
                <w:p w14:paraId="5D08BAD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0.023 </w:t>
                  </w:r>
                </w:p>
              </w:tc>
              <w:tc>
                <w:tcPr>
                  <w:tcW w:w="885" w:type="dxa"/>
                  <w:tcBorders>
                    <w:tl2br w:val="nil"/>
                    <w:tr2bl w:val="nil"/>
                  </w:tcBorders>
                  <w:noWrap/>
                  <w:tcMar>
                    <w:top w:w="15" w:type="dxa"/>
                    <w:left w:w="15" w:type="dxa"/>
                    <w:right w:w="15" w:type="dxa"/>
                  </w:tcMar>
                  <w:vAlign w:val="center"/>
                </w:tcPr>
                <w:p w14:paraId="29E5C02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28.13 </w:t>
                  </w:r>
                </w:p>
              </w:tc>
              <w:tc>
                <w:tcPr>
                  <w:tcW w:w="1335" w:type="dxa"/>
                  <w:vMerge w:val="continue"/>
                  <w:tcBorders>
                    <w:tl2br w:val="nil"/>
                    <w:tr2bl w:val="nil"/>
                  </w:tcBorders>
                  <w:noWrap/>
                  <w:tcMar>
                    <w:top w:w="15" w:type="dxa"/>
                    <w:left w:w="15" w:type="dxa"/>
                    <w:right w:w="15" w:type="dxa"/>
                  </w:tcMar>
                  <w:vAlign w:val="center"/>
                </w:tcPr>
                <w:p w14:paraId="459751C4">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p>
              </w:tc>
              <w:tc>
                <w:tcPr>
                  <w:tcW w:w="510" w:type="dxa"/>
                  <w:tcBorders>
                    <w:tl2br w:val="nil"/>
                    <w:tr2bl w:val="nil"/>
                  </w:tcBorders>
                  <w:noWrap/>
                  <w:tcMar>
                    <w:top w:w="15" w:type="dxa"/>
                    <w:left w:w="15" w:type="dxa"/>
                    <w:right w:w="15" w:type="dxa"/>
                  </w:tcMar>
                  <w:vAlign w:val="center"/>
                </w:tcPr>
                <w:p w14:paraId="56B56D3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720" w:type="dxa"/>
                  <w:tcBorders>
                    <w:tl2br w:val="nil"/>
                    <w:tr2bl w:val="nil"/>
                  </w:tcBorders>
                  <w:noWrap/>
                  <w:tcMar>
                    <w:top w:w="15" w:type="dxa"/>
                    <w:left w:w="15" w:type="dxa"/>
                    <w:right w:w="15" w:type="dxa"/>
                  </w:tcMar>
                  <w:vAlign w:val="center"/>
                </w:tcPr>
                <w:p w14:paraId="213E1EE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0.027 </w:t>
                  </w:r>
                </w:p>
              </w:tc>
              <w:tc>
                <w:tcPr>
                  <w:tcW w:w="765" w:type="dxa"/>
                  <w:tcBorders>
                    <w:tl2br w:val="nil"/>
                    <w:tr2bl w:val="nil"/>
                  </w:tcBorders>
                  <w:noWrap/>
                  <w:tcMar>
                    <w:top w:w="15" w:type="dxa"/>
                    <w:left w:w="15" w:type="dxa"/>
                    <w:right w:w="15" w:type="dxa"/>
                  </w:tcMar>
                  <w:vAlign w:val="center"/>
                </w:tcPr>
                <w:p w14:paraId="7A525F4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0.023 </w:t>
                  </w:r>
                </w:p>
              </w:tc>
              <w:tc>
                <w:tcPr>
                  <w:tcW w:w="900" w:type="dxa"/>
                  <w:tcBorders>
                    <w:tl2br w:val="nil"/>
                    <w:tr2bl w:val="nil"/>
                  </w:tcBorders>
                  <w:noWrap/>
                  <w:tcMar>
                    <w:top w:w="15" w:type="dxa"/>
                    <w:left w:w="15" w:type="dxa"/>
                    <w:right w:w="15" w:type="dxa"/>
                  </w:tcMar>
                  <w:vAlign w:val="center"/>
                </w:tcPr>
                <w:p w14:paraId="6EED35C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28.13 </w:t>
                  </w:r>
                </w:p>
              </w:tc>
              <w:tc>
                <w:tcPr>
                  <w:tcW w:w="1110" w:type="dxa"/>
                  <w:vMerge w:val="continue"/>
                  <w:tcBorders>
                    <w:tl2br w:val="nil"/>
                    <w:tr2bl w:val="nil"/>
                  </w:tcBorders>
                  <w:noWrap/>
                  <w:tcMar>
                    <w:top w:w="15" w:type="dxa"/>
                    <w:left w:w="15" w:type="dxa"/>
                    <w:right w:w="15" w:type="dxa"/>
                  </w:tcMar>
                  <w:vAlign w:val="center"/>
                </w:tcPr>
                <w:p w14:paraId="0BA0ABF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44"/>
                      <w:sz w:val="21"/>
                      <w:szCs w:val="21"/>
                      <w:highlight w:val="none"/>
                      <w:lang w:val="en-US" w:eastAsia="zh-CN" w:bidi="ar-SA"/>
                    </w:rPr>
                  </w:pPr>
                </w:p>
              </w:tc>
              <w:tc>
                <w:tcPr>
                  <w:tcW w:w="660" w:type="dxa"/>
                  <w:tcBorders>
                    <w:tl2br w:val="nil"/>
                    <w:tr2bl w:val="nil"/>
                  </w:tcBorders>
                  <w:noWrap/>
                  <w:tcMar>
                    <w:top w:w="15" w:type="dxa"/>
                    <w:left w:w="15" w:type="dxa"/>
                    <w:right w:w="15" w:type="dxa"/>
                  </w:tcMar>
                  <w:vAlign w:val="center"/>
                </w:tcPr>
                <w:p w14:paraId="4D1A78F1">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841" w:type="dxa"/>
                  <w:tcBorders>
                    <w:tl2br w:val="nil"/>
                    <w:tr2bl w:val="nil"/>
                  </w:tcBorders>
                  <w:noWrap/>
                  <w:tcMar>
                    <w:top w:w="15" w:type="dxa"/>
                    <w:left w:w="15" w:type="dxa"/>
                    <w:right w:w="15" w:type="dxa"/>
                  </w:tcMar>
                  <w:vAlign w:val="center"/>
                </w:tcPr>
                <w:p w14:paraId="33335A22">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r>
            <w:tr w14:paraId="413C7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982" w:type="dxa"/>
                  <w:vMerge w:val="continue"/>
                  <w:tcBorders>
                    <w:tl2br w:val="nil"/>
                    <w:tr2bl w:val="nil"/>
                  </w:tcBorders>
                  <w:noWrap/>
                  <w:tcMar>
                    <w:top w:w="15" w:type="dxa"/>
                    <w:left w:w="15" w:type="dxa"/>
                    <w:right w:w="15" w:type="dxa"/>
                  </w:tcMar>
                  <w:vAlign w:val="center"/>
                </w:tcPr>
                <w:p w14:paraId="35733160">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p>
              </w:tc>
              <w:tc>
                <w:tcPr>
                  <w:tcW w:w="900" w:type="dxa"/>
                  <w:tcBorders>
                    <w:tl2br w:val="nil"/>
                    <w:tr2bl w:val="nil"/>
                  </w:tcBorders>
                  <w:noWrap/>
                  <w:tcMar>
                    <w:top w:w="15" w:type="dxa"/>
                    <w:left w:w="15" w:type="dxa"/>
                    <w:right w:w="15" w:type="dxa"/>
                  </w:tcMar>
                  <w:vAlign w:val="center"/>
                </w:tcPr>
                <w:p w14:paraId="36FE8CB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二氧化硫</w:t>
                  </w:r>
                </w:p>
              </w:tc>
              <w:tc>
                <w:tcPr>
                  <w:tcW w:w="768" w:type="dxa"/>
                  <w:tcBorders>
                    <w:tl2br w:val="nil"/>
                    <w:tr2bl w:val="nil"/>
                  </w:tcBorders>
                  <w:noWrap/>
                  <w:tcMar>
                    <w:top w:w="15" w:type="dxa"/>
                    <w:left w:w="15" w:type="dxa"/>
                    <w:right w:w="15" w:type="dxa"/>
                  </w:tcMar>
                  <w:vAlign w:val="center"/>
                </w:tcPr>
                <w:p w14:paraId="3898E2D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w:t>
                  </w:r>
                  <w:r>
                    <w:rPr>
                      <w:rFonts w:hint="eastAsia" w:ascii="Times New Roman" w:hAnsi="Times New Roman" w:eastAsia="宋体" w:cs="Times New Roman"/>
                      <w:i w:val="0"/>
                      <w:iCs w:val="0"/>
                      <w:color w:val="auto"/>
                      <w:kern w:val="0"/>
                      <w:sz w:val="21"/>
                      <w:szCs w:val="21"/>
                      <w:highlight w:val="none"/>
                      <w:u w:val="none"/>
                      <w:lang w:val="en-US" w:eastAsia="zh-CN" w:bidi="ar"/>
                    </w:rPr>
                    <w:t>36</w:t>
                  </w:r>
                </w:p>
              </w:tc>
              <w:tc>
                <w:tcPr>
                  <w:tcW w:w="825" w:type="dxa"/>
                  <w:tcBorders>
                    <w:tl2br w:val="nil"/>
                    <w:tr2bl w:val="nil"/>
                  </w:tcBorders>
                  <w:noWrap/>
                  <w:tcMar>
                    <w:top w:w="15" w:type="dxa"/>
                    <w:left w:w="15" w:type="dxa"/>
                    <w:right w:w="15" w:type="dxa"/>
                  </w:tcMar>
                  <w:vAlign w:val="center"/>
                </w:tcPr>
                <w:p w14:paraId="0400BDF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w:t>
                  </w:r>
                  <w:r>
                    <w:rPr>
                      <w:rFonts w:hint="eastAsia" w:ascii="Times New Roman" w:hAnsi="Times New Roman" w:eastAsia="宋体" w:cs="Times New Roman"/>
                      <w:i w:val="0"/>
                      <w:iCs w:val="0"/>
                      <w:color w:val="auto"/>
                      <w:kern w:val="0"/>
                      <w:sz w:val="21"/>
                      <w:szCs w:val="21"/>
                      <w:highlight w:val="none"/>
                      <w:u w:val="none"/>
                      <w:lang w:val="en-US" w:eastAsia="zh-CN" w:bidi="ar"/>
                    </w:rPr>
                    <w:t>3</w:t>
                  </w:r>
                </w:p>
              </w:tc>
              <w:tc>
                <w:tcPr>
                  <w:tcW w:w="705" w:type="dxa"/>
                  <w:tcBorders>
                    <w:tl2br w:val="nil"/>
                    <w:tr2bl w:val="nil"/>
                  </w:tcBorders>
                  <w:noWrap/>
                  <w:tcMar>
                    <w:top w:w="15" w:type="dxa"/>
                    <w:left w:w="15" w:type="dxa"/>
                    <w:right w:w="15" w:type="dxa"/>
                  </w:tcMar>
                  <w:vAlign w:val="center"/>
                </w:tcPr>
                <w:p w14:paraId="5D8AD9CE">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100%</w:t>
                  </w:r>
                </w:p>
              </w:tc>
              <w:tc>
                <w:tcPr>
                  <w:tcW w:w="585" w:type="dxa"/>
                  <w:vMerge w:val="continue"/>
                  <w:tcBorders>
                    <w:tl2br w:val="nil"/>
                    <w:tr2bl w:val="nil"/>
                  </w:tcBorders>
                  <w:noWrap/>
                  <w:tcMar>
                    <w:top w:w="15" w:type="dxa"/>
                    <w:left w:w="15" w:type="dxa"/>
                    <w:right w:w="15" w:type="dxa"/>
                  </w:tcMar>
                  <w:vAlign w:val="center"/>
                </w:tcPr>
                <w:p w14:paraId="2A8051B4">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p>
              </w:tc>
              <w:tc>
                <w:tcPr>
                  <w:tcW w:w="735" w:type="dxa"/>
                  <w:tcBorders>
                    <w:tl2br w:val="nil"/>
                    <w:tr2bl w:val="nil"/>
                  </w:tcBorders>
                  <w:noWrap/>
                  <w:tcMar>
                    <w:top w:w="15" w:type="dxa"/>
                    <w:left w:w="15" w:type="dxa"/>
                    <w:right w:w="15" w:type="dxa"/>
                  </w:tcMar>
                  <w:vAlign w:val="center"/>
                </w:tcPr>
                <w:p w14:paraId="45D8011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0.0036 </w:t>
                  </w:r>
                </w:p>
              </w:tc>
              <w:tc>
                <w:tcPr>
                  <w:tcW w:w="810" w:type="dxa"/>
                  <w:tcBorders>
                    <w:tl2br w:val="nil"/>
                    <w:tr2bl w:val="nil"/>
                  </w:tcBorders>
                  <w:noWrap/>
                  <w:tcMar>
                    <w:top w:w="15" w:type="dxa"/>
                    <w:left w:w="15" w:type="dxa"/>
                    <w:right w:w="15" w:type="dxa"/>
                  </w:tcMar>
                  <w:vAlign w:val="center"/>
                </w:tcPr>
                <w:p w14:paraId="2700EAD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w:t>
                  </w:r>
                  <w:r>
                    <w:rPr>
                      <w:rFonts w:hint="eastAsia" w:ascii="Times New Roman" w:hAnsi="Times New Roman" w:eastAsia="宋体" w:cs="Times New Roman"/>
                      <w:i w:val="0"/>
                      <w:iCs w:val="0"/>
                      <w:color w:val="auto"/>
                      <w:kern w:val="0"/>
                      <w:sz w:val="21"/>
                      <w:szCs w:val="21"/>
                      <w:highlight w:val="none"/>
                      <w:u w:val="none"/>
                      <w:lang w:val="en-US" w:eastAsia="zh-CN" w:bidi="ar"/>
                    </w:rPr>
                    <w:t>3</w:t>
                  </w:r>
                  <w:r>
                    <w:rPr>
                      <w:rFonts w:hint="default" w:ascii="Times New Roman" w:hAnsi="Times New Roman" w:eastAsia="宋体" w:cs="Times New Roman"/>
                      <w:i w:val="0"/>
                      <w:iCs w:val="0"/>
                      <w:color w:val="auto"/>
                      <w:kern w:val="0"/>
                      <w:sz w:val="21"/>
                      <w:szCs w:val="21"/>
                      <w:highlight w:val="none"/>
                      <w:u w:val="none"/>
                      <w:lang w:val="en-US" w:eastAsia="zh-CN" w:bidi="ar"/>
                    </w:rPr>
                    <w:t xml:space="preserve"> </w:t>
                  </w:r>
                </w:p>
              </w:tc>
              <w:tc>
                <w:tcPr>
                  <w:tcW w:w="885" w:type="dxa"/>
                  <w:tcBorders>
                    <w:tl2br w:val="nil"/>
                    <w:tr2bl w:val="nil"/>
                  </w:tcBorders>
                  <w:noWrap/>
                  <w:tcMar>
                    <w:top w:w="15" w:type="dxa"/>
                    <w:left w:w="15" w:type="dxa"/>
                    <w:right w:w="15" w:type="dxa"/>
                  </w:tcMar>
                  <w:vAlign w:val="center"/>
                </w:tcPr>
                <w:p w14:paraId="1009355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3.75</w:t>
                  </w:r>
                </w:p>
              </w:tc>
              <w:tc>
                <w:tcPr>
                  <w:tcW w:w="1335" w:type="dxa"/>
                  <w:vMerge w:val="continue"/>
                  <w:tcBorders>
                    <w:tl2br w:val="nil"/>
                    <w:tr2bl w:val="nil"/>
                  </w:tcBorders>
                  <w:noWrap/>
                  <w:tcMar>
                    <w:top w:w="15" w:type="dxa"/>
                    <w:left w:w="15" w:type="dxa"/>
                    <w:right w:w="15" w:type="dxa"/>
                  </w:tcMar>
                  <w:vAlign w:val="center"/>
                </w:tcPr>
                <w:p w14:paraId="59CC757B">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p>
              </w:tc>
              <w:tc>
                <w:tcPr>
                  <w:tcW w:w="510" w:type="dxa"/>
                  <w:tcBorders>
                    <w:tl2br w:val="nil"/>
                    <w:tr2bl w:val="nil"/>
                  </w:tcBorders>
                  <w:noWrap/>
                  <w:tcMar>
                    <w:top w:w="15" w:type="dxa"/>
                    <w:left w:w="15" w:type="dxa"/>
                    <w:right w:w="15" w:type="dxa"/>
                  </w:tcMar>
                  <w:vAlign w:val="center"/>
                </w:tcPr>
                <w:p w14:paraId="6848A06D">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720" w:type="dxa"/>
                  <w:tcBorders>
                    <w:tl2br w:val="nil"/>
                    <w:tr2bl w:val="nil"/>
                  </w:tcBorders>
                  <w:shd w:val="clear" w:color="auto" w:fill="auto"/>
                  <w:noWrap/>
                  <w:tcMar>
                    <w:top w:w="15" w:type="dxa"/>
                    <w:left w:w="15" w:type="dxa"/>
                    <w:right w:w="15" w:type="dxa"/>
                  </w:tcMar>
                  <w:vAlign w:val="center"/>
                </w:tcPr>
                <w:p w14:paraId="40BF4F0D">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0.0036 </w:t>
                  </w:r>
                </w:p>
              </w:tc>
              <w:tc>
                <w:tcPr>
                  <w:tcW w:w="765" w:type="dxa"/>
                  <w:tcBorders>
                    <w:tl2br w:val="nil"/>
                    <w:tr2bl w:val="nil"/>
                  </w:tcBorders>
                  <w:noWrap/>
                  <w:tcMar>
                    <w:top w:w="15" w:type="dxa"/>
                    <w:left w:w="15" w:type="dxa"/>
                    <w:right w:w="15" w:type="dxa"/>
                  </w:tcMar>
                  <w:vAlign w:val="center"/>
                </w:tcPr>
                <w:p w14:paraId="51B7490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w:t>
                  </w:r>
                  <w:r>
                    <w:rPr>
                      <w:rFonts w:hint="eastAsia" w:ascii="Times New Roman" w:hAnsi="Times New Roman" w:eastAsia="宋体" w:cs="Times New Roman"/>
                      <w:i w:val="0"/>
                      <w:iCs w:val="0"/>
                      <w:color w:val="auto"/>
                      <w:kern w:val="0"/>
                      <w:sz w:val="21"/>
                      <w:szCs w:val="21"/>
                      <w:highlight w:val="none"/>
                      <w:u w:val="none"/>
                      <w:lang w:val="en-US" w:eastAsia="zh-CN" w:bidi="ar"/>
                    </w:rPr>
                    <w:t>3</w:t>
                  </w:r>
                  <w:r>
                    <w:rPr>
                      <w:rFonts w:hint="default" w:ascii="Times New Roman" w:hAnsi="Times New Roman" w:eastAsia="宋体" w:cs="Times New Roman"/>
                      <w:i w:val="0"/>
                      <w:iCs w:val="0"/>
                      <w:color w:val="auto"/>
                      <w:kern w:val="0"/>
                      <w:sz w:val="21"/>
                      <w:szCs w:val="21"/>
                      <w:highlight w:val="none"/>
                      <w:u w:val="none"/>
                      <w:lang w:val="en-US" w:eastAsia="zh-CN" w:bidi="ar"/>
                    </w:rPr>
                    <w:t xml:space="preserve"> </w:t>
                  </w:r>
                </w:p>
              </w:tc>
              <w:tc>
                <w:tcPr>
                  <w:tcW w:w="900" w:type="dxa"/>
                  <w:tcBorders>
                    <w:tl2br w:val="nil"/>
                    <w:tr2bl w:val="nil"/>
                  </w:tcBorders>
                  <w:noWrap/>
                  <w:tcMar>
                    <w:top w:w="15" w:type="dxa"/>
                    <w:left w:w="15" w:type="dxa"/>
                    <w:right w:w="15" w:type="dxa"/>
                  </w:tcMar>
                  <w:vAlign w:val="center"/>
                </w:tcPr>
                <w:p w14:paraId="7060D70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3.75</w:t>
                  </w:r>
                </w:p>
              </w:tc>
              <w:tc>
                <w:tcPr>
                  <w:tcW w:w="1110" w:type="dxa"/>
                  <w:vMerge w:val="continue"/>
                  <w:tcBorders>
                    <w:tl2br w:val="nil"/>
                    <w:tr2bl w:val="nil"/>
                  </w:tcBorders>
                  <w:noWrap/>
                  <w:tcMar>
                    <w:top w:w="15" w:type="dxa"/>
                    <w:left w:w="15" w:type="dxa"/>
                    <w:right w:w="15" w:type="dxa"/>
                  </w:tcMar>
                  <w:vAlign w:val="center"/>
                </w:tcPr>
                <w:p w14:paraId="46709AC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44"/>
                      <w:sz w:val="21"/>
                      <w:szCs w:val="21"/>
                      <w:highlight w:val="none"/>
                      <w:lang w:val="en-US" w:eastAsia="zh-CN" w:bidi="ar-SA"/>
                    </w:rPr>
                  </w:pPr>
                </w:p>
              </w:tc>
              <w:tc>
                <w:tcPr>
                  <w:tcW w:w="660" w:type="dxa"/>
                  <w:tcBorders>
                    <w:tl2br w:val="nil"/>
                    <w:tr2bl w:val="nil"/>
                  </w:tcBorders>
                  <w:noWrap/>
                  <w:tcMar>
                    <w:top w:w="15" w:type="dxa"/>
                    <w:left w:w="15" w:type="dxa"/>
                    <w:right w:w="15" w:type="dxa"/>
                  </w:tcMar>
                  <w:vAlign w:val="center"/>
                </w:tcPr>
                <w:p w14:paraId="585FC65A">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841" w:type="dxa"/>
                  <w:tcBorders>
                    <w:tl2br w:val="nil"/>
                    <w:tr2bl w:val="nil"/>
                  </w:tcBorders>
                  <w:noWrap/>
                  <w:tcMar>
                    <w:top w:w="15" w:type="dxa"/>
                    <w:left w:w="15" w:type="dxa"/>
                    <w:right w:w="15" w:type="dxa"/>
                  </w:tcMar>
                  <w:vAlign w:val="center"/>
                </w:tcPr>
                <w:p w14:paraId="2981C810">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r>
            <w:tr w14:paraId="6B024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9" w:hRule="atLeast"/>
                <w:jc w:val="center"/>
              </w:trPr>
              <w:tc>
                <w:tcPr>
                  <w:tcW w:w="982" w:type="dxa"/>
                  <w:tcBorders>
                    <w:tl2br w:val="nil"/>
                    <w:tr2bl w:val="nil"/>
                  </w:tcBorders>
                  <w:noWrap/>
                  <w:tcMar>
                    <w:top w:w="15" w:type="dxa"/>
                    <w:left w:w="15" w:type="dxa"/>
                    <w:right w:w="15" w:type="dxa"/>
                  </w:tcMar>
                  <w:vAlign w:val="center"/>
                </w:tcPr>
                <w:p w14:paraId="0585349A">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产污环节</w:t>
                  </w:r>
                </w:p>
              </w:tc>
              <w:tc>
                <w:tcPr>
                  <w:tcW w:w="900" w:type="dxa"/>
                  <w:tcBorders>
                    <w:tl2br w:val="nil"/>
                    <w:tr2bl w:val="nil"/>
                  </w:tcBorders>
                  <w:noWrap/>
                  <w:tcMar>
                    <w:top w:w="15" w:type="dxa"/>
                    <w:left w:w="15" w:type="dxa"/>
                    <w:right w:w="15" w:type="dxa"/>
                  </w:tcMar>
                  <w:vAlign w:val="center"/>
                </w:tcPr>
                <w:p w14:paraId="08E6DDD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b/>
                      <w:bCs/>
                      <w:color w:val="auto"/>
                      <w:sz w:val="21"/>
                      <w:szCs w:val="21"/>
                      <w:highlight w:val="none"/>
                    </w:rPr>
                    <w:t>污染物</w:t>
                  </w:r>
                </w:p>
              </w:tc>
              <w:tc>
                <w:tcPr>
                  <w:tcW w:w="768" w:type="dxa"/>
                  <w:tcBorders>
                    <w:tl2br w:val="nil"/>
                    <w:tr2bl w:val="nil"/>
                  </w:tcBorders>
                  <w:noWrap/>
                  <w:tcMar>
                    <w:top w:w="15" w:type="dxa"/>
                    <w:left w:w="15" w:type="dxa"/>
                    <w:right w:w="15" w:type="dxa"/>
                  </w:tcMar>
                  <w:vAlign w:val="center"/>
                </w:tcPr>
                <w:p w14:paraId="75A05D2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b/>
                      <w:bCs/>
                      <w:color w:val="auto"/>
                      <w:sz w:val="21"/>
                      <w:szCs w:val="21"/>
                      <w:highlight w:val="none"/>
                    </w:rPr>
                    <w:t>产生量t/a</w:t>
                  </w:r>
                </w:p>
              </w:tc>
              <w:tc>
                <w:tcPr>
                  <w:tcW w:w="1530" w:type="dxa"/>
                  <w:gridSpan w:val="2"/>
                  <w:tcBorders>
                    <w:tl2br w:val="nil"/>
                    <w:tr2bl w:val="nil"/>
                  </w:tcBorders>
                  <w:noWrap/>
                  <w:tcMar>
                    <w:top w:w="15" w:type="dxa"/>
                    <w:left w:w="15" w:type="dxa"/>
                    <w:right w:w="15" w:type="dxa"/>
                  </w:tcMar>
                  <w:vAlign w:val="center"/>
                </w:tcPr>
                <w:p w14:paraId="3BBA5DE6">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cs="Times New Roman"/>
                      <w:b/>
                      <w:bCs/>
                      <w:color w:val="auto"/>
                      <w:sz w:val="21"/>
                      <w:szCs w:val="21"/>
                      <w:highlight w:val="none"/>
                    </w:rPr>
                    <w:t>最大产生速率kg/h</w:t>
                  </w:r>
                </w:p>
              </w:tc>
              <w:tc>
                <w:tcPr>
                  <w:tcW w:w="1320" w:type="dxa"/>
                  <w:gridSpan w:val="2"/>
                  <w:tcBorders>
                    <w:tl2br w:val="nil"/>
                    <w:tr2bl w:val="nil"/>
                  </w:tcBorders>
                  <w:noWrap/>
                  <w:tcMar>
                    <w:top w:w="15" w:type="dxa"/>
                    <w:left w:w="15" w:type="dxa"/>
                    <w:right w:w="15" w:type="dxa"/>
                  </w:tcMar>
                  <w:vAlign w:val="center"/>
                </w:tcPr>
                <w:p w14:paraId="77AB4959">
                  <w:pPr>
                    <w:keepNext w:val="0"/>
                    <w:keepLines w:val="0"/>
                    <w:widowControl/>
                    <w:suppressLineNumbers w:val="0"/>
                    <w:jc w:val="center"/>
                    <w:textAlignment w:val="center"/>
                    <w:rPr>
                      <w:rFonts w:hint="eastAsia" w:ascii="Times New Roman" w:hAnsi="Times New Roman" w:eastAsia="宋体" w:cs="Times New Roman"/>
                      <w:b/>
                      <w:bCs/>
                      <w:i w:val="0"/>
                      <w:iCs w:val="0"/>
                      <w:color w:val="auto"/>
                      <w:kern w:val="0"/>
                      <w:sz w:val="21"/>
                      <w:szCs w:val="21"/>
                      <w:highlight w:val="none"/>
                      <w:u w:val="none"/>
                      <w:lang w:val="en-US" w:eastAsia="zh-CN" w:bidi="ar"/>
                    </w:rPr>
                  </w:pPr>
                  <w:r>
                    <w:rPr>
                      <w:rFonts w:hint="eastAsia" w:ascii="Times New Roman" w:hAnsi="Times New Roman" w:eastAsia="宋体" w:cs="Times New Roman"/>
                      <w:b/>
                      <w:bCs/>
                      <w:i w:val="0"/>
                      <w:iCs w:val="0"/>
                      <w:color w:val="auto"/>
                      <w:kern w:val="0"/>
                      <w:sz w:val="21"/>
                      <w:szCs w:val="21"/>
                      <w:highlight w:val="none"/>
                      <w:u w:val="none"/>
                      <w:lang w:val="en-US" w:eastAsia="zh-CN" w:bidi="ar"/>
                    </w:rPr>
                    <w:t>收集量</w:t>
                  </w:r>
                  <w:r>
                    <w:rPr>
                      <w:rFonts w:hint="default" w:ascii="Times New Roman" w:hAnsi="Times New Roman" w:cs="Times New Roman"/>
                      <w:b/>
                      <w:bCs/>
                      <w:color w:val="auto"/>
                      <w:sz w:val="21"/>
                      <w:szCs w:val="21"/>
                      <w:highlight w:val="none"/>
                    </w:rPr>
                    <w:t>t/a</w:t>
                  </w:r>
                </w:p>
              </w:tc>
              <w:tc>
                <w:tcPr>
                  <w:tcW w:w="1695" w:type="dxa"/>
                  <w:gridSpan w:val="2"/>
                  <w:tcBorders>
                    <w:tl2br w:val="nil"/>
                    <w:tr2bl w:val="nil"/>
                  </w:tcBorders>
                  <w:noWrap/>
                  <w:tcMar>
                    <w:top w:w="15" w:type="dxa"/>
                    <w:left w:w="15" w:type="dxa"/>
                    <w:right w:w="15" w:type="dxa"/>
                  </w:tcMar>
                  <w:vAlign w:val="center"/>
                </w:tcPr>
                <w:p w14:paraId="391BE869">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eastAsia" w:ascii="Times New Roman" w:hAnsi="Times New Roman" w:eastAsia="宋体" w:cs="Times New Roman"/>
                      <w:b/>
                      <w:bCs/>
                      <w:i w:val="0"/>
                      <w:iCs w:val="0"/>
                      <w:color w:val="auto"/>
                      <w:kern w:val="0"/>
                      <w:sz w:val="21"/>
                      <w:szCs w:val="21"/>
                      <w:highlight w:val="none"/>
                      <w:u w:val="none"/>
                      <w:lang w:val="en-US" w:eastAsia="zh-CN" w:bidi="ar"/>
                    </w:rPr>
                    <w:t>收集速率</w:t>
                  </w:r>
                  <w:r>
                    <w:rPr>
                      <w:rFonts w:hint="default" w:ascii="Times New Roman" w:hAnsi="Times New Roman" w:cs="Times New Roman"/>
                      <w:b/>
                      <w:bCs/>
                      <w:color w:val="auto"/>
                      <w:sz w:val="21"/>
                      <w:szCs w:val="21"/>
                      <w:highlight w:val="none"/>
                    </w:rPr>
                    <w:t>kg/h</w:t>
                  </w:r>
                </w:p>
              </w:tc>
              <w:tc>
                <w:tcPr>
                  <w:tcW w:w="2565" w:type="dxa"/>
                  <w:gridSpan w:val="3"/>
                  <w:tcBorders>
                    <w:tl2br w:val="nil"/>
                    <w:tr2bl w:val="nil"/>
                  </w:tcBorders>
                  <w:noWrap/>
                  <w:tcMar>
                    <w:top w:w="15" w:type="dxa"/>
                    <w:left w:w="15" w:type="dxa"/>
                    <w:right w:w="15" w:type="dxa"/>
                  </w:tcMar>
                  <w:vAlign w:val="center"/>
                </w:tcPr>
                <w:p w14:paraId="0E2CDB79">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eastAsia" w:cs="Times New Roman"/>
                      <w:b/>
                      <w:bCs/>
                      <w:color w:val="auto"/>
                      <w:sz w:val="21"/>
                      <w:szCs w:val="21"/>
                      <w:highlight w:val="none"/>
                      <w:lang w:val="en-US" w:eastAsia="zh-CN"/>
                    </w:rPr>
                    <w:t>有组织排放量</w:t>
                  </w:r>
                  <w:r>
                    <w:rPr>
                      <w:rFonts w:hint="default" w:ascii="Times New Roman" w:hAnsi="Times New Roman" w:cs="Times New Roman"/>
                      <w:b/>
                      <w:bCs/>
                      <w:color w:val="auto"/>
                      <w:sz w:val="21"/>
                      <w:szCs w:val="21"/>
                      <w:highlight w:val="none"/>
                    </w:rPr>
                    <w:t>t/a</w:t>
                  </w:r>
                </w:p>
              </w:tc>
              <w:tc>
                <w:tcPr>
                  <w:tcW w:w="1665" w:type="dxa"/>
                  <w:gridSpan w:val="2"/>
                  <w:tcBorders>
                    <w:tl2br w:val="nil"/>
                    <w:tr2bl w:val="nil"/>
                  </w:tcBorders>
                  <w:noWrap/>
                  <w:tcMar>
                    <w:top w:w="15" w:type="dxa"/>
                    <w:left w:w="15" w:type="dxa"/>
                    <w:right w:w="15" w:type="dxa"/>
                  </w:tcMar>
                  <w:vAlign w:val="center"/>
                </w:tcPr>
                <w:p w14:paraId="120F3FB1">
                  <w:pPr>
                    <w:keepNext w:val="0"/>
                    <w:keepLines w:val="0"/>
                    <w:widowControl/>
                    <w:suppressLineNumbers w:val="0"/>
                    <w:jc w:val="center"/>
                    <w:textAlignment w:val="center"/>
                    <w:rPr>
                      <w:rFonts w:hint="eastAsia" w:ascii="Times New Roman" w:hAnsi="Times New Roman" w:eastAsia="宋体" w:cs="Times New Roman"/>
                      <w:b/>
                      <w:bCs/>
                      <w:i w:val="0"/>
                      <w:iCs w:val="0"/>
                      <w:color w:val="auto"/>
                      <w:kern w:val="0"/>
                      <w:sz w:val="21"/>
                      <w:szCs w:val="21"/>
                      <w:highlight w:val="none"/>
                      <w:u w:val="none"/>
                      <w:lang w:val="en-US" w:eastAsia="zh-CN" w:bidi="ar"/>
                    </w:rPr>
                  </w:pPr>
                  <w:r>
                    <w:rPr>
                      <w:rFonts w:hint="eastAsia" w:cs="Times New Roman"/>
                      <w:b/>
                      <w:bCs/>
                      <w:color w:val="auto"/>
                      <w:sz w:val="21"/>
                      <w:szCs w:val="21"/>
                      <w:highlight w:val="none"/>
                      <w:lang w:val="en-US" w:eastAsia="zh-CN"/>
                    </w:rPr>
                    <w:t>有组织排放</w:t>
                  </w:r>
                  <w:r>
                    <w:rPr>
                      <w:rFonts w:hint="eastAsia" w:ascii="Times New Roman" w:hAnsi="Times New Roman" w:eastAsia="宋体" w:cs="Times New Roman"/>
                      <w:b/>
                      <w:bCs/>
                      <w:i w:val="0"/>
                      <w:iCs w:val="0"/>
                      <w:color w:val="auto"/>
                      <w:kern w:val="0"/>
                      <w:sz w:val="21"/>
                      <w:szCs w:val="21"/>
                      <w:highlight w:val="none"/>
                      <w:u w:val="none"/>
                      <w:lang w:val="en-US" w:eastAsia="zh-CN" w:bidi="ar"/>
                    </w:rPr>
                    <w:t>速率</w:t>
                  </w:r>
                  <w:r>
                    <w:rPr>
                      <w:rFonts w:hint="default" w:ascii="Times New Roman" w:hAnsi="Times New Roman" w:cs="Times New Roman"/>
                      <w:b/>
                      <w:bCs/>
                      <w:color w:val="auto"/>
                      <w:sz w:val="21"/>
                      <w:szCs w:val="21"/>
                      <w:highlight w:val="none"/>
                    </w:rPr>
                    <w:t>kg/h</w:t>
                  </w:r>
                </w:p>
              </w:tc>
              <w:tc>
                <w:tcPr>
                  <w:tcW w:w="1110" w:type="dxa"/>
                  <w:tcBorders>
                    <w:tl2br w:val="nil"/>
                    <w:tr2bl w:val="nil"/>
                  </w:tcBorders>
                  <w:noWrap/>
                  <w:tcMar>
                    <w:top w:w="15" w:type="dxa"/>
                    <w:left w:w="15" w:type="dxa"/>
                    <w:right w:w="15" w:type="dxa"/>
                  </w:tcMar>
                  <w:vAlign w:val="center"/>
                </w:tcPr>
                <w:p w14:paraId="45EDEE0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color w:val="auto"/>
                      <w:kern w:val="44"/>
                      <w:sz w:val="21"/>
                      <w:szCs w:val="21"/>
                      <w:highlight w:val="none"/>
                      <w:lang w:val="en-US" w:eastAsia="zh-CN" w:bidi="ar-SA"/>
                    </w:rPr>
                  </w:pPr>
                  <w:r>
                    <w:rPr>
                      <w:rFonts w:hint="eastAsia" w:ascii="Times New Roman" w:hAnsi="Times New Roman" w:eastAsia="宋体" w:cs="Times New Roman"/>
                      <w:b/>
                      <w:bCs/>
                      <w:color w:val="auto"/>
                      <w:kern w:val="44"/>
                      <w:sz w:val="21"/>
                      <w:szCs w:val="21"/>
                      <w:highlight w:val="none"/>
                      <w:lang w:val="en-US" w:eastAsia="zh-CN" w:bidi="ar-SA"/>
                    </w:rPr>
                    <w:t>无组织排放量</w:t>
                  </w:r>
                  <w:r>
                    <w:rPr>
                      <w:rFonts w:hint="default" w:ascii="Times New Roman" w:hAnsi="Times New Roman" w:cs="Times New Roman"/>
                      <w:b/>
                      <w:bCs/>
                      <w:color w:val="auto"/>
                      <w:sz w:val="21"/>
                      <w:szCs w:val="21"/>
                      <w:highlight w:val="none"/>
                    </w:rPr>
                    <w:t>t/a</w:t>
                  </w:r>
                </w:p>
              </w:tc>
              <w:tc>
                <w:tcPr>
                  <w:tcW w:w="1501" w:type="dxa"/>
                  <w:gridSpan w:val="2"/>
                  <w:tcBorders>
                    <w:tl2br w:val="nil"/>
                    <w:tr2bl w:val="nil"/>
                  </w:tcBorders>
                  <w:noWrap/>
                  <w:tcMar>
                    <w:top w:w="15" w:type="dxa"/>
                    <w:left w:w="15" w:type="dxa"/>
                    <w:right w:w="15" w:type="dxa"/>
                  </w:tcMar>
                  <w:vAlign w:val="center"/>
                </w:tcPr>
                <w:p w14:paraId="14347E19">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b/>
                      <w:bCs/>
                      <w:color w:val="auto"/>
                      <w:sz w:val="21"/>
                      <w:szCs w:val="21"/>
                      <w:highlight w:val="none"/>
                      <w:lang w:val="en-US" w:eastAsia="zh-CN"/>
                    </w:rPr>
                  </w:pPr>
                  <w:r>
                    <w:rPr>
                      <w:rFonts w:hint="eastAsia" w:cs="Times New Roman"/>
                      <w:b/>
                      <w:bCs/>
                      <w:color w:val="auto"/>
                      <w:sz w:val="21"/>
                      <w:szCs w:val="21"/>
                      <w:highlight w:val="none"/>
                      <w:lang w:val="en-US" w:eastAsia="zh-CN"/>
                    </w:rPr>
                    <w:t>无组织排放速率</w:t>
                  </w:r>
                  <w:r>
                    <w:rPr>
                      <w:rFonts w:hint="default" w:ascii="Times New Roman" w:hAnsi="Times New Roman" w:cs="Times New Roman"/>
                      <w:b/>
                      <w:bCs/>
                      <w:color w:val="auto"/>
                      <w:sz w:val="21"/>
                      <w:szCs w:val="21"/>
                      <w:highlight w:val="none"/>
                    </w:rPr>
                    <w:t>kg/h</w:t>
                  </w:r>
                </w:p>
              </w:tc>
            </w:tr>
            <w:tr w14:paraId="383F7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7" w:hRule="atLeast"/>
                <w:jc w:val="center"/>
              </w:trPr>
              <w:tc>
                <w:tcPr>
                  <w:tcW w:w="982" w:type="dxa"/>
                  <w:vMerge w:val="restart"/>
                  <w:tcBorders>
                    <w:tl2br w:val="nil"/>
                    <w:tr2bl w:val="nil"/>
                  </w:tcBorders>
                  <w:noWrap/>
                  <w:tcMar>
                    <w:top w:w="15" w:type="dxa"/>
                    <w:left w:w="15" w:type="dxa"/>
                    <w:right w:w="15" w:type="dxa"/>
                  </w:tcMar>
                  <w:vAlign w:val="center"/>
                </w:tcPr>
                <w:p w14:paraId="04F64EDD">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全厂总计</w:t>
                  </w:r>
                </w:p>
              </w:tc>
              <w:tc>
                <w:tcPr>
                  <w:tcW w:w="900" w:type="dxa"/>
                  <w:tcBorders>
                    <w:tl2br w:val="nil"/>
                    <w:tr2bl w:val="nil"/>
                  </w:tcBorders>
                  <w:noWrap/>
                  <w:tcMar>
                    <w:top w:w="15" w:type="dxa"/>
                    <w:left w:w="15" w:type="dxa"/>
                    <w:right w:w="15" w:type="dxa"/>
                  </w:tcMar>
                  <w:vAlign w:val="center"/>
                </w:tcPr>
                <w:p w14:paraId="42D73A9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lang w:val="en-US" w:eastAsia="zh-CN"/>
                    </w:rPr>
                    <w:t>颗粒物</w:t>
                  </w:r>
                </w:p>
              </w:tc>
              <w:tc>
                <w:tcPr>
                  <w:tcW w:w="768" w:type="dxa"/>
                  <w:tcBorders>
                    <w:tl2br w:val="nil"/>
                    <w:tr2bl w:val="nil"/>
                  </w:tcBorders>
                  <w:noWrap/>
                  <w:tcMar>
                    <w:top w:w="15" w:type="dxa"/>
                    <w:left w:w="15" w:type="dxa"/>
                    <w:right w:w="15" w:type="dxa"/>
                  </w:tcMar>
                  <w:vAlign w:val="center"/>
                </w:tcPr>
                <w:p w14:paraId="47C4F02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305.331</w:t>
                  </w:r>
                </w:p>
              </w:tc>
              <w:tc>
                <w:tcPr>
                  <w:tcW w:w="1530" w:type="dxa"/>
                  <w:gridSpan w:val="2"/>
                  <w:tcBorders>
                    <w:tl2br w:val="nil"/>
                    <w:tr2bl w:val="nil"/>
                  </w:tcBorders>
                  <w:noWrap/>
                  <w:tcMar>
                    <w:top w:w="15" w:type="dxa"/>
                    <w:left w:w="15" w:type="dxa"/>
                    <w:right w:w="15" w:type="dxa"/>
                  </w:tcMar>
                  <w:vAlign w:val="center"/>
                </w:tcPr>
                <w:p w14:paraId="5A105BB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89.287</w:t>
                  </w:r>
                </w:p>
              </w:tc>
              <w:tc>
                <w:tcPr>
                  <w:tcW w:w="1320" w:type="dxa"/>
                  <w:gridSpan w:val="2"/>
                  <w:tcBorders>
                    <w:tl2br w:val="nil"/>
                    <w:tr2bl w:val="nil"/>
                  </w:tcBorders>
                  <w:noWrap/>
                  <w:tcMar>
                    <w:top w:w="15" w:type="dxa"/>
                    <w:left w:w="15" w:type="dxa"/>
                    <w:right w:w="15" w:type="dxa"/>
                  </w:tcMar>
                  <w:vAlign w:val="center"/>
                </w:tcPr>
                <w:p w14:paraId="17A35E4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299.579</w:t>
                  </w:r>
                </w:p>
              </w:tc>
              <w:tc>
                <w:tcPr>
                  <w:tcW w:w="1695" w:type="dxa"/>
                  <w:gridSpan w:val="2"/>
                  <w:tcBorders>
                    <w:tl2br w:val="nil"/>
                    <w:tr2bl w:val="nil"/>
                  </w:tcBorders>
                  <w:noWrap/>
                  <w:tcMar>
                    <w:top w:w="15" w:type="dxa"/>
                    <w:left w:w="15" w:type="dxa"/>
                    <w:right w:w="15" w:type="dxa"/>
                  </w:tcMar>
                  <w:vAlign w:val="center"/>
                </w:tcPr>
                <w:p w14:paraId="6FA845F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87.521</w:t>
                  </w:r>
                </w:p>
              </w:tc>
              <w:tc>
                <w:tcPr>
                  <w:tcW w:w="2565" w:type="dxa"/>
                  <w:gridSpan w:val="3"/>
                  <w:tcBorders>
                    <w:tl2br w:val="nil"/>
                    <w:tr2bl w:val="nil"/>
                  </w:tcBorders>
                  <w:noWrap/>
                  <w:tcMar>
                    <w:top w:w="15" w:type="dxa"/>
                    <w:left w:w="15" w:type="dxa"/>
                    <w:right w:w="15" w:type="dxa"/>
                  </w:tcMar>
                  <w:vAlign w:val="center"/>
                </w:tcPr>
                <w:p w14:paraId="65E4CF9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0.018</w:t>
                  </w:r>
                </w:p>
              </w:tc>
              <w:tc>
                <w:tcPr>
                  <w:tcW w:w="1665" w:type="dxa"/>
                  <w:gridSpan w:val="2"/>
                  <w:tcBorders>
                    <w:tl2br w:val="nil"/>
                    <w:tr2bl w:val="nil"/>
                  </w:tcBorders>
                  <w:noWrap/>
                  <w:tcMar>
                    <w:top w:w="15" w:type="dxa"/>
                    <w:left w:w="15" w:type="dxa"/>
                    <w:right w:w="15" w:type="dxa"/>
                  </w:tcMar>
                  <w:vAlign w:val="center"/>
                </w:tcPr>
                <w:p w14:paraId="64D8595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0.016</w:t>
                  </w:r>
                </w:p>
              </w:tc>
              <w:tc>
                <w:tcPr>
                  <w:tcW w:w="1110" w:type="dxa"/>
                  <w:tcBorders>
                    <w:tl2br w:val="nil"/>
                    <w:tr2bl w:val="nil"/>
                  </w:tcBorders>
                  <w:noWrap/>
                  <w:tcMar>
                    <w:top w:w="15" w:type="dxa"/>
                    <w:left w:w="15" w:type="dxa"/>
                    <w:right w:w="15" w:type="dxa"/>
                  </w:tcMar>
                  <w:vAlign w:val="center"/>
                </w:tcPr>
                <w:p w14:paraId="6ED5C3E1">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44"/>
                      <w:sz w:val="21"/>
                      <w:szCs w:val="21"/>
                      <w:highlight w:val="none"/>
                      <w:lang w:val="en-US" w:eastAsia="zh-CN" w:bidi="ar-SA"/>
                    </w:rPr>
                  </w:pPr>
                  <w:r>
                    <w:rPr>
                      <w:rFonts w:hint="eastAsia" w:ascii="Times New Roman" w:hAnsi="Times New Roman" w:eastAsia="宋体" w:cs="Times New Roman"/>
                      <w:color w:val="auto"/>
                      <w:kern w:val="44"/>
                      <w:sz w:val="21"/>
                      <w:szCs w:val="21"/>
                      <w:highlight w:val="none"/>
                      <w:lang w:val="en-US" w:eastAsia="zh-CN" w:bidi="ar-SA"/>
                    </w:rPr>
                    <w:t>4.9949</w:t>
                  </w:r>
                </w:p>
              </w:tc>
              <w:tc>
                <w:tcPr>
                  <w:tcW w:w="1501" w:type="dxa"/>
                  <w:gridSpan w:val="2"/>
                  <w:tcBorders>
                    <w:tl2br w:val="nil"/>
                    <w:tr2bl w:val="nil"/>
                  </w:tcBorders>
                  <w:noWrap/>
                  <w:tcMar>
                    <w:top w:w="15" w:type="dxa"/>
                    <w:left w:w="15" w:type="dxa"/>
                    <w:right w:w="15" w:type="dxa"/>
                  </w:tcMar>
                  <w:vAlign w:val="center"/>
                </w:tcPr>
                <w:p w14:paraId="64D22A4F">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1.5423</w:t>
                  </w:r>
                </w:p>
              </w:tc>
            </w:tr>
            <w:tr w14:paraId="69181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982" w:type="dxa"/>
                  <w:vMerge w:val="continue"/>
                  <w:tcBorders>
                    <w:tl2br w:val="nil"/>
                    <w:tr2bl w:val="nil"/>
                  </w:tcBorders>
                  <w:noWrap/>
                  <w:tcMar>
                    <w:top w:w="15" w:type="dxa"/>
                    <w:left w:w="15" w:type="dxa"/>
                    <w:right w:w="15" w:type="dxa"/>
                  </w:tcMar>
                  <w:vAlign w:val="center"/>
                </w:tcPr>
                <w:p w14:paraId="08AF1BD7">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p>
              </w:tc>
              <w:tc>
                <w:tcPr>
                  <w:tcW w:w="900" w:type="dxa"/>
                  <w:tcBorders>
                    <w:tl2br w:val="nil"/>
                    <w:tr2bl w:val="nil"/>
                  </w:tcBorders>
                  <w:noWrap/>
                  <w:tcMar>
                    <w:top w:w="15" w:type="dxa"/>
                    <w:left w:w="15" w:type="dxa"/>
                    <w:right w:w="15" w:type="dxa"/>
                  </w:tcMar>
                  <w:vAlign w:val="center"/>
                </w:tcPr>
                <w:p w14:paraId="749F65CF">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氮氧化物</w:t>
                  </w:r>
                </w:p>
              </w:tc>
              <w:tc>
                <w:tcPr>
                  <w:tcW w:w="768" w:type="dxa"/>
                  <w:tcBorders>
                    <w:tl2br w:val="nil"/>
                    <w:tr2bl w:val="nil"/>
                  </w:tcBorders>
                  <w:noWrap/>
                  <w:tcMar>
                    <w:top w:w="15" w:type="dxa"/>
                    <w:left w:w="15" w:type="dxa"/>
                    <w:right w:w="15" w:type="dxa"/>
                  </w:tcMar>
                  <w:vAlign w:val="center"/>
                </w:tcPr>
                <w:p w14:paraId="32E41E4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0.054</w:t>
                  </w:r>
                </w:p>
              </w:tc>
              <w:tc>
                <w:tcPr>
                  <w:tcW w:w="1530" w:type="dxa"/>
                  <w:gridSpan w:val="2"/>
                  <w:tcBorders>
                    <w:tl2br w:val="nil"/>
                    <w:tr2bl w:val="nil"/>
                  </w:tcBorders>
                  <w:noWrap/>
                  <w:tcMar>
                    <w:top w:w="15" w:type="dxa"/>
                    <w:left w:w="15" w:type="dxa"/>
                    <w:right w:w="15" w:type="dxa"/>
                  </w:tcMar>
                  <w:vAlign w:val="center"/>
                </w:tcPr>
                <w:p w14:paraId="4F0B11F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0.046</w:t>
                  </w:r>
                </w:p>
              </w:tc>
              <w:tc>
                <w:tcPr>
                  <w:tcW w:w="1320" w:type="dxa"/>
                  <w:gridSpan w:val="2"/>
                  <w:tcBorders>
                    <w:tl2br w:val="nil"/>
                    <w:tr2bl w:val="nil"/>
                  </w:tcBorders>
                  <w:noWrap/>
                  <w:tcMar>
                    <w:top w:w="15" w:type="dxa"/>
                    <w:left w:w="15" w:type="dxa"/>
                    <w:right w:w="15" w:type="dxa"/>
                  </w:tcMar>
                  <w:vAlign w:val="center"/>
                </w:tcPr>
                <w:p w14:paraId="58F0C3BD">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0.054</w:t>
                  </w:r>
                </w:p>
              </w:tc>
              <w:tc>
                <w:tcPr>
                  <w:tcW w:w="1695" w:type="dxa"/>
                  <w:gridSpan w:val="2"/>
                  <w:tcBorders>
                    <w:tl2br w:val="nil"/>
                    <w:tr2bl w:val="nil"/>
                  </w:tcBorders>
                  <w:noWrap/>
                  <w:tcMar>
                    <w:top w:w="15" w:type="dxa"/>
                    <w:left w:w="15" w:type="dxa"/>
                    <w:right w:w="15" w:type="dxa"/>
                  </w:tcMar>
                  <w:vAlign w:val="center"/>
                </w:tcPr>
                <w:p w14:paraId="6AA8422E">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0.046</w:t>
                  </w:r>
                </w:p>
              </w:tc>
              <w:tc>
                <w:tcPr>
                  <w:tcW w:w="2565" w:type="dxa"/>
                  <w:gridSpan w:val="3"/>
                  <w:tcBorders>
                    <w:tl2br w:val="nil"/>
                    <w:tr2bl w:val="nil"/>
                  </w:tcBorders>
                  <w:noWrap/>
                  <w:tcMar>
                    <w:top w:w="15" w:type="dxa"/>
                    <w:left w:w="15" w:type="dxa"/>
                    <w:right w:w="15" w:type="dxa"/>
                  </w:tcMar>
                  <w:vAlign w:val="center"/>
                </w:tcPr>
                <w:p w14:paraId="68654E0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0.054</w:t>
                  </w:r>
                </w:p>
              </w:tc>
              <w:tc>
                <w:tcPr>
                  <w:tcW w:w="1665" w:type="dxa"/>
                  <w:gridSpan w:val="2"/>
                  <w:tcBorders>
                    <w:tl2br w:val="nil"/>
                    <w:tr2bl w:val="nil"/>
                  </w:tcBorders>
                  <w:noWrap/>
                  <w:tcMar>
                    <w:top w:w="15" w:type="dxa"/>
                    <w:left w:w="15" w:type="dxa"/>
                    <w:right w:w="15" w:type="dxa"/>
                  </w:tcMar>
                  <w:vAlign w:val="center"/>
                </w:tcPr>
                <w:p w14:paraId="0BBA4598">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0.046</w:t>
                  </w:r>
                </w:p>
              </w:tc>
              <w:tc>
                <w:tcPr>
                  <w:tcW w:w="1110" w:type="dxa"/>
                  <w:tcBorders>
                    <w:tl2br w:val="nil"/>
                    <w:tr2bl w:val="nil"/>
                  </w:tcBorders>
                  <w:noWrap/>
                  <w:tcMar>
                    <w:top w:w="15" w:type="dxa"/>
                    <w:left w:w="15" w:type="dxa"/>
                    <w:right w:w="15" w:type="dxa"/>
                  </w:tcMar>
                  <w:vAlign w:val="center"/>
                </w:tcPr>
                <w:p w14:paraId="5B41DC1C">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44"/>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w:t>
                  </w:r>
                </w:p>
              </w:tc>
              <w:tc>
                <w:tcPr>
                  <w:tcW w:w="1501" w:type="dxa"/>
                  <w:gridSpan w:val="2"/>
                  <w:tcBorders>
                    <w:tl2br w:val="nil"/>
                    <w:tr2bl w:val="nil"/>
                  </w:tcBorders>
                  <w:noWrap/>
                  <w:tcMar>
                    <w:top w:w="15" w:type="dxa"/>
                    <w:left w:w="15" w:type="dxa"/>
                    <w:right w:w="15" w:type="dxa"/>
                  </w:tcMar>
                  <w:vAlign w:val="center"/>
                </w:tcPr>
                <w:p w14:paraId="7E83148D">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r>
            <w:tr w14:paraId="266C6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982" w:type="dxa"/>
                  <w:vMerge w:val="continue"/>
                  <w:tcBorders>
                    <w:tl2br w:val="nil"/>
                    <w:tr2bl w:val="nil"/>
                  </w:tcBorders>
                  <w:noWrap/>
                  <w:tcMar>
                    <w:top w:w="15" w:type="dxa"/>
                    <w:left w:w="15" w:type="dxa"/>
                    <w:right w:w="15" w:type="dxa"/>
                  </w:tcMar>
                  <w:vAlign w:val="center"/>
                </w:tcPr>
                <w:p w14:paraId="770C3DA1">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p>
              </w:tc>
              <w:tc>
                <w:tcPr>
                  <w:tcW w:w="900" w:type="dxa"/>
                  <w:tcBorders>
                    <w:tl2br w:val="nil"/>
                    <w:tr2bl w:val="nil"/>
                  </w:tcBorders>
                  <w:noWrap/>
                  <w:tcMar>
                    <w:top w:w="15" w:type="dxa"/>
                    <w:left w:w="15" w:type="dxa"/>
                    <w:right w:w="15" w:type="dxa"/>
                  </w:tcMar>
                  <w:vAlign w:val="center"/>
                </w:tcPr>
                <w:p w14:paraId="6229A3B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二氧化硫</w:t>
                  </w:r>
                </w:p>
              </w:tc>
              <w:tc>
                <w:tcPr>
                  <w:tcW w:w="768" w:type="dxa"/>
                  <w:tcBorders>
                    <w:tl2br w:val="nil"/>
                    <w:tr2bl w:val="nil"/>
                  </w:tcBorders>
                  <w:noWrap/>
                  <w:tcMar>
                    <w:top w:w="15" w:type="dxa"/>
                    <w:left w:w="15" w:type="dxa"/>
                    <w:right w:w="15" w:type="dxa"/>
                  </w:tcMar>
                  <w:vAlign w:val="center"/>
                </w:tcPr>
                <w:p w14:paraId="228FFE8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0.0078</w:t>
                  </w:r>
                </w:p>
              </w:tc>
              <w:tc>
                <w:tcPr>
                  <w:tcW w:w="1530" w:type="dxa"/>
                  <w:gridSpan w:val="2"/>
                  <w:tcBorders>
                    <w:tl2br w:val="nil"/>
                    <w:tr2bl w:val="nil"/>
                  </w:tcBorders>
                  <w:noWrap/>
                  <w:tcMar>
                    <w:top w:w="15" w:type="dxa"/>
                    <w:left w:w="15" w:type="dxa"/>
                    <w:right w:w="15" w:type="dxa"/>
                  </w:tcMar>
                  <w:vAlign w:val="center"/>
                </w:tcPr>
                <w:p w14:paraId="42AC64C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0.006</w:t>
                  </w:r>
                </w:p>
              </w:tc>
              <w:tc>
                <w:tcPr>
                  <w:tcW w:w="1320" w:type="dxa"/>
                  <w:gridSpan w:val="2"/>
                  <w:tcBorders>
                    <w:tl2br w:val="nil"/>
                    <w:tr2bl w:val="nil"/>
                  </w:tcBorders>
                  <w:noWrap/>
                  <w:tcMar>
                    <w:top w:w="15" w:type="dxa"/>
                    <w:left w:w="15" w:type="dxa"/>
                    <w:right w:w="15" w:type="dxa"/>
                  </w:tcMar>
                  <w:vAlign w:val="center"/>
                </w:tcPr>
                <w:p w14:paraId="3B968F52">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0.0078</w:t>
                  </w:r>
                </w:p>
              </w:tc>
              <w:tc>
                <w:tcPr>
                  <w:tcW w:w="1695" w:type="dxa"/>
                  <w:gridSpan w:val="2"/>
                  <w:tcBorders>
                    <w:tl2br w:val="nil"/>
                    <w:tr2bl w:val="nil"/>
                  </w:tcBorders>
                  <w:noWrap/>
                  <w:tcMar>
                    <w:top w:w="15" w:type="dxa"/>
                    <w:left w:w="15" w:type="dxa"/>
                    <w:right w:w="15" w:type="dxa"/>
                  </w:tcMar>
                  <w:vAlign w:val="center"/>
                </w:tcPr>
                <w:p w14:paraId="135262BA">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0.006</w:t>
                  </w:r>
                </w:p>
              </w:tc>
              <w:tc>
                <w:tcPr>
                  <w:tcW w:w="2565" w:type="dxa"/>
                  <w:gridSpan w:val="3"/>
                  <w:tcBorders>
                    <w:tl2br w:val="nil"/>
                    <w:tr2bl w:val="nil"/>
                  </w:tcBorders>
                  <w:noWrap/>
                  <w:tcMar>
                    <w:top w:w="15" w:type="dxa"/>
                    <w:left w:w="15" w:type="dxa"/>
                    <w:right w:w="15" w:type="dxa"/>
                  </w:tcMar>
                  <w:vAlign w:val="center"/>
                </w:tcPr>
                <w:p w14:paraId="5250BF9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0.0078</w:t>
                  </w:r>
                </w:p>
              </w:tc>
              <w:tc>
                <w:tcPr>
                  <w:tcW w:w="1665" w:type="dxa"/>
                  <w:gridSpan w:val="2"/>
                  <w:tcBorders>
                    <w:tl2br w:val="nil"/>
                    <w:tr2bl w:val="nil"/>
                  </w:tcBorders>
                  <w:noWrap/>
                  <w:tcMar>
                    <w:top w:w="15" w:type="dxa"/>
                    <w:left w:w="15" w:type="dxa"/>
                    <w:right w:w="15" w:type="dxa"/>
                  </w:tcMar>
                  <w:vAlign w:val="center"/>
                </w:tcPr>
                <w:p w14:paraId="44BA3A82">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0.006</w:t>
                  </w:r>
                </w:p>
              </w:tc>
              <w:tc>
                <w:tcPr>
                  <w:tcW w:w="1110" w:type="dxa"/>
                  <w:tcBorders>
                    <w:tl2br w:val="nil"/>
                    <w:tr2bl w:val="nil"/>
                  </w:tcBorders>
                  <w:noWrap/>
                  <w:tcMar>
                    <w:top w:w="15" w:type="dxa"/>
                    <w:left w:w="15" w:type="dxa"/>
                    <w:right w:w="15" w:type="dxa"/>
                  </w:tcMar>
                  <w:vAlign w:val="center"/>
                </w:tcPr>
                <w:p w14:paraId="6CDC76FA">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44"/>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w:t>
                  </w:r>
                </w:p>
              </w:tc>
              <w:tc>
                <w:tcPr>
                  <w:tcW w:w="1501" w:type="dxa"/>
                  <w:gridSpan w:val="2"/>
                  <w:tcBorders>
                    <w:tl2br w:val="nil"/>
                    <w:tr2bl w:val="nil"/>
                  </w:tcBorders>
                  <w:noWrap/>
                  <w:tcMar>
                    <w:top w:w="15" w:type="dxa"/>
                    <w:left w:w="15" w:type="dxa"/>
                    <w:right w:w="15" w:type="dxa"/>
                  </w:tcMar>
                  <w:vAlign w:val="center"/>
                </w:tcPr>
                <w:p w14:paraId="37677954">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r>
          </w:tbl>
          <w:p w14:paraId="01ED3DCC">
            <w:pPr>
              <w:pStyle w:val="33"/>
              <w:ind w:left="0" w:leftChars="0" w:firstLine="0" w:firstLineChars="0"/>
              <w:rPr>
                <w:rFonts w:hint="default" w:ascii="Times New Roman" w:hAnsi="Times New Roman" w:eastAsia="宋体" w:cs="Times New Roman"/>
                <w:color w:val="auto"/>
                <w:highlight w:val="none"/>
                <w:vertAlign w:val="baseline"/>
                <w:lang w:val="en-US" w:eastAsia="zh-CN"/>
              </w:rPr>
            </w:pPr>
          </w:p>
        </w:tc>
      </w:tr>
    </w:tbl>
    <w:p w14:paraId="5003E538">
      <w:pPr>
        <w:pStyle w:val="29"/>
        <w:adjustRightInd w:val="0"/>
        <w:snapToGrid w:val="0"/>
        <w:spacing w:before="0" w:beforeAutospacing="0" w:after="0" w:afterAutospacing="0"/>
        <w:jc w:val="center"/>
        <w:outlineLvl w:val="0"/>
        <w:rPr>
          <w:rFonts w:hint="default" w:ascii="Times New Roman" w:hAnsi="Times New Roman" w:eastAsia="宋体" w:cs="Times New Roman"/>
          <w:b/>
          <w:bCs/>
          <w:snapToGrid w:val="0"/>
          <w:color w:val="auto"/>
          <w:sz w:val="30"/>
          <w:szCs w:val="30"/>
          <w:highlight w:val="none"/>
        </w:rPr>
        <w:sectPr>
          <w:pgSz w:w="16838" w:h="11906" w:orient="landscape"/>
          <w:pgMar w:top="1247" w:right="1247" w:bottom="1247" w:left="1247" w:header="851" w:footer="851" w:gutter="0"/>
          <w:pgNumType w:fmt="decimal"/>
          <w:cols w:space="720" w:num="1"/>
          <w:docGrid w:linePitch="312" w:charSpace="0"/>
        </w:sectPr>
      </w:pPr>
    </w:p>
    <w:tbl>
      <w:tblPr>
        <w:tblStyle w:val="34"/>
        <w:tblW w:w="971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64"/>
        <w:gridCol w:w="9248"/>
      </w:tblGrid>
      <w:tr w14:paraId="03765B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64" w:type="dxa"/>
            <w:noWrap w:val="0"/>
            <w:tcMar>
              <w:left w:w="28" w:type="dxa"/>
              <w:right w:w="28" w:type="dxa"/>
            </w:tcMar>
            <w:vAlign w:val="center"/>
          </w:tcPr>
          <w:p w14:paraId="0A15C654">
            <w:pPr>
              <w:adjustRightInd w:val="0"/>
              <w:snapToGrid w:val="0"/>
              <w:jc w:val="center"/>
              <w:rPr>
                <w:rFonts w:hint="default" w:ascii="Times New Roman" w:hAnsi="Times New Roman" w:cs="Times New Roman"/>
                <w:bCs/>
                <w:color w:val="auto"/>
                <w:sz w:val="24"/>
                <w:szCs w:val="21"/>
                <w:highlight w:val="none"/>
              </w:rPr>
            </w:pPr>
            <w:r>
              <w:rPr>
                <w:rFonts w:hint="default" w:ascii="Times New Roman" w:hAnsi="Times New Roman" w:cs="Times New Roman"/>
                <w:bCs/>
                <w:color w:val="auto"/>
                <w:sz w:val="24"/>
                <w:szCs w:val="21"/>
                <w:highlight w:val="none"/>
              </w:rPr>
              <w:t>运营</w:t>
            </w:r>
          </w:p>
          <w:p w14:paraId="566D6CD4">
            <w:pPr>
              <w:adjustRightInd w:val="0"/>
              <w:snapToGrid w:val="0"/>
              <w:jc w:val="center"/>
              <w:rPr>
                <w:rFonts w:hint="default" w:ascii="Times New Roman" w:hAnsi="Times New Roman" w:cs="Times New Roman"/>
                <w:bCs/>
                <w:color w:val="auto"/>
                <w:sz w:val="24"/>
                <w:szCs w:val="21"/>
                <w:highlight w:val="none"/>
              </w:rPr>
            </w:pPr>
            <w:r>
              <w:rPr>
                <w:rFonts w:hint="default" w:ascii="Times New Roman" w:hAnsi="Times New Roman" w:cs="Times New Roman"/>
                <w:bCs/>
                <w:color w:val="auto"/>
                <w:sz w:val="24"/>
                <w:szCs w:val="21"/>
                <w:highlight w:val="none"/>
              </w:rPr>
              <w:t>期环</w:t>
            </w:r>
          </w:p>
          <w:p w14:paraId="2B577A3C">
            <w:pPr>
              <w:adjustRightInd w:val="0"/>
              <w:snapToGrid w:val="0"/>
              <w:jc w:val="center"/>
              <w:rPr>
                <w:rFonts w:hint="default" w:ascii="Times New Roman" w:hAnsi="Times New Roman" w:cs="Times New Roman"/>
                <w:bCs/>
                <w:color w:val="auto"/>
                <w:sz w:val="24"/>
                <w:szCs w:val="21"/>
                <w:highlight w:val="none"/>
              </w:rPr>
            </w:pPr>
            <w:r>
              <w:rPr>
                <w:rFonts w:hint="default" w:ascii="Times New Roman" w:hAnsi="Times New Roman" w:cs="Times New Roman"/>
                <w:bCs/>
                <w:color w:val="auto"/>
                <w:sz w:val="24"/>
                <w:szCs w:val="21"/>
                <w:highlight w:val="none"/>
              </w:rPr>
              <w:t>境影</w:t>
            </w:r>
          </w:p>
          <w:p w14:paraId="5D30C3E5">
            <w:pPr>
              <w:adjustRightInd w:val="0"/>
              <w:snapToGrid w:val="0"/>
              <w:jc w:val="center"/>
              <w:rPr>
                <w:rFonts w:hint="default" w:ascii="Times New Roman" w:hAnsi="Times New Roman" w:cs="Times New Roman"/>
                <w:bCs/>
                <w:color w:val="auto"/>
                <w:sz w:val="24"/>
                <w:szCs w:val="21"/>
                <w:highlight w:val="none"/>
              </w:rPr>
            </w:pPr>
            <w:r>
              <w:rPr>
                <w:rFonts w:hint="default" w:ascii="Times New Roman" w:hAnsi="Times New Roman" w:cs="Times New Roman"/>
                <w:bCs/>
                <w:color w:val="auto"/>
                <w:sz w:val="24"/>
                <w:szCs w:val="21"/>
                <w:highlight w:val="none"/>
              </w:rPr>
              <w:t>响和</w:t>
            </w:r>
          </w:p>
          <w:p w14:paraId="5BE297E5">
            <w:pPr>
              <w:adjustRightInd w:val="0"/>
              <w:snapToGrid w:val="0"/>
              <w:jc w:val="center"/>
              <w:rPr>
                <w:rFonts w:hint="default" w:ascii="Times New Roman" w:hAnsi="Times New Roman" w:cs="Times New Roman"/>
                <w:bCs/>
                <w:color w:val="auto"/>
                <w:sz w:val="24"/>
                <w:szCs w:val="21"/>
                <w:highlight w:val="none"/>
              </w:rPr>
            </w:pPr>
            <w:r>
              <w:rPr>
                <w:rFonts w:hint="default" w:ascii="Times New Roman" w:hAnsi="Times New Roman" w:cs="Times New Roman"/>
                <w:bCs/>
                <w:color w:val="auto"/>
                <w:sz w:val="24"/>
                <w:szCs w:val="21"/>
                <w:highlight w:val="none"/>
              </w:rPr>
              <w:t>保护</w:t>
            </w:r>
          </w:p>
          <w:p w14:paraId="30684306">
            <w:pPr>
              <w:pStyle w:val="29"/>
              <w:widowControl w:val="0"/>
              <w:adjustRightInd w:val="0"/>
              <w:snapToGrid w:val="0"/>
              <w:spacing w:before="0" w:beforeAutospacing="0" w:after="0" w:afterAutospacing="0"/>
              <w:jc w:val="center"/>
              <w:rPr>
                <w:rFonts w:hint="default" w:ascii="Times New Roman" w:hAnsi="Times New Roman" w:cs="Times New Roman"/>
                <w:color w:val="auto"/>
                <w:kern w:val="2"/>
                <w:szCs w:val="21"/>
                <w:highlight w:val="none"/>
              </w:rPr>
            </w:pPr>
            <w:r>
              <w:rPr>
                <w:rFonts w:hint="default" w:ascii="Times New Roman" w:hAnsi="Times New Roman" w:cs="Times New Roman"/>
                <w:bCs/>
                <w:color w:val="auto"/>
                <w:szCs w:val="21"/>
                <w:highlight w:val="none"/>
              </w:rPr>
              <w:t>措施</w:t>
            </w:r>
          </w:p>
        </w:tc>
        <w:tc>
          <w:tcPr>
            <w:tcW w:w="9248" w:type="dxa"/>
            <w:noWrap w:val="0"/>
            <w:vAlign w:val="center"/>
          </w:tcPr>
          <w:p w14:paraId="71F77A17">
            <w:pPr>
              <w:adjustRightInd w:val="0"/>
              <w:snapToGrid w:val="0"/>
              <w:spacing w:line="360" w:lineRule="auto"/>
              <w:ind w:firstLine="440" w:firstLineChars="200"/>
              <w:jc w:val="left"/>
              <w:rPr>
                <w:rFonts w:hint="default" w:ascii="Times New Roman" w:hAnsi="Times New Roman" w:cs="Times New Roman"/>
                <w:bCs/>
                <w:color w:val="auto"/>
                <w:spacing w:val="-10"/>
                <w:sz w:val="24"/>
                <w:szCs w:val="24"/>
                <w:highlight w:val="none"/>
              </w:rPr>
            </w:pPr>
            <w:r>
              <w:rPr>
                <w:rFonts w:hint="default" w:ascii="Times New Roman" w:hAnsi="Times New Roman" w:cs="Times New Roman"/>
                <w:bCs/>
                <w:color w:val="auto"/>
                <w:spacing w:val="-10"/>
                <w:sz w:val="24"/>
                <w:szCs w:val="24"/>
                <w:highlight w:val="none"/>
                <w:lang w:val="en-US" w:eastAsia="zh-CN"/>
              </w:rPr>
              <w:t>1.1.1投料</w:t>
            </w:r>
            <w:r>
              <w:rPr>
                <w:rFonts w:hint="default" w:ascii="Times New Roman" w:hAnsi="Times New Roman" w:cs="Times New Roman"/>
                <w:bCs/>
                <w:color w:val="auto"/>
                <w:spacing w:val="-10"/>
                <w:sz w:val="24"/>
                <w:szCs w:val="24"/>
                <w:highlight w:val="none"/>
              </w:rPr>
              <w:t>搅拌工序废气</w:t>
            </w:r>
          </w:p>
          <w:p w14:paraId="0533CCCE">
            <w:pPr>
              <w:keepNext w:val="0"/>
              <w:keepLines w:val="0"/>
              <w:pageBreakBefore w:val="0"/>
              <w:widowControl w:val="0"/>
              <w:kinsoku/>
              <w:wordWrap/>
              <w:overflowPunct/>
              <w:topLinePunct w:val="0"/>
              <w:bidi w:val="0"/>
              <w:adjustRightInd w:val="0"/>
              <w:snapToGrid w:val="0"/>
              <w:spacing w:line="360" w:lineRule="auto"/>
              <w:ind w:firstLine="480" w:firstLineChars="200"/>
              <w:jc w:val="left"/>
              <w:rPr>
                <w:rFonts w:hint="default" w:ascii="Times New Roman" w:hAnsi="Times New Roman" w:cs="Times New Roman"/>
                <w:bCs/>
                <w:color w:val="auto"/>
                <w:spacing w:val="10"/>
                <w:sz w:val="24"/>
                <w:szCs w:val="24"/>
                <w:highlight w:val="none"/>
              </w:rPr>
            </w:pPr>
            <w:r>
              <w:rPr>
                <w:rFonts w:hint="default" w:ascii="Times New Roman" w:hAnsi="Times New Roman" w:eastAsia="宋体" w:cs="Times New Roman"/>
                <w:b w:val="0"/>
                <w:bCs/>
                <w:color w:val="auto"/>
                <w:kern w:val="2"/>
                <w:sz w:val="24"/>
                <w:szCs w:val="24"/>
                <w:highlight w:val="none"/>
                <w:lang w:val="en-US" w:eastAsia="zh-CN"/>
              </w:rPr>
              <w:t>物料搅拌的过程是边加水边进行搅拌，</w:t>
            </w:r>
            <w:r>
              <w:rPr>
                <w:rFonts w:hint="default" w:ascii="Times New Roman" w:hAnsi="Times New Roman" w:eastAsia="宋体" w:cs="Times New Roman"/>
                <w:color w:val="auto"/>
                <w:kern w:val="2"/>
                <w:sz w:val="24"/>
                <w:szCs w:val="24"/>
                <w:highlight w:val="none"/>
                <w:lang w:val="en-US" w:eastAsia="zh-CN"/>
              </w:rPr>
              <w:t>由于物料多为粉末和小颗粒状，加水搅拌时还会有少量粉尘产生</w:t>
            </w:r>
            <w:r>
              <w:rPr>
                <w:rFonts w:hint="default" w:ascii="Times New Roman" w:hAnsi="Times New Roman" w:eastAsia="宋体" w:cs="Times New Roman"/>
                <w:b w:val="0"/>
                <w:bCs/>
                <w:color w:val="auto"/>
                <w:kern w:val="2"/>
                <w:sz w:val="24"/>
                <w:szCs w:val="24"/>
                <w:highlight w:val="none"/>
                <w:lang w:val="en-US" w:eastAsia="zh-CN"/>
              </w:rPr>
              <w:t>。</w:t>
            </w:r>
            <w:r>
              <w:rPr>
                <w:rFonts w:hint="default" w:ascii="Times New Roman" w:hAnsi="Times New Roman" w:eastAsia="宋体" w:cs="Times New Roman"/>
                <w:b w:val="0"/>
                <w:bCs/>
                <w:color w:val="auto"/>
                <w:kern w:val="2"/>
                <w:sz w:val="24"/>
                <w:szCs w:val="24"/>
                <w:highlight w:val="none"/>
              </w:rPr>
              <w:t>物料搅拌过程中会产生</w:t>
            </w:r>
            <w:r>
              <w:rPr>
                <w:rFonts w:hint="default" w:ascii="Times New Roman" w:hAnsi="Times New Roman" w:eastAsia="宋体" w:cs="Times New Roman"/>
                <w:b w:val="0"/>
                <w:bCs/>
                <w:color w:val="auto"/>
                <w:kern w:val="2"/>
                <w:sz w:val="24"/>
                <w:szCs w:val="24"/>
                <w:highlight w:val="none"/>
                <w:lang w:val="en-US" w:eastAsia="zh-CN"/>
              </w:rPr>
              <w:t>的</w:t>
            </w:r>
            <w:r>
              <w:rPr>
                <w:rFonts w:hint="default" w:ascii="Times New Roman" w:hAnsi="Times New Roman" w:eastAsia="宋体" w:cs="Times New Roman"/>
                <w:b w:val="0"/>
                <w:bCs/>
                <w:color w:val="auto"/>
                <w:kern w:val="2"/>
                <w:sz w:val="24"/>
                <w:szCs w:val="24"/>
                <w:highlight w:val="none"/>
              </w:rPr>
              <w:t>粉尘分为两个区域，第一个区域为物料输送进入搅拌设备过程中会产生粉尘，第二个区域是</w:t>
            </w:r>
            <w:r>
              <w:rPr>
                <w:rFonts w:hint="default" w:ascii="Times New Roman" w:hAnsi="Times New Roman" w:eastAsia="宋体" w:cs="Times New Roman"/>
                <w:b w:val="0"/>
                <w:bCs/>
                <w:color w:val="auto"/>
                <w:kern w:val="2"/>
                <w:sz w:val="24"/>
                <w:szCs w:val="24"/>
                <w:highlight w:val="none"/>
                <w:lang w:val="en-US" w:eastAsia="zh-CN"/>
              </w:rPr>
              <w:t>物料搅拌</w:t>
            </w:r>
            <w:r>
              <w:rPr>
                <w:rFonts w:hint="default" w:ascii="Times New Roman" w:hAnsi="Times New Roman" w:eastAsia="宋体" w:cs="Times New Roman"/>
                <w:b w:val="0"/>
                <w:bCs/>
                <w:color w:val="auto"/>
                <w:kern w:val="2"/>
                <w:sz w:val="24"/>
                <w:szCs w:val="24"/>
                <w:highlight w:val="none"/>
              </w:rPr>
              <w:t>过程中产生的粉尘。</w:t>
            </w:r>
            <w:r>
              <w:rPr>
                <w:rFonts w:hint="default" w:ascii="Times New Roman" w:hAnsi="Times New Roman" w:eastAsia="宋体" w:cs="Times New Roman"/>
                <w:bCs/>
                <w:color w:val="auto"/>
                <w:kern w:val="2"/>
                <w:sz w:val="24"/>
                <w:szCs w:val="24"/>
                <w:highlight w:val="none"/>
              </w:rPr>
              <w:t>由于</w:t>
            </w:r>
            <w:r>
              <w:rPr>
                <w:rFonts w:hint="default" w:ascii="Times New Roman" w:hAnsi="Times New Roman" w:eastAsia="宋体" w:cs="Times New Roman"/>
                <w:color w:val="auto"/>
                <w:kern w:val="2"/>
                <w:sz w:val="24"/>
                <w:szCs w:val="24"/>
                <w:highlight w:val="none"/>
                <w:lang w:eastAsia="zh-CN"/>
              </w:rPr>
              <w:t>搅拌设备</w:t>
            </w:r>
            <w:r>
              <w:rPr>
                <w:rFonts w:hint="default" w:ascii="Times New Roman" w:hAnsi="Times New Roman" w:eastAsia="宋体" w:cs="Times New Roman"/>
                <w:color w:val="auto"/>
                <w:kern w:val="2"/>
                <w:sz w:val="24"/>
                <w:szCs w:val="24"/>
                <w:highlight w:val="none"/>
              </w:rPr>
              <w:t>为密闭设备，</w:t>
            </w:r>
            <w:r>
              <w:rPr>
                <w:rFonts w:hint="default" w:ascii="Times New Roman" w:hAnsi="Times New Roman" w:eastAsia="宋体" w:cs="Times New Roman"/>
                <w:color w:val="auto"/>
                <w:kern w:val="2"/>
                <w:sz w:val="24"/>
                <w:szCs w:val="24"/>
                <w:highlight w:val="none"/>
                <w:lang w:eastAsia="zh-CN"/>
              </w:rPr>
              <w:t>并且物料都是通过管道</w:t>
            </w:r>
            <w:r>
              <w:rPr>
                <w:rFonts w:hint="default" w:ascii="Times New Roman" w:hAnsi="Times New Roman" w:eastAsia="宋体" w:cs="Times New Roman"/>
                <w:color w:val="auto"/>
                <w:kern w:val="2"/>
                <w:sz w:val="24"/>
                <w:szCs w:val="24"/>
                <w:highlight w:val="none"/>
                <w:lang w:val="en-US" w:eastAsia="zh-CN"/>
              </w:rPr>
              <w:t>负压</w:t>
            </w:r>
            <w:r>
              <w:rPr>
                <w:rFonts w:hint="default" w:ascii="Times New Roman" w:hAnsi="Times New Roman" w:eastAsia="宋体" w:cs="Times New Roman"/>
                <w:color w:val="auto"/>
                <w:kern w:val="2"/>
                <w:sz w:val="24"/>
                <w:szCs w:val="24"/>
                <w:highlight w:val="none"/>
                <w:lang w:eastAsia="zh-CN"/>
              </w:rPr>
              <w:t>直接输送</w:t>
            </w:r>
            <w:r>
              <w:rPr>
                <w:rFonts w:hint="default" w:ascii="Times New Roman" w:hAnsi="Times New Roman" w:eastAsia="宋体" w:cs="Times New Roman"/>
                <w:color w:val="auto"/>
                <w:kern w:val="2"/>
                <w:sz w:val="24"/>
                <w:szCs w:val="24"/>
                <w:highlight w:val="none"/>
                <w:lang w:val="en-US" w:eastAsia="zh-CN"/>
              </w:rPr>
              <w:t>进料入</w:t>
            </w:r>
            <w:r>
              <w:rPr>
                <w:rFonts w:hint="default" w:ascii="Times New Roman" w:hAnsi="Times New Roman" w:eastAsia="宋体" w:cs="Times New Roman"/>
                <w:color w:val="auto"/>
                <w:kern w:val="2"/>
                <w:sz w:val="24"/>
                <w:szCs w:val="24"/>
                <w:highlight w:val="none"/>
                <w:lang w:eastAsia="zh-CN"/>
              </w:rPr>
              <w:t>搅拌设备内部，输送</w:t>
            </w:r>
            <w:r>
              <w:rPr>
                <w:rFonts w:hint="default" w:ascii="Times New Roman" w:hAnsi="Times New Roman" w:eastAsia="宋体" w:cs="Times New Roman"/>
                <w:color w:val="auto"/>
                <w:kern w:val="2"/>
                <w:sz w:val="24"/>
                <w:szCs w:val="24"/>
                <w:highlight w:val="none"/>
                <w:lang w:val="en-US" w:eastAsia="zh-CN"/>
              </w:rPr>
              <w:t>进料</w:t>
            </w:r>
            <w:r>
              <w:rPr>
                <w:rFonts w:hint="default" w:ascii="Times New Roman" w:hAnsi="Times New Roman" w:eastAsia="宋体" w:cs="Times New Roman"/>
                <w:color w:val="auto"/>
                <w:kern w:val="2"/>
                <w:sz w:val="24"/>
                <w:szCs w:val="24"/>
                <w:highlight w:val="none"/>
                <w:lang w:eastAsia="zh-CN"/>
              </w:rPr>
              <w:t>过程中没有粉尘产生。</w:t>
            </w:r>
            <w:r>
              <w:rPr>
                <w:rFonts w:hint="default" w:ascii="Times New Roman" w:hAnsi="Times New Roman" w:eastAsia="宋体" w:cs="Times New Roman"/>
                <w:color w:val="auto"/>
                <w:kern w:val="2"/>
                <w:sz w:val="24"/>
                <w:szCs w:val="24"/>
                <w:highlight w:val="none"/>
                <w:lang w:val="en-US" w:eastAsia="zh-CN"/>
              </w:rPr>
              <w:t>根</w:t>
            </w:r>
            <w:r>
              <w:rPr>
                <w:rFonts w:hint="default" w:ascii="Times New Roman" w:hAnsi="Times New Roman" w:eastAsia="宋体" w:cs="Times New Roman"/>
                <w:color w:val="auto"/>
                <w:sz w:val="24"/>
                <w:szCs w:val="24"/>
                <w:highlight w:val="none"/>
                <w:lang w:val="en-US" w:eastAsia="zh-CN"/>
              </w:rPr>
              <w:t>据</w:t>
            </w:r>
            <w:r>
              <w:rPr>
                <w:rFonts w:hint="default" w:ascii="Times New Roman" w:hAnsi="Times New Roman" w:eastAsia="宋体" w:cs="Times New Roman"/>
                <w:color w:val="auto"/>
                <w:sz w:val="24"/>
                <w:szCs w:val="21"/>
                <w:highlight w:val="none"/>
              </w:rPr>
              <w:t>《排放源统计调查产排污核算方法和系数手册》（生态环境部公告2021年第24号）中“3021水泥制品制造（含3022砼结构构件制造、3029其他水泥类似制品制造）行业系数手册”</w:t>
            </w:r>
            <w:r>
              <w:rPr>
                <w:rFonts w:hint="default" w:ascii="Times New Roman" w:hAnsi="Times New Roman" w:eastAsia="宋体" w:cs="Times New Roman"/>
                <w:color w:val="auto"/>
                <w:sz w:val="24"/>
                <w:szCs w:val="21"/>
                <w:highlight w:val="none"/>
                <w:lang w:val="en-US" w:eastAsia="zh-CN"/>
              </w:rPr>
              <w:t>中物料搅拌-混凝土制品-水泥、砂、石子</w:t>
            </w:r>
            <w:r>
              <w:rPr>
                <w:rFonts w:hint="eastAsia" w:ascii="Times New Roman" w:hAnsi="Times New Roman" w:eastAsia="宋体" w:cs="Times New Roman"/>
                <w:color w:val="auto"/>
                <w:sz w:val="24"/>
                <w:szCs w:val="21"/>
                <w:highlight w:val="none"/>
                <w:lang w:val="en-US" w:eastAsia="zh-CN"/>
              </w:rPr>
              <w:t>、钢筋</w:t>
            </w:r>
            <w:r>
              <w:rPr>
                <w:rFonts w:hint="default" w:ascii="Times New Roman" w:hAnsi="Times New Roman" w:eastAsia="宋体" w:cs="Times New Roman"/>
                <w:color w:val="auto"/>
                <w:sz w:val="24"/>
                <w:szCs w:val="21"/>
                <w:highlight w:val="none"/>
                <w:lang w:val="en-US" w:eastAsia="zh-CN"/>
              </w:rPr>
              <w:t>等物料混合搅拌产污系数0.</w:t>
            </w:r>
            <w:r>
              <w:rPr>
                <w:rFonts w:hint="eastAsia" w:ascii="Times New Roman" w:hAnsi="Times New Roman" w:eastAsia="宋体" w:cs="Times New Roman"/>
                <w:color w:val="auto"/>
                <w:sz w:val="24"/>
                <w:szCs w:val="21"/>
                <w:highlight w:val="none"/>
                <w:lang w:val="en-US" w:eastAsia="zh-CN"/>
              </w:rPr>
              <w:t>523</w:t>
            </w:r>
            <w:r>
              <w:rPr>
                <w:rFonts w:hint="default" w:ascii="Times New Roman" w:hAnsi="Times New Roman" w:eastAsia="宋体" w:cs="Times New Roman"/>
                <w:color w:val="auto"/>
                <w:sz w:val="24"/>
                <w:szCs w:val="21"/>
                <w:highlight w:val="none"/>
                <w:lang w:val="en-US" w:eastAsia="zh-CN"/>
              </w:rPr>
              <w:t>千克/吨产品</w:t>
            </w:r>
            <w:r>
              <w:rPr>
                <w:rFonts w:hint="default" w:ascii="Times New Roman" w:hAnsi="Times New Roman" w:eastAsia="宋体" w:cs="Times New Roman"/>
                <w:color w:val="auto"/>
                <w:sz w:val="24"/>
                <w:szCs w:val="24"/>
                <w:highlight w:val="none"/>
                <w:lang w:val="en-US" w:eastAsia="zh-CN"/>
              </w:rPr>
              <w:t>，项目</w:t>
            </w:r>
            <w:r>
              <w:rPr>
                <w:rFonts w:hint="eastAsia" w:ascii="Times New Roman" w:hAnsi="Times New Roman" w:eastAsia="宋体" w:cs="Times New Roman"/>
                <w:color w:val="auto"/>
                <w:sz w:val="24"/>
                <w:szCs w:val="24"/>
                <w:highlight w:val="none"/>
                <w:lang w:val="en-US" w:eastAsia="zh-CN"/>
              </w:rPr>
              <w:t>产品总产能为55982</w:t>
            </w:r>
            <w:r>
              <w:rPr>
                <w:rFonts w:hint="default" w:ascii="Times New Roman" w:hAnsi="Times New Roman" w:eastAsia="宋体" w:cs="Times New Roman"/>
                <w:color w:val="auto"/>
                <w:sz w:val="24"/>
                <w:szCs w:val="24"/>
                <w:highlight w:val="none"/>
                <w:lang w:val="en-US" w:eastAsia="zh-CN"/>
              </w:rPr>
              <w:t>0t/a</w:t>
            </w:r>
            <w:r>
              <w:rPr>
                <w:rFonts w:hint="default" w:ascii="Times New Roman" w:hAnsi="Times New Roman" w:eastAsia="宋体" w:cs="Times New Roman"/>
                <w:color w:val="auto"/>
                <w:kern w:val="2"/>
                <w:sz w:val="24"/>
                <w:szCs w:val="24"/>
                <w:highlight w:val="none"/>
                <w:lang w:eastAsia="zh-CN"/>
              </w:rPr>
              <w:t>，</w:t>
            </w:r>
            <w:r>
              <w:rPr>
                <w:rFonts w:hint="default" w:ascii="Times New Roman" w:hAnsi="Times New Roman" w:cs="Times New Roman"/>
                <w:bCs/>
                <w:color w:val="auto"/>
                <w:spacing w:val="10"/>
                <w:sz w:val="24"/>
                <w:szCs w:val="24"/>
                <w:highlight w:val="none"/>
              </w:rPr>
              <w:t>故搅拌工序粉尘总产生量为</w:t>
            </w:r>
            <w:r>
              <w:rPr>
                <w:rFonts w:hint="eastAsia" w:ascii="Times New Roman" w:hAnsi="Times New Roman" w:cs="Times New Roman"/>
                <w:bCs/>
                <w:color w:val="auto"/>
                <w:spacing w:val="10"/>
                <w:sz w:val="24"/>
                <w:szCs w:val="24"/>
                <w:highlight w:val="none"/>
                <w:lang w:val="en-US" w:eastAsia="zh-CN"/>
              </w:rPr>
              <w:t>292.786</w:t>
            </w:r>
            <w:r>
              <w:rPr>
                <w:rFonts w:hint="default" w:ascii="Times New Roman" w:hAnsi="Times New Roman" w:cs="Times New Roman"/>
                <w:bCs/>
                <w:color w:val="auto"/>
                <w:spacing w:val="10"/>
                <w:sz w:val="24"/>
                <w:szCs w:val="24"/>
                <w:highlight w:val="none"/>
              </w:rPr>
              <w:t>t/a</w:t>
            </w:r>
            <w:r>
              <w:rPr>
                <w:rFonts w:hint="default" w:ascii="Times New Roman" w:hAnsi="Times New Roman" w:cs="Times New Roman"/>
                <w:bCs/>
                <w:color w:val="auto"/>
                <w:spacing w:val="10"/>
                <w:sz w:val="24"/>
                <w:szCs w:val="24"/>
                <w:highlight w:val="none"/>
                <w:lang w:eastAsia="zh-CN"/>
              </w:rPr>
              <w:t>，项目搅拌过程在全密闭的搅</w:t>
            </w:r>
            <w:r>
              <w:rPr>
                <w:rFonts w:hint="default" w:ascii="Times New Roman" w:hAnsi="Times New Roman" w:eastAsia="宋体" w:cs="Times New Roman"/>
                <w:color w:val="auto"/>
                <w:kern w:val="2"/>
                <w:sz w:val="24"/>
                <w:szCs w:val="24"/>
                <w:highlight w:val="none"/>
                <w:lang w:eastAsia="zh-CN"/>
              </w:rPr>
              <w:t>拌机内进行，搅拌机上部排尘管与脉冲式布袋除尘器相连，</w:t>
            </w:r>
            <w:r>
              <w:rPr>
                <w:rFonts w:hint="default" w:ascii="Times New Roman" w:hAnsi="Times New Roman" w:cs="Times New Roman"/>
                <w:bCs/>
                <w:color w:val="auto"/>
                <w:spacing w:val="10"/>
                <w:sz w:val="24"/>
                <w:szCs w:val="24"/>
                <w:highlight w:val="none"/>
                <w:lang w:eastAsia="zh-CN"/>
              </w:rPr>
              <w:t>本项目</w:t>
            </w:r>
            <w:r>
              <w:rPr>
                <w:rFonts w:hint="default" w:ascii="Times New Roman" w:hAnsi="Times New Roman" w:eastAsia="宋体" w:cs="Times New Roman"/>
                <w:color w:val="auto"/>
                <w:kern w:val="2"/>
                <w:sz w:val="24"/>
                <w:szCs w:val="24"/>
                <w:highlight w:val="none"/>
                <w:lang w:val="en-US" w:eastAsia="zh-CN"/>
              </w:rPr>
              <w:t>自带配备有脉冲除尘器，除尘器在生产中排风量变频可调控</w:t>
            </w:r>
            <w:r>
              <w:rPr>
                <w:rFonts w:hint="default" w:ascii="Times New Roman" w:hAnsi="Times New Roman" w:eastAsia="宋体" w:cs="Times New Roman"/>
                <w:color w:val="auto"/>
                <w:kern w:val="2"/>
                <w:sz w:val="24"/>
                <w:szCs w:val="24"/>
                <w:highlight w:val="none"/>
                <w:lang w:eastAsia="zh-CN"/>
              </w:rPr>
              <w:t>，</w:t>
            </w:r>
            <w:r>
              <w:rPr>
                <w:rFonts w:hint="default" w:ascii="Times New Roman" w:hAnsi="Times New Roman" w:eastAsia="宋体" w:cs="Times New Roman"/>
                <w:color w:val="auto"/>
                <w:kern w:val="2"/>
                <w:sz w:val="24"/>
                <w:szCs w:val="24"/>
                <w:highlight w:val="none"/>
                <w:lang w:val="en-US" w:eastAsia="zh-CN"/>
              </w:rPr>
              <w:t>其总风量拟设为8000</w:t>
            </w:r>
            <w:r>
              <w:rPr>
                <w:rFonts w:hint="default" w:ascii="Times New Roman" w:hAnsi="Times New Roman" w:eastAsia="宋体" w:cs="Times New Roman"/>
                <w:color w:val="auto"/>
                <w:kern w:val="2"/>
                <w:sz w:val="24"/>
                <w:szCs w:val="24"/>
                <w:highlight w:val="none"/>
                <w:lang w:eastAsia="zh-CN"/>
              </w:rPr>
              <w:t>m</w:t>
            </w:r>
            <w:r>
              <w:rPr>
                <w:rFonts w:hint="default" w:ascii="Times New Roman" w:hAnsi="Times New Roman" w:eastAsia="宋体" w:cs="Times New Roman"/>
                <w:color w:val="auto"/>
                <w:kern w:val="2"/>
                <w:sz w:val="24"/>
                <w:szCs w:val="24"/>
                <w:highlight w:val="none"/>
                <w:vertAlign w:val="superscript"/>
                <w:lang w:eastAsia="zh-CN"/>
              </w:rPr>
              <w:t>3</w:t>
            </w:r>
            <w:r>
              <w:rPr>
                <w:rFonts w:hint="default" w:ascii="Times New Roman" w:hAnsi="Times New Roman" w:eastAsia="宋体" w:cs="Times New Roman"/>
                <w:color w:val="auto"/>
                <w:kern w:val="2"/>
                <w:sz w:val="24"/>
                <w:szCs w:val="24"/>
                <w:highlight w:val="none"/>
                <w:lang w:eastAsia="zh-CN"/>
              </w:rPr>
              <w:t>/h，</w:t>
            </w:r>
            <w:r>
              <w:rPr>
                <w:rFonts w:hint="default" w:ascii="Times New Roman" w:hAnsi="Times New Roman" w:eastAsia="宋体" w:cs="Times New Roman"/>
                <w:color w:val="auto"/>
                <w:kern w:val="2"/>
                <w:sz w:val="24"/>
                <w:szCs w:val="24"/>
                <w:highlight w:val="none"/>
                <w:lang w:val="en-US" w:eastAsia="zh-CN"/>
              </w:rPr>
              <w:t>本项目年工作3600h，搅拌粉尘经搅拌机自带脉冲除尘器处理后于生产厂房无组织排放</w:t>
            </w:r>
            <w:r>
              <w:rPr>
                <w:rFonts w:hint="default" w:ascii="Times New Roman" w:hAnsi="Times New Roman" w:cs="Times New Roman"/>
                <w:bCs/>
                <w:color w:val="auto"/>
                <w:spacing w:val="10"/>
                <w:sz w:val="24"/>
                <w:szCs w:val="24"/>
                <w:highlight w:val="none"/>
              </w:rPr>
              <w:t>。</w:t>
            </w:r>
          </w:p>
          <w:p w14:paraId="71BDD644">
            <w:pPr>
              <w:adjustRightInd w:val="0"/>
              <w:snapToGrid w:val="0"/>
              <w:spacing w:line="360" w:lineRule="auto"/>
              <w:ind w:firstLine="440" w:firstLineChars="200"/>
              <w:jc w:val="left"/>
              <w:rPr>
                <w:rFonts w:hint="default" w:ascii="Times New Roman" w:hAnsi="Times New Roman" w:cs="Times New Roman"/>
                <w:bCs/>
                <w:color w:val="auto"/>
                <w:spacing w:val="-10"/>
                <w:sz w:val="24"/>
                <w:szCs w:val="24"/>
                <w:highlight w:val="none"/>
              </w:rPr>
            </w:pPr>
            <w:r>
              <w:rPr>
                <w:rFonts w:hint="default" w:ascii="Times New Roman" w:hAnsi="Times New Roman" w:cs="Times New Roman"/>
                <w:bCs/>
                <w:color w:val="auto"/>
                <w:spacing w:val="-10"/>
                <w:sz w:val="24"/>
                <w:szCs w:val="24"/>
                <w:highlight w:val="none"/>
                <w:lang w:val="en-US" w:eastAsia="zh-CN"/>
              </w:rPr>
              <w:t>1.1.2</w:t>
            </w:r>
            <w:r>
              <w:rPr>
                <w:rFonts w:hint="default" w:ascii="Times New Roman" w:hAnsi="Times New Roman" w:cs="Times New Roman"/>
                <w:bCs/>
                <w:color w:val="auto"/>
                <w:spacing w:val="-10"/>
                <w:sz w:val="24"/>
                <w:szCs w:val="24"/>
                <w:highlight w:val="none"/>
              </w:rPr>
              <w:t>筒仓呼吸废气</w:t>
            </w:r>
          </w:p>
          <w:p w14:paraId="264D37E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bCs/>
                <w:color w:val="auto"/>
                <w:spacing w:val="10"/>
                <w:sz w:val="24"/>
                <w:szCs w:val="24"/>
                <w:highlight w:val="none"/>
                <w:lang w:val="en-US" w:eastAsia="zh-CN"/>
              </w:rPr>
            </w:pPr>
            <w:r>
              <w:rPr>
                <w:rFonts w:hint="default" w:ascii="Times New Roman" w:hAnsi="Times New Roman" w:eastAsia="宋体" w:cs="Times New Roman"/>
                <w:color w:val="auto"/>
                <w:sz w:val="24"/>
                <w:szCs w:val="24"/>
                <w:highlight w:val="none"/>
                <w:lang w:bidi="ar"/>
              </w:rPr>
              <w:t>水泥、粉煤灰罐装过程，通过罐体下方的管道经气力输送压入储料罐，装罐过程在密闭的管道进行，</w:t>
            </w:r>
            <w:r>
              <w:rPr>
                <w:rFonts w:hint="default" w:ascii="Times New Roman" w:hAnsi="Times New Roman" w:cs="Times New Roman"/>
                <w:bCs/>
                <w:color w:val="auto"/>
                <w:spacing w:val="10"/>
                <w:sz w:val="24"/>
                <w:szCs w:val="24"/>
                <w:highlight w:val="none"/>
              </w:rPr>
              <w:t>罐装车通过气力输送将水泥送至筒仓（气力输送所需的压缩空气由罐车自带的压缩机提供），此时粉尘会随筒仓里的空气从筒仓顶部的排气孔中排出</w:t>
            </w:r>
            <w:r>
              <w:rPr>
                <w:rFonts w:hint="default" w:ascii="Times New Roman" w:hAnsi="Times New Roman" w:eastAsia="宋体" w:cs="Times New Roman"/>
                <w:color w:val="auto"/>
                <w:sz w:val="24"/>
                <w:szCs w:val="24"/>
                <w:highlight w:val="none"/>
                <w:lang w:bidi="ar"/>
              </w:rPr>
              <w:t>，材料储罐的排尘管均与脉冲除尘器相连</w:t>
            </w:r>
            <w:r>
              <w:rPr>
                <w:rFonts w:hint="default" w:ascii="Times New Roman" w:hAnsi="Times New Roman" w:eastAsia="宋体" w:cs="Times New Roman"/>
                <w:bCs/>
                <w:color w:val="auto"/>
                <w:spacing w:val="10"/>
                <w:sz w:val="24"/>
                <w:szCs w:val="24"/>
                <w:highlight w:val="none"/>
                <w:lang w:eastAsia="zh-CN"/>
              </w:rPr>
              <w:t>。</w:t>
            </w:r>
            <w:r>
              <w:rPr>
                <w:rFonts w:hint="default" w:ascii="Times New Roman" w:hAnsi="Times New Roman" w:cs="Times New Roman"/>
                <w:bCs/>
                <w:color w:val="auto"/>
                <w:spacing w:val="10"/>
                <w:sz w:val="24"/>
                <w:szCs w:val="24"/>
                <w:highlight w:val="none"/>
                <w:lang w:val="en-US" w:eastAsia="zh-CN"/>
              </w:rPr>
              <w:t xml:space="preserve">                         </w:t>
            </w:r>
          </w:p>
          <w:p w14:paraId="4527C33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bCs/>
                <w:color w:val="auto"/>
                <w:spacing w:val="10"/>
                <w:sz w:val="24"/>
                <w:szCs w:val="24"/>
                <w:highlight w:val="none"/>
                <w:lang w:eastAsia="zh-CN"/>
              </w:rPr>
            </w:pPr>
            <w:r>
              <w:rPr>
                <w:rFonts w:hint="default" w:ascii="Times New Roman" w:hAnsi="Times New Roman" w:eastAsia="宋体" w:cs="Times New Roman"/>
                <w:color w:val="auto"/>
                <w:sz w:val="24"/>
                <w:szCs w:val="24"/>
                <w:highlight w:val="none"/>
                <w:lang w:eastAsia="zh-CN" w:bidi="ar"/>
              </w:rPr>
              <w:t>项目</w:t>
            </w:r>
            <w:r>
              <w:rPr>
                <w:rFonts w:hint="default" w:ascii="Times New Roman" w:hAnsi="Times New Roman" w:eastAsia="宋体" w:cs="Times New Roman"/>
                <w:color w:val="auto"/>
                <w:sz w:val="24"/>
                <w:szCs w:val="24"/>
                <w:highlight w:val="none"/>
                <w:lang w:bidi="ar"/>
              </w:rPr>
              <w:t>水泥</w:t>
            </w:r>
            <w:r>
              <w:rPr>
                <w:rFonts w:hint="default" w:ascii="Times New Roman" w:hAnsi="Times New Roman" w:eastAsia="宋体" w:cs="Times New Roman"/>
                <w:color w:val="auto"/>
                <w:sz w:val="24"/>
                <w:szCs w:val="24"/>
                <w:highlight w:val="none"/>
                <w:lang w:eastAsia="zh-CN" w:bidi="ar"/>
              </w:rPr>
              <w:t>、</w:t>
            </w:r>
            <w:r>
              <w:rPr>
                <w:rFonts w:hint="default" w:ascii="Times New Roman" w:hAnsi="Times New Roman" w:eastAsia="宋体" w:cs="Times New Roman"/>
                <w:color w:val="auto"/>
                <w:sz w:val="24"/>
                <w:szCs w:val="24"/>
                <w:highlight w:val="none"/>
                <w:lang w:bidi="ar"/>
              </w:rPr>
              <w:t>粉煤灰上料量分别为</w:t>
            </w:r>
            <w:r>
              <w:rPr>
                <w:rFonts w:hint="default" w:ascii="Times New Roman" w:hAnsi="Times New Roman" w:eastAsia="宋体" w:cs="Times New Roman"/>
                <w:color w:val="auto"/>
                <w:sz w:val="24"/>
                <w:szCs w:val="24"/>
                <w:highlight w:val="none"/>
                <w:lang w:val="en-US" w:eastAsia="zh-CN" w:bidi="ar"/>
              </w:rPr>
              <w:t>75000</w:t>
            </w:r>
            <w:r>
              <w:rPr>
                <w:rFonts w:hint="default" w:ascii="Times New Roman" w:hAnsi="Times New Roman" w:eastAsia="宋体" w:cs="Times New Roman"/>
                <w:color w:val="auto"/>
                <w:sz w:val="24"/>
                <w:szCs w:val="24"/>
                <w:highlight w:val="none"/>
                <w:lang w:bidi="ar"/>
              </w:rPr>
              <w:t>t/a</w:t>
            </w:r>
            <w:r>
              <w:rPr>
                <w:rFonts w:hint="default" w:ascii="Times New Roman" w:hAnsi="Times New Roman" w:eastAsia="宋体" w:cs="Times New Roman"/>
                <w:color w:val="auto"/>
                <w:sz w:val="24"/>
                <w:szCs w:val="24"/>
                <w:highlight w:val="none"/>
                <w:lang w:eastAsia="zh-CN" w:bidi="ar"/>
              </w:rPr>
              <w:t>、</w:t>
            </w:r>
            <w:r>
              <w:rPr>
                <w:rFonts w:hint="default" w:ascii="Times New Roman" w:hAnsi="Times New Roman" w:eastAsia="宋体" w:cs="Times New Roman"/>
                <w:color w:val="auto"/>
                <w:sz w:val="24"/>
                <w:szCs w:val="24"/>
                <w:highlight w:val="none"/>
                <w:lang w:val="en-US" w:eastAsia="zh-CN" w:bidi="ar"/>
              </w:rPr>
              <w:t>8200</w:t>
            </w:r>
            <w:r>
              <w:rPr>
                <w:rFonts w:hint="default" w:ascii="Times New Roman" w:hAnsi="Times New Roman" w:eastAsia="宋体" w:cs="Times New Roman"/>
                <w:color w:val="auto"/>
                <w:sz w:val="24"/>
                <w:szCs w:val="24"/>
                <w:highlight w:val="none"/>
                <w:lang w:bidi="ar"/>
              </w:rPr>
              <w:t>t/a</w:t>
            </w:r>
            <w:r>
              <w:rPr>
                <w:rFonts w:hint="default" w:ascii="Times New Roman" w:hAnsi="Times New Roman" w:eastAsia="宋体" w:cs="Times New Roman"/>
                <w:color w:val="auto"/>
                <w:sz w:val="24"/>
                <w:szCs w:val="24"/>
                <w:highlight w:val="none"/>
                <w:lang w:eastAsia="zh-CN" w:bidi="ar"/>
              </w:rPr>
              <w:t>，</w:t>
            </w:r>
            <w:r>
              <w:rPr>
                <w:rFonts w:hint="default" w:ascii="Times New Roman" w:hAnsi="Times New Roman" w:eastAsia="宋体" w:cs="Times New Roman"/>
                <w:color w:val="auto"/>
                <w:sz w:val="24"/>
                <w:szCs w:val="24"/>
                <w:highlight w:val="none"/>
                <w:lang w:bidi="ar"/>
              </w:rPr>
              <w:t>参考《逸散性工业粉尘控制技术》“表22-1混凝土分批搅拌厂的散逸尘排放因子”中“卸水泥至高架贮仓”排污系数为0.12kg/t</w:t>
            </w:r>
            <w:r>
              <w:rPr>
                <w:rFonts w:hint="default" w:ascii="Times New Roman" w:hAnsi="Times New Roman" w:eastAsia="宋体" w:cs="Times New Roman"/>
                <w:color w:val="auto"/>
                <w:sz w:val="24"/>
                <w:szCs w:val="24"/>
                <w:highlight w:val="none"/>
                <w:lang w:val="en-US" w:eastAsia="zh-CN" w:bidi="ar"/>
              </w:rPr>
              <w:t>-粉料</w:t>
            </w:r>
            <w:r>
              <w:rPr>
                <w:rFonts w:hint="default" w:ascii="Times New Roman" w:hAnsi="Times New Roman" w:cs="Times New Roman"/>
                <w:bCs/>
                <w:color w:val="auto"/>
                <w:spacing w:val="10"/>
                <w:sz w:val="24"/>
                <w:szCs w:val="24"/>
                <w:highlight w:val="none"/>
              </w:rPr>
              <w:t>，则水泥筒仓粉尘</w:t>
            </w:r>
            <w:r>
              <w:rPr>
                <w:rFonts w:hint="default" w:ascii="Times New Roman" w:hAnsi="Times New Roman" w:cs="Times New Roman"/>
                <w:bCs/>
                <w:color w:val="auto"/>
                <w:spacing w:val="10"/>
                <w:sz w:val="24"/>
                <w:szCs w:val="24"/>
                <w:highlight w:val="none"/>
                <w:lang w:eastAsia="zh-CN"/>
              </w:rPr>
              <w:t>总</w:t>
            </w:r>
            <w:r>
              <w:rPr>
                <w:rFonts w:hint="default" w:ascii="Times New Roman" w:hAnsi="Times New Roman" w:cs="Times New Roman"/>
                <w:bCs/>
                <w:color w:val="auto"/>
                <w:spacing w:val="10"/>
                <w:sz w:val="24"/>
                <w:szCs w:val="24"/>
                <w:highlight w:val="none"/>
                <w:lang w:val="en-US" w:eastAsia="zh-CN"/>
              </w:rPr>
              <w:t>产生量为9t/a，粉煤灰</w:t>
            </w:r>
            <w:r>
              <w:rPr>
                <w:rFonts w:hint="default" w:ascii="Times New Roman" w:hAnsi="Times New Roman" w:cs="Times New Roman"/>
                <w:bCs/>
                <w:color w:val="auto"/>
                <w:spacing w:val="10"/>
                <w:sz w:val="24"/>
                <w:szCs w:val="24"/>
                <w:highlight w:val="none"/>
                <w:lang w:eastAsia="zh-CN"/>
              </w:rPr>
              <w:t>筒仓</w:t>
            </w:r>
            <w:r>
              <w:rPr>
                <w:rFonts w:hint="default" w:ascii="Times New Roman" w:hAnsi="Times New Roman" w:cs="Times New Roman"/>
                <w:bCs/>
                <w:color w:val="auto"/>
                <w:spacing w:val="10"/>
                <w:sz w:val="24"/>
                <w:szCs w:val="24"/>
                <w:highlight w:val="none"/>
              </w:rPr>
              <w:t>粉尘</w:t>
            </w:r>
            <w:r>
              <w:rPr>
                <w:rFonts w:hint="default" w:ascii="Times New Roman" w:hAnsi="Times New Roman" w:cs="Times New Roman"/>
                <w:bCs/>
                <w:color w:val="auto"/>
                <w:spacing w:val="10"/>
                <w:sz w:val="24"/>
                <w:szCs w:val="24"/>
                <w:highlight w:val="none"/>
                <w:lang w:eastAsia="zh-CN"/>
              </w:rPr>
              <w:t>总</w:t>
            </w:r>
            <w:r>
              <w:rPr>
                <w:rFonts w:hint="default" w:ascii="Times New Roman" w:hAnsi="Times New Roman" w:cs="Times New Roman"/>
                <w:bCs/>
                <w:color w:val="auto"/>
                <w:spacing w:val="10"/>
                <w:sz w:val="24"/>
                <w:szCs w:val="24"/>
                <w:highlight w:val="none"/>
                <w:lang w:val="en-US" w:eastAsia="zh-CN"/>
              </w:rPr>
              <w:t>产生量为0.984t/a</w:t>
            </w:r>
            <w:r>
              <w:rPr>
                <w:rFonts w:hint="default" w:ascii="Times New Roman" w:hAnsi="Times New Roman" w:eastAsia="宋体" w:cs="Times New Roman"/>
                <w:bCs/>
                <w:color w:val="auto"/>
                <w:spacing w:val="10"/>
                <w:sz w:val="24"/>
                <w:szCs w:val="24"/>
                <w:highlight w:val="none"/>
                <w:lang w:eastAsia="zh-CN"/>
              </w:rPr>
              <w:t>。</w:t>
            </w:r>
          </w:p>
          <w:p w14:paraId="3EF26A3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color w:val="auto"/>
                <w:highlight w:val="none"/>
              </w:rPr>
            </w:pPr>
            <w:r>
              <w:rPr>
                <w:rFonts w:hint="default" w:ascii="Times New Roman" w:hAnsi="Times New Roman" w:eastAsia="宋体" w:cs="Times New Roman"/>
                <w:color w:val="auto"/>
                <w:sz w:val="24"/>
                <w:szCs w:val="24"/>
                <w:highlight w:val="none"/>
                <w:lang w:eastAsia="zh-CN" w:bidi="ar"/>
              </w:rPr>
              <w:t>根据业主提供的信息，各</w:t>
            </w:r>
            <w:r>
              <w:rPr>
                <w:rFonts w:hint="default" w:ascii="Times New Roman" w:hAnsi="Times New Roman" w:eastAsia="宋体" w:cs="Times New Roman"/>
                <w:color w:val="auto"/>
                <w:sz w:val="24"/>
                <w:szCs w:val="24"/>
                <w:highlight w:val="none"/>
                <w:lang w:val="en-US" w:eastAsia="zh-CN" w:bidi="ar"/>
              </w:rPr>
              <w:t>水泥</w:t>
            </w:r>
            <w:r>
              <w:rPr>
                <w:rFonts w:hint="default" w:ascii="Times New Roman" w:hAnsi="Times New Roman" w:eastAsia="宋体" w:cs="Times New Roman"/>
                <w:color w:val="auto"/>
                <w:sz w:val="24"/>
                <w:szCs w:val="24"/>
                <w:highlight w:val="none"/>
                <w:lang w:eastAsia="zh-CN" w:bidi="ar"/>
              </w:rPr>
              <w:t>筒仓</w:t>
            </w:r>
            <w:r>
              <w:rPr>
                <w:rFonts w:hint="default" w:ascii="Times New Roman" w:hAnsi="Times New Roman" w:eastAsia="宋体" w:cs="Times New Roman"/>
                <w:color w:val="auto"/>
                <w:sz w:val="24"/>
                <w:szCs w:val="24"/>
                <w:highlight w:val="none"/>
                <w:lang w:bidi="ar"/>
              </w:rPr>
              <w:t>气动泵</w:t>
            </w:r>
            <w:r>
              <w:rPr>
                <w:rFonts w:hint="default" w:ascii="Times New Roman" w:hAnsi="Times New Roman" w:eastAsia="宋体" w:cs="Times New Roman"/>
                <w:color w:val="auto"/>
                <w:sz w:val="24"/>
                <w:szCs w:val="24"/>
                <w:highlight w:val="none"/>
                <w:lang w:eastAsia="zh-CN" w:bidi="ar"/>
              </w:rPr>
              <w:t>上料速度为</w:t>
            </w:r>
            <w:r>
              <w:rPr>
                <w:rFonts w:hint="default" w:ascii="Times New Roman" w:hAnsi="Times New Roman" w:eastAsia="宋体" w:cs="Times New Roman"/>
                <w:color w:val="auto"/>
                <w:sz w:val="24"/>
                <w:szCs w:val="24"/>
                <w:highlight w:val="none"/>
                <w:lang w:val="en-US" w:eastAsia="zh-CN" w:bidi="ar"/>
              </w:rPr>
              <w:t>20t/h，项目水泥年总使用量为75000吨，每2个水泥筒仓可同时上料，则总装填时间为75000t/a÷</w:t>
            </w:r>
            <w:r>
              <w:rPr>
                <w:rFonts w:hint="eastAsia" w:ascii="Times New Roman" w:hAnsi="Times New Roman" w:eastAsia="宋体" w:cs="Times New Roman"/>
                <w:color w:val="auto"/>
                <w:sz w:val="24"/>
                <w:szCs w:val="24"/>
                <w:highlight w:val="none"/>
                <w:lang w:val="en-US" w:eastAsia="zh-CN" w:bidi="ar"/>
              </w:rPr>
              <w:t>（</w:t>
            </w:r>
            <w:r>
              <w:rPr>
                <w:rFonts w:hint="default" w:ascii="Times New Roman" w:hAnsi="Times New Roman" w:eastAsia="宋体" w:cs="Times New Roman"/>
                <w:color w:val="auto"/>
                <w:sz w:val="24"/>
                <w:szCs w:val="24"/>
                <w:highlight w:val="none"/>
                <w:lang w:val="en-US" w:eastAsia="zh-CN" w:bidi="ar"/>
              </w:rPr>
              <w:t>20t/h</w:t>
            </w:r>
            <w:r>
              <w:rPr>
                <w:rFonts w:hint="eastAsia" w:ascii="Times New Roman" w:hAnsi="Times New Roman" w:eastAsia="宋体" w:cs="Times New Roman"/>
                <w:color w:val="auto"/>
                <w:sz w:val="24"/>
                <w:szCs w:val="24"/>
                <w:highlight w:val="none"/>
                <w:lang w:val="en-US" w:eastAsia="zh-CN" w:bidi="ar"/>
              </w:rPr>
              <w:t>*</w:t>
            </w:r>
            <w:r>
              <w:rPr>
                <w:rFonts w:hint="default" w:ascii="Times New Roman" w:hAnsi="Times New Roman" w:eastAsia="宋体" w:cs="Times New Roman"/>
                <w:color w:val="auto"/>
                <w:sz w:val="24"/>
                <w:szCs w:val="24"/>
                <w:highlight w:val="none"/>
                <w:lang w:val="en-US" w:eastAsia="zh-CN" w:bidi="ar"/>
              </w:rPr>
              <w:t>2</w:t>
            </w:r>
            <w:r>
              <w:rPr>
                <w:rFonts w:hint="eastAsia" w:ascii="Times New Roman" w:hAnsi="Times New Roman" w:eastAsia="宋体" w:cs="Times New Roman"/>
                <w:color w:val="auto"/>
                <w:sz w:val="24"/>
                <w:szCs w:val="24"/>
                <w:highlight w:val="none"/>
                <w:lang w:val="en-US" w:eastAsia="zh-CN" w:bidi="ar"/>
              </w:rPr>
              <w:t>）</w:t>
            </w:r>
            <w:r>
              <w:rPr>
                <w:rFonts w:hint="default" w:ascii="Times New Roman" w:hAnsi="Times New Roman" w:eastAsia="宋体" w:cs="Times New Roman"/>
                <w:color w:val="auto"/>
                <w:sz w:val="24"/>
                <w:szCs w:val="24"/>
                <w:highlight w:val="none"/>
                <w:lang w:val="en-US" w:eastAsia="zh-CN" w:bidi="ar"/>
              </w:rPr>
              <w:t>=1875h/a</w:t>
            </w:r>
            <w:r>
              <w:rPr>
                <w:rFonts w:hint="default" w:ascii="Times New Roman" w:hAnsi="Times New Roman" w:eastAsia="宋体" w:cs="Times New Roman"/>
                <w:color w:val="auto"/>
                <w:sz w:val="24"/>
                <w:szCs w:val="24"/>
                <w:highlight w:val="none"/>
                <w:lang w:eastAsia="zh-CN" w:bidi="ar"/>
              </w:rPr>
              <w:t>；</w:t>
            </w:r>
            <w:r>
              <w:rPr>
                <w:rFonts w:hint="default" w:ascii="Times New Roman" w:hAnsi="Times New Roman" w:eastAsia="宋体" w:cs="Times New Roman"/>
                <w:color w:val="auto"/>
                <w:sz w:val="24"/>
                <w:szCs w:val="24"/>
                <w:highlight w:val="none"/>
                <w:lang w:bidi="ar"/>
              </w:rPr>
              <w:t>项目</w:t>
            </w:r>
            <w:r>
              <w:rPr>
                <w:rFonts w:hint="default" w:ascii="Times New Roman" w:hAnsi="Times New Roman" w:eastAsia="宋体" w:cs="Times New Roman"/>
                <w:color w:val="auto"/>
                <w:sz w:val="24"/>
                <w:szCs w:val="24"/>
                <w:highlight w:val="none"/>
                <w:lang w:eastAsia="zh-CN" w:bidi="ar"/>
              </w:rPr>
              <w:t>各</w:t>
            </w:r>
            <w:r>
              <w:rPr>
                <w:rFonts w:hint="default" w:ascii="Times New Roman" w:hAnsi="Times New Roman" w:eastAsia="宋体" w:cs="Times New Roman"/>
                <w:color w:val="auto"/>
                <w:sz w:val="24"/>
                <w:szCs w:val="24"/>
                <w:highlight w:val="none"/>
                <w:lang w:val="en-US" w:eastAsia="zh-CN" w:bidi="ar"/>
              </w:rPr>
              <w:t>粉煤灰</w:t>
            </w:r>
            <w:r>
              <w:rPr>
                <w:rFonts w:hint="default" w:ascii="Times New Roman" w:hAnsi="Times New Roman" w:eastAsia="宋体" w:cs="Times New Roman"/>
                <w:color w:val="auto"/>
                <w:sz w:val="24"/>
                <w:szCs w:val="24"/>
                <w:highlight w:val="none"/>
                <w:lang w:eastAsia="zh-CN" w:bidi="ar"/>
              </w:rPr>
              <w:t>筒仓上料速度为</w:t>
            </w:r>
            <w:r>
              <w:rPr>
                <w:rFonts w:hint="default" w:ascii="Times New Roman" w:hAnsi="Times New Roman" w:eastAsia="宋体" w:cs="Times New Roman"/>
                <w:color w:val="auto"/>
                <w:sz w:val="24"/>
                <w:szCs w:val="24"/>
                <w:highlight w:val="none"/>
                <w:lang w:val="en-US" w:eastAsia="zh-CN" w:bidi="ar"/>
              </w:rPr>
              <w:t>1</w:t>
            </w:r>
            <w:r>
              <w:rPr>
                <w:rFonts w:hint="eastAsia" w:ascii="Times New Roman" w:hAnsi="Times New Roman" w:eastAsia="宋体" w:cs="Times New Roman"/>
                <w:color w:val="auto"/>
                <w:sz w:val="24"/>
                <w:szCs w:val="24"/>
                <w:highlight w:val="none"/>
                <w:lang w:val="en-US" w:eastAsia="zh-CN" w:bidi="ar"/>
              </w:rPr>
              <w:t>0</w:t>
            </w:r>
            <w:r>
              <w:rPr>
                <w:rFonts w:hint="default" w:ascii="Times New Roman" w:hAnsi="Times New Roman" w:eastAsia="宋体" w:cs="Times New Roman"/>
                <w:color w:val="auto"/>
                <w:sz w:val="24"/>
                <w:szCs w:val="24"/>
                <w:highlight w:val="none"/>
                <w:lang w:val="en-US" w:eastAsia="zh-CN" w:bidi="ar"/>
              </w:rPr>
              <w:t>t/h，项目粉煤灰年总使用量为3600吨，项目设2</w:t>
            </w:r>
            <w:r>
              <w:rPr>
                <w:rFonts w:hint="default" w:ascii="Times New Roman" w:hAnsi="Times New Roman" w:cs="Times New Roman"/>
                <w:color w:val="auto"/>
                <w:highlight w:val="none"/>
                <w:lang w:val="en-US" w:eastAsia="zh-CN"/>
              </w:rPr>
              <w:t>个</w:t>
            </w:r>
            <w:r>
              <w:rPr>
                <w:rFonts w:hint="default" w:ascii="Times New Roman" w:hAnsi="Times New Roman" w:eastAsia="宋体" w:cs="Times New Roman"/>
                <w:color w:val="auto"/>
                <w:sz w:val="24"/>
                <w:szCs w:val="24"/>
                <w:highlight w:val="none"/>
                <w:lang w:val="en-US" w:eastAsia="zh-CN" w:bidi="ar"/>
              </w:rPr>
              <w:t>粉煤灰筒仓，则装填时间为8200t/a÷</w:t>
            </w:r>
            <w:r>
              <w:rPr>
                <w:rFonts w:hint="eastAsia" w:ascii="Times New Roman" w:hAnsi="Times New Roman" w:eastAsia="宋体" w:cs="Times New Roman"/>
                <w:color w:val="auto"/>
                <w:sz w:val="24"/>
                <w:szCs w:val="24"/>
                <w:highlight w:val="none"/>
                <w:lang w:val="en-US" w:eastAsia="zh-CN" w:bidi="ar"/>
              </w:rPr>
              <w:t>（</w:t>
            </w:r>
            <w:r>
              <w:rPr>
                <w:rFonts w:hint="default" w:ascii="Times New Roman" w:hAnsi="Times New Roman" w:eastAsia="宋体" w:cs="Times New Roman"/>
                <w:color w:val="auto"/>
                <w:sz w:val="24"/>
                <w:szCs w:val="24"/>
                <w:highlight w:val="none"/>
                <w:lang w:val="en-US" w:eastAsia="zh-CN" w:bidi="ar"/>
              </w:rPr>
              <w:t>1</w:t>
            </w:r>
            <w:r>
              <w:rPr>
                <w:rFonts w:hint="eastAsia" w:ascii="Times New Roman" w:hAnsi="Times New Roman" w:eastAsia="宋体" w:cs="Times New Roman"/>
                <w:color w:val="auto"/>
                <w:sz w:val="24"/>
                <w:szCs w:val="24"/>
                <w:highlight w:val="none"/>
                <w:lang w:val="en-US" w:eastAsia="zh-CN" w:bidi="ar"/>
              </w:rPr>
              <w:t>0</w:t>
            </w:r>
            <w:r>
              <w:rPr>
                <w:rFonts w:hint="default" w:ascii="Times New Roman" w:hAnsi="Times New Roman" w:eastAsia="宋体" w:cs="Times New Roman"/>
                <w:color w:val="auto"/>
                <w:sz w:val="24"/>
                <w:szCs w:val="24"/>
                <w:highlight w:val="none"/>
                <w:lang w:val="en-US" w:eastAsia="zh-CN" w:bidi="ar"/>
              </w:rPr>
              <w:t>t/h</w:t>
            </w:r>
            <w:r>
              <w:rPr>
                <w:rFonts w:hint="eastAsia" w:ascii="Times New Roman" w:hAnsi="Times New Roman" w:eastAsia="宋体" w:cs="Times New Roman"/>
                <w:color w:val="auto"/>
                <w:sz w:val="24"/>
                <w:szCs w:val="24"/>
                <w:highlight w:val="none"/>
                <w:lang w:val="en-US" w:eastAsia="zh-CN" w:bidi="ar"/>
              </w:rPr>
              <w:t>*</w:t>
            </w:r>
            <w:r>
              <w:rPr>
                <w:rFonts w:hint="default" w:ascii="Times New Roman" w:hAnsi="Times New Roman" w:eastAsia="宋体" w:cs="Times New Roman"/>
                <w:color w:val="auto"/>
                <w:sz w:val="24"/>
                <w:szCs w:val="24"/>
                <w:highlight w:val="none"/>
                <w:lang w:val="en-US" w:eastAsia="zh-CN" w:bidi="ar"/>
              </w:rPr>
              <w:t>2</w:t>
            </w:r>
            <w:r>
              <w:rPr>
                <w:rFonts w:hint="eastAsia" w:ascii="Times New Roman" w:hAnsi="Times New Roman" w:eastAsia="宋体" w:cs="Times New Roman"/>
                <w:color w:val="auto"/>
                <w:sz w:val="24"/>
                <w:szCs w:val="24"/>
                <w:highlight w:val="none"/>
                <w:lang w:val="en-US" w:eastAsia="zh-CN" w:bidi="ar"/>
              </w:rPr>
              <w:t>）</w:t>
            </w:r>
            <w:r>
              <w:rPr>
                <w:rFonts w:hint="default" w:ascii="Times New Roman" w:hAnsi="Times New Roman" w:eastAsia="宋体" w:cs="Times New Roman"/>
                <w:color w:val="auto"/>
                <w:sz w:val="24"/>
                <w:szCs w:val="24"/>
                <w:highlight w:val="none"/>
                <w:lang w:val="en-US" w:eastAsia="zh-CN" w:bidi="ar"/>
              </w:rPr>
              <w:t>=410h/a</w:t>
            </w:r>
            <w:r>
              <w:rPr>
                <w:rFonts w:hint="default" w:ascii="Times New Roman" w:hAnsi="Times New Roman" w:eastAsia="宋体" w:cs="Times New Roman"/>
                <w:color w:val="auto"/>
                <w:sz w:val="24"/>
                <w:szCs w:val="24"/>
                <w:highlight w:val="none"/>
                <w:lang w:eastAsia="zh-CN" w:bidi="ar"/>
              </w:rPr>
              <w:t>；</w:t>
            </w:r>
            <w:r>
              <w:rPr>
                <w:rFonts w:hint="default" w:ascii="Times New Roman" w:hAnsi="Times New Roman" w:eastAsia="宋体" w:cs="Times New Roman"/>
                <w:color w:val="auto"/>
                <w:sz w:val="24"/>
                <w:szCs w:val="24"/>
                <w:highlight w:val="none"/>
                <w:lang w:bidi="ar"/>
              </w:rPr>
              <w:t>项目每个储罐排气孔处均安装有罐顶除尘器（共</w:t>
            </w:r>
            <w:r>
              <w:rPr>
                <w:rFonts w:hint="default" w:ascii="Times New Roman" w:hAnsi="Times New Roman" w:eastAsia="宋体" w:cs="Times New Roman"/>
                <w:color w:val="auto"/>
                <w:sz w:val="24"/>
                <w:szCs w:val="24"/>
                <w:highlight w:val="none"/>
                <w:lang w:val="en-US" w:eastAsia="zh-CN" w:bidi="ar"/>
              </w:rPr>
              <w:t>4个水泥筒仓</w:t>
            </w:r>
            <w:r>
              <w:rPr>
                <w:rFonts w:hint="default" w:ascii="Times New Roman" w:hAnsi="Times New Roman" w:eastAsia="宋体" w:cs="Times New Roman"/>
                <w:color w:val="auto"/>
                <w:sz w:val="24"/>
                <w:szCs w:val="24"/>
                <w:highlight w:val="none"/>
                <w:lang w:eastAsia="zh-CN" w:bidi="ar"/>
              </w:rPr>
              <w:t>，</w:t>
            </w:r>
            <w:r>
              <w:rPr>
                <w:rFonts w:hint="default" w:ascii="Times New Roman" w:hAnsi="Times New Roman" w:eastAsia="宋体" w:cs="Times New Roman"/>
                <w:color w:val="auto"/>
                <w:sz w:val="24"/>
                <w:szCs w:val="24"/>
                <w:highlight w:val="none"/>
                <w:lang w:val="en-US" w:eastAsia="zh-CN" w:bidi="ar"/>
              </w:rPr>
              <w:t>2个粉煤灰筒仓</w:t>
            </w:r>
            <w:r>
              <w:rPr>
                <w:rFonts w:hint="default" w:ascii="Times New Roman" w:hAnsi="Times New Roman" w:eastAsia="宋体" w:cs="Times New Roman"/>
                <w:color w:val="auto"/>
                <w:sz w:val="24"/>
                <w:szCs w:val="24"/>
                <w:highlight w:val="none"/>
                <w:lang w:bidi="ar"/>
              </w:rPr>
              <w:t>）。往储罐中输送水泥、粉煤灰时储罐内空气排放时均经过罐顶</w:t>
            </w:r>
            <w:r>
              <w:rPr>
                <w:rFonts w:hint="default" w:ascii="Times New Roman" w:hAnsi="Times New Roman" w:eastAsia="宋体" w:cs="Times New Roman"/>
                <w:color w:val="auto"/>
                <w:sz w:val="24"/>
                <w:szCs w:val="24"/>
                <w:highlight w:val="none"/>
                <w:lang w:eastAsia="zh-CN" w:bidi="ar"/>
              </w:rPr>
              <w:t>脉冲</w:t>
            </w:r>
            <w:r>
              <w:rPr>
                <w:rFonts w:hint="default" w:ascii="Times New Roman" w:hAnsi="Times New Roman" w:eastAsia="宋体" w:cs="Times New Roman"/>
                <w:color w:val="auto"/>
                <w:sz w:val="24"/>
                <w:szCs w:val="24"/>
                <w:highlight w:val="none"/>
                <w:lang w:bidi="ar"/>
              </w:rPr>
              <w:t>除尘器过滤后</w:t>
            </w:r>
            <w:r>
              <w:rPr>
                <w:rFonts w:hint="default" w:ascii="Times New Roman" w:hAnsi="Times New Roman" w:eastAsia="宋体" w:cs="Times New Roman"/>
                <w:color w:val="auto"/>
                <w:sz w:val="24"/>
                <w:szCs w:val="24"/>
                <w:highlight w:val="none"/>
                <w:lang w:eastAsia="zh-CN" w:bidi="ar"/>
              </w:rPr>
              <w:t>无组织</w:t>
            </w:r>
            <w:r>
              <w:rPr>
                <w:rFonts w:hint="default" w:ascii="Times New Roman" w:hAnsi="Times New Roman" w:eastAsia="宋体" w:cs="Times New Roman"/>
                <w:color w:val="auto"/>
                <w:sz w:val="24"/>
                <w:szCs w:val="24"/>
                <w:highlight w:val="none"/>
                <w:lang w:bidi="ar"/>
              </w:rPr>
              <w:t>排放。项目的每</w:t>
            </w:r>
            <w:r>
              <w:rPr>
                <w:rFonts w:hint="default" w:ascii="Times New Roman" w:hAnsi="Times New Roman" w:eastAsia="宋体" w:cs="Times New Roman"/>
                <w:color w:val="auto"/>
                <w:sz w:val="24"/>
                <w:szCs w:val="24"/>
                <w:highlight w:val="none"/>
                <w:lang w:eastAsia="zh-CN" w:bidi="ar"/>
              </w:rPr>
              <w:t>种</w:t>
            </w:r>
            <w:r>
              <w:rPr>
                <w:rFonts w:hint="default" w:ascii="Times New Roman" w:hAnsi="Times New Roman" w:eastAsia="宋体" w:cs="Times New Roman"/>
                <w:color w:val="auto"/>
                <w:sz w:val="24"/>
                <w:szCs w:val="24"/>
                <w:highlight w:val="none"/>
                <w:lang w:bidi="ar"/>
              </w:rPr>
              <w:t>粉料储罐均为密闭，其排尘管均与脉冲式布袋除尘器相连，储罐加注口设置阻尘板，故为密闭型装置，</w:t>
            </w:r>
            <w:r>
              <w:rPr>
                <w:rFonts w:hint="default" w:ascii="Times New Roman" w:hAnsi="Times New Roman" w:eastAsia="宋体" w:cs="Times New Roman"/>
                <w:color w:val="auto"/>
                <w:sz w:val="24"/>
                <w:szCs w:val="24"/>
                <w:highlight w:val="none"/>
                <w:lang w:val="en-US" w:eastAsia="zh-CN" w:bidi="ar"/>
              </w:rPr>
              <w:t>除布袋除尘器，其余过滤设施，</w:t>
            </w:r>
            <w:r>
              <w:rPr>
                <w:rFonts w:hint="default" w:ascii="Times New Roman" w:hAnsi="Times New Roman" w:eastAsia="宋体" w:cs="Times New Roman"/>
                <w:color w:val="auto"/>
                <w:kern w:val="2"/>
                <w:sz w:val="24"/>
                <w:szCs w:val="24"/>
                <w:highlight w:val="none"/>
                <w:lang w:val="en-US" w:eastAsia="zh-CN"/>
              </w:rPr>
              <w:t>筒仓呼吸废气</w:t>
            </w:r>
            <w:r>
              <w:rPr>
                <w:rFonts w:hint="default" w:ascii="Times New Roman" w:hAnsi="Times New Roman" w:eastAsia="宋体" w:cs="Times New Roman"/>
                <w:color w:val="auto"/>
                <w:sz w:val="24"/>
                <w:szCs w:val="24"/>
                <w:highlight w:val="none"/>
                <w:lang w:eastAsia="zh-CN" w:bidi="ar"/>
              </w:rPr>
              <w:t>经处理后各筒仓呼吸废气于筒仓顶部无组织排放</w:t>
            </w:r>
            <w:r>
              <w:rPr>
                <w:rFonts w:hint="default" w:ascii="Times New Roman" w:hAnsi="Times New Roman" w:eastAsia="宋体" w:cs="Times New Roman"/>
                <w:color w:val="auto"/>
                <w:sz w:val="24"/>
                <w:szCs w:val="24"/>
                <w:highlight w:val="none"/>
                <w:lang w:val="en-US" w:eastAsia="zh-CN" w:bidi="ar"/>
              </w:rPr>
              <w:t>。</w:t>
            </w:r>
          </w:p>
          <w:p w14:paraId="24C67E18">
            <w:pPr>
              <w:adjustRightInd w:val="0"/>
              <w:snapToGrid w:val="0"/>
              <w:spacing w:line="360" w:lineRule="auto"/>
              <w:ind w:firstLine="440" w:firstLineChars="200"/>
              <w:jc w:val="left"/>
              <w:rPr>
                <w:rFonts w:hint="default" w:ascii="Times New Roman" w:hAnsi="Times New Roman" w:cs="Times New Roman"/>
                <w:bCs/>
                <w:color w:val="auto"/>
                <w:spacing w:val="-10"/>
                <w:sz w:val="24"/>
                <w:szCs w:val="24"/>
                <w:highlight w:val="none"/>
              </w:rPr>
            </w:pPr>
            <w:r>
              <w:rPr>
                <w:rFonts w:hint="default" w:ascii="Times New Roman" w:hAnsi="Times New Roman" w:cs="Times New Roman"/>
                <w:bCs/>
                <w:color w:val="auto"/>
                <w:spacing w:val="-10"/>
                <w:sz w:val="24"/>
                <w:szCs w:val="24"/>
                <w:highlight w:val="none"/>
                <w:lang w:val="en-US" w:eastAsia="zh-CN"/>
              </w:rPr>
              <w:t>1.1.3</w:t>
            </w:r>
            <w:r>
              <w:rPr>
                <w:rFonts w:hint="default" w:ascii="Times New Roman" w:hAnsi="Times New Roman" w:cs="Times New Roman"/>
                <w:bCs/>
                <w:color w:val="auto"/>
                <w:spacing w:val="-10"/>
                <w:sz w:val="24"/>
                <w:szCs w:val="24"/>
                <w:highlight w:val="none"/>
                <w:lang w:eastAsia="zh-CN"/>
              </w:rPr>
              <w:t>砂石</w:t>
            </w:r>
            <w:r>
              <w:rPr>
                <w:rFonts w:hint="default" w:ascii="Times New Roman" w:hAnsi="Times New Roman" w:cs="Times New Roman"/>
                <w:bCs/>
                <w:color w:val="auto"/>
                <w:spacing w:val="-10"/>
                <w:sz w:val="24"/>
                <w:szCs w:val="24"/>
                <w:highlight w:val="none"/>
              </w:rPr>
              <w:t>卸料粉尘</w:t>
            </w:r>
          </w:p>
          <w:p w14:paraId="1F817207">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cs="Times New Roman"/>
                <w:color w:val="auto"/>
                <w:sz w:val="24"/>
                <w:szCs w:val="24"/>
                <w:highlight w:val="none"/>
              </w:rPr>
            </w:pPr>
            <w:r>
              <w:rPr>
                <w:rFonts w:hint="default" w:ascii="Times New Roman" w:hAnsi="Times New Roman" w:eastAsia="宋体" w:cs="Times New Roman"/>
                <w:b w:val="0"/>
                <w:bCs w:val="0"/>
                <w:color w:val="auto"/>
                <w:kern w:val="0"/>
                <w:sz w:val="24"/>
                <w:szCs w:val="24"/>
                <w:highlight w:val="none"/>
                <w:lang w:val="en-US" w:eastAsia="zh-CN" w:bidi="ar"/>
              </w:rPr>
              <w:t>项目碎石、河砂等原料需要用汽车运输进入料仓内，在卸料至砂石堆料场过程中会产生一定量的粉尘。推荐山西环保科研所、武汉水运工程学院提出的经验公式估算，经验公式为：</w:t>
            </w:r>
          </w:p>
          <w:p w14:paraId="166DAC9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jc w:val="center"/>
              <w:textAlignment w:val="auto"/>
              <w:rPr>
                <w:rFonts w:hint="default" w:ascii="Times New Roman" w:hAnsi="Times New Roman" w:eastAsia="宋体" w:cs="Times New Roman"/>
                <w:b/>
                <w:bCs/>
                <w:color w:val="auto"/>
                <w:kern w:val="0"/>
                <w:sz w:val="24"/>
                <w:szCs w:val="24"/>
                <w:highlight w:val="none"/>
                <w:lang w:val="en-US" w:eastAsia="zh-CN" w:bidi="ar"/>
              </w:rPr>
            </w:pPr>
            <w:r>
              <w:rPr>
                <w:rFonts w:hint="default" w:ascii="Times New Roman" w:hAnsi="Times New Roman" w:cs="Times New Roman"/>
                <w:color w:val="auto"/>
                <w:sz w:val="24"/>
                <w:szCs w:val="24"/>
                <w:highlight w:val="none"/>
              </w:rPr>
              <w:drawing>
                <wp:inline distT="0" distB="0" distL="114300" distR="114300">
                  <wp:extent cx="1305560" cy="412115"/>
                  <wp:effectExtent l="0" t="0" r="8890" b="6985"/>
                  <wp:docPr id="118"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21"/>
                          <pic:cNvPicPr>
                            <a:picLocks noChangeAspect="1"/>
                          </pic:cNvPicPr>
                        </pic:nvPicPr>
                        <pic:blipFill>
                          <a:blip r:embed="rId22"/>
                          <a:stretch>
                            <a:fillRect/>
                          </a:stretch>
                        </pic:blipFill>
                        <pic:spPr>
                          <a:xfrm>
                            <a:off x="0" y="0"/>
                            <a:ext cx="1305560" cy="412115"/>
                          </a:xfrm>
                          <a:prstGeom prst="rect">
                            <a:avLst/>
                          </a:prstGeom>
                          <a:noFill/>
                          <a:ln>
                            <a:noFill/>
                          </a:ln>
                        </pic:spPr>
                      </pic:pic>
                    </a:graphicData>
                  </a:graphic>
                </wp:inline>
              </w:drawing>
            </w:r>
          </w:p>
          <w:p w14:paraId="1D0AF013">
            <w:pPr>
              <w:pStyle w:val="43"/>
              <w:keepNext w:val="0"/>
              <w:keepLines w:val="0"/>
              <w:pageBreakBefore w:val="0"/>
              <w:widowControl/>
              <w:kinsoku/>
              <w:wordWrap/>
              <w:overflowPunct/>
              <w:topLinePunct w:val="0"/>
              <w:autoSpaceDE w:val="0"/>
              <w:autoSpaceDN w:val="0"/>
              <w:bidi w:val="0"/>
              <w:adjustRightInd w:val="0"/>
              <w:snapToGrid w:val="0"/>
              <w:spacing w:after="0" w:line="360" w:lineRule="auto"/>
              <w:ind w:firstLine="480" w:firstLineChars="200"/>
              <w:jc w:val="both"/>
              <w:textAlignment w:val="baseline"/>
              <w:rPr>
                <w:rFonts w:hint="default" w:ascii="Times New Roman" w:hAnsi="Times New Roman" w:eastAsia="宋体" w:cs="Times New Roman"/>
                <w:b w:val="0"/>
                <w:bCs w:val="0"/>
                <w:color w:val="auto"/>
                <w:kern w:val="0"/>
                <w:sz w:val="24"/>
                <w:szCs w:val="24"/>
                <w:highlight w:val="none"/>
                <w:lang w:val="en-US" w:eastAsia="zh-CN" w:bidi="ar"/>
              </w:rPr>
            </w:pPr>
            <w:r>
              <w:rPr>
                <w:rFonts w:hint="default" w:ascii="Times New Roman" w:hAnsi="Times New Roman" w:eastAsia="宋体" w:cs="Times New Roman"/>
                <w:b w:val="0"/>
                <w:bCs w:val="0"/>
                <w:color w:val="auto"/>
                <w:kern w:val="0"/>
                <w:sz w:val="24"/>
                <w:szCs w:val="24"/>
                <w:highlight w:val="none"/>
                <w:lang w:val="en-US" w:eastAsia="zh-CN" w:bidi="ar"/>
              </w:rPr>
              <w:t>式中：Q——自卸汽车卸料起尘量，g/次；</w:t>
            </w:r>
          </w:p>
          <w:p w14:paraId="5D517184">
            <w:pPr>
              <w:pStyle w:val="43"/>
              <w:keepNext w:val="0"/>
              <w:keepLines w:val="0"/>
              <w:pageBreakBefore w:val="0"/>
              <w:widowControl/>
              <w:kinsoku/>
              <w:wordWrap/>
              <w:overflowPunct/>
              <w:topLinePunct w:val="0"/>
              <w:autoSpaceDE w:val="0"/>
              <w:autoSpaceDN w:val="0"/>
              <w:bidi w:val="0"/>
              <w:adjustRightInd w:val="0"/>
              <w:snapToGrid w:val="0"/>
              <w:spacing w:after="0" w:line="360" w:lineRule="auto"/>
              <w:ind w:firstLine="1200" w:firstLineChars="500"/>
              <w:jc w:val="both"/>
              <w:textAlignment w:val="baseline"/>
              <w:rPr>
                <w:rFonts w:hint="default" w:ascii="Times New Roman" w:hAnsi="Times New Roman" w:eastAsia="宋体" w:cs="Times New Roman"/>
                <w:b w:val="0"/>
                <w:bCs w:val="0"/>
                <w:color w:val="auto"/>
                <w:kern w:val="0"/>
                <w:sz w:val="24"/>
                <w:szCs w:val="24"/>
                <w:highlight w:val="none"/>
                <w:lang w:val="en-US" w:eastAsia="zh-CN" w:bidi="ar"/>
              </w:rPr>
            </w:pPr>
            <w:r>
              <w:rPr>
                <w:rFonts w:hint="default" w:ascii="Times New Roman" w:hAnsi="Times New Roman" w:eastAsia="宋体" w:cs="Times New Roman"/>
                <w:b w:val="0"/>
                <w:bCs w:val="0"/>
                <w:color w:val="auto"/>
                <w:kern w:val="0"/>
                <w:sz w:val="24"/>
                <w:szCs w:val="24"/>
                <w:highlight w:val="none"/>
                <w:lang w:val="en-US" w:eastAsia="zh-CN" w:bidi="ar"/>
              </w:rPr>
              <w:t>u——平均风速，m/s；（取值2.2m/s）；</w:t>
            </w:r>
          </w:p>
          <w:p w14:paraId="5732B421">
            <w:pPr>
              <w:pStyle w:val="43"/>
              <w:keepNext w:val="0"/>
              <w:keepLines w:val="0"/>
              <w:pageBreakBefore w:val="0"/>
              <w:widowControl/>
              <w:kinsoku/>
              <w:wordWrap/>
              <w:overflowPunct/>
              <w:topLinePunct w:val="0"/>
              <w:autoSpaceDE w:val="0"/>
              <w:autoSpaceDN w:val="0"/>
              <w:bidi w:val="0"/>
              <w:adjustRightInd w:val="0"/>
              <w:snapToGrid w:val="0"/>
              <w:spacing w:after="0" w:line="360" w:lineRule="auto"/>
              <w:ind w:firstLine="1200" w:firstLineChars="500"/>
              <w:jc w:val="both"/>
              <w:textAlignment w:val="baseline"/>
              <w:rPr>
                <w:rFonts w:hint="default" w:ascii="Times New Roman" w:hAnsi="Times New Roman" w:eastAsia="宋体" w:cs="Times New Roman"/>
                <w:b w:val="0"/>
                <w:bCs w:val="0"/>
                <w:color w:val="auto"/>
                <w:kern w:val="0"/>
                <w:sz w:val="24"/>
                <w:szCs w:val="24"/>
                <w:highlight w:val="none"/>
                <w:lang w:val="en-US" w:eastAsia="zh-CN" w:bidi="ar"/>
              </w:rPr>
            </w:pPr>
            <w:r>
              <w:rPr>
                <w:rFonts w:hint="default" w:ascii="Times New Roman" w:hAnsi="Times New Roman" w:eastAsia="宋体" w:cs="Times New Roman"/>
                <w:b w:val="0"/>
                <w:bCs w:val="0"/>
                <w:color w:val="auto"/>
                <w:kern w:val="0"/>
                <w:sz w:val="24"/>
                <w:szCs w:val="24"/>
                <w:highlight w:val="none"/>
                <w:lang w:val="en-US" w:eastAsia="zh-CN" w:bidi="ar"/>
              </w:rPr>
              <w:t>M——汽车卸料量，t。（取值30t）；</w:t>
            </w:r>
          </w:p>
          <w:p w14:paraId="298F68FD">
            <w:pPr>
              <w:pStyle w:val="43"/>
              <w:keepNext w:val="0"/>
              <w:keepLines w:val="0"/>
              <w:pageBreakBefore w:val="0"/>
              <w:widowControl/>
              <w:kinsoku/>
              <w:wordWrap/>
              <w:overflowPunct/>
              <w:topLinePunct w:val="0"/>
              <w:autoSpaceDE w:val="0"/>
              <w:autoSpaceDN w:val="0"/>
              <w:bidi w:val="0"/>
              <w:adjustRightInd w:val="0"/>
              <w:snapToGrid w:val="0"/>
              <w:spacing w:after="0" w:line="360" w:lineRule="auto"/>
              <w:ind w:firstLine="1200" w:firstLineChars="500"/>
              <w:jc w:val="both"/>
              <w:textAlignment w:val="baseline"/>
              <w:rPr>
                <w:rFonts w:hint="default" w:ascii="Times New Roman" w:hAnsi="Times New Roman" w:eastAsia="宋体" w:cs="Times New Roman"/>
                <w:b w:val="0"/>
                <w:bCs w:val="0"/>
                <w:color w:val="auto"/>
                <w:kern w:val="0"/>
                <w:sz w:val="24"/>
                <w:szCs w:val="24"/>
                <w:highlight w:val="none"/>
                <w:lang w:val="en-US" w:eastAsia="zh-CN" w:bidi="ar"/>
              </w:rPr>
            </w:pPr>
            <w:r>
              <w:rPr>
                <w:rFonts w:hint="default" w:ascii="Times New Roman" w:hAnsi="Times New Roman" w:eastAsia="宋体" w:cs="Times New Roman"/>
                <w:b w:val="0"/>
                <w:bCs w:val="0"/>
                <w:color w:val="auto"/>
                <w:kern w:val="0"/>
                <w:sz w:val="24"/>
                <w:szCs w:val="24"/>
                <w:highlight w:val="none"/>
                <w:lang w:val="en-US" w:eastAsia="zh-CN" w:bidi="ar"/>
              </w:rPr>
              <w:t>通过计算得：Q=8.51g/次。</w:t>
            </w:r>
          </w:p>
          <w:p w14:paraId="52878666">
            <w:pPr>
              <w:pStyle w:val="43"/>
              <w:keepNext w:val="0"/>
              <w:keepLines w:val="0"/>
              <w:pageBreakBefore w:val="0"/>
              <w:widowControl/>
              <w:kinsoku/>
              <w:wordWrap/>
              <w:overflowPunct/>
              <w:topLinePunct w:val="0"/>
              <w:autoSpaceDE w:val="0"/>
              <w:autoSpaceDN w:val="0"/>
              <w:bidi w:val="0"/>
              <w:adjustRightInd w:val="0"/>
              <w:snapToGrid w:val="0"/>
              <w:spacing w:after="0" w:line="360" w:lineRule="auto"/>
              <w:ind w:firstLine="480" w:firstLineChars="200"/>
              <w:jc w:val="both"/>
              <w:textAlignment w:val="baseline"/>
              <w:rPr>
                <w:rFonts w:hint="default" w:ascii="Times New Roman" w:hAnsi="Times New Roman" w:eastAsia="宋体" w:cs="Times New Roman"/>
                <w:b/>
                <w:bCs/>
                <w:color w:val="auto"/>
                <w:kern w:val="0"/>
                <w:sz w:val="24"/>
                <w:szCs w:val="24"/>
                <w:highlight w:val="none"/>
                <w:lang w:val="en-US" w:eastAsia="zh-CN" w:bidi="ar"/>
              </w:rPr>
            </w:pPr>
            <w:r>
              <w:rPr>
                <w:rFonts w:hint="default" w:ascii="Times New Roman" w:hAnsi="Times New Roman" w:eastAsia="宋体" w:cs="Times New Roman"/>
                <w:b w:val="0"/>
                <w:bCs w:val="0"/>
                <w:color w:val="auto"/>
                <w:kern w:val="0"/>
                <w:sz w:val="24"/>
                <w:szCs w:val="24"/>
                <w:highlight w:val="none"/>
                <w:lang w:val="en-US" w:eastAsia="zh-CN" w:bidi="ar"/>
              </w:rPr>
              <w:t>本项目每年需要运卸河砂和碎石物料共</w:t>
            </w:r>
            <w:r>
              <w:rPr>
                <w:rFonts w:hint="default" w:ascii="Times New Roman" w:hAnsi="Times New Roman" w:cs="Times New Roman"/>
                <w:b w:val="0"/>
                <w:bCs w:val="0"/>
                <w:color w:val="auto"/>
                <w:kern w:val="0"/>
                <w:sz w:val="24"/>
                <w:szCs w:val="24"/>
                <w:highlight w:val="none"/>
                <w:lang w:val="en-US" w:eastAsia="zh-CN" w:bidi="ar"/>
              </w:rPr>
              <w:t>3810</w:t>
            </w:r>
            <w:r>
              <w:rPr>
                <w:rFonts w:hint="default" w:ascii="Times New Roman" w:hAnsi="Times New Roman" w:eastAsia="宋体" w:cs="Times New Roman"/>
                <w:b w:val="0"/>
                <w:bCs w:val="0"/>
                <w:color w:val="auto"/>
                <w:kern w:val="0"/>
                <w:sz w:val="24"/>
                <w:szCs w:val="24"/>
                <w:highlight w:val="none"/>
                <w:lang w:val="en-US" w:eastAsia="zh-CN" w:bidi="ar"/>
              </w:rPr>
              <w:t>00吨/年，需要共荷载3</w:t>
            </w:r>
            <w:r>
              <w:rPr>
                <w:rFonts w:hint="default" w:ascii="Times New Roman" w:hAnsi="Times New Roman" w:cs="Times New Roman"/>
                <w:b w:val="0"/>
                <w:bCs w:val="0"/>
                <w:color w:val="auto"/>
                <w:kern w:val="0"/>
                <w:sz w:val="24"/>
                <w:szCs w:val="24"/>
                <w:highlight w:val="none"/>
                <w:lang w:val="en-US" w:eastAsia="zh-CN" w:bidi="ar"/>
              </w:rPr>
              <w:t>2</w:t>
            </w:r>
            <w:r>
              <w:rPr>
                <w:rFonts w:hint="default" w:ascii="Times New Roman" w:hAnsi="Times New Roman" w:eastAsia="宋体" w:cs="Times New Roman"/>
                <w:b w:val="0"/>
                <w:bCs w:val="0"/>
                <w:color w:val="auto"/>
                <w:kern w:val="0"/>
                <w:sz w:val="24"/>
                <w:szCs w:val="24"/>
                <w:highlight w:val="none"/>
                <w:lang w:val="en-US" w:eastAsia="zh-CN" w:bidi="ar"/>
              </w:rPr>
              <w:t>t的车辆运输约</w:t>
            </w:r>
            <w:r>
              <w:rPr>
                <w:rFonts w:hint="default" w:ascii="Times New Roman" w:hAnsi="Times New Roman" w:cs="Times New Roman"/>
                <w:b w:val="0"/>
                <w:bCs w:val="0"/>
                <w:color w:val="auto"/>
                <w:kern w:val="0"/>
                <w:sz w:val="24"/>
                <w:szCs w:val="24"/>
                <w:highlight w:val="none"/>
                <w:lang w:val="en-US" w:eastAsia="zh-CN" w:bidi="ar"/>
              </w:rPr>
              <w:t>11906</w:t>
            </w:r>
            <w:r>
              <w:rPr>
                <w:rFonts w:hint="default" w:ascii="Times New Roman" w:hAnsi="Times New Roman" w:eastAsia="宋体" w:cs="Times New Roman"/>
                <w:b w:val="0"/>
                <w:bCs w:val="0"/>
                <w:color w:val="auto"/>
                <w:kern w:val="0"/>
                <w:sz w:val="24"/>
                <w:szCs w:val="24"/>
                <w:highlight w:val="none"/>
                <w:lang w:val="en-US" w:eastAsia="zh-CN" w:bidi="ar"/>
              </w:rPr>
              <w:t>车次，因此项目汽车卸料起尘量为</w:t>
            </w:r>
            <w:r>
              <w:rPr>
                <w:rFonts w:hint="default" w:ascii="Times New Roman" w:hAnsi="Times New Roman" w:cs="Times New Roman"/>
                <w:b w:val="0"/>
                <w:bCs w:val="0"/>
                <w:color w:val="auto"/>
                <w:kern w:val="0"/>
                <w:sz w:val="24"/>
                <w:szCs w:val="24"/>
                <w:highlight w:val="none"/>
                <w:lang w:val="en-US" w:eastAsia="zh-CN" w:bidi="ar"/>
              </w:rPr>
              <w:t>0.101</w:t>
            </w:r>
            <w:r>
              <w:rPr>
                <w:rFonts w:hint="default" w:ascii="Times New Roman" w:hAnsi="Times New Roman" w:eastAsia="宋体" w:cs="Times New Roman"/>
                <w:b w:val="0"/>
                <w:bCs w:val="0"/>
                <w:color w:val="auto"/>
                <w:kern w:val="0"/>
                <w:sz w:val="24"/>
                <w:szCs w:val="24"/>
                <w:highlight w:val="none"/>
                <w:lang w:val="en-US" w:eastAsia="zh-CN" w:bidi="ar"/>
              </w:rPr>
              <w:t>t/a（每天卸料时间约3h，年卸料时间为900h，则卸料粉尘产生速率为0.1</w:t>
            </w:r>
            <w:r>
              <w:rPr>
                <w:rFonts w:hint="default" w:ascii="Times New Roman" w:hAnsi="Times New Roman" w:cs="Times New Roman"/>
                <w:b w:val="0"/>
                <w:bCs w:val="0"/>
                <w:color w:val="auto"/>
                <w:kern w:val="0"/>
                <w:sz w:val="24"/>
                <w:szCs w:val="24"/>
                <w:highlight w:val="none"/>
                <w:lang w:val="en-US" w:eastAsia="zh-CN" w:bidi="ar"/>
              </w:rPr>
              <w:t>1</w:t>
            </w:r>
            <w:r>
              <w:rPr>
                <w:rFonts w:hint="default" w:ascii="Times New Roman" w:hAnsi="Times New Roman" w:eastAsia="宋体" w:cs="Times New Roman"/>
                <w:b w:val="0"/>
                <w:bCs w:val="0"/>
                <w:color w:val="auto"/>
                <w:kern w:val="0"/>
                <w:sz w:val="24"/>
                <w:szCs w:val="24"/>
                <w:highlight w:val="none"/>
                <w:lang w:val="en-US" w:eastAsia="zh-CN" w:bidi="ar"/>
              </w:rPr>
              <w:t>3kg/h）。为防止卸料扬尘对周围环境的影响，建设单位对料仓进行封闭处理，卸料时和卸料后均对周围空间进行洒水降尘，洒水除尘后排放方式为无组织排放。</w:t>
            </w:r>
          </w:p>
          <w:p w14:paraId="5E640109">
            <w:pPr>
              <w:keepNext w:val="0"/>
              <w:keepLines w:val="0"/>
              <w:pageBreakBefore w:val="0"/>
              <w:kinsoku/>
              <w:wordWrap/>
              <w:overflowPunct/>
              <w:topLinePunct w:val="0"/>
              <w:autoSpaceDE/>
              <w:autoSpaceDN/>
              <w:bidi w:val="0"/>
              <w:adjustRightInd w:val="0"/>
              <w:snapToGrid w:val="0"/>
              <w:spacing w:line="360" w:lineRule="auto"/>
              <w:ind w:right="0" w:firstLine="440" w:firstLineChars="200"/>
              <w:jc w:val="left"/>
              <w:textAlignment w:val="auto"/>
              <w:rPr>
                <w:rFonts w:hint="default" w:ascii="Times New Roman" w:hAnsi="Times New Roman" w:cs="Times New Roman"/>
                <w:bCs/>
                <w:color w:val="auto"/>
                <w:spacing w:val="-10"/>
                <w:sz w:val="24"/>
                <w:szCs w:val="24"/>
                <w:highlight w:val="none"/>
              </w:rPr>
            </w:pPr>
            <w:r>
              <w:rPr>
                <w:rFonts w:hint="default" w:ascii="Times New Roman" w:hAnsi="Times New Roman" w:cs="Times New Roman"/>
                <w:bCs/>
                <w:color w:val="auto"/>
                <w:spacing w:val="-10"/>
                <w:sz w:val="24"/>
                <w:szCs w:val="24"/>
                <w:highlight w:val="none"/>
                <w:lang w:val="en-US" w:eastAsia="zh-CN"/>
              </w:rPr>
              <w:t>1.1.4</w:t>
            </w:r>
            <w:r>
              <w:rPr>
                <w:rFonts w:hint="default" w:ascii="Times New Roman" w:hAnsi="Times New Roman" w:cs="Times New Roman"/>
                <w:bCs/>
                <w:color w:val="auto"/>
                <w:spacing w:val="-10"/>
                <w:sz w:val="24"/>
                <w:szCs w:val="24"/>
                <w:highlight w:val="none"/>
                <w:lang w:eastAsia="zh-CN"/>
              </w:rPr>
              <w:t>料仓</w:t>
            </w:r>
            <w:r>
              <w:rPr>
                <w:rFonts w:hint="default" w:ascii="Times New Roman" w:hAnsi="Times New Roman" w:cs="Times New Roman"/>
                <w:bCs/>
                <w:color w:val="auto"/>
                <w:spacing w:val="-10"/>
                <w:sz w:val="24"/>
                <w:szCs w:val="24"/>
                <w:highlight w:val="none"/>
              </w:rPr>
              <w:t>扬尘</w:t>
            </w:r>
          </w:p>
          <w:p w14:paraId="73B6B6C0">
            <w:pP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eastAsia="宋体" w:cs="Times New Roman"/>
                <w:b w:val="0"/>
                <w:bCs w:val="0"/>
                <w:color w:val="auto"/>
                <w:kern w:val="0"/>
                <w:sz w:val="24"/>
                <w:szCs w:val="24"/>
                <w:highlight w:val="none"/>
                <w:lang w:val="en-US" w:eastAsia="zh-CN" w:bidi="ar"/>
              </w:rPr>
              <w:t>本项目使用的原料河砂和碎石外购回来后均散装堆放在堆料场上待用，原料料仓均为封闭式结构、非露天堆放，料仓扬尘产可参考</w:t>
            </w:r>
            <w:r>
              <w:rPr>
                <w:rFonts w:hint="default" w:ascii="Times New Roman" w:hAnsi="Times New Roman" w:cs="Times New Roman"/>
                <w:color w:val="auto"/>
                <w:sz w:val="24"/>
                <w:highlight w:val="none"/>
              </w:rPr>
              <w:t>日本三菱重工业公司长崎研究所煤尘污染起尘量的计算公式：</w:t>
            </w:r>
          </w:p>
          <w:p w14:paraId="5625C51E">
            <w:pPr>
              <w:adjustRightInd w:val="0"/>
              <w:snapToGrid w:val="0"/>
              <w:spacing w:line="360" w:lineRule="auto"/>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drawing>
                <wp:inline distT="0" distB="0" distL="114300" distR="114300">
                  <wp:extent cx="1457325" cy="485775"/>
                  <wp:effectExtent l="0" t="0" r="9525" b="9525"/>
                  <wp:docPr id="1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22"/>
                          <pic:cNvPicPr>
                            <a:picLocks noChangeAspect="1"/>
                          </pic:cNvPicPr>
                        </pic:nvPicPr>
                        <pic:blipFill>
                          <a:blip r:embed="rId23"/>
                          <a:stretch>
                            <a:fillRect/>
                          </a:stretch>
                        </pic:blipFill>
                        <pic:spPr>
                          <a:xfrm>
                            <a:off x="0" y="0"/>
                            <a:ext cx="1457325" cy="485775"/>
                          </a:xfrm>
                          <a:prstGeom prst="rect">
                            <a:avLst/>
                          </a:prstGeom>
                          <a:noFill/>
                          <a:ln>
                            <a:noFill/>
                          </a:ln>
                        </pic:spPr>
                      </pic:pic>
                    </a:graphicData>
                  </a:graphic>
                </wp:inline>
              </w:drawing>
            </w:r>
          </w:p>
          <w:p w14:paraId="48143B8F">
            <w:pP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式中：Qp--起尘量，mg/s；</w:t>
            </w:r>
          </w:p>
          <w:p w14:paraId="058BD53E">
            <w:pPr>
              <w:numPr>
                <w:ilvl w:val="0"/>
                <w:numId w:val="0"/>
              </w:numP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val="en-US" w:eastAsia="zh-CN"/>
              </w:rPr>
              <w:t>W</w:t>
            </w:r>
            <w:r>
              <w:rPr>
                <w:rFonts w:hint="default" w:ascii="Times New Roman" w:hAnsi="Times New Roman" w:cs="Times New Roman"/>
                <w:color w:val="auto"/>
                <w:sz w:val="24"/>
                <w:szCs w:val="24"/>
                <w:highlight w:val="none"/>
              </w:rPr>
              <w:t>-物料湿度，</w:t>
            </w:r>
            <w:r>
              <w:rPr>
                <w:rFonts w:hint="default" w:ascii="Times New Roman" w:hAnsi="Times New Roman" w:cs="Times New Roman"/>
                <w:color w:val="auto"/>
                <w:sz w:val="24"/>
                <w:szCs w:val="24"/>
                <w:highlight w:val="none"/>
                <w:lang w:val="en-US" w:eastAsia="zh-CN"/>
              </w:rPr>
              <w:t>河砂</w:t>
            </w:r>
            <w:r>
              <w:rPr>
                <w:rFonts w:hint="default" w:ascii="Times New Roman" w:hAnsi="Times New Roman" w:cs="Times New Roman"/>
                <w:color w:val="auto"/>
                <w:sz w:val="24"/>
                <w:szCs w:val="24"/>
                <w:highlight w:val="none"/>
              </w:rPr>
              <w:t>取10</w:t>
            </w:r>
            <w:r>
              <w:rPr>
                <w:rFonts w:hint="default" w:ascii="Times New Roman" w:hAnsi="Times New Roman" w:cs="Times New Roman"/>
                <w:bCs/>
                <w:color w:val="auto"/>
                <w:spacing w:val="10"/>
                <w:sz w:val="24"/>
                <w:szCs w:val="24"/>
                <w:highlight w:val="none"/>
              </w:rPr>
              <w:t>%</w:t>
            </w:r>
            <w:r>
              <w:rPr>
                <w:rFonts w:hint="default" w:ascii="Times New Roman" w:hAnsi="Times New Roman" w:cs="Times New Roman"/>
                <w:color w:val="auto"/>
                <w:sz w:val="24"/>
                <w:szCs w:val="24"/>
                <w:highlight w:val="none"/>
              </w:rPr>
              <w:t>，即W=10</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碎石取</w:t>
            </w:r>
            <w:r>
              <w:rPr>
                <w:rFonts w:hint="default" w:ascii="Times New Roman" w:hAnsi="Times New Roman" w:cs="Times New Roman"/>
                <w:color w:val="auto"/>
                <w:sz w:val="24"/>
                <w:szCs w:val="24"/>
                <w:highlight w:val="none"/>
                <w:lang w:val="en-US" w:eastAsia="zh-CN"/>
              </w:rPr>
              <w:t>8</w:t>
            </w:r>
            <w:r>
              <w:rPr>
                <w:rFonts w:hint="default" w:ascii="Times New Roman" w:hAnsi="Times New Roman" w:cs="Times New Roman"/>
                <w:bCs/>
                <w:color w:val="auto"/>
                <w:spacing w:val="10"/>
                <w:sz w:val="24"/>
                <w:szCs w:val="24"/>
                <w:highlight w:val="none"/>
              </w:rPr>
              <w:t>%，即W=</w:t>
            </w:r>
            <w:r>
              <w:rPr>
                <w:rFonts w:hint="default" w:ascii="Times New Roman" w:hAnsi="Times New Roman" w:cs="Times New Roman"/>
                <w:bCs/>
                <w:color w:val="auto"/>
                <w:spacing w:val="10"/>
                <w:sz w:val="24"/>
                <w:szCs w:val="24"/>
                <w:highlight w:val="none"/>
                <w:lang w:val="en-US" w:eastAsia="zh-CN"/>
              </w:rPr>
              <w:t>8</w:t>
            </w:r>
            <w:r>
              <w:rPr>
                <w:rFonts w:hint="default" w:ascii="Times New Roman" w:hAnsi="Times New Roman" w:cs="Times New Roman"/>
                <w:color w:val="auto"/>
                <w:sz w:val="24"/>
                <w:szCs w:val="24"/>
                <w:highlight w:val="none"/>
              </w:rPr>
              <w:t>；</w:t>
            </w:r>
          </w:p>
          <w:p w14:paraId="56C5FDDF">
            <w:pPr>
              <w:numPr>
                <w:ilvl w:val="0"/>
                <w:numId w:val="0"/>
              </w:numP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U--风速m/s，博罗县取平均风速</w:t>
            </w:r>
            <w:r>
              <w:rPr>
                <w:rFonts w:hint="eastAsia" w:ascii="Times New Roman" w:hAnsi="Times New Roman" w:cs="Times New Roman"/>
                <w:color w:val="auto"/>
                <w:sz w:val="24"/>
                <w:szCs w:val="24"/>
                <w:highlight w:val="none"/>
                <w:lang w:val="en-US" w:eastAsia="zh-CN"/>
              </w:rPr>
              <w:t>1.8</w:t>
            </w:r>
            <w:r>
              <w:rPr>
                <w:rFonts w:hint="default" w:ascii="Times New Roman" w:hAnsi="Times New Roman" w:cs="Times New Roman"/>
                <w:color w:val="auto"/>
                <w:sz w:val="24"/>
                <w:szCs w:val="24"/>
                <w:highlight w:val="none"/>
              </w:rPr>
              <w:t>m/s；</w:t>
            </w:r>
          </w:p>
          <w:p w14:paraId="76A1B846">
            <w:pPr>
              <w:adjustRightInd w:val="0"/>
              <w:snapToGrid w:val="0"/>
              <w:spacing w:line="360" w:lineRule="auto"/>
              <w:ind w:firstLine="480" w:firstLineChars="20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color w:val="auto"/>
                <w:sz w:val="24"/>
                <w:szCs w:val="24"/>
                <w:highlight w:val="none"/>
              </w:rPr>
              <w:t>Ap--原料</w:t>
            </w:r>
            <w:r>
              <w:rPr>
                <w:rFonts w:hint="default" w:ascii="Times New Roman" w:hAnsi="Times New Roman" w:cs="Times New Roman"/>
                <w:color w:val="auto"/>
                <w:sz w:val="24"/>
                <w:szCs w:val="24"/>
                <w:highlight w:val="none"/>
                <w:lang w:eastAsia="zh-CN"/>
              </w:rPr>
              <w:t>料仓</w:t>
            </w:r>
            <w:r>
              <w:rPr>
                <w:rFonts w:hint="default" w:ascii="Times New Roman" w:hAnsi="Times New Roman" w:cs="Times New Roman"/>
                <w:color w:val="auto"/>
                <w:sz w:val="24"/>
                <w:szCs w:val="24"/>
                <w:highlight w:val="none"/>
              </w:rPr>
              <w:t>面积m</w:t>
            </w:r>
            <w:r>
              <w:rPr>
                <w:rFonts w:hint="default" w:ascii="Times New Roman" w:hAnsi="Times New Roman" w:cs="Times New Roman"/>
                <w:color w:val="auto"/>
                <w:sz w:val="24"/>
                <w:szCs w:val="24"/>
                <w:highlight w:val="none"/>
                <w:vertAlign w:val="superscript"/>
              </w:rPr>
              <w:t>2</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eastAsia="zh-CN"/>
              </w:rPr>
              <w:t>本项目</w:t>
            </w:r>
            <w:r>
              <w:rPr>
                <w:rFonts w:hint="default" w:ascii="Times New Roman" w:hAnsi="Times New Roman" w:cs="Times New Roman"/>
                <w:color w:val="auto"/>
                <w:sz w:val="24"/>
                <w:szCs w:val="24"/>
                <w:highlight w:val="none"/>
                <w:lang w:val="en-US" w:eastAsia="zh-CN"/>
              </w:rPr>
              <w:t>河砂料仓</w:t>
            </w:r>
            <w:r>
              <w:rPr>
                <w:rFonts w:hint="default" w:ascii="Times New Roman" w:hAnsi="Times New Roman" w:cs="Times New Roman"/>
                <w:color w:val="auto"/>
                <w:sz w:val="24"/>
                <w:szCs w:val="24"/>
                <w:highlight w:val="none"/>
              </w:rPr>
              <w:t>面积为</w:t>
            </w:r>
            <w:r>
              <w:rPr>
                <w:rFonts w:hint="default" w:ascii="Times New Roman" w:hAnsi="Times New Roman" w:cs="Times New Roman"/>
                <w:color w:val="auto"/>
                <w:sz w:val="24"/>
                <w:szCs w:val="24"/>
                <w:highlight w:val="none"/>
                <w:lang w:val="en-US" w:eastAsia="zh-CN"/>
              </w:rPr>
              <w:t>12</w:t>
            </w:r>
            <w:r>
              <w:rPr>
                <w:rFonts w:hint="default" w:ascii="Times New Roman" w:hAnsi="Times New Roman" w:cs="Times New Roman"/>
                <w:color w:val="auto"/>
                <w:sz w:val="24"/>
                <w:szCs w:val="24"/>
                <w:highlight w:val="none"/>
              </w:rPr>
              <w:t>00m</w:t>
            </w:r>
            <w:r>
              <w:rPr>
                <w:rFonts w:hint="default" w:ascii="Times New Roman" w:hAnsi="Times New Roman" w:cs="Times New Roman"/>
                <w:color w:val="auto"/>
                <w:sz w:val="24"/>
                <w:szCs w:val="24"/>
                <w:highlight w:val="none"/>
                <w:vertAlign w:val="superscript"/>
              </w:rPr>
              <w:t>2</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碎石料仓面积1800</w:t>
            </w:r>
            <w:r>
              <w:rPr>
                <w:rFonts w:hint="default" w:ascii="Times New Roman" w:hAnsi="Times New Roman" w:cs="Times New Roman"/>
                <w:color w:val="auto"/>
                <w:sz w:val="24"/>
                <w:szCs w:val="24"/>
                <w:highlight w:val="none"/>
              </w:rPr>
              <w:t>m</w:t>
            </w:r>
            <w:r>
              <w:rPr>
                <w:rFonts w:hint="default" w:ascii="Times New Roman" w:hAnsi="Times New Roman" w:cs="Times New Roman"/>
                <w:color w:val="auto"/>
                <w:sz w:val="24"/>
                <w:szCs w:val="24"/>
                <w:highlight w:val="none"/>
                <w:vertAlign w:val="superscript"/>
              </w:rPr>
              <w:t>2</w:t>
            </w:r>
            <w:r>
              <w:rPr>
                <w:rFonts w:hint="default" w:ascii="Times New Roman" w:hAnsi="Times New Roman" w:cs="Times New Roman"/>
                <w:color w:val="auto"/>
                <w:sz w:val="24"/>
                <w:szCs w:val="24"/>
                <w:highlight w:val="none"/>
              </w:rPr>
              <w:t>；</w:t>
            </w:r>
          </w:p>
          <w:p w14:paraId="59CFEA42">
            <w:pP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bidi="ar"/>
              </w:rPr>
              <w:t>β--经验系数，8.0×10</w:t>
            </w:r>
            <w:r>
              <w:rPr>
                <w:rFonts w:hint="default" w:ascii="Times New Roman" w:hAnsi="Times New Roman" w:cs="Times New Roman"/>
                <w:color w:val="auto"/>
                <w:sz w:val="24"/>
                <w:szCs w:val="24"/>
                <w:highlight w:val="none"/>
                <w:vertAlign w:val="superscript"/>
                <w:lang w:bidi="ar"/>
              </w:rPr>
              <w:t>-3</w:t>
            </w:r>
            <w:r>
              <w:rPr>
                <w:rFonts w:hint="default" w:ascii="Times New Roman" w:hAnsi="Times New Roman" w:cs="Times New Roman"/>
                <w:color w:val="auto"/>
                <w:sz w:val="24"/>
                <w:szCs w:val="24"/>
                <w:highlight w:val="none"/>
                <w:lang w:bidi="ar"/>
              </w:rPr>
              <w:t>。</w:t>
            </w:r>
          </w:p>
          <w:p w14:paraId="53B1A36A">
            <w:pPr>
              <w:adjustRightInd w:val="0"/>
              <w:snapToGrid w:val="0"/>
              <w:spacing w:line="360" w:lineRule="auto"/>
              <w:ind w:firstLine="520" w:firstLineChars="200"/>
              <w:jc w:val="left"/>
              <w:rPr>
                <w:rFonts w:hint="default" w:ascii="Times New Roman" w:hAnsi="Times New Roman" w:cs="Times New Roman"/>
                <w:color w:val="auto"/>
                <w:sz w:val="24"/>
                <w:szCs w:val="24"/>
                <w:highlight w:val="none"/>
                <w:lang w:val="en-US" w:eastAsia="zh-CN" w:bidi="ar"/>
              </w:rPr>
            </w:pPr>
            <w:r>
              <w:rPr>
                <w:rFonts w:hint="default" w:ascii="Times New Roman" w:hAnsi="Times New Roman" w:cs="Times New Roman"/>
                <w:bCs/>
                <w:color w:val="auto"/>
                <w:spacing w:val="10"/>
                <w:sz w:val="24"/>
                <w:szCs w:val="24"/>
                <w:highlight w:val="none"/>
                <w:lang w:eastAsia="zh-CN"/>
              </w:rPr>
              <w:t>河砂原料设</w:t>
            </w:r>
            <w:r>
              <w:rPr>
                <w:rFonts w:hint="default" w:ascii="Times New Roman" w:hAnsi="Times New Roman" w:cs="Times New Roman"/>
                <w:bCs/>
                <w:color w:val="auto"/>
                <w:spacing w:val="10"/>
                <w:sz w:val="24"/>
                <w:szCs w:val="24"/>
                <w:highlight w:val="none"/>
                <w:lang w:val="en-US" w:eastAsia="zh-CN"/>
              </w:rPr>
              <w:t>1</w:t>
            </w:r>
            <w:r>
              <w:rPr>
                <w:rFonts w:hint="default" w:ascii="Times New Roman" w:hAnsi="Times New Roman" w:cs="Times New Roman"/>
                <w:bCs/>
                <w:color w:val="auto"/>
                <w:spacing w:val="10"/>
                <w:sz w:val="24"/>
                <w:szCs w:val="24"/>
                <w:highlight w:val="none"/>
                <w:lang w:eastAsia="zh-CN"/>
              </w:rPr>
              <w:t>个料仓，总面积为</w:t>
            </w:r>
            <w:r>
              <w:rPr>
                <w:rFonts w:hint="default" w:ascii="Times New Roman" w:hAnsi="Times New Roman" w:cs="Times New Roman"/>
                <w:bCs/>
                <w:color w:val="auto"/>
                <w:spacing w:val="10"/>
                <w:sz w:val="24"/>
                <w:szCs w:val="24"/>
                <w:highlight w:val="none"/>
                <w:lang w:val="en-US" w:eastAsia="zh-CN"/>
              </w:rPr>
              <w:t>1200</w:t>
            </w:r>
            <w:r>
              <w:rPr>
                <w:rFonts w:hint="default" w:ascii="Times New Roman" w:hAnsi="Times New Roman" w:cs="Times New Roman"/>
                <w:bCs/>
                <w:color w:val="auto"/>
                <w:spacing w:val="10"/>
                <w:sz w:val="24"/>
                <w:szCs w:val="24"/>
                <w:highlight w:val="none"/>
              </w:rPr>
              <w:t>m</w:t>
            </w:r>
            <w:r>
              <w:rPr>
                <w:rFonts w:hint="default" w:ascii="Times New Roman" w:hAnsi="Times New Roman" w:cs="Times New Roman"/>
                <w:bCs/>
                <w:color w:val="auto"/>
                <w:spacing w:val="10"/>
                <w:sz w:val="24"/>
                <w:szCs w:val="24"/>
                <w:highlight w:val="none"/>
                <w:vertAlign w:val="superscript"/>
              </w:rPr>
              <w:t>2</w:t>
            </w:r>
            <w:r>
              <w:rPr>
                <w:rFonts w:hint="default" w:ascii="Times New Roman" w:hAnsi="Times New Roman" w:cs="Times New Roman"/>
                <w:bCs/>
                <w:color w:val="auto"/>
                <w:spacing w:val="10"/>
                <w:sz w:val="24"/>
                <w:szCs w:val="24"/>
                <w:highlight w:val="none"/>
              </w:rPr>
              <w:t>，碎石原料</w:t>
            </w:r>
            <w:r>
              <w:rPr>
                <w:rFonts w:hint="default" w:ascii="Times New Roman" w:hAnsi="Times New Roman" w:cs="Times New Roman"/>
                <w:bCs/>
                <w:color w:val="auto"/>
                <w:spacing w:val="10"/>
                <w:sz w:val="24"/>
                <w:szCs w:val="24"/>
                <w:highlight w:val="none"/>
                <w:lang w:eastAsia="zh-CN"/>
              </w:rPr>
              <w:t>设</w:t>
            </w:r>
            <w:r>
              <w:rPr>
                <w:rFonts w:hint="default" w:ascii="Times New Roman" w:hAnsi="Times New Roman" w:cs="Times New Roman"/>
                <w:bCs/>
                <w:color w:val="auto"/>
                <w:spacing w:val="10"/>
                <w:sz w:val="24"/>
                <w:szCs w:val="24"/>
                <w:highlight w:val="none"/>
                <w:lang w:val="en-US" w:eastAsia="zh-CN"/>
              </w:rPr>
              <w:t>1</w:t>
            </w:r>
            <w:r>
              <w:rPr>
                <w:rFonts w:hint="default" w:ascii="Times New Roman" w:hAnsi="Times New Roman" w:cs="Times New Roman"/>
                <w:bCs/>
                <w:color w:val="auto"/>
                <w:spacing w:val="10"/>
                <w:sz w:val="24"/>
                <w:szCs w:val="24"/>
                <w:highlight w:val="none"/>
                <w:lang w:eastAsia="zh-CN"/>
              </w:rPr>
              <w:t>个料仓，总</w:t>
            </w:r>
            <w:r>
              <w:rPr>
                <w:rFonts w:hint="default" w:ascii="Times New Roman" w:hAnsi="Times New Roman" w:cs="Times New Roman"/>
                <w:bCs/>
                <w:color w:val="auto"/>
                <w:spacing w:val="10"/>
                <w:sz w:val="24"/>
                <w:szCs w:val="24"/>
                <w:highlight w:val="none"/>
              </w:rPr>
              <w:t>面积为</w:t>
            </w:r>
            <w:r>
              <w:rPr>
                <w:rFonts w:hint="default" w:ascii="Times New Roman" w:hAnsi="Times New Roman" w:cs="Times New Roman"/>
                <w:bCs/>
                <w:color w:val="auto"/>
                <w:spacing w:val="10"/>
                <w:sz w:val="24"/>
                <w:szCs w:val="24"/>
                <w:highlight w:val="none"/>
                <w:lang w:val="en-US" w:eastAsia="zh-CN"/>
              </w:rPr>
              <w:t>1800</w:t>
            </w:r>
            <w:r>
              <w:rPr>
                <w:rFonts w:hint="default" w:ascii="Times New Roman" w:hAnsi="Times New Roman" w:cs="Times New Roman"/>
                <w:bCs/>
                <w:color w:val="auto"/>
                <w:spacing w:val="10"/>
                <w:sz w:val="24"/>
                <w:szCs w:val="24"/>
                <w:highlight w:val="none"/>
              </w:rPr>
              <w:t>m</w:t>
            </w:r>
            <w:r>
              <w:rPr>
                <w:rFonts w:hint="default" w:ascii="Times New Roman" w:hAnsi="Times New Roman" w:cs="Times New Roman"/>
                <w:bCs/>
                <w:color w:val="auto"/>
                <w:spacing w:val="10"/>
                <w:sz w:val="24"/>
                <w:szCs w:val="24"/>
                <w:highlight w:val="none"/>
                <w:vertAlign w:val="superscript"/>
              </w:rPr>
              <w:t>2</w:t>
            </w:r>
            <w:r>
              <w:rPr>
                <w:rFonts w:hint="default" w:ascii="Times New Roman" w:hAnsi="Times New Roman" w:cs="Times New Roman"/>
                <w:bCs/>
                <w:color w:val="auto"/>
                <w:spacing w:val="10"/>
                <w:sz w:val="24"/>
                <w:szCs w:val="24"/>
                <w:highlight w:val="none"/>
              </w:rPr>
              <w:t>，</w:t>
            </w:r>
            <w:r>
              <w:rPr>
                <w:rFonts w:hint="default" w:ascii="Times New Roman" w:hAnsi="Times New Roman" w:cs="Times New Roman"/>
                <w:color w:val="auto"/>
                <w:sz w:val="24"/>
                <w:szCs w:val="24"/>
                <w:highlight w:val="none"/>
              </w:rPr>
              <w:t>根据上式公式计算，</w:t>
            </w:r>
            <w:r>
              <w:rPr>
                <w:rFonts w:hint="default" w:ascii="Times New Roman" w:hAnsi="Times New Roman" w:cs="Times New Roman"/>
                <w:color w:val="auto"/>
                <w:sz w:val="24"/>
                <w:szCs w:val="24"/>
                <w:highlight w:val="none"/>
                <w:lang w:bidi="ar"/>
              </w:rPr>
              <w:t>项目</w:t>
            </w:r>
            <w:r>
              <w:rPr>
                <w:rFonts w:hint="default" w:ascii="Times New Roman" w:hAnsi="Times New Roman" w:cs="Times New Roman"/>
                <w:color w:val="auto"/>
                <w:sz w:val="24"/>
                <w:szCs w:val="24"/>
                <w:highlight w:val="none"/>
                <w:lang w:eastAsia="zh-CN" w:bidi="ar"/>
              </w:rPr>
              <w:t>河砂</w:t>
            </w:r>
            <w:r>
              <w:rPr>
                <w:rFonts w:hint="default" w:ascii="Times New Roman" w:hAnsi="Times New Roman" w:cs="Times New Roman"/>
                <w:color w:val="auto"/>
                <w:sz w:val="24"/>
                <w:szCs w:val="24"/>
                <w:highlight w:val="none"/>
                <w:lang w:bidi="ar"/>
              </w:rPr>
              <w:t>物料</w:t>
            </w:r>
            <w:r>
              <w:rPr>
                <w:rFonts w:hint="default" w:ascii="Times New Roman" w:hAnsi="Times New Roman" w:cs="Times New Roman"/>
                <w:color w:val="auto"/>
                <w:sz w:val="24"/>
                <w:szCs w:val="24"/>
                <w:highlight w:val="none"/>
                <w:lang w:eastAsia="zh-CN" w:bidi="ar"/>
              </w:rPr>
              <w:t>料仓</w:t>
            </w:r>
            <w:r>
              <w:rPr>
                <w:rFonts w:hint="default" w:ascii="Times New Roman" w:hAnsi="Times New Roman" w:cs="Times New Roman"/>
                <w:color w:val="auto"/>
                <w:sz w:val="24"/>
                <w:szCs w:val="24"/>
                <w:highlight w:val="none"/>
                <w:lang w:bidi="ar"/>
              </w:rPr>
              <w:t>的起尘量为</w:t>
            </w:r>
            <w:r>
              <w:rPr>
                <w:rFonts w:hint="default" w:ascii="Times New Roman" w:hAnsi="Times New Roman" w:cs="Times New Roman"/>
                <w:color w:val="auto"/>
                <w:sz w:val="24"/>
                <w:szCs w:val="24"/>
                <w:highlight w:val="none"/>
                <w:lang w:val="en-US" w:eastAsia="zh-CN" w:bidi="ar"/>
              </w:rPr>
              <w:t>0.0</w:t>
            </w:r>
            <w:r>
              <w:rPr>
                <w:rFonts w:hint="eastAsia" w:ascii="Times New Roman" w:hAnsi="Times New Roman" w:cs="Times New Roman"/>
                <w:color w:val="auto"/>
                <w:sz w:val="24"/>
                <w:szCs w:val="24"/>
                <w:highlight w:val="none"/>
                <w:lang w:val="en-US" w:eastAsia="zh-CN" w:bidi="ar"/>
              </w:rPr>
              <w:t>19</w:t>
            </w:r>
            <w:r>
              <w:rPr>
                <w:rFonts w:hint="default" w:ascii="Times New Roman" w:hAnsi="Times New Roman" w:cs="Times New Roman"/>
                <w:color w:val="auto"/>
                <w:sz w:val="24"/>
                <w:szCs w:val="24"/>
                <w:highlight w:val="none"/>
                <w:lang w:bidi="ar"/>
              </w:rPr>
              <w:t>t/a（按300d/a，24h/d计），产生速率为0.0</w:t>
            </w:r>
            <w:r>
              <w:rPr>
                <w:rFonts w:hint="default" w:ascii="Times New Roman" w:hAnsi="Times New Roman" w:cs="Times New Roman"/>
                <w:color w:val="auto"/>
                <w:sz w:val="24"/>
                <w:szCs w:val="24"/>
                <w:highlight w:val="none"/>
                <w:lang w:val="en-US" w:eastAsia="zh-CN" w:bidi="ar"/>
              </w:rPr>
              <w:t>0</w:t>
            </w:r>
            <w:r>
              <w:rPr>
                <w:rFonts w:hint="eastAsia" w:ascii="Times New Roman" w:hAnsi="Times New Roman" w:cs="Times New Roman"/>
                <w:color w:val="auto"/>
                <w:sz w:val="24"/>
                <w:szCs w:val="24"/>
                <w:highlight w:val="none"/>
                <w:lang w:val="en-US" w:eastAsia="zh-CN" w:bidi="ar"/>
              </w:rPr>
              <w:t>3</w:t>
            </w:r>
            <w:r>
              <w:rPr>
                <w:rFonts w:hint="default" w:ascii="Times New Roman" w:hAnsi="Times New Roman" w:cs="Times New Roman"/>
                <w:color w:val="auto"/>
                <w:sz w:val="24"/>
                <w:szCs w:val="24"/>
                <w:highlight w:val="none"/>
                <w:lang w:bidi="ar"/>
              </w:rPr>
              <w:t>kg/h；碎石物料</w:t>
            </w:r>
            <w:r>
              <w:rPr>
                <w:rFonts w:hint="default" w:ascii="Times New Roman" w:hAnsi="Times New Roman" w:cs="Times New Roman"/>
                <w:color w:val="auto"/>
                <w:sz w:val="24"/>
                <w:szCs w:val="24"/>
                <w:highlight w:val="none"/>
                <w:lang w:eastAsia="zh-CN" w:bidi="ar"/>
              </w:rPr>
              <w:t>料仓</w:t>
            </w:r>
            <w:r>
              <w:rPr>
                <w:rFonts w:hint="default" w:ascii="Times New Roman" w:hAnsi="Times New Roman" w:cs="Times New Roman"/>
                <w:color w:val="auto"/>
                <w:sz w:val="24"/>
                <w:szCs w:val="24"/>
                <w:highlight w:val="none"/>
                <w:lang w:bidi="ar"/>
              </w:rPr>
              <w:t>的起尘量为</w:t>
            </w:r>
            <w:r>
              <w:rPr>
                <w:rFonts w:hint="default" w:ascii="Times New Roman" w:hAnsi="Times New Roman" w:cs="Times New Roman"/>
                <w:color w:val="auto"/>
                <w:sz w:val="24"/>
                <w:szCs w:val="24"/>
                <w:highlight w:val="none"/>
                <w:lang w:val="en-US" w:eastAsia="zh-CN" w:bidi="ar"/>
              </w:rPr>
              <w:t>0.</w:t>
            </w:r>
            <w:r>
              <w:rPr>
                <w:rFonts w:hint="eastAsia" w:ascii="Times New Roman" w:hAnsi="Times New Roman" w:cs="Times New Roman"/>
                <w:color w:val="auto"/>
                <w:sz w:val="24"/>
                <w:szCs w:val="24"/>
                <w:highlight w:val="none"/>
                <w:lang w:val="en-US" w:eastAsia="zh-CN" w:bidi="ar"/>
              </w:rPr>
              <w:t>11</w:t>
            </w:r>
            <w:r>
              <w:rPr>
                <w:rFonts w:hint="default" w:ascii="Times New Roman" w:hAnsi="Times New Roman" w:cs="Times New Roman"/>
                <w:color w:val="auto"/>
                <w:sz w:val="24"/>
                <w:szCs w:val="24"/>
                <w:highlight w:val="none"/>
                <w:lang w:bidi="ar"/>
              </w:rPr>
              <w:t>t/a（按300d/a，24h/d计），产生速率为</w:t>
            </w:r>
            <w:r>
              <w:rPr>
                <w:rFonts w:hint="default" w:ascii="Times New Roman" w:hAnsi="Times New Roman" w:cs="Times New Roman"/>
                <w:color w:val="auto"/>
                <w:sz w:val="24"/>
                <w:szCs w:val="24"/>
                <w:highlight w:val="none"/>
                <w:lang w:val="en-US" w:eastAsia="zh-CN" w:bidi="ar"/>
              </w:rPr>
              <w:t>0.0</w:t>
            </w:r>
            <w:r>
              <w:rPr>
                <w:rFonts w:hint="eastAsia" w:ascii="Times New Roman" w:hAnsi="Times New Roman" w:cs="Times New Roman"/>
                <w:color w:val="auto"/>
                <w:sz w:val="24"/>
                <w:szCs w:val="24"/>
                <w:highlight w:val="none"/>
                <w:lang w:val="en-US" w:eastAsia="zh-CN" w:bidi="ar"/>
              </w:rPr>
              <w:t>15</w:t>
            </w:r>
            <w:r>
              <w:rPr>
                <w:rFonts w:hint="default" w:ascii="Times New Roman" w:hAnsi="Times New Roman" w:cs="Times New Roman"/>
                <w:color w:val="auto"/>
                <w:sz w:val="24"/>
                <w:szCs w:val="24"/>
                <w:highlight w:val="none"/>
                <w:lang w:bidi="ar"/>
              </w:rPr>
              <w:t>kg/h。</w:t>
            </w:r>
            <w:r>
              <w:rPr>
                <w:rFonts w:hint="default" w:ascii="Times New Roman" w:hAnsi="Times New Roman" w:cs="Times New Roman"/>
                <w:color w:val="auto"/>
                <w:sz w:val="24"/>
                <w:szCs w:val="24"/>
                <w:highlight w:val="none"/>
                <w:lang w:val="en-US" w:eastAsia="zh-CN" w:bidi="ar"/>
              </w:rPr>
              <w:t>则砂石料仓扬尘总产生量为</w:t>
            </w:r>
            <w:r>
              <w:rPr>
                <w:rFonts w:hint="eastAsia" w:ascii="Times New Roman" w:hAnsi="Times New Roman" w:cs="Times New Roman"/>
                <w:color w:val="auto"/>
                <w:sz w:val="24"/>
                <w:szCs w:val="24"/>
                <w:highlight w:val="none"/>
                <w:lang w:val="en-US" w:eastAsia="zh-CN" w:bidi="ar"/>
              </w:rPr>
              <w:t>0.129</w:t>
            </w:r>
            <w:r>
              <w:rPr>
                <w:rFonts w:hint="default" w:ascii="Times New Roman" w:hAnsi="Times New Roman" w:cs="Times New Roman"/>
                <w:color w:val="auto"/>
                <w:sz w:val="24"/>
                <w:szCs w:val="24"/>
                <w:highlight w:val="none"/>
                <w:lang w:val="en-US" w:eastAsia="zh-CN" w:bidi="ar"/>
              </w:rPr>
              <w:t>t/a（0.0</w:t>
            </w:r>
            <w:r>
              <w:rPr>
                <w:rFonts w:hint="eastAsia" w:ascii="Times New Roman" w:hAnsi="Times New Roman" w:cs="Times New Roman"/>
                <w:color w:val="auto"/>
                <w:sz w:val="24"/>
                <w:szCs w:val="24"/>
                <w:highlight w:val="none"/>
                <w:lang w:val="en-US" w:eastAsia="zh-CN" w:bidi="ar"/>
              </w:rPr>
              <w:t>18</w:t>
            </w:r>
            <w:r>
              <w:rPr>
                <w:rFonts w:hint="default" w:ascii="Times New Roman" w:hAnsi="Times New Roman" w:cs="Times New Roman"/>
                <w:color w:val="auto"/>
                <w:sz w:val="24"/>
                <w:szCs w:val="24"/>
                <w:highlight w:val="none"/>
                <w:lang w:val="en-US" w:eastAsia="zh-CN" w:bidi="ar"/>
              </w:rPr>
              <w:t>kg/h）。</w:t>
            </w:r>
            <w:r>
              <w:rPr>
                <w:rFonts w:hint="default" w:ascii="Times New Roman" w:hAnsi="Times New Roman" w:cs="Times New Roman"/>
                <w:color w:val="auto"/>
                <w:sz w:val="24"/>
                <w:szCs w:val="24"/>
                <w:highlight w:val="none"/>
                <w:lang w:bidi="ar"/>
              </w:rPr>
              <w:t>建设单位拟将</w:t>
            </w:r>
            <w:r>
              <w:rPr>
                <w:rFonts w:hint="default" w:ascii="Times New Roman" w:hAnsi="Times New Roman" w:cs="Times New Roman"/>
                <w:color w:val="auto"/>
                <w:sz w:val="24"/>
                <w:szCs w:val="24"/>
                <w:highlight w:val="none"/>
                <w:lang w:eastAsia="zh-CN" w:bidi="ar"/>
              </w:rPr>
              <w:t>料仓</w:t>
            </w:r>
            <w:r>
              <w:rPr>
                <w:rFonts w:hint="default" w:ascii="Times New Roman" w:hAnsi="Times New Roman" w:cs="Times New Roman"/>
                <w:color w:val="auto"/>
                <w:sz w:val="24"/>
                <w:szCs w:val="24"/>
                <w:highlight w:val="none"/>
                <w:lang w:bidi="ar"/>
              </w:rPr>
              <w:t>设置为封闭式结构，</w:t>
            </w:r>
            <w:r>
              <w:rPr>
                <w:rFonts w:hint="default" w:ascii="Times New Roman" w:hAnsi="Times New Roman" w:cs="Times New Roman"/>
                <w:color w:val="auto"/>
                <w:sz w:val="24"/>
                <w:szCs w:val="24"/>
                <w:highlight w:val="none"/>
                <w:lang w:eastAsia="zh-CN" w:bidi="ar"/>
              </w:rPr>
              <w:t>料仓</w:t>
            </w:r>
            <w:r>
              <w:rPr>
                <w:rFonts w:hint="default" w:ascii="Times New Roman" w:hAnsi="Times New Roman" w:cs="Times New Roman"/>
                <w:color w:val="auto"/>
                <w:sz w:val="24"/>
                <w:szCs w:val="24"/>
                <w:highlight w:val="none"/>
                <w:lang w:bidi="ar"/>
              </w:rPr>
              <w:t>顶部设置遮雨棚，周围进行封闭处理，硬底化建设，每天对物料</w:t>
            </w:r>
            <w:r>
              <w:rPr>
                <w:rFonts w:hint="default" w:ascii="Times New Roman" w:hAnsi="Times New Roman" w:cs="Times New Roman"/>
                <w:color w:val="auto"/>
                <w:sz w:val="24"/>
                <w:szCs w:val="24"/>
                <w:highlight w:val="none"/>
                <w:lang w:eastAsia="zh-CN" w:bidi="ar"/>
              </w:rPr>
              <w:t>料仓</w:t>
            </w:r>
            <w:r>
              <w:rPr>
                <w:rFonts w:hint="default" w:ascii="Times New Roman" w:hAnsi="Times New Roman" w:cs="Times New Roman"/>
                <w:color w:val="auto"/>
                <w:sz w:val="24"/>
                <w:szCs w:val="24"/>
                <w:highlight w:val="none"/>
                <w:lang w:bidi="ar"/>
              </w:rPr>
              <w:t>进行</w:t>
            </w:r>
            <w:r>
              <w:rPr>
                <w:rFonts w:hint="default" w:ascii="Times New Roman" w:hAnsi="Times New Roman" w:cs="Times New Roman"/>
                <w:color w:val="auto"/>
                <w:sz w:val="24"/>
                <w:szCs w:val="24"/>
                <w:highlight w:val="none"/>
                <w:lang w:val="en-US" w:eastAsia="zh-CN" w:bidi="ar"/>
              </w:rPr>
              <w:t>多</w:t>
            </w:r>
            <w:r>
              <w:rPr>
                <w:rFonts w:hint="default" w:ascii="Times New Roman" w:hAnsi="Times New Roman" w:cs="Times New Roman"/>
                <w:color w:val="auto"/>
                <w:sz w:val="24"/>
                <w:szCs w:val="24"/>
                <w:highlight w:val="none"/>
                <w:lang w:bidi="ar"/>
              </w:rPr>
              <w:t>次洒水降尘</w:t>
            </w:r>
            <w:r>
              <w:rPr>
                <w:rFonts w:hint="default" w:ascii="Times New Roman" w:hAnsi="Times New Roman" w:eastAsia="宋体" w:cs="Times New Roman"/>
                <w:b w:val="0"/>
                <w:bCs w:val="0"/>
                <w:color w:val="auto"/>
                <w:kern w:val="0"/>
                <w:sz w:val="24"/>
                <w:szCs w:val="24"/>
                <w:highlight w:val="none"/>
                <w:lang w:val="en-US" w:eastAsia="zh-CN" w:bidi="ar"/>
              </w:rPr>
              <w:t>，</w:t>
            </w:r>
            <w:r>
              <w:rPr>
                <w:rFonts w:hint="default" w:ascii="Times New Roman" w:hAnsi="Times New Roman" w:cs="Times New Roman"/>
                <w:color w:val="auto"/>
                <w:sz w:val="24"/>
                <w:szCs w:val="24"/>
                <w:highlight w:val="none"/>
                <w:lang w:bidi="ar"/>
              </w:rPr>
              <w:t>经采取上述措施后</w:t>
            </w:r>
            <w:r>
              <w:rPr>
                <w:rFonts w:hint="default" w:ascii="Times New Roman" w:hAnsi="Times New Roman" w:cs="Times New Roman"/>
                <w:color w:val="auto"/>
                <w:sz w:val="24"/>
                <w:szCs w:val="24"/>
                <w:highlight w:val="none"/>
                <w:lang w:val="en-US" w:eastAsia="zh-CN" w:bidi="ar"/>
              </w:rPr>
              <w:t>无组织排放。</w:t>
            </w:r>
          </w:p>
          <w:p w14:paraId="22510410">
            <w:pPr>
              <w:adjustRightInd w:val="0"/>
              <w:snapToGrid w:val="0"/>
              <w:spacing w:line="360" w:lineRule="auto"/>
              <w:ind w:firstLine="440" w:firstLineChars="200"/>
              <w:jc w:val="left"/>
              <w:rPr>
                <w:rFonts w:hint="default" w:ascii="Times New Roman" w:hAnsi="Times New Roman" w:cs="Times New Roman"/>
                <w:bCs/>
                <w:color w:val="auto"/>
                <w:spacing w:val="-10"/>
                <w:sz w:val="24"/>
                <w:szCs w:val="24"/>
                <w:highlight w:val="none"/>
                <w:lang w:val="en-US" w:eastAsia="zh-CN"/>
              </w:rPr>
            </w:pPr>
            <w:r>
              <w:rPr>
                <w:rFonts w:hint="default" w:ascii="Times New Roman" w:hAnsi="Times New Roman" w:cs="Times New Roman"/>
                <w:bCs/>
                <w:color w:val="auto"/>
                <w:spacing w:val="-10"/>
                <w:sz w:val="24"/>
                <w:szCs w:val="24"/>
                <w:highlight w:val="none"/>
                <w:lang w:val="en-US" w:eastAsia="zh-CN"/>
              </w:rPr>
              <w:t>1.1.5 砂石物料输送粉尘</w:t>
            </w:r>
          </w:p>
          <w:p w14:paraId="32508C0B">
            <w:pPr>
              <w:adjustRightInd w:val="0"/>
              <w:snapToGrid w:val="0"/>
              <w:spacing w:line="360" w:lineRule="auto"/>
              <w:ind w:firstLine="480" w:firstLineChars="200"/>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Cs/>
                <w:color w:val="auto"/>
                <w:sz w:val="24"/>
                <w:szCs w:val="24"/>
                <w:highlight w:val="none"/>
                <w:lang w:eastAsia="zh-CN"/>
              </w:rPr>
              <w:t>砂</w:t>
            </w:r>
            <w:r>
              <w:rPr>
                <w:rFonts w:hint="default" w:ascii="Times New Roman" w:hAnsi="Times New Roman" w:eastAsia="宋体" w:cs="Times New Roman"/>
                <w:bCs/>
                <w:color w:val="auto"/>
                <w:sz w:val="24"/>
                <w:szCs w:val="24"/>
                <w:highlight w:val="none"/>
              </w:rPr>
              <w:t>、石料采用搅拌楼配套的封闭式皮带运送至</w:t>
            </w:r>
            <w:r>
              <w:rPr>
                <w:rFonts w:hint="default" w:ascii="Times New Roman" w:hAnsi="Times New Roman" w:eastAsia="宋体" w:cs="Times New Roman"/>
                <w:bCs/>
                <w:color w:val="auto"/>
                <w:sz w:val="24"/>
                <w:szCs w:val="24"/>
                <w:highlight w:val="none"/>
                <w:shd w:val="clear" w:color="auto" w:fill="auto"/>
                <w:lang w:eastAsia="zh-CN"/>
              </w:rPr>
              <w:t>中间</w:t>
            </w:r>
            <w:r>
              <w:rPr>
                <w:rFonts w:hint="default" w:ascii="Times New Roman" w:hAnsi="Times New Roman" w:eastAsia="宋体" w:cs="Times New Roman"/>
                <w:bCs/>
                <w:color w:val="auto"/>
                <w:sz w:val="24"/>
                <w:szCs w:val="24"/>
                <w:highlight w:val="none"/>
                <w:shd w:val="clear" w:color="auto" w:fill="auto"/>
              </w:rPr>
              <w:t>料仓，</w:t>
            </w:r>
            <w:r>
              <w:rPr>
                <w:rFonts w:hint="default" w:ascii="Times New Roman" w:hAnsi="Times New Roman" w:eastAsia="宋体" w:cs="Times New Roman"/>
                <w:bCs/>
                <w:color w:val="auto"/>
                <w:sz w:val="24"/>
                <w:szCs w:val="24"/>
                <w:highlight w:val="none"/>
              </w:rPr>
              <w:t>项目原料的输送和计量方式均</w:t>
            </w:r>
            <w:r>
              <w:rPr>
                <w:rFonts w:hint="default" w:ascii="Times New Roman" w:hAnsi="Times New Roman" w:eastAsia="宋体" w:cs="Times New Roman"/>
                <w:bCs/>
                <w:color w:val="auto"/>
                <w:sz w:val="24"/>
                <w:szCs w:val="24"/>
                <w:highlight w:val="none"/>
                <w:lang w:eastAsia="zh-CN"/>
              </w:rPr>
              <w:t>在</w:t>
            </w:r>
            <w:r>
              <w:rPr>
                <w:rFonts w:hint="default" w:ascii="Times New Roman" w:hAnsi="Times New Roman" w:eastAsia="宋体" w:cs="Times New Roman"/>
                <w:bCs/>
                <w:color w:val="auto"/>
                <w:sz w:val="24"/>
                <w:szCs w:val="24"/>
                <w:highlight w:val="none"/>
              </w:rPr>
              <w:t>封闭</w:t>
            </w:r>
            <w:r>
              <w:rPr>
                <w:rFonts w:hint="default" w:ascii="Times New Roman" w:hAnsi="Times New Roman" w:eastAsia="宋体" w:cs="Times New Roman"/>
                <w:bCs/>
                <w:color w:val="auto"/>
                <w:sz w:val="24"/>
                <w:szCs w:val="24"/>
                <w:highlight w:val="none"/>
                <w:lang w:eastAsia="zh-CN"/>
              </w:rPr>
              <w:t>状态进行</w:t>
            </w:r>
            <w:r>
              <w:rPr>
                <w:rFonts w:hint="default" w:ascii="Times New Roman" w:hAnsi="Times New Roman" w:eastAsia="宋体" w:cs="Times New Roman"/>
                <w:bCs/>
                <w:color w:val="auto"/>
                <w:sz w:val="24"/>
                <w:szCs w:val="24"/>
                <w:highlight w:val="none"/>
              </w:rPr>
              <w:t>，粉尘的逸散位置主要为输送带的进口位置。</w:t>
            </w:r>
          </w:p>
          <w:p w14:paraId="710875D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石装载、</w:t>
            </w:r>
            <w:r>
              <w:rPr>
                <w:rFonts w:hint="default" w:ascii="Times New Roman" w:hAnsi="Times New Roman" w:eastAsia="宋体" w:cs="Times New Roman"/>
                <w:bCs/>
                <w:color w:val="auto"/>
                <w:sz w:val="24"/>
                <w:szCs w:val="24"/>
                <w:highlight w:val="none"/>
                <w:lang w:eastAsia="zh-CN"/>
              </w:rPr>
              <w:t>砂</w:t>
            </w:r>
            <w:r>
              <w:rPr>
                <w:rFonts w:hint="default" w:ascii="Times New Roman" w:hAnsi="Times New Roman" w:eastAsia="宋体" w:cs="Times New Roman"/>
                <w:color w:val="auto"/>
                <w:sz w:val="24"/>
                <w:szCs w:val="24"/>
                <w:highlight w:val="none"/>
                <w:lang w:val="en-US" w:eastAsia="zh-CN"/>
              </w:rPr>
              <w:t>装载等工序均属于物料运输工段的内容。根据《逸散性工业粉尘控制技术》第二十二章混凝土分批搅拌厂逸散尘排放因子中，转运砂和粒料至高架贮仓产污系数为0.02kg/t（搬运料），项目</w:t>
            </w:r>
            <w:r>
              <w:rPr>
                <w:rFonts w:hint="default" w:ascii="Times New Roman" w:hAnsi="Times New Roman" w:eastAsia="宋体" w:cs="Times New Roman"/>
                <w:bCs/>
                <w:color w:val="auto"/>
                <w:sz w:val="24"/>
                <w:szCs w:val="24"/>
                <w:highlight w:val="none"/>
                <w:lang w:eastAsia="zh-CN"/>
              </w:rPr>
              <w:t>砂</w:t>
            </w:r>
            <w:r>
              <w:rPr>
                <w:rFonts w:hint="default" w:ascii="Times New Roman" w:hAnsi="Times New Roman" w:eastAsia="宋体" w:cs="Times New Roman"/>
                <w:color w:val="auto"/>
                <w:sz w:val="24"/>
                <w:szCs w:val="24"/>
                <w:highlight w:val="none"/>
                <w:lang w:val="en-US" w:eastAsia="zh-CN"/>
              </w:rPr>
              <w:t>和碎石总用量合计为</w:t>
            </w:r>
            <w:r>
              <w:rPr>
                <w:rFonts w:hint="default" w:ascii="Times New Roman" w:hAnsi="Times New Roman" w:eastAsia="宋体" w:cs="Times New Roman"/>
                <w:b w:val="0"/>
                <w:bCs w:val="0"/>
                <w:color w:val="auto"/>
                <w:kern w:val="0"/>
                <w:sz w:val="24"/>
                <w:szCs w:val="24"/>
                <w:highlight w:val="none"/>
                <w:lang w:val="en-US" w:eastAsia="zh-CN" w:bidi="ar"/>
              </w:rPr>
              <w:t>381000</w:t>
            </w:r>
            <w:r>
              <w:rPr>
                <w:rFonts w:hint="default" w:ascii="Times New Roman" w:hAnsi="Times New Roman" w:eastAsia="宋体" w:cs="Times New Roman"/>
                <w:color w:val="auto"/>
                <w:sz w:val="24"/>
                <w:szCs w:val="24"/>
                <w:highlight w:val="none"/>
                <w:lang w:val="en-US" w:eastAsia="zh-CN"/>
              </w:rPr>
              <w:t>t/a，项目砂石物料输送年工作300天，每天12h，年工作3600h。故物料输送粉尘产生量为7.62t/a（2.117kg/h）。</w:t>
            </w:r>
          </w:p>
          <w:p w14:paraId="449157CD">
            <w:pPr>
              <w:adjustRightInd w:val="0"/>
              <w:snapToGrid w:val="0"/>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项目石装载工序、沙装载工序过程在原材料堆场内进行，建设单位拟将原料堆场设置为封闭式结构，堆场顶部设置遮雨棚，周围进行封闭处理，硬底化建设，并对物料堆场进行洒水降尘；在物料加注口设置阻尘板，输送皮带除留出物料进、出口外，其余各面均围挡封闭进行密闭运输，根据《逸散性工业粉尘控制技术》转运砂和粒料至高架贮箱过程中“封闭”控制效率为99%，未收集控制部分约为1%，即为</w:t>
            </w:r>
            <w:r>
              <w:rPr>
                <w:rFonts w:hint="eastAsia" w:ascii="Times New Roman" w:hAnsi="Times New Roman" w:eastAsia="宋体" w:cs="Times New Roman"/>
                <w:color w:val="auto"/>
                <w:sz w:val="24"/>
                <w:szCs w:val="24"/>
                <w:highlight w:val="none"/>
                <w:lang w:val="en-US" w:eastAsia="zh-CN"/>
              </w:rPr>
              <w:t>0.076</w:t>
            </w:r>
            <w:r>
              <w:rPr>
                <w:rFonts w:hint="default" w:ascii="Times New Roman" w:hAnsi="Times New Roman" w:eastAsia="宋体" w:cs="Times New Roman"/>
                <w:color w:val="auto"/>
                <w:sz w:val="24"/>
                <w:szCs w:val="24"/>
                <w:highlight w:val="none"/>
                <w:lang w:val="en-US" w:eastAsia="zh-CN"/>
              </w:rPr>
              <w:t>t/a（0.</w:t>
            </w:r>
            <w:r>
              <w:rPr>
                <w:rFonts w:hint="eastAsia" w:ascii="Times New Roman" w:hAnsi="Times New Roman" w:eastAsia="宋体" w:cs="Times New Roman"/>
                <w:color w:val="auto"/>
                <w:sz w:val="24"/>
                <w:szCs w:val="24"/>
                <w:highlight w:val="none"/>
                <w:lang w:val="en-US" w:eastAsia="zh-CN"/>
              </w:rPr>
              <w:t>0</w:t>
            </w:r>
            <w:r>
              <w:rPr>
                <w:rFonts w:hint="default" w:ascii="Times New Roman" w:hAnsi="Times New Roman" w:eastAsia="宋体" w:cs="Times New Roman"/>
                <w:color w:val="auto"/>
                <w:sz w:val="24"/>
                <w:szCs w:val="24"/>
                <w:highlight w:val="none"/>
                <w:lang w:val="en-US" w:eastAsia="zh-CN"/>
              </w:rPr>
              <w:t>21kg/h），建设单位拟采用喷嘴对上料区进行喷雾降尘无组织排放。</w:t>
            </w:r>
          </w:p>
          <w:p w14:paraId="4D58700C">
            <w:pPr>
              <w:keepNext w:val="0"/>
              <w:keepLines w:val="0"/>
              <w:pageBreakBefore w:val="0"/>
              <w:widowControl w:val="0"/>
              <w:kinsoku/>
              <w:wordWrap/>
              <w:overflowPunct/>
              <w:topLinePunct w:val="0"/>
              <w:bidi w:val="0"/>
              <w:adjustRightInd w:val="0"/>
              <w:snapToGrid w:val="0"/>
              <w:spacing w:line="360" w:lineRule="auto"/>
              <w:ind w:firstLine="440" w:firstLineChars="200"/>
              <w:jc w:val="left"/>
              <w:rPr>
                <w:rFonts w:hint="default" w:ascii="Times New Roman" w:hAnsi="Times New Roman" w:cs="Times New Roman"/>
                <w:bCs/>
                <w:color w:val="auto"/>
                <w:spacing w:val="-10"/>
                <w:sz w:val="24"/>
                <w:highlight w:val="none"/>
              </w:rPr>
            </w:pPr>
            <w:r>
              <w:rPr>
                <w:rFonts w:hint="default" w:ascii="Times New Roman" w:hAnsi="Times New Roman" w:cs="Times New Roman"/>
                <w:bCs/>
                <w:color w:val="auto"/>
                <w:spacing w:val="-10"/>
                <w:sz w:val="24"/>
                <w:szCs w:val="24"/>
                <w:highlight w:val="none"/>
                <w:lang w:val="en-US" w:eastAsia="zh-CN"/>
              </w:rPr>
              <w:t>1.1.6</w:t>
            </w:r>
            <w:r>
              <w:rPr>
                <w:rFonts w:hint="default" w:ascii="Times New Roman" w:hAnsi="Times New Roman" w:cs="Times New Roman"/>
                <w:bCs/>
                <w:color w:val="auto"/>
                <w:spacing w:val="-10"/>
                <w:sz w:val="24"/>
                <w:highlight w:val="none"/>
              </w:rPr>
              <w:t>焊接烟尘</w:t>
            </w:r>
          </w:p>
          <w:p w14:paraId="0D34B7ED">
            <w:pPr>
              <w:pStyle w:val="43"/>
              <w:keepNext w:val="0"/>
              <w:keepLines w:val="0"/>
              <w:pageBreakBefore w:val="0"/>
              <w:widowControl w:val="0"/>
              <w:kinsoku/>
              <w:wordWrap/>
              <w:overflowPunct/>
              <w:topLinePunct w:val="0"/>
              <w:bidi w:val="0"/>
              <w:adjustRightInd w:val="0"/>
              <w:snapToGrid w:val="0"/>
              <w:spacing w:line="360" w:lineRule="auto"/>
              <w:ind w:firstLine="480" w:firstLineChars="200"/>
              <w:rPr>
                <w:rFonts w:hint="default" w:ascii="Times New Roman" w:hAnsi="Times New Roman" w:eastAsia="宋体" w:cs="Times New Roman"/>
                <w:b w:val="0"/>
                <w:bCs/>
                <w:color w:val="auto"/>
                <w:kern w:val="2"/>
                <w:sz w:val="24"/>
                <w:szCs w:val="24"/>
                <w:highlight w:val="none"/>
                <w:lang w:val="en-US" w:eastAsia="zh-CN" w:bidi="ar-SA"/>
              </w:rPr>
            </w:pPr>
            <w:r>
              <w:rPr>
                <w:rFonts w:hint="default" w:ascii="Times New Roman" w:hAnsi="Times New Roman" w:eastAsia="宋体" w:cs="Times New Roman"/>
                <w:b w:val="0"/>
                <w:bCs/>
                <w:color w:val="auto"/>
                <w:kern w:val="2"/>
                <w:sz w:val="24"/>
                <w:szCs w:val="24"/>
                <w:highlight w:val="none"/>
                <w:lang w:val="en-US" w:eastAsia="zh-CN" w:bidi="ar-SA"/>
              </w:rPr>
              <w:t>参照《不同焊接工艺的焊接烟尘污染特征（郭永葆）》资料，项目使用</w:t>
            </w:r>
            <w:r>
              <w:rPr>
                <w:rFonts w:hint="eastAsia" w:ascii="Times New Roman" w:cs="Times New Roman"/>
                <w:b w:val="0"/>
                <w:bCs/>
                <w:color w:val="auto"/>
                <w:kern w:val="2"/>
                <w:sz w:val="24"/>
                <w:szCs w:val="24"/>
                <w:highlight w:val="none"/>
                <w:lang w:val="en-US" w:eastAsia="zh-CN" w:bidi="ar-SA"/>
              </w:rPr>
              <w:t>无铅实心焊丝</w:t>
            </w:r>
            <w:r>
              <w:rPr>
                <w:rFonts w:hint="default" w:ascii="Times New Roman" w:hAnsi="Times New Roman" w:eastAsia="宋体" w:cs="Times New Roman"/>
                <w:b w:val="0"/>
                <w:bCs/>
                <w:color w:val="auto"/>
                <w:kern w:val="2"/>
                <w:sz w:val="24"/>
                <w:szCs w:val="24"/>
                <w:highlight w:val="none"/>
                <w:lang w:val="en-US" w:eastAsia="zh-CN" w:bidi="ar-SA"/>
              </w:rPr>
              <w:t>属于闪光焊，施焊时有强紫外线产生。可焊接不锈钢、合金钢、铜、铝等。分为非熔化极氩弧焊（钨极氩弧焊）与熔化极氩弧焊（采用</w:t>
            </w:r>
            <w:r>
              <w:rPr>
                <w:rFonts w:hint="eastAsia" w:ascii="Times New Roman" w:cs="Times New Roman"/>
                <w:b w:val="0"/>
                <w:bCs/>
                <w:color w:val="auto"/>
                <w:kern w:val="2"/>
                <w:sz w:val="24"/>
                <w:szCs w:val="24"/>
                <w:highlight w:val="none"/>
                <w:lang w:val="en-US" w:eastAsia="zh-CN" w:bidi="ar-SA"/>
              </w:rPr>
              <w:t>实心焊丝</w:t>
            </w:r>
            <w:r>
              <w:rPr>
                <w:rFonts w:hint="default" w:ascii="Times New Roman" w:hAnsi="Times New Roman" w:eastAsia="宋体" w:cs="Times New Roman"/>
                <w:b w:val="0"/>
                <w:bCs/>
                <w:color w:val="auto"/>
                <w:kern w:val="2"/>
                <w:sz w:val="24"/>
                <w:szCs w:val="24"/>
                <w:highlight w:val="none"/>
                <w:lang w:val="en-US" w:eastAsia="zh-CN" w:bidi="ar-SA"/>
              </w:rPr>
              <w:t>，保护气体为CO</w:t>
            </w:r>
            <w:r>
              <w:rPr>
                <w:rFonts w:hint="default" w:ascii="Times New Roman" w:hAnsi="Times New Roman" w:eastAsia="宋体" w:cs="Times New Roman"/>
                <w:b w:val="0"/>
                <w:bCs/>
                <w:color w:val="auto"/>
                <w:kern w:val="2"/>
                <w:sz w:val="24"/>
                <w:szCs w:val="24"/>
                <w:highlight w:val="none"/>
                <w:vertAlign w:val="subscript"/>
                <w:lang w:val="en-US" w:eastAsia="zh-CN" w:bidi="ar-SA"/>
              </w:rPr>
              <w:t>2</w:t>
            </w:r>
            <w:r>
              <w:rPr>
                <w:rFonts w:hint="default" w:ascii="Times New Roman" w:hAnsi="Times New Roman" w:eastAsia="宋体" w:cs="Times New Roman"/>
                <w:b w:val="0"/>
                <w:bCs/>
                <w:color w:val="auto"/>
                <w:kern w:val="2"/>
                <w:sz w:val="24"/>
                <w:szCs w:val="24"/>
                <w:highlight w:val="none"/>
                <w:lang w:val="en-US" w:eastAsia="zh-CN" w:bidi="ar-SA"/>
              </w:rPr>
              <w:t>气体）。对于常用的熔化极氩弧焊，</w:t>
            </w:r>
            <w:r>
              <w:rPr>
                <w:rFonts w:hint="eastAsia" w:ascii="Times New Roman" w:cs="Times New Roman"/>
                <w:b w:val="0"/>
                <w:bCs/>
                <w:color w:val="auto"/>
                <w:kern w:val="2"/>
                <w:sz w:val="24"/>
                <w:szCs w:val="24"/>
                <w:highlight w:val="none"/>
                <w:lang w:val="en-US" w:eastAsia="zh-CN" w:bidi="ar-SA"/>
              </w:rPr>
              <w:t>实心焊丝</w:t>
            </w:r>
            <w:r>
              <w:rPr>
                <w:rFonts w:hint="default" w:ascii="Times New Roman" w:hAnsi="Times New Roman" w:eastAsia="宋体" w:cs="Times New Roman"/>
                <w:b w:val="0"/>
                <w:bCs/>
                <w:color w:val="auto"/>
                <w:kern w:val="2"/>
                <w:sz w:val="24"/>
                <w:szCs w:val="24"/>
                <w:highlight w:val="none"/>
                <w:lang w:val="en-US" w:eastAsia="zh-CN" w:bidi="ar-SA"/>
              </w:rPr>
              <w:t>直径为φ1.6，施焊时发尘量为100～200mg/min，焊接材料的发尘量为2～5g/kg。施焊时发尘量取为200mg/min，焊接材料的发尘量取为5g/kg，本项目无铅</w:t>
            </w:r>
            <w:r>
              <w:rPr>
                <w:rFonts w:hint="default" w:ascii="Times New Roman" w:hAnsi="Times New Roman" w:cs="Times New Roman"/>
                <w:b w:val="0"/>
                <w:bCs/>
                <w:color w:val="auto"/>
                <w:kern w:val="2"/>
                <w:sz w:val="24"/>
                <w:szCs w:val="24"/>
                <w:highlight w:val="none"/>
                <w:lang w:val="en-US" w:eastAsia="zh-CN" w:bidi="ar-SA"/>
              </w:rPr>
              <w:t>实心</w:t>
            </w:r>
            <w:r>
              <w:rPr>
                <w:rFonts w:hint="default" w:ascii="Times New Roman" w:hAnsi="Times New Roman" w:eastAsia="宋体" w:cs="Times New Roman"/>
                <w:b w:val="0"/>
                <w:bCs/>
                <w:color w:val="auto"/>
                <w:kern w:val="2"/>
                <w:sz w:val="24"/>
                <w:szCs w:val="24"/>
                <w:highlight w:val="none"/>
                <w:lang w:val="en-US" w:eastAsia="zh-CN" w:bidi="ar-SA"/>
              </w:rPr>
              <w:t>焊丝的使用量为</w:t>
            </w:r>
            <w:r>
              <w:rPr>
                <w:rFonts w:hint="default" w:ascii="Times New Roman" w:hAnsi="Times New Roman" w:cs="Times New Roman"/>
                <w:b w:val="0"/>
                <w:bCs/>
                <w:color w:val="auto"/>
                <w:kern w:val="2"/>
                <w:sz w:val="24"/>
                <w:szCs w:val="24"/>
                <w:highlight w:val="none"/>
                <w:lang w:val="en-US" w:eastAsia="zh-CN" w:bidi="ar-SA"/>
              </w:rPr>
              <w:t>4</w:t>
            </w:r>
            <w:r>
              <w:rPr>
                <w:rFonts w:hint="default" w:ascii="Times New Roman" w:hAnsi="Times New Roman" w:eastAsia="宋体" w:cs="Times New Roman"/>
                <w:b w:val="0"/>
                <w:bCs/>
                <w:color w:val="auto"/>
                <w:kern w:val="2"/>
                <w:sz w:val="24"/>
                <w:szCs w:val="24"/>
                <w:highlight w:val="none"/>
                <w:lang w:val="en-US" w:eastAsia="zh-CN" w:bidi="ar-SA"/>
              </w:rPr>
              <w:t>t/a，</w:t>
            </w:r>
            <w:r>
              <w:rPr>
                <w:rFonts w:hint="default" w:ascii="Times New Roman" w:hAnsi="Times New Roman" w:cs="Times New Roman"/>
                <w:b w:val="0"/>
                <w:bCs/>
                <w:color w:val="auto"/>
                <w:kern w:val="2"/>
                <w:sz w:val="24"/>
                <w:szCs w:val="24"/>
                <w:highlight w:val="none"/>
                <w:lang w:val="en-US" w:eastAsia="zh-CN" w:bidi="ar-SA"/>
              </w:rPr>
              <w:t>项目焊接年工作300d，每天工作12h，年工作3600h。</w:t>
            </w:r>
            <w:r>
              <w:rPr>
                <w:rFonts w:hint="default" w:ascii="Times New Roman" w:hAnsi="Times New Roman" w:eastAsia="宋体" w:cs="Times New Roman"/>
                <w:b w:val="0"/>
                <w:bCs/>
                <w:color w:val="auto"/>
                <w:kern w:val="2"/>
                <w:sz w:val="24"/>
                <w:szCs w:val="24"/>
                <w:highlight w:val="none"/>
                <w:lang w:val="en-US" w:eastAsia="zh-CN" w:bidi="ar-SA"/>
              </w:rPr>
              <w:t>则焊接</w:t>
            </w:r>
            <w:r>
              <w:rPr>
                <w:rFonts w:hint="eastAsia" w:ascii="Times New Roman" w:cs="Times New Roman"/>
                <w:b w:val="0"/>
                <w:bCs/>
                <w:color w:val="auto"/>
                <w:kern w:val="2"/>
                <w:sz w:val="24"/>
                <w:szCs w:val="24"/>
                <w:highlight w:val="none"/>
                <w:lang w:val="en-US" w:eastAsia="zh-CN" w:bidi="ar-SA"/>
              </w:rPr>
              <w:t>时施焊烟尘量为0.043t/a（0.012kg/h），焊接材料焊接</w:t>
            </w:r>
            <w:r>
              <w:rPr>
                <w:rFonts w:hint="default" w:ascii="Times New Roman" w:hAnsi="Times New Roman" w:eastAsia="宋体" w:cs="Times New Roman"/>
                <w:b w:val="0"/>
                <w:bCs/>
                <w:color w:val="auto"/>
                <w:kern w:val="2"/>
                <w:sz w:val="24"/>
                <w:szCs w:val="24"/>
                <w:highlight w:val="none"/>
                <w:lang w:val="en-US" w:eastAsia="zh-CN" w:bidi="ar-SA"/>
              </w:rPr>
              <w:t>烟尘产生量为0.02t/a（0.006kg/h），</w:t>
            </w:r>
            <w:r>
              <w:rPr>
                <w:rFonts w:hint="eastAsia" w:ascii="Times New Roman" w:cs="Times New Roman"/>
                <w:b w:val="0"/>
                <w:bCs/>
                <w:color w:val="auto"/>
                <w:kern w:val="2"/>
                <w:sz w:val="24"/>
                <w:szCs w:val="24"/>
                <w:highlight w:val="none"/>
                <w:lang w:val="en-US" w:eastAsia="zh-CN" w:bidi="ar-SA"/>
              </w:rPr>
              <w:t>则焊接环节烟尘总产生量为0.063t/a（0.018kg/h）。</w:t>
            </w:r>
            <w:r>
              <w:rPr>
                <w:rFonts w:hint="default" w:ascii="Times New Roman" w:hAnsi="Times New Roman" w:eastAsia="宋体" w:cs="Times New Roman"/>
                <w:b w:val="0"/>
                <w:bCs/>
                <w:color w:val="auto"/>
                <w:kern w:val="2"/>
                <w:sz w:val="24"/>
                <w:szCs w:val="24"/>
                <w:highlight w:val="none"/>
                <w:lang w:val="en-US" w:eastAsia="zh-CN" w:bidi="ar-SA"/>
              </w:rPr>
              <w:t>移动式烟尘净化器总控制风量约为</w:t>
            </w:r>
            <w:r>
              <w:rPr>
                <w:rFonts w:hint="default" w:ascii="Times New Roman" w:hAnsi="Times New Roman" w:cs="Times New Roman"/>
                <w:b w:val="0"/>
                <w:bCs/>
                <w:color w:val="auto"/>
                <w:kern w:val="2"/>
                <w:sz w:val="24"/>
                <w:szCs w:val="24"/>
                <w:highlight w:val="none"/>
                <w:lang w:val="en-US" w:eastAsia="zh-CN" w:bidi="ar-SA"/>
              </w:rPr>
              <w:t>3</w:t>
            </w:r>
            <w:r>
              <w:rPr>
                <w:rFonts w:hint="default" w:ascii="Times New Roman" w:hAnsi="Times New Roman" w:eastAsia="宋体" w:cs="Times New Roman"/>
                <w:b w:val="0"/>
                <w:bCs/>
                <w:color w:val="auto"/>
                <w:kern w:val="2"/>
                <w:sz w:val="24"/>
                <w:szCs w:val="24"/>
                <w:highlight w:val="none"/>
                <w:lang w:val="en-US" w:eastAsia="zh-CN" w:bidi="ar-SA"/>
              </w:rPr>
              <w:t>000</w:t>
            </w:r>
            <w:r>
              <w:rPr>
                <w:rFonts w:hint="default" w:ascii="Times New Roman" w:hAnsi="Times New Roman" w:eastAsia="宋体" w:cs="Times New Roman"/>
                <w:color w:val="auto"/>
                <w:kern w:val="2"/>
                <w:sz w:val="24"/>
                <w:szCs w:val="24"/>
                <w:highlight w:val="none"/>
                <w:lang w:eastAsia="zh-CN"/>
              </w:rPr>
              <w:t>m</w:t>
            </w:r>
            <w:r>
              <w:rPr>
                <w:rFonts w:hint="default" w:ascii="Times New Roman" w:hAnsi="Times New Roman" w:eastAsia="宋体" w:cs="Times New Roman"/>
                <w:color w:val="auto"/>
                <w:kern w:val="2"/>
                <w:sz w:val="24"/>
                <w:szCs w:val="24"/>
                <w:highlight w:val="none"/>
                <w:vertAlign w:val="superscript"/>
                <w:lang w:eastAsia="zh-CN"/>
              </w:rPr>
              <w:t>3</w:t>
            </w:r>
            <w:r>
              <w:rPr>
                <w:rFonts w:hint="default" w:ascii="Times New Roman" w:hAnsi="Times New Roman" w:eastAsia="宋体" w:cs="Times New Roman"/>
                <w:color w:val="auto"/>
                <w:kern w:val="2"/>
                <w:sz w:val="24"/>
                <w:szCs w:val="24"/>
                <w:highlight w:val="none"/>
                <w:lang w:eastAsia="zh-CN"/>
              </w:rPr>
              <w:t>/h</w:t>
            </w:r>
            <w:r>
              <w:rPr>
                <w:rFonts w:hint="default" w:ascii="Times New Roman" w:hAnsi="Times New Roman" w:eastAsia="宋体" w:cs="Times New Roman"/>
                <w:b w:val="0"/>
                <w:bCs/>
                <w:color w:val="auto"/>
                <w:kern w:val="2"/>
                <w:sz w:val="24"/>
                <w:szCs w:val="24"/>
                <w:highlight w:val="none"/>
                <w:lang w:val="en-US" w:eastAsia="zh-CN" w:bidi="ar-SA"/>
              </w:rPr>
              <w:t>。</w:t>
            </w:r>
          </w:p>
          <w:p w14:paraId="69FDB154">
            <w:pPr>
              <w:adjustRightInd w:val="0"/>
              <w:snapToGrid w:val="0"/>
              <w:spacing w:line="360" w:lineRule="auto"/>
              <w:ind w:firstLine="480" w:firstLineChars="200"/>
              <w:jc w:val="left"/>
              <w:rPr>
                <w:rFonts w:hint="default" w:ascii="Times New Roman" w:hAnsi="Times New Roman" w:eastAsia="宋体" w:cs="Times New Roman"/>
                <w:b w:val="0"/>
                <w:bCs/>
                <w:color w:val="auto"/>
                <w:kern w:val="2"/>
                <w:sz w:val="24"/>
                <w:szCs w:val="24"/>
                <w:highlight w:val="none"/>
                <w:lang w:val="en-US" w:eastAsia="zh-CN" w:bidi="ar-SA"/>
              </w:rPr>
            </w:pPr>
            <w:r>
              <w:rPr>
                <w:rFonts w:hint="default" w:ascii="Times New Roman" w:hAnsi="Times New Roman" w:eastAsia="宋体" w:cs="Times New Roman"/>
                <w:b w:val="0"/>
                <w:bCs/>
                <w:color w:val="auto"/>
                <w:kern w:val="2"/>
                <w:sz w:val="24"/>
                <w:szCs w:val="24"/>
                <w:highlight w:val="none"/>
                <w:lang w:val="en-US" w:eastAsia="zh-CN" w:bidi="ar-SA"/>
              </w:rPr>
              <w:t>1.1.7汽车动力扬尘</w:t>
            </w:r>
          </w:p>
          <w:p w14:paraId="5C83F889">
            <w:pP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eastAsia="zh-CN"/>
              </w:rPr>
              <w:t>项目</w:t>
            </w:r>
            <w:r>
              <w:rPr>
                <w:rFonts w:hint="default" w:ascii="Times New Roman" w:hAnsi="Times New Roman" w:cs="Times New Roman"/>
                <w:color w:val="auto"/>
                <w:sz w:val="24"/>
                <w:szCs w:val="24"/>
                <w:highlight w:val="none"/>
              </w:rPr>
              <w:t>厂区道路地面进行硬底化，车辆行驶产生的扬尘，在道路完全干燥的情况下，根据《汽车道路煤扬尘规律研究》（朱景韩</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韩健国、何建国</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上海港环境保护中心</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俞济清、韩久端、楼宇娟（武汉水运工程学院）</w:t>
            </w:r>
            <w:r>
              <w:rPr>
                <w:rFonts w:hint="default" w:ascii="Times New Roman" w:hAnsi="Times New Roman" w:cs="Times New Roman"/>
                <w:color w:val="auto"/>
                <w:sz w:val="24"/>
                <w:szCs w:val="24"/>
                <w:highlight w:val="none"/>
              </w:rPr>
              <w:t>），可按下列经验公式计算：</w:t>
            </w:r>
          </w:p>
          <w:p w14:paraId="4970C4AC">
            <w:pPr>
              <w:adjustRightInd w:val="0"/>
              <w:snapToGrid w:val="0"/>
              <w:spacing w:line="360" w:lineRule="auto"/>
              <w:jc w:val="center"/>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Q=0.123（V/5）(W/6.8)</w:t>
            </w:r>
            <w:r>
              <w:rPr>
                <w:rFonts w:hint="default" w:ascii="Times New Roman" w:hAnsi="Times New Roman" w:cs="Times New Roman"/>
                <w:color w:val="auto"/>
                <w:sz w:val="24"/>
                <w:szCs w:val="24"/>
                <w:highlight w:val="none"/>
                <w:vertAlign w:val="superscript"/>
                <w:lang w:val="en-US" w:eastAsia="zh-CN"/>
              </w:rPr>
              <w:t>0.85</w:t>
            </w:r>
            <w:r>
              <w:rPr>
                <w:rFonts w:hint="default" w:ascii="Times New Roman" w:hAnsi="Times New Roman" w:cs="Times New Roman"/>
                <w:color w:val="auto"/>
                <w:sz w:val="24"/>
                <w:szCs w:val="24"/>
                <w:highlight w:val="none"/>
                <w:lang w:val="en-US" w:eastAsia="zh-CN"/>
              </w:rPr>
              <w:t>(P/0.5)</w:t>
            </w:r>
            <w:r>
              <w:rPr>
                <w:rFonts w:hint="default" w:ascii="Times New Roman" w:hAnsi="Times New Roman" w:cs="Times New Roman"/>
                <w:color w:val="auto"/>
                <w:sz w:val="24"/>
                <w:szCs w:val="24"/>
                <w:highlight w:val="none"/>
                <w:vertAlign w:val="superscript"/>
                <w:lang w:val="en-US" w:eastAsia="zh-CN"/>
              </w:rPr>
              <w:t>0.72</w:t>
            </w:r>
          </w:p>
          <w:p w14:paraId="0035455A">
            <w:pP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式中：Q--汽车行驶时的扬尘，kg/km·车辆；</w:t>
            </w:r>
          </w:p>
          <w:p w14:paraId="7B340ED3">
            <w:pPr>
              <w:adjustRightInd w:val="0"/>
              <w:snapToGrid w:val="0"/>
              <w:spacing w:line="360" w:lineRule="auto"/>
              <w:ind w:firstLine="1200" w:firstLineChars="5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V--汽车速度，km/h；</w:t>
            </w:r>
          </w:p>
          <w:p w14:paraId="03D238F4">
            <w:pPr>
              <w:adjustRightInd w:val="0"/>
              <w:snapToGrid w:val="0"/>
              <w:spacing w:line="360" w:lineRule="auto"/>
              <w:ind w:firstLine="1200" w:firstLineChars="5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W--汽车载重量，吨；</w:t>
            </w:r>
          </w:p>
          <w:p w14:paraId="6F134C69">
            <w:pPr>
              <w:adjustRightInd w:val="0"/>
              <w:snapToGrid w:val="0"/>
              <w:spacing w:line="360" w:lineRule="auto"/>
              <w:ind w:firstLine="1200" w:firstLineChars="5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P--道路表面粉尘量，kg/m</w:t>
            </w:r>
            <w:r>
              <w:rPr>
                <w:rFonts w:hint="default" w:ascii="Times New Roman" w:hAnsi="Times New Roman" w:cs="Times New Roman"/>
                <w:color w:val="auto"/>
                <w:sz w:val="24"/>
                <w:szCs w:val="24"/>
                <w:highlight w:val="none"/>
                <w:vertAlign w:val="superscript"/>
              </w:rPr>
              <w:t>2</w:t>
            </w:r>
            <w:r>
              <w:rPr>
                <w:rFonts w:hint="default" w:ascii="Times New Roman" w:hAnsi="Times New Roman" w:cs="Times New Roman"/>
                <w:color w:val="auto"/>
                <w:sz w:val="24"/>
                <w:szCs w:val="24"/>
                <w:highlight w:val="none"/>
              </w:rPr>
              <w:t>。</w:t>
            </w:r>
          </w:p>
          <w:p w14:paraId="03D797D5">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auto"/>
                <w:kern w:val="2"/>
                <w:sz w:val="24"/>
                <w:szCs w:val="24"/>
                <w:highlight w:val="none"/>
                <w:lang w:eastAsia="zh-CN"/>
              </w:rPr>
            </w:pPr>
            <w:r>
              <w:rPr>
                <w:rFonts w:hint="default" w:ascii="Times New Roman" w:hAnsi="Times New Roman" w:eastAsia="宋体" w:cs="Times New Roman"/>
                <w:color w:val="auto"/>
                <w:kern w:val="2"/>
                <w:sz w:val="24"/>
                <w:szCs w:val="24"/>
                <w:highlight w:val="none"/>
                <w:lang w:val="en-US" w:eastAsia="zh-CN"/>
              </w:rPr>
              <w:t>项目营运期对厂内运输道路进行硬化，</w:t>
            </w:r>
            <w:r>
              <w:rPr>
                <w:rFonts w:hint="default" w:ascii="Times New Roman" w:hAnsi="Times New Roman" w:eastAsia="宋体" w:cs="Times New Roman"/>
                <w:color w:val="auto"/>
                <w:kern w:val="2"/>
                <w:sz w:val="24"/>
                <w:szCs w:val="24"/>
                <w:highlight w:val="none"/>
              </w:rPr>
              <w:t>本</w:t>
            </w:r>
            <w:r>
              <w:rPr>
                <w:rFonts w:hint="default" w:ascii="Times New Roman" w:hAnsi="Times New Roman" w:eastAsia="宋体" w:cs="Times New Roman"/>
                <w:color w:val="auto"/>
                <w:kern w:val="2"/>
                <w:sz w:val="24"/>
                <w:szCs w:val="24"/>
                <w:highlight w:val="none"/>
                <w:lang w:eastAsia="zh-CN"/>
              </w:rPr>
              <w:t>项目</w:t>
            </w:r>
            <w:r>
              <w:rPr>
                <w:rFonts w:hint="default" w:ascii="Times New Roman" w:hAnsi="Times New Roman" w:eastAsia="宋体" w:cs="Times New Roman"/>
                <w:color w:val="auto"/>
                <w:kern w:val="2"/>
                <w:sz w:val="24"/>
                <w:szCs w:val="24"/>
                <w:highlight w:val="none"/>
              </w:rPr>
              <w:t>车辆在</w:t>
            </w:r>
            <w:r>
              <w:rPr>
                <w:rFonts w:hint="default" w:ascii="Times New Roman" w:hAnsi="Times New Roman" w:eastAsia="宋体" w:cs="Times New Roman"/>
                <w:color w:val="auto"/>
                <w:kern w:val="2"/>
                <w:sz w:val="24"/>
                <w:szCs w:val="24"/>
                <w:highlight w:val="none"/>
                <w:lang w:eastAsia="zh-CN"/>
              </w:rPr>
              <w:t>厂区</w:t>
            </w:r>
            <w:r>
              <w:rPr>
                <w:rFonts w:hint="default" w:ascii="Times New Roman" w:hAnsi="Times New Roman" w:eastAsia="宋体" w:cs="Times New Roman"/>
                <w:color w:val="auto"/>
                <w:kern w:val="2"/>
                <w:sz w:val="24"/>
                <w:szCs w:val="24"/>
                <w:highlight w:val="none"/>
              </w:rPr>
              <w:t>行驶距离按</w:t>
            </w:r>
            <w:r>
              <w:rPr>
                <w:rFonts w:hint="default" w:ascii="Times New Roman" w:hAnsi="Times New Roman" w:eastAsia="宋体" w:cs="Times New Roman"/>
                <w:color w:val="auto"/>
                <w:kern w:val="2"/>
                <w:sz w:val="24"/>
                <w:szCs w:val="24"/>
                <w:highlight w:val="none"/>
                <w:lang w:val="en-US" w:eastAsia="zh-CN"/>
              </w:rPr>
              <w:t>100</w:t>
            </w:r>
            <w:r>
              <w:rPr>
                <w:rFonts w:hint="default" w:ascii="Times New Roman" w:hAnsi="Times New Roman" w:eastAsia="宋体" w:cs="Times New Roman"/>
                <w:color w:val="auto"/>
                <w:kern w:val="2"/>
                <w:sz w:val="24"/>
                <w:szCs w:val="24"/>
                <w:highlight w:val="none"/>
              </w:rPr>
              <w:t>m计，以速度</w:t>
            </w:r>
            <w:r>
              <w:rPr>
                <w:rFonts w:hint="default" w:ascii="Times New Roman" w:hAnsi="Times New Roman" w:eastAsia="宋体" w:cs="Times New Roman"/>
                <w:color w:val="auto"/>
                <w:kern w:val="2"/>
                <w:sz w:val="24"/>
                <w:szCs w:val="24"/>
                <w:highlight w:val="none"/>
                <w:lang w:val="en-US" w:eastAsia="zh-CN"/>
              </w:rPr>
              <w:t>1</w:t>
            </w:r>
            <w:r>
              <w:rPr>
                <w:rFonts w:hint="default" w:ascii="Times New Roman" w:hAnsi="Times New Roman" w:eastAsia="宋体" w:cs="Times New Roman"/>
                <w:color w:val="auto"/>
                <w:kern w:val="2"/>
                <w:sz w:val="24"/>
                <w:szCs w:val="24"/>
                <w:highlight w:val="none"/>
              </w:rPr>
              <w:t>0km/h行驶。项目车流量：项目砂石原料总运输量约为</w:t>
            </w:r>
            <w:r>
              <w:rPr>
                <w:rFonts w:hint="default" w:ascii="Times New Roman" w:hAnsi="Times New Roman" w:eastAsia="宋体" w:cs="Times New Roman"/>
                <w:color w:val="auto"/>
                <w:kern w:val="2"/>
                <w:sz w:val="24"/>
                <w:szCs w:val="24"/>
                <w:highlight w:val="none"/>
                <w:lang w:val="en-US" w:eastAsia="zh-CN"/>
              </w:rPr>
              <w:t>38.1万</w:t>
            </w:r>
            <w:r>
              <w:rPr>
                <w:rFonts w:hint="default" w:ascii="Times New Roman" w:hAnsi="Times New Roman" w:eastAsia="宋体" w:cs="Times New Roman"/>
                <w:b w:val="0"/>
                <w:bCs w:val="0"/>
                <w:color w:val="auto"/>
                <w:kern w:val="0"/>
                <w:sz w:val="24"/>
                <w:szCs w:val="24"/>
                <w:highlight w:val="none"/>
                <w:lang w:val="en-US" w:eastAsia="zh-CN" w:bidi="ar"/>
              </w:rPr>
              <w:t>吨/年</w:t>
            </w:r>
            <w:r>
              <w:rPr>
                <w:rFonts w:hint="default" w:ascii="Times New Roman" w:hAnsi="Times New Roman" w:eastAsia="宋体" w:cs="Times New Roman"/>
                <w:color w:val="auto"/>
                <w:kern w:val="2"/>
                <w:sz w:val="24"/>
                <w:szCs w:val="24"/>
                <w:highlight w:val="none"/>
              </w:rPr>
              <w:t>，运输车辆每次运输原料载重量</w:t>
            </w:r>
            <w:r>
              <w:rPr>
                <w:rFonts w:hint="default" w:ascii="Times New Roman" w:hAnsi="Times New Roman" w:eastAsia="宋体" w:cs="Times New Roman"/>
                <w:color w:val="auto"/>
                <w:kern w:val="2"/>
                <w:sz w:val="24"/>
                <w:szCs w:val="24"/>
                <w:highlight w:val="none"/>
                <w:lang w:val="en-US" w:eastAsia="zh-CN"/>
              </w:rPr>
              <w:t>32</w:t>
            </w:r>
            <w:r>
              <w:rPr>
                <w:rFonts w:hint="default" w:ascii="Times New Roman" w:hAnsi="Times New Roman" w:eastAsia="宋体" w:cs="Times New Roman"/>
                <w:color w:val="auto"/>
                <w:kern w:val="2"/>
                <w:sz w:val="24"/>
                <w:szCs w:val="24"/>
                <w:highlight w:val="none"/>
              </w:rPr>
              <w:t>t，空车重1</w:t>
            </w:r>
            <w:r>
              <w:rPr>
                <w:rFonts w:hint="default" w:ascii="Times New Roman" w:hAnsi="Times New Roman" w:eastAsia="宋体" w:cs="Times New Roman"/>
                <w:color w:val="auto"/>
                <w:kern w:val="2"/>
                <w:sz w:val="24"/>
                <w:szCs w:val="24"/>
                <w:highlight w:val="none"/>
                <w:lang w:val="en-US" w:eastAsia="zh-CN"/>
              </w:rPr>
              <w:t>5</w:t>
            </w:r>
            <w:r>
              <w:rPr>
                <w:rFonts w:hint="default" w:ascii="Times New Roman" w:hAnsi="Times New Roman" w:eastAsia="宋体" w:cs="Times New Roman"/>
                <w:color w:val="auto"/>
                <w:kern w:val="2"/>
                <w:sz w:val="24"/>
                <w:szCs w:val="24"/>
                <w:highlight w:val="none"/>
              </w:rPr>
              <w:t>t</w:t>
            </w:r>
            <w:r>
              <w:rPr>
                <w:rFonts w:hint="default" w:ascii="Times New Roman" w:hAnsi="Times New Roman" w:eastAsia="宋体" w:cs="Times New Roman"/>
                <w:color w:val="auto"/>
                <w:kern w:val="2"/>
                <w:sz w:val="24"/>
                <w:szCs w:val="24"/>
                <w:highlight w:val="none"/>
                <w:lang w:eastAsia="zh-CN"/>
              </w:rPr>
              <w:t>，</w:t>
            </w:r>
            <w:r>
              <w:rPr>
                <w:rFonts w:hint="default" w:ascii="Times New Roman" w:hAnsi="Times New Roman" w:eastAsia="宋体" w:cs="Times New Roman"/>
                <w:color w:val="auto"/>
                <w:kern w:val="2"/>
                <w:sz w:val="24"/>
                <w:szCs w:val="24"/>
                <w:highlight w:val="none"/>
                <w:lang w:val="en-US" w:eastAsia="zh-CN"/>
              </w:rPr>
              <w:t>则载重后重车重量为47t，</w:t>
            </w:r>
            <w:r>
              <w:rPr>
                <w:rFonts w:hint="default" w:ascii="Times New Roman" w:hAnsi="Times New Roman" w:eastAsia="宋体" w:cs="Times New Roman"/>
                <w:color w:val="auto"/>
                <w:kern w:val="2"/>
                <w:sz w:val="24"/>
                <w:szCs w:val="24"/>
                <w:highlight w:val="none"/>
              </w:rPr>
              <w:t>运输车辆年平均次数</w:t>
            </w:r>
            <w:r>
              <w:rPr>
                <w:rFonts w:hint="default" w:ascii="Times New Roman" w:hAnsi="Times New Roman" w:eastAsia="宋体" w:cs="Times New Roman"/>
                <w:color w:val="auto"/>
                <w:kern w:val="2"/>
                <w:sz w:val="24"/>
                <w:szCs w:val="24"/>
                <w:highlight w:val="none"/>
                <w:lang w:val="en-US" w:eastAsia="zh-CN"/>
              </w:rPr>
              <w:t>11906</w:t>
            </w:r>
            <w:r>
              <w:rPr>
                <w:rFonts w:hint="default" w:ascii="Times New Roman" w:hAnsi="Times New Roman" w:eastAsia="宋体" w:cs="Times New Roman"/>
                <w:color w:val="auto"/>
                <w:kern w:val="2"/>
                <w:sz w:val="24"/>
                <w:szCs w:val="24"/>
                <w:highlight w:val="none"/>
              </w:rPr>
              <w:t>次</w:t>
            </w:r>
            <w:r>
              <w:rPr>
                <w:rFonts w:hint="default" w:ascii="Times New Roman" w:hAnsi="Times New Roman" w:eastAsia="宋体" w:cs="Times New Roman"/>
                <w:color w:val="auto"/>
                <w:kern w:val="2"/>
                <w:sz w:val="24"/>
                <w:szCs w:val="24"/>
                <w:highlight w:val="none"/>
                <w:lang w:eastAsia="zh-CN"/>
              </w:rPr>
              <w:t>（</w:t>
            </w:r>
            <w:r>
              <w:rPr>
                <w:rFonts w:hint="default" w:ascii="Times New Roman" w:hAnsi="Times New Roman" w:eastAsia="宋体" w:cs="Times New Roman"/>
                <w:color w:val="auto"/>
                <w:kern w:val="2"/>
                <w:sz w:val="24"/>
                <w:szCs w:val="24"/>
                <w:highlight w:val="none"/>
                <w:lang w:val="en-US" w:eastAsia="zh-CN"/>
              </w:rPr>
              <w:t>40辆/d</w:t>
            </w:r>
            <w:r>
              <w:rPr>
                <w:rFonts w:hint="default" w:ascii="Times New Roman" w:hAnsi="Times New Roman" w:eastAsia="宋体" w:cs="Times New Roman"/>
                <w:color w:val="auto"/>
                <w:kern w:val="2"/>
                <w:sz w:val="24"/>
                <w:szCs w:val="24"/>
                <w:highlight w:val="none"/>
                <w:lang w:eastAsia="zh-CN"/>
              </w:rPr>
              <w:t>）；</w:t>
            </w:r>
            <w:r>
              <w:rPr>
                <w:rFonts w:hint="default" w:ascii="Times New Roman" w:hAnsi="Times New Roman" w:eastAsia="宋体" w:cs="Times New Roman"/>
                <w:color w:val="auto"/>
                <w:kern w:val="2"/>
                <w:sz w:val="24"/>
                <w:szCs w:val="24"/>
                <w:highlight w:val="none"/>
              </w:rPr>
              <w:t>粉罐车原料总运输量约为</w:t>
            </w:r>
            <w:r>
              <w:rPr>
                <w:rFonts w:hint="default" w:ascii="Times New Roman" w:hAnsi="Times New Roman" w:eastAsia="宋体" w:cs="Times New Roman"/>
                <w:color w:val="auto"/>
                <w:kern w:val="2"/>
                <w:sz w:val="24"/>
                <w:szCs w:val="24"/>
                <w:highlight w:val="none"/>
                <w:lang w:val="en-US" w:eastAsia="zh-CN"/>
              </w:rPr>
              <w:t>83200</w:t>
            </w:r>
            <w:r>
              <w:rPr>
                <w:rFonts w:hint="default" w:ascii="Times New Roman" w:hAnsi="Times New Roman" w:eastAsia="宋体" w:cs="Times New Roman"/>
                <w:color w:val="auto"/>
                <w:kern w:val="2"/>
                <w:sz w:val="24"/>
                <w:szCs w:val="24"/>
                <w:highlight w:val="none"/>
              </w:rPr>
              <w:t>t/a，运输车辆每次运输装载重量</w:t>
            </w:r>
            <w:r>
              <w:rPr>
                <w:rFonts w:hint="default" w:ascii="Times New Roman" w:hAnsi="Times New Roman" w:eastAsia="宋体" w:cs="Times New Roman"/>
                <w:color w:val="auto"/>
                <w:kern w:val="2"/>
                <w:sz w:val="24"/>
                <w:szCs w:val="24"/>
                <w:highlight w:val="none"/>
                <w:lang w:val="en-US" w:eastAsia="zh-CN"/>
              </w:rPr>
              <w:t>为2</w:t>
            </w:r>
            <w:r>
              <w:rPr>
                <w:rFonts w:hint="default" w:ascii="Times New Roman" w:hAnsi="Times New Roman" w:eastAsia="宋体" w:cs="Times New Roman"/>
                <w:color w:val="auto"/>
                <w:kern w:val="2"/>
                <w:sz w:val="24"/>
                <w:szCs w:val="24"/>
                <w:highlight w:val="none"/>
              </w:rPr>
              <w:t>0t，空车重1</w:t>
            </w:r>
            <w:r>
              <w:rPr>
                <w:rFonts w:hint="default" w:ascii="Times New Roman" w:hAnsi="Times New Roman" w:eastAsia="宋体" w:cs="Times New Roman"/>
                <w:color w:val="auto"/>
                <w:kern w:val="2"/>
                <w:sz w:val="24"/>
                <w:szCs w:val="24"/>
                <w:highlight w:val="none"/>
                <w:lang w:val="en-US" w:eastAsia="zh-CN"/>
              </w:rPr>
              <w:t>0</w:t>
            </w:r>
            <w:r>
              <w:rPr>
                <w:rFonts w:hint="default" w:ascii="Times New Roman" w:hAnsi="Times New Roman" w:eastAsia="宋体" w:cs="Times New Roman"/>
                <w:color w:val="auto"/>
                <w:kern w:val="2"/>
                <w:sz w:val="24"/>
                <w:szCs w:val="24"/>
                <w:highlight w:val="none"/>
              </w:rPr>
              <w:t>t，</w:t>
            </w:r>
            <w:r>
              <w:rPr>
                <w:rFonts w:hint="default" w:ascii="Times New Roman" w:hAnsi="Times New Roman" w:eastAsia="宋体" w:cs="Times New Roman"/>
                <w:color w:val="auto"/>
                <w:kern w:val="2"/>
                <w:sz w:val="24"/>
                <w:szCs w:val="24"/>
                <w:highlight w:val="none"/>
                <w:lang w:val="en-US" w:eastAsia="zh-CN"/>
              </w:rPr>
              <w:t>则载重后重车重量为30t，</w:t>
            </w:r>
            <w:r>
              <w:rPr>
                <w:rFonts w:hint="default" w:ascii="Times New Roman" w:hAnsi="Times New Roman" w:eastAsia="宋体" w:cs="Times New Roman"/>
                <w:color w:val="auto"/>
                <w:kern w:val="2"/>
                <w:sz w:val="24"/>
                <w:szCs w:val="24"/>
                <w:highlight w:val="none"/>
              </w:rPr>
              <w:t>运输车辆年平均次数</w:t>
            </w:r>
            <w:r>
              <w:rPr>
                <w:rFonts w:hint="default" w:ascii="Times New Roman" w:hAnsi="Times New Roman" w:eastAsia="宋体" w:cs="Times New Roman"/>
                <w:color w:val="auto"/>
                <w:kern w:val="2"/>
                <w:sz w:val="24"/>
                <w:szCs w:val="24"/>
                <w:highlight w:val="none"/>
                <w:lang w:val="en-US" w:eastAsia="zh-CN"/>
              </w:rPr>
              <w:t>4160</w:t>
            </w:r>
            <w:r>
              <w:rPr>
                <w:rFonts w:hint="default" w:ascii="Times New Roman" w:hAnsi="Times New Roman" w:eastAsia="宋体" w:cs="Times New Roman"/>
                <w:color w:val="auto"/>
                <w:kern w:val="2"/>
                <w:sz w:val="24"/>
                <w:szCs w:val="24"/>
                <w:highlight w:val="none"/>
              </w:rPr>
              <w:t>次</w:t>
            </w:r>
            <w:r>
              <w:rPr>
                <w:rFonts w:hint="default" w:ascii="Times New Roman" w:hAnsi="Times New Roman" w:eastAsia="宋体" w:cs="Times New Roman"/>
                <w:color w:val="auto"/>
                <w:kern w:val="2"/>
                <w:sz w:val="24"/>
                <w:szCs w:val="24"/>
                <w:highlight w:val="none"/>
                <w:lang w:eastAsia="zh-CN"/>
              </w:rPr>
              <w:t>（</w:t>
            </w:r>
            <w:r>
              <w:rPr>
                <w:rFonts w:hint="default" w:ascii="Times New Roman" w:hAnsi="Times New Roman" w:eastAsia="宋体" w:cs="Times New Roman"/>
                <w:color w:val="auto"/>
                <w:kern w:val="2"/>
                <w:sz w:val="24"/>
                <w:szCs w:val="24"/>
                <w:highlight w:val="none"/>
                <w:lang w:val="en-US" w:eastAsia="zh-CN"/>
              </w:rPr>
              <w:t>14辆/d</w:t>
            </w:r>
            <w:r>
              <w:rPr>
                <w:rFonts w:hint="default" w:ascii="Times New Roman" w:hAnsi="Times New Roman" w:eastAsia="宋体" w:cs="Times New Roman"/>
                <w:color w:val="auto"/>
                <w:kern w:val="2"/>
                <w:sz w:val="24"/>
                <w:szCs w:val="24"/>
                <w:highlight w:val="none"/>
                <w:lang w:eastAsia="zh-CN"/>
              </w:rPr>
              <w:t>）；</w:t>
            </w:r>
            <w:r>
              <w:rPr>
                <w:rFonts w:hint="default" w:ascii="Times New Roman" w:hAnsi="Times New Roman" w:eastAsia="宋体" w:cs="Times New Roman"/>
                <w:color w:val="auto"/>
                <w:kern w:val="2"/>
                <w:sz w:val="24"/>
                <w:szCs w:val="24"/>
                <w:highlight w:val="none"/>
                <w:lang w:val="en-US" w:eastAsia="zh-CN"/>
              </w:rPr>
              <w:t>其他原辅料（模具等重量无法精确确定，按估算值）总用量约为80000t/a，运输原材料等车空车重15t，载重量30t，重载后重45t，则年平均运输次数2667次（9辆/d），项目产品总重量为559820t/a，运输成品等车空车重16t，载重量32t，重载后重48t，则年平均运输次数约17494次（58辆/d），由于</w:t>
            </w:r>
            <w:r>
              <w:rPr>
                <w:rFonts w:hint="default" w:ascii="Times New Roman" w:hAnsi="Times New Roman" w:eastAsia="宋体" w:cs="Times New Roman"/>
                <w:color w:val="auto"/>
                <w:kern w:val="2"/>
                <w:sz w:val="24"/>
                <w:szCs w:val="24"/>
                <w:highlight w:val="none"/>
              </w:rPr>
              <w:t>厂区内车辆行驶速度10km/h，考虑项目厂区地面均已硬化，厂区路况表面粉尘量取</w:t>
            </w:r>
            <w:r>
              <w:rPr>
                <w:rFonts w:hint="default" w:ascii="Times New Roman" w:hAnsi="Times New Roman" w:eastAsia="宋体" w:cs="Times New Roman"/>
                <w:color w:val="auto"/>
                <w:kern w:val="2"/>
                <w:sz w:val="24"/>
                <w:szCs w:val="24"/>
                <w:highlight w:val="none"/>
                <w:lang w:val="en-US" w:eastAsia="zh-CN"/>
              </w:rPr>
              <w:t>0.1kg/m</w:t>
            </w:r>
            <w:r>
              <w:rPr>
                <w:rFonts w:hint="default" w:ascii="Times New Roman" w:hAnsi="Times New Roman" w:eastAsia="宋体" w:cs="Times New Roman"/>
                <w:color w:val="auto"/>
                <w:kern w:val="2"/>
                <w:sz w:val="24"/>
                <w:szCs w:val="24"/>
                <w:highlight w:val="none"/>
                <w:vertAlign w:val="superscript"/>
                <w:lang w:val="en-US" w:eastAsia="zh-CN"/>
              </w:rPr>
              <w:t>2</w:t>
            </w:r>
            <w:r>
              <w:rPr>
                <w:rFonts w:hint="default" w:ascii="Times New Roman" w:hAnsi="Times New Roman" w:eastAsia="宋体" w:cs="Times New Roman"/>
                <w:color w:val="auto"/>
                <w:kern w:val="2"/>
                <w:sz w:val="24"/>
                <w:szCs w:val="24"/>
                <w:highlight w:val="none"/>
              </w:rPr>
              <w:t>，在厂区内行驶距离以</w:t>
            </w:r>
            <w:r>
              <w:rPr>
                <w:rFonts w:hint="eastAsia" w:ascii="Times New Roman" w:hAnsi="Times New Roman" w:eastAsia="宋体" w:cs="Times New Roman"/>
                <w:color w:val="auto"/>
                <w:kern w:val="2"/>
                <w:sz w:val="24"/>
                <w:szCs w:val="24"/>
                <w:highlight w:val="none"/>
                <w:lang w:val="en-US" w:eastAsia="zh-CN"/>
              </w:rPr>
              <w:t>1</w:t>
            </w:r>
            <w:r>
              <w:rPr>
                <w:rFonts w:hint="default" w:ascii="Times New Roman" w:hAnsi="Times New Roman" w:eastAsia="宋体" w:cs="Times New Roman"/>
                <w:color w:val="auto"/>
                <w:kern w:val="2"/>
                <w:sz w:val="24"/>
                <w:szCs w:val="24"/>
                <w:highlight w:val="none"/>
              </w:rPr>
              <w:t>00m计，每天平均车辆运输时间以12h计，一年按300天计</w:t>
            </w:r>
            <w:r>
              <w:rPr>
                <w:rFonts w:hint="default" w:ascii="Times New Roman" w:hAnsi="Times New Roman" w:eastAsia="宋体" w:cs="Times New Roman"/>
                <w:color w:val="auto"/>
                <w:kern w:val="2"/>
                <w:sz w:val="24"/>
                <w:szCs w:val="24"/>
                <w:highlight w:val="none"/>
                <w:lang w:eastAsia="zh-CN"/>
              </w:rPr>
              <w:t>。</w:t>
            </w:r>
            <w:r>
              <w:rPr>
                <w:rFonts w:hint="default" w:ascii="Times New Roman" w:hAnsi="Times New Roman" w:eastAsia="宋体" w:cs="Times New Roman"/>
                <w:color w:val="auto"/>
                <w:kern w:val="2"/>
                <w:sz w:val="24"/>
                <w:szCs w:val="24"/>
                <w:highlight w:val="none"/>
              </w:rPr>
              <w:t>则</w:t>
            </w:r>
            <w:r>
              <w:rPr>
                <w:rFonts w:hint="default" w:ascii="Times New Roman" w:hAnsi="Times New Roman" w:eastAsia="宋体" w:cs="Times New Roman"/>
                <w:color w:val="auto"/>
                <w:kern w:val="2"/>
                <w:sz w:val="24"/>
                <w:szCs w:val="24"/>
                <w:highlight w:val="none"/>
                <w:lang w:val="en-US" w:eastAsia="zh-CN"/>
              </w:rPr>
              <w:t>厂区所有车辆运输扬尘产生情况一览表如下</w:t>
            </w:r>
            <w:r>
              <w:rPr>
                <w:rFonts w:hint="default" w:ascii="Times New Roman" w:hAnsi="Times New Roman" w:eastAsia="宋体" w:cs="Times New Roman"/>
                <w:color w:val="auto"/>
                <w:kern w:val="2"/>
                <w:sz w:val="24"/>
                <w:szCs w:val="24"/>
                <w:highlight w:val="none"/>
                <w:lang w:eastAsia="zh-CN"/>
              </w:rPr>
              <w:t>：</w:t>
            </w:r>
          </w:p>
          <w:p w14:paraId="778C6302">
            <w:pPr>
              <w:ind w:firstLine="482"/>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表4-</w:t>
            </w:r>
            <w:r>
              <w:rPr>
                <w:rFonts w:hint="default" w:ascii="Times New Roman" w:hAnsi="Times New Roman" w:eastAsia="宋体" w:cs="Times New Roman"/>
                <w:b/>
                <w:color w:val="auto"/>
                <w:sz w:val="21"/>
                <w:szCs w:val="21"/>
                <w:highlight w:val="none"/>
                <w:lang w:val="en-US" w:eastAsia="zh-CN"/>
              </w:rPr>
              <w:t xml:space="preserve">2 </w:t>
            </w:r>
            <w:r>
              <w:rPr>
                <w:rFonts w:hint="default" w:ascii="Times New Roman" w:hAnsi="Times New Roman" w:eastAsia="宋体" w:cs="Times New Roman"/>
                <w:b/>
                <w:color w:val="auto"/>
                <w:sz w:val="21"/>
                <w:szCs w:val="21"/>
                <w:highlight w:val="none"/>
              </w:rPr>
              <w:t>车辆运输扬尘量计算一览表</w:t>
            </w:r>
          </w:p>
          <w:tbl>
            <w:tblPr>
              <w:tblStyle w:val="34"/>
              <w:tblW w:w="91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912"/>
              <w:gridCol w:w="1310"/>
              <w:gridCol w:w="630"/>
              <w:gridCol w:w="715"/>
              <w:gridCol w:w="980"/>
              <w:gridCol w:w="1140"/>
              <w:gridCol w:w="960"/>
              <w:gridCol w:w="750"/>
              <w:gridCol w:w="930"/>
              <w:gridCol w:w="790"/>
            </w:tblGrid>
            <w:tr w14:paraId="3D916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1218" w:type="pct"/>
                  <w:gridSpan w:val="2"/>
                  <w:vMerge w:val="restart"/>
                  <w:noWrap/>
                  <w:vAlign w:val="center"/>
                </w:tcPr>
                <w:p w14:paraId="47A1D938">
                  <w:pPr>
                    <w:pStyle w:val="11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类型</w:t>
                  </w:r>
                </w:p>
              </w:tc>
              <w:tc>
                <w:tcPr>
                  <w:tcW w:w="345" w:type="pct"/>
                  <w:noWrap/>
                  <w:vAlign w:val="center"/>
                </w:tcPr>
                <w:p w14:paraId="0D8FDB21">
                  <w:pPr>
                    <w:pStyle w:val="11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V</w:t>
                  </w:r>
                </w:p>
              </w:tc>
              <w:tc>
                <w:tcPr>
                  <w:tcW w:w="392" w:type="pct"/>
                  <w:noWrap/>
                  <w:vAlign w:val="center"/>
                </w:tcPr>
                <w:p w14:paraId="1750A8B9">
                  <w:pPr>
                    <w:pStyle w:val="11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W</w:t>
                  </w:r>
                </w:p>
              </w:tc>
              <w:tc>
                <w:tcPr>
                  <w:tcW w:w="537" w:type="pct"/>
                  <w:noWrap/>
                  <w:vAlign w:val="center"/>
                </w:tcPr>
                <w:p w14:paraId="0EADFAB7">
                  <w:pPr>
                    <w:pStyle w:val="11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P</w:t>
                  </w:r>
                </w:p>
              </w:tc>
              <w:tc>
                <w:tcPr>
                  <w:tcW w:w="625" w:type="pct"/>
                  <w:noWrap/>
                  <w:vAlign w:val="center"/>
                </w:tcPr>
                <w:p w14:paraId="21ACE411">
                  <w:pPr>
                    <w:pStyle w:val="11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Q</w:t>
                  </w:r>
                </w:p>
              </w:tc>
              <w:tc>
                <w:tcPr>
                  <w:tcW w:w="526" w:type="pct"/>
                  <w:noWrap/>
                  <w:vAlign w:val="center"/>
                </w:tcPr>
                <w:p w14:paraId="22ED814E">
                  <w:pPr>
                    <w:pStyle w:val="11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车次</w:t>
                  </w:r>
                </w:p>
              </w:tc>
              <w:tc>
                <w:tcPr>
                  <w:tcW w:w="411" w:type="pct"/>
                  <w:noWrap/>
                  <w:vAlign w:val="center"/>
                </w:tcPr>
                <w:p w14:paraId="66340C84">
                  <w:pPr>
                    <w:pStyle w:val="11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行程</w:t>
                  </w:r>
                </w:p>
              </w:tc>
              <w:tc>
                <w:tcPr>
                  <w:tcW w:w="943" w:type="pct"/>
                  <w:gridSpan w:val="2"/>
                  <w:noWrap/>
                  <w:vAlign w:val="center"/>
                </w:tcPr>
                <w:p w14:paraId="59EFE0F0">
                  <w:pPr>
                    <w:pStyle w:val="11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扬尘量产生量</w:t>
                  </w:r>
                </w:p>
              </w:tc>
            </w:tr>
            <w:tr w14:paraId="779B10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3" w:hRule="atLeast"/>
                <w:jc w:val="center"/>
              </w:trPr>
              <w:tc>
                <w:tcPr>
                  <w:tcW w:w="1218" w:type="pct"/>
                  <w:gridSpan w:val="2"/>
                  <w:vMerge w:val="continue"/>
                  <w:noWrap w:val="0"/>
                  <w:vAlign w:val="center"/>
                </w:tcPr>
                <w:p w14:paraId="14492384">
                  <w:pPr>
                    <w:pStyle w:val="110"/>
                    <w:jc w:val="center"/>
                    <w:rPr>
                      <w:rFonts w:hint="default" w:ascii="Times New Roman" w:hAnsi="Times New Roman" w:cs="Times New Roman"/>
                      <w:b/>
                      <w:color w:val="auto"/>
                      <w:sz w:val="21"/>
                      <w:szCs w:val="21"/>
                      <w:highlight w:val="none"/>
                    </w:rPr>
                  </w:pPr>
                </w:p>
              </w:tc>
              <w:tc>
                <w:tcPr>
                  <w:tcW w:w="345" w:type="pct"/>
                  <w:noWrap/>
                  <w:vAlign w:val="center"/>
                </w:tcPr>
                <w:p w14:paraId="673B74E2">
                  <w:pPr>
                    <w:pStyle w:val="11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km/h</w:t>
                  </w:r>
                </w:p>
              </w:tc>
              <w:tc>
                <w:tcPr>
                  <w:tcW w:w="392" w:type="pct"/>
                  <w:noWrap/>
                  <w:vAlign w:val="center"/>
                </w:tcPr>
                <w:p w14:paraId="3205FF7C">
                  <w:pPr>
                    <w:pStyle w:val="11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t</w:t>
                  </w:r>
                </w:p>
              </w:tc>
              <w:tc>
                <w:tcPr>
                  <w:tcW w:w="537" w:type="pct"/>
                  <w:noWrap/>
                  <w:vAlign w:val="center"/>
                </w:tcPr>
                <w:p w14:paraId="39974E50">
                  <w:pPr>
                    <w:pStyle w:val="11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kg/m</w:t>
                  </w:r>
                  <w:r>
                    <w:rPr>
                      <w:rFonts w:hint="default" w:ascii="Times New Roman" w:hAnsi="Times New Roman" w:cs="Times New Roman"/>
                      <w:b/>
                      <w:color w:val="auto"/>
                      <w:sz w:val="21"/>
                      <w:szCs w:val="21"/>
                      <w:highlight w:val="none"/>
                      <w:vertAlign w:val="superscript"/>
                    </w:rPr>
                    <w:t>2</w:t>
                  </w:r>
                </w:p>
              </w:tc>
              <w:tc>
                <w:tcPr>
                  <w:tcW w:w="625" w:type="pct"/>
                  <w:noWrap/>
                  <w:vAlign w:val="center"/>
                </w:tcPr>
                <w:p w14:paraId="009D1745">
                  <w:pPr>
                    <w:pStyle w:val="11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kg/km·辆</w:t>
                  </w:r>
                </w:p>
              </w:tc>
              <w:tc>
                <w:tcPr>
                  <w:tcW w:w="526" w:type="pct"/>
                  <w:noWrap/>
                  <w:vAlign w:val="center"/>
                </w:tcPr>
                <w:p w14:paraId="7ABECE8F">
                  <w:pPr>
                    <w:pStyle w:val="11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辆/d</w:t>
                  </w:r>
                </w:p>
              </w:tc>
              <w:tc>
                <w:tcPr>
                  <w:tcW w:w="411" w:type="pct"/>
                  <w:noWrap/>
                  <w:vAlign w:val="center"/>
                </w:tcPr>
                <w:p w14:paraId="550A819D">
                  <w:pPr>
                    <w:pStyle w:val="11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km</w:t>
                  </w:r>
                </w:p>
              </w:tc>
              <w:tc>
                <w:tcPr>
                  <w:tcW w:w="510" w:type="pct"/>
                  <w:noWrap/>
                  <w:vAlign w:val="center"/>
                </w:tcPr>
                <w:p w14:paraId="554142F5">
                  <w:pPr>
                    <w:pStyle w:val="11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kg/h</w:t>
                  </w:r>
                </w:p>
              </w:tc>
              <w:tc>
                <w:tcPr>
                  <w:tcW w:w="433" w:type="pct"/>
                  <w:noWrap/>
                  <w:vAlign w:val="center"/>
                </w:tcPr>
                <w:p w14:paraId="3931AA69">
                  <w:pPr>
                    <w:pStyle w:val="11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t/a</w:t>
                  </w:r>
                </w:p>
              </w:tc>
            </w:tr>
            <w:tr w14:paraId="642EE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34" w:hRule="atLeast"/>
                <w:jc w:val="center"/>
              </w:trPr>
              <w:tc>
                <w:tcPr>
                  <w:tcW w:w="500" w:type="pct"/>
                  <w:vMerge w:val="restart"/>
                  <w:noWrap/>
                  <w:vAlign w:val="center"/>
                </w:tcPr>
                <w:p w14:paraId="4E38316A">
                  <w:pPr>
                    <w:pStyle w:val="11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砂石原材料车</w:t>
                  </w:r>
                </w:p>
              </w:tc>
              <w:tc>
                <w:tcPr>
                  <w:tcW w:w="718" w:type="pct"/>
                  <w:noWrap/>
                  <w:vAlign w:val="center"/>
                </w:tcPr>
                <w:p w14:paraId="6DFA88BE">
                  <w:pPr>
                    <w:pStyle w:val="11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空车</w:t>
                  </w:r>
                </w:p>
              </w:tc>
              <w:tc>
                <w:tcPr>
                  <w:tcW w:w="345" w:type="pct"/>
                  <w:noWrap/>
                  <w:vAlign w:val="center"/>
                </w:tcPr>
                <w:p w14:paraId="250E202C">
                  <w:pPr>
                    <w:pStyle w:val="11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eastAsia="zh-CN"/>
                    </w:rPr>
                    <w:t>1</w:t>
                  </w:r>
                  <w:r>
                    <w:rPr>
                      <w:rFonts w:hint="default" w:ascii="Times New Roman" w:hAnsi="Times New Roman" w:cs="Times New Roman"/>
                      <w:color w:val="auto"/>
                      <w:sz w:val="21"/>
                      <w:szCs w:val="21"/>
                      <w:highlight w:val="none"/>
                      <w:lang w:val="en-US" w:eastAsia="zh-CN"/>
                    </w:rPr>
                    <w:t>0</w:t>
                  </w:r>
                </w:p>
              </w:tc>
              <w:tc>
                <w:tcPr>
                  <w:tcW w:w="392" w:type="pct"/>
                  <w:noWrap/>
                  <w:vAlign w:val="center"/>
                </w:tcPr>
                <w:p w14:paraId="24254605">
                  <w:pPr>
                    <w:pStyle w:val="11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15</w:t>
                  </w:r>
                </w:p>
              </w:tc>
              <w:tc>
                <w:tcPr>
                  <w:tcW w:w="537" w:type="pct"/>
                  <w:noWrap/>
                  <w:vAlign w:val="center"/>
                </w:tcPr>
                <w:p w14:paraId="4C351823">
                  <w:pPr>
                    <w:pStyle w:val="11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0.1</w:t>
                  </w:r>
                </w:p>
              </w:tc>
              <w:tc>
                <w:tcPr>
                  <w:tcW w:w="1140" w:type="dxa"/>
                  <w:noWrap/>
                  <w:vAlign w:val="center"/>
                </w:tcPr>
                <w:p w14:paraId="3A485F06">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0.076 </w:t>
                  </w:r>
                </w:p>
              </w:tc>
              <w:tc>
                <w:tcPr>
                  <w:tcW w:w="526" w:type="pct"/>
                  <w:noWrap/>
                  <w:vAlign w:val="center"/>
                </w:tcPr>
                <w:p w14:paraId="5C1E77C2">
                  <w:pPr>
                    <w:pStyle w:val="11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40</w:t>
                  </w:r>
                </w:p>
              </w:tc>
              <w:tc>
                <w:tcPr>
                  <w:tcW w:w="750" w:type="dxa"/>
                  <w:noWrap/>
                  <w:vAlign w:val="center"/>
                </w:tcPr>
                <w:p w14:paraId="43B08F64">
                  <w:pPr>
                    <w:keepNext w:val="0"/>
                    <w:keepLines w:val="0"/>
                    <w:widowControl/>
                    <w:suppressLineNumbers w:val="0"/>
                    <w:jc w:val="center"/>
                    <w:textAlignment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0.2</w:t>
                  </w:r>
                </w:p>
              </w:tc>
              <w:tc>
                <w:tcPr>
                  <w:tcW w:w="930" w:type="dxa"/>
                  <w:noWrap/>
                  <w:vAlign w:val="center"/>
                </w:tcPr>
                <w:p w14:paraId="71402DD3">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0.050 </w:t>
                  </w:r>
                </w:p>
              </w:tc>
              <w:tc>
                <w:tcPr>
                  <w:tcW w:w="790" w:type="dxa"/>
                  <w:noWrap/>
                  <w:vAlign w:val="center"/>
                </w:tcPr>
                <w:p w14:paraId="371FBB3D">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0.182 </w:t>
                  </w:r>
                </w:p>
              </w:tc>
            </w:tr>
            <w:tr w14:paraId="15954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36" w:hRule="atLeast"/>
                <w:jc w:val="center"/>
              </w:trPr>
              <w:tc>
                <w:tcPr>
                  <w:tcW w:w="500" w:type="pct"/>
                  <w:vMerge w:val="continue"/>
                  <w:noWrap/>
                  <w:vAlign w:val="center"/>
                </w:tcPr>
                <w:p w14:paraId="13E6F721">
                  <w:pPr>
                    <w:pStyle w:val="110"/>
                    <w:jc w:val="center"/>
                    <w:rPr>
                      <w:rFonts w:hint="default" w:ascii="Times New Roman" w:hAnsi="Times New Roman" w:cs="Times New Roman"/>
                      <w:color w:val="auto"/>
                      <w:sz w:val="21"/>
                      <w:szCs w:val="21"/>
                      <w:highlight w:val="none"/>
                    </w:rPr>
                  </w:pPr>
                </w:p>
              </w:tc>
              <w:tc>
                <w:tcPr>
                  <w:tcW w:w="718" w:type="pct"/>
                  <w:noWrap/>
                  <w:vAlign w:val="center"/>
                </w:tcPr>
                <w:p w14:paraId="12F7B13F">
                  <w:pPr>
                    <w:pStyle w:val="11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重载</w:t>
                  </w:r>
                </w:p>
              </w:tc>
              <w:tc>
                <w:tcPr>
                  <w:tcW w:w="345" w:type="pct"/>
                  <w:noWrap/>
                  <w:vAlign w:val="center"/>
                </w:tcPr>
                <w:p w14:paraId="6D8A8264">
                  <w:pPr>
                    <w:pStyle w:val="11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10</w:t>
                  </w:r>
                </w:p>
              </w:tc>
              <w:tc>
                <w:tcPr>
                  <w:tcW w:w="392" w:type="pct"/>
                  <w:noWrap/>
                  <w:vAlign w:val="center"/>
                </w:tcPr>
                <w:p w14:paraId="6054F687">
                  <w:pPr>
                    <w:pStyle w:val="11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47</w:t>
                  </w:r>
                </w:p>
              </w:tc>
              <w:tc>
                <w:tcPr>
                  <w:tcW w:w="537" w:type="pct"/>
                  <w:noWrap/>
                  <w:vAlign w:val="center"/>
                </w:tcPr>
                <w:p w14:paraId="650C864B">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0.1</w:t>
                  </w:r>
                </w:p>
              </w:tc>
              <w:tc>
                <w:tcPr>
                  <w:tcW w:w="1140" w:type="dxa"/>
                  <w:noWrap/>
                  <w:vAlign w:val="center"/>
                </w:tcPr>
                <w:p w14:paraId="70CB1F69">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0.200 </w:t>
                  </w:r>
                </w:p>
              </w:tc>
              <w:tc>
                <w:tcPr>
                  <w:tcW w:w="526" w:type="pct"/>
                  <w:noWrap/>
                  <w:vAlign w:val="center"/>
                </w:tcPr>
                <w:p w14:paraId="4EC12EFE">
                  <w:pPr>
                    <w:pStyle w:val="11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40</w:t>
                  </w:r>
                </w:p>
              </w:tc>
              <w:tc>
                <w:tcPr>
                  <w:tcW w:w="750" w:type="dxa"/>
                  <w:noWrap/>
                  <w:vAlign w:val="center"/>
                </w:tcPr>
                <w:p w14:paraId="7F1ED88E">
                  <w:pPr>
                    <w:keepNext w:val="0"/>
                    <w:keepLines w:val="0"/>
                    <w:widowControl/>
                    <w:suppressLineNumbers w:val="0"/>
                    <w:jc w:val="center"/>
                    <w:textAlignment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0.2</w:t>
                  </w:r>
                </w:p>
              </w:tc>
              <w:tc>
                <w:tcPr>
                  <w:tcW w:w="930" w:type="dxa"/>
                  <w:noWrap/>
                  <w:vAlign w:val="center"/>
                </w:tcPr>
                <w:p w14:paraId="358E133C">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0.133 </w:t>
                  </w:r>
                </w:p>
              </w:tc>
              <w:tc>
                <w:tcPr>
                  <w:tcW w:w="790" w:type="dxa"/>
                  <w:noWrap/>
                  <w:vAlign w:val="center"/>
                </w:tcPr>
                <w:p w14:paraId="6D2C94D4">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0.479 </w:t>
                  </w:r>
                </w:p>
              </w:tc>
            </w:tr>
            <w:tr w14:paraId="44635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32" w:hRule="atLeast"/>
                <w:jc w:val="center"/>
              </w:trPr>
              <w:tc>
                <w:tcPr>
                  <w:tcW w:w="500" w:type="pct"/>
                  <w:vMerge w:val="restart"/>
                  <w:noWrap/>
                  <w:vAlign w:val="center"/>
                </w:tcPr>
                <w:p w14:paraId="2251E2F4">
                  <w:pPr>
                    <w:pStyle w:val="11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粉料车</w:t>
                  </w:r>
                </w:p>
              </w:tc>
              <w:tc>
                <w:tcPr>
                  <w:tcW w:w="718" w:type="pct"/>
                  <w:noWrap/>
                  <w:vAlign w:val="center"/>
                </w:tcPr>
                <w:p w14:paraId="60CE98D7">
                  <w:pPr>
                    <w:pStyle w:val="11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空车</w:t>
                  </w:r>
                </w:p>
              </w:tc>
              <w:tc>
                <w:tcPr>
                  <w:tcW w:w="345" w:type="pct"/>
                  <w:noWrap/>
                  <w:vAlign w:val="center"/>
                </w:tcPr>
                <w:p w14:paraId="2BA2A2B2">
                  <w:pPr>
                    <w:pStyle w:val="11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1</w:t>
                  </w:r>
                  <w:r>
                    <w:rPr>
                      <w:rFonts w:hint="default" w:ascii="Times New Roman" w:hAnsi="Times New Roman" w:cs="Times New Roman"/>
                      <w:color w:val="auto"/>
                      <w:sz w:val="21"/>
                      <w:szCs w:val="21"/>
                      <w:highlight w:val="none"/>
                      <w:lang w:val="en-US" w:eastAsia="zh-CN"/>
                    </w:rPr>
                    <w:t>0</w:t>
                  </w:r>
                </w:p>
              </w:tc>
              <w:tc>
                <w:tcPr>
                  <w:tcW w:w="392" w:type="pct"/>
                  <w:noWrap/>
                  <w:vAlign w:val="center"/>
                </w:tcPr>
                <w:p w14:paraId="60388180">
                  <w:pPr>
                    <w:pStyle w:val="11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10</w:t>
                  </w:r>
                </w:p>
              </w:tc>
              <w:tc>
                <w:tcPr>
                  <w:tcW w:w="537" w:type="pct"/>
                  <w:noWrap/>
                  <w:vAlign w:val="center"/>
                </w:tcPr>
                <w:p w14:paraId="709C2C3F">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0.1</w:t>
                  </w:r>
                </w:p>
              </w:tc>
              <w:tc>
                <w:tcPr>
                  <w:tcW w:w="1140" w:type="dxa"/>
                  <w:noWrap/>
                  <w:vAlign w:val="center"/>
                </w:tcPr>
                <w:p w14:paraId="657C6429">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0.054 </w:t>
                  </w:r>
                </w:p>
              </w:tc>
              <w:tc>
                <w:tcPr>
                  <w:tcW w:w="526" w:type="pct"/>
                  <w:noWrap/>
                  <w:vAlign w:val="center"/>
                </w:tcPr>
                <w:p w14:paraId="04FEA97C">
                  <w:pPr>
                    <w:pStyle w:val="110"/>
                    <w:jc w:val="center"/>
                    <w:rPr>
                      <w:rFonts w:hint="default" w:ascii="Times New Roman" w:hAnsi="Times New Roman" w:eastAsia="等线" w:cs="Times New Roman"/>
                      <w:color w:val="auto"/>
                      <w:sz w:val="21"/>
                      <w:szCs w:val="21"/>
                      <w:highlight w:val="none"/>
                      <w:lang w:val="en-US" w:eastAsia="zh-CN"/>
                    </w:rPr>
                  </w:pPr>
                  <w:r>
                    <w:rPr>
                      <w:rFonts w:hint="default" w:ascii="Times New Roman" w:hAnsi="Times New Roman" w:eastAsia="等线" w:cs="Times New Roman"/>
                      <w:color w:val="auto"/>
                      <w:sz w:val="21"/>
                      <w:szCs w:val="21"/>
                      <w:highlight w:val="none"/>
                      <w:lang w:val="en-US" w:eastAsia="zh-CN"/>
                    </w:rPr>
                    <w:t>14</w:t>
                  </w:r>
                </w:p>
              </w:tc>
              <w:tc>
                <w:tcPr>
                  <w:tcW w:w="750" w:type="dxa"/>
                  <w:noWrap/>
                  <w:vAlign w:val="center"/>
                </w:tcPr>
                <w:p w14:paraId="104D1D66">
                  <w:pPr>
                    <w:keepNext w:val="0"/>
                    <w:keepLines w:val="0"/>
                    <w:widowControl/>
                    <w:suppressLineNumbers w:val="0"/>
                    <w:jc w:val="center"/>
                    <w:textAlignment w:val="center"/>
                    <w:rPr>
                      <w:rFonts w:hint="default" w:ascii="Times New Roman" w:hAnsi="Times New Roman" w:eastAsia="等线"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0.2</w:t>
                  </w:r>
                </w:p>
              </w:tc>
              <w:tc>
                <w:tcPr>
                  <w:tcW w:w="930" w:type="dxa"/>
                  <w:noWrap/>
                  <w:vAlign w:val="center"/>
                </w:tcPr>
                <w:p w14:paraId="5090D893">
                  <w:pPr>
                    <w:keepNext w:val="0"/>
                    <w:keepLines w:val="0"/>
                    <w:widowControl/>
                    <w:suppressLineNumbers w:val="0"/>
                    <w:jc w:val="center"/>
                    <w:textAlignment w:val="center"/>
                    <w:rPr>
                      <w:rFonts w:hint="default" w:ascii="Times New Roman" w:hAnsi="Times New Roman" w:eastAsia="等线"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0.013 </w:t>
                  </w:r>
                </w:p>
              </w:tc>
              <w:tc>
                <w:tcPr>
                  <w:tcW w:w="790" w:type="dxa"/>
                  <w:noWrap/>
                  <w:vAlign w:val="center"/>
                </w:tcPr>
                <w:p w14:paraId="2B8A6E1C">
                  <w:pPr>
                    <w:keepNext w:val="0"/>
                    <w:keepLines w:val="0"/>
                    <w:widowControl/>
                    <w:suppressLineNumbers w:val="0"/>
                    <w:jc w:val="center"/>
                    <w:textAlignment w:val="center"/>
                    <w:rPr>
                      <w:rFonts w:hint="default" w:ascii="Times New Roman" w:hAnsi="Times New Roman" w:eastAsia="等线"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0.045 </w:t>
                  </w:r>
                </w:p>
              </w:tc>
            </w:tr>
            <w:tr w14:paraId="30B0B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32" w:hRule="atLeast"/>
                <w:jc w:val="center"/>
              </w:trPr>
              <w:tc>
                <w:tcPr>
                  <w:tcW w:w="500" w:type="pct"/>
                  <w:vMerge w:val="continue"/>
                  <w:noWrap/>
                  <w:vAlign w:val="center"/>
                </w:tcPr>
                <w:p w14:paraId="0DF177F8">
                  <w:pPr>
                    <w:pStyle w:val="110"/>
                    <w:jc w:val="center"/>
                    <w:rPr>
                      <w:rFonts w:hint="default" w:ascii="Times New Roman" w:hAnsi="Times New Roman" w:cs="Times New Roman"/>
                      <w:color w:val="auto"/>
                      <w:sz w:val="21"/>
                      <w:szCs w:val="21"/>
                      <w:highlight w:val="none"/>
                    </w:rPr>
                  </w:pPr>
                </w:p>
              </w:tc>
              <w:tc>
                <w:tcPr>
                  <w:tcW w:w="718" w:type="pct"/>
                  <w:noWrap/>
                  <w:vAlign w:val="center"/>
                </w:tcPr>
                <w:p w14:paraId="026F5620">
                  <w:pPr>
                    <w:pStyle w:val="11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重载</w:t>
                  </w:r>
                </w:p>
              </w:tc>
              <w:tc>
                <w:tcPr>
                  <w:tcW w:w="345" w:type="pct"/>
                  <w:noWrap/>
                  <w:vAlign w:val="center"/>
                </w:tcPr>
                <w:p w14:paraId="575477DD">
                  <w:pPr>
                    <w:pStyle w:val="11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10</w:t>
                  </w:r>
                </w:p>
              </w:tc>
              <w:tc>
                <w:tcPr>
                  <w:tcW w:w="392" w:type="pct"/>
                  <w:noWrap/>
                  <w:vAlign w:val="center"/>
                </w:tcPr>
                <w:p w14:paraId="71E766EA">
                  <w:pPr>
                    <w:pStyle w:val="11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30</w:t>
                  </w:r>
                </w:p>
              </w:tc>
              <w:tc>
                <w:tcPr>
                  <w:tcW w:w="537" w:type="pct"/>
                  <w:noWrap/>
                  <w:vAlign w:val="center"/>
                </w:tcPr>
                <w:p w14:paraId="2890F638">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0.1</w:t>
                  </w:r>
                </w:p>
              </w:tc>
              <w:tc>
                <w:tcPr>
                  <w:tcW w:w="1140" w:type="dxa"/>
                  <w:noWrap/>
                  <w:vAlign w:val="center"/>
                </w:tcPr>
                <w:p w14:paraId="15BAF936">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0.136 </w:t>
                  </w:r>
                </w:p>
              </w:tc>
              <w:tc>
                <w:tcPr>
                  <w:tcW w:w="526" w:type="pct"/>
                  <w:noWrap/>
                  <w:vAlign w:val="center"/>
                </w:tcPr>
                <w:p w14:paraId="03DC27C3">
                  <w:pPr>
                    <w:pStyle w:val="110"/>
                    <w:jc w:val="center"/>
                    <w:rPr>
                      <w:rFonts w:hint="default" w:ascii="Times New Roman" w:hAnsi="Times New Roman" w:eastAsia="等线" w:cs="Times New Roman"/>
                      <w:color w:val="auto"/>
                      <w:sz w:val="21"/>
                      <w:szCs w:val="21"/>
                      <w:highlight w:val="none"/>
                      <w:lang w:val="en-US" w:eastAsia="zh-CN"/>
                    </w:rPr>
                  </w:pPr>
                  <w:r>
                    <w:rPr>
                      <w:rFonts w:hint="default" w:ascii="Times New Roman" w:hAnsi="Times New Roman" w:eastAsia="等线" w:cs="Times New Roman"/>
                      <w:color w:val="auto"/>
                      <w:sz w:val="21"/>
                      <w:szCs w:val="21"/>
                      <w:highlight w:val="none"/>
                      <w:lang w:val="en-US" w:eastAsia="zh-CN"/>
                    </w:rPr>
                    <w:t>14</w:t>
                  </w:r>
                </w:p>
              </w:tc>
              <w:tc>
                <w:tcPr>
                  <w:tcW w:w="750" w:type="dxa"/>
                  <w:noWrap/>
                  <w:vAlign w:val="center"/>
                </w:tcPr>
                <w:p w14:paraId="39FA8211">
                  <w:pPr>
                    <w:keepNext w:val="0"/>
                    <w:keepLines w:val="0"/>
                    <w:widowControl/>
                    <w:suppressLineNumbers w:val="0"/>
                    <w:jc w:val="center"/>
                    <w:textAlignment w:val="center"/>
                    <w:rPr>
                      <w:rFonts w:hint="default" w:ascii="Times New Roman" w:hAnsi="Times New Roman" w:eastAsia="等线"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0.2</w:t>
                  </w:r>
                </w:p>
              </w:tc>
              <w:tc>
                <w:tcPr>
                  <w:tcW w:w="930" w:type="dxa"/>
                  <w:noWrap/>
                  <w:vAlign w:val="center"/>
                </w:tcPr>
                <w:p w14:paraId="2A29A8E6">
                  <w:pPr>
                    <w:keepNext w:val="0"/>
                    <w:keepLines w:val="0"/>
                    <w:widowControl/>
                    <w:suppressLineNumbers w:val="0"/>
                    <w:jc w:val="center"/>
                    <w:textAlignment w:val="center"/>
                    <w:rPr>
                      <w:rFonts w:hint="default" w:ascii="Times New Roman" w:hAnsi="Times New Roman" w:eastAsia="等线"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0.032 </w:t>
                  </w:r>
                </w:p>
              </w:tc>
              <w:tc>
                <w:tcPr>
                  <w:tcW w:w="790" w:type="dxa"/>
                  <w:noWrap/>
                  <w:vAlign w:val="center"/>
                </w:tcPr>
                <w:p w14:paraId="77ED4BC2">
                  <w:pPr>
                    <w:keepNext w:val="0"/>
                    <w:keepLines w:val="0"/>
                    <w:widowControl/>
                    <w:suppressLineNumbers w:val="0"/>
                    <w:jc w:val="center"/>
                    <w:textAlignment w:val="center"/>
                    <w:rPr>
                      <w:rFonts w:hint="default" w:ascii="Times New Roman" w:hAnsi="Times New Roman" w:eastAsia="等线"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0.115 </w:t>
                  </w:r>
                </w:p>
              </w:tc>
            </w:tr>
            <w:tr w14:paraId="31E31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8" w:hRule="atLeast"/>
                <w:jc w:val="center"/>
              </w:trPr>
              <w:tc>
                <w:tcPr>
                  <w:tcW w:w="500" w:type="pct"/>
                  <w:vMerge w:val="restart"/>
                  <w:noWrap/>
                  <w:vAlign w:val="center"/>
                </w:tcPr>
                <w:p w14:paraId="03270B8A">
                  <w:pPr>
                    <w:pStyle w:val="11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其他原料运输车</w:t>
                  </w:r>
                </w:p>
              </w:tc>
              <w:tc>
                <w:tcPr>
                  <w:tcW w:w="718" w:type="pct"/>
                  <w:noWrap/>
                  <w:vAlign w:val="center"/>
                </w:tcPr>
                <w:p w14:paraId="0F830777">
                  <w:pPr>
                    <w:pStyle w:val="11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空车</w:t>
                  </w:r>
                </w:p>
              </w:tc>
              <w:tc>
                <w:tcPr>
                  <w:tcW w:w="345" w:type="pct"/>
                  <w:noWrap/>
                  <w:vAlign w:val="center"/>
                </w:tcPr>
                <w:p w14:paraId="09721200">
                  <w:pPr>
                    <w:pStyle w:val="11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eastAsia="zh-CN"/>
                    </w:rPr>
                    <w:t>1</w:t>
                  </w:r>
                  <w:r>
                    <w:rPr>
                      <w:rFonts w:hint="default" w:ascii="Times New Roman" w:hAnsi="Times New Roman" w:cs="Times New Roman"/>
                      <w:color w:val="auto"/>
                      <w:sz w:val="21"/>
                      <w:szCs w:val="21"/>
                      <w:highlight w:val="none"/>
                      <w:lang w:val="en-US" w:eastAsia="zh-CN"/>
                    </w:rPr>
                    <w:t>0</w:t>
                  </w:r>
                </w:p>
              </w:tc>
              <w:tc>
                <w:tcPr>
                  <w:tcW w:w="392" w:type="pct"/>
                  <w:noWrap/>
                  <w:vAlign w:val="center"/>
                </w:tcPr>
                <w:p w14:paraId="65C12F1E">
                  <w:pPr>
                    <w:pStyle w:val="11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15</w:t>
                  </w:r>
                </w:p>
              </w:tc>
              <w:tc>
                <w:tcPr>
                  <w:tcW w:w="537" w:type="pct"/>
                  <w:noWrap/>
                  <w:vAlign w:val="center"/>
                </w:tcPr>
                <w:p w14:paraId="429A5475">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0.1</w:t>
                  </w:r>
                </w:p>
              </w:tc>
              <w:tc>
                <w:tcPr>
                  <w:tcW w:w="1140" w:type="dxa"/>
                  <w:noWrap/>
                  <w:vAlign w:val="center"/>
                </w:tcPr>
                <w:p w14:paraId="7BAA6818">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0.076 </w:t>
                  </w:r>
                </w:p>
              </w:tc>
              <w:tc>
                <w:tcPr>
                  <w:tcW w:w="526" w:type="pct"/>
                  <w:noWrap/>
                  <w:vAlign w:val="center"/>
                </w:tcPr>
                <w:p w14:paraId="39084A0D">
                  <w:pPr>
                    <w:pStyle w:val="110"/>
                    <w:jc w:val="center"/>
                    <w:rPr>
                      <w:rFonts w:hint="default" w:ascii="Times New Roman" w:hAnsi="Times New Roman" w:eastAsia="等线" w:cs="Times New Roman"/>
                      <w:color w:val="auto"/>
                      <w:sz w:val="21"/>
                      <w:szCs w:val="21"/>
                      <w:highlight w:val="none"/>
                      <w:lang w:val="en-US" w:eastAsia="zh-CN"/>
                    </w:rPr>
                  </w:pPr>
                  <w:r>
                    <w:rPr>
                      <w:rFonts w:hint="default" w:ascii="Times New Roman" w:hAnsi="Times New Roman" w:eastAsia="等线" w:cs="Times New Roman"/>
                      <w:color w:val="auto"/>
                      <w:sz w:val="21"/>
                      <w:szCs w:val="21"/>
                      <w:highlight w:val="none"/>
                      <w:lang w:val="en-US" w:eastAsia="zh-CN"/>
                    </w:rPr>
                    <w:t>9</w:t>
                  </w:r>
                </w:p>
              </w:tc>
              <w:tc>
                <w:tcPr>
                  <w:tcW w:w="750" w:type="dxa"/>
                  <w:noWrap/>
                  <w:vAlign w:val="center"/>
                </w:tcPr>
                <w:p w14:paraId="6BADABE3">
                  <w:pPr>
                    <w:keepNext w:val="0"/>
                    <w:keepLines w:val="0"/>
                    <w:widowControl/>
                    <w:suppressLineNumbers w:val="0"/>
                    <w:jc w:val="center"/>
                    <w:textAlignment w:val="center"/>
                    <w:rPr>
                      <w:rFonts w:hint="default" w:ascii="Times New Roman" w:hAnsi="Times New Roman" w:eastAsia="等线"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0.2</w:t>
                  </w:r>
                </w:p>
              </w:tc>
              <w:tc>
                <w:tcPr>
                  <w:tcW w:w="930" w:type="dxa"/>
                  <w:noWrap/>
                  <w:vAlign w:val="center"/>
                </w:tcPr>
                <w:p w14:paraId="389AF812">
                  <w:pPr>
                    <w:keepNext w:val="0"/>
                    <w:keepLines w:val="0"/>
                    <w:widowControl/>
                    <w:suppressLineNumbers w:val="0"/>
                    <w:jc w:val="center"/>
                    <w:textAlignment w:val="center"/>
                    <w:rPr>
                      <w:rFonts w:hint="default" w:ascii="Times New Roman" w:hAnsi="Times New Roman" w:eastAsia="等线"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0.011 </w:t>
                  </w:r>
                </w:p>
              </w:tc>
              <w:tc>
                <w:tcPr>
                  <w:tcW w:w="790" w:type="dxa"/>
                  <w:noWrap/>
                  <w:vAlign w:val="center"/>
                </w:tcPr>
                <w:p w14:paraId="2EF5570C">
                  <w:pPr>
                    <w:keepNext w:val="0"/>
                    <w:keepLines w:val="0"/>
                    <w:widowControl/>
                    <w:suppressLineNumbers w:val="0"/>
                    <w:jc w:val="center"/>
                    <w:textAlignment w:val="center"/>
                    <w:rPr>
                      <w:rFonts w:hint="default" w:ascii="Times New Roman" w:hAnsi="Times New Roman" w:eastAsia="等线"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0.041 </w:t>
                  </w:r>
                </w:p>
              </w:tc>
            </w:tr>
            <w:tr w14:paraId="5FAB6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8" w:hRule="atLeast"/>
                <w:jc w:val="center"/>
              </w:trPr>
              <w:tc>
                <w:tcPr>
                  <w:tcW w:w="500" w:type="pct"/>
                  <w:vMerge w:val="continue"/>
                  <w:noWrap/>
                  <w:vAlign w:val="center"/>
                </w:tcPr>
                <w:p w14:paraId="74DDB95C">
                  <w:pPr>
                    <w:pStyle w:val="110"/>
                    <w:jc w:val="center"/>
                    <w:rPr>
                      <w:rFonts w:hint="default" w:ascii="Times New Roman" w:hAnsi="Times New Roman" w:cs="Times New Roman"/>
                      <w:color w:val="auto"/>
                      <w:sz w:val="21"/>
                      <w:szCs w:val="21"/>
                      <w:highlight w:val="none"/>
                      <w:lang w:val="en-US" w:eastAsia="zh-CN"/>
                    </w:rPr>
                  </w:pPr>
                </w:p>
              </w:tc>
              <w:tc>
                <w:tcPr>
                  <w:tcW w:w="718" w:type="pct"/>
                  <w:noWrap/>
                  <w:vAlign w:val="center"/>
                </w:tcPr>
                <w:p w14:paraId="68A7834E">
                  <w:pPr>
                    <w:pStyle w:val="11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重载</w:t>
                  </w:r>
                </w:p>
              </w:tc>
              <w:tc>
                <w:tcPr>
                  <w:tcW w:w="345" w:type="pct"/>
                  <w:noWrap/>
                  <w:vAlign w:val="center"/>
                </w:tcPr>
                <w:p w14:paraId="1B3CF48B">
                  <w:pPr>
                    <w:pStyle w:val="11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10</w:t>
                  </w:r>
                </w:p>
              </w:tc>
              <w:tc>
                <w:tcPr>
                  <w:tcW w:w="392" w:type="pct"/>
                  <w:noWrap/>
                  <w:vAlign w:val="center"/>
                </w:tcPr>
                <w:p w14:paraId="0D69ECC5">
                  <w:pPr>
                    <w:pStyle w:val="11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45</w:t>
                  </w:r>
                </w:p>
              </w:tc>
              <w:tc>
                <w:tcPr>
                  <w:tcW w:w="537" w:type="pct"/>
                  <w:noWrap/>
                  <w:vAlign w:val="center"/>
                </w:tcPr>
                <w:p w14:paraId="29A5CB41">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0.1</w:t>
                  </w:r>
                </w:p>
              </w:tc>
              <w:tc>
                <w:tcPr>
                  <w:tcW w:w="1140" w:type="dxa"/>
                  <w:noWrap/>
                  <w:vAlign w:val="center"/>
                </w:tcPr>
                <w:p w14:paraId="168C78AA">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0.192 </w:t>
                  </w:r>
                </w:p>
              </w:tc>
              <w:tc>
                <w:tcPr>
                  <w:tcW w:w="526" w:type="pct"/>
                  <w:noWrap/>
                  <w:vAlign w:val="center"/>
                </w:tcPr>
                <w:p w14:paraId="288397C8">
                  <w:pPr>
                    <w:pStyle w:val="110"/>
                    <w:jc w:val="center"/>
                    <w:rPr>
                      <w:rFonts w:hint="default" w:ascii="Times New Roman" w:hAnsi="Times New Roman" w:eastAsia="等线" w:cs="Times New Roman"/>
                      <w:color w:val="auto"/>
                      <w:sz w:val="21"/>
                      <w:szCs w:val="21"/>
                      <w:highlight w:val="none"/>
                      <w:lang w:val="en-US" w:eastAsia="zh-CN"/>
                    </w:rPr>
                  </w:pPr>
                  <w:r>
                    <w:rPr>
                      <w:rFonts w:hint="default" w:ascii="Times New Roman" w:hAnsi="Times New Roman" w:eastAsia="等线" w:cs="Times New Roman"/>
                      <w:color w:val="auto"/>
                      <w:sz w:val="21"/>
                      <w:szCs w:val="21"/>
                      <w:highlight w:val="none"/>
                      <w:lang w:val="en-US" w:eastAsia="zh-CN"/>
                    </w:rPr>
                    <w:t>9</w:t>
                  </w:r>
                </w:p>
              </w:tc>
              <w:tc>
                <w:tcPr>
                  <w:tcW w:w="750" w:type="dxa"/>
                  <w:noWrap/>
                  <w:vAlign w:val="center"/>
                </w:tcPr>
                <w:p w14:paraId="7A79B60B">
                  <w:pPr>
                    <w:keepNext w:val="0"/>
                    <w:keepLines w:val="0"/>
                    <w:widowControl/>
                    <w:suppressLineNumbers w:val="0"/>
                    <w:jc w:val="center"/>
                    <w:textAlignment w:val="center"/>
                    <w:rPr>
                      <w:rFonts w:hint="default" w:ascii="Times New Roman" w:hAnsi="Times New Roman" w:eastAsia="等线"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0.2</w:t>
                  </w:r>
                </w:p>
              </w:tc>
              <w:tc>
                <w:tcPr>
                  <w:tcW w:w="930" w:type="dxa"/>
                  <w:noWrap/>
                  <w:vAlign w:val="center"/>
                </w:tcPr>
                <w:p w14:paraId="7DF1A18B">
                  <w:pPr>
                    <w:keepNext w:val="0"/>
                    <w:keepLines w:val="0"/>
                    <w:widowControl/>
                    <w:suppressLineNumbers w:val="0"/>
                    <w:jc w:val="center"/>
                    <w:textAlignment w:val="center"/>
                    <w:rPr>
                      <w:rFonts w:hint="default" w:ascii="Times New Roman" w:hAnsi="Times New Roman" w:eastAsia="等线"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0.029 </w:t>
                  </w:r>
                </w:p>
              </w:tc>
              <w:tc>
                <w:tcPr>
                  <w:tcW w:w="790" w:type="dxa"/>
                  <w:noWrap/>
                  <w:vAlign w:val="center"/>
                </w:tcPr>
                <w:p w14:paraId="041FE8CB">
                  <w:pPr>
                    <w:keepNext w:val="0"/>
                    <w:keepLines w:val="0"/>
                    <w:widowControl/>
                    <w:suppressLineNumbers w:val="0"/>
                    <w:jc w:val="center"/>
                    <w:textAlignment w:val="center"/>
                    <w:rPr>
                      <w:rFonts w:hint="default" w:ascii="Times New Roman" w:hAnsi="Times New Roman" w:eastAsia="等线"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0.104 </w:t>
                  </w:r>
                </w:p>
              </w:tc>
            </w:tr>
            <w:tr w14:paraId="54444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8" w:hRule="atLeast"/>
                <w:jc w:val="center"/>
              </w:trPr>
              <w:tc>
                <w:tcPr>
                  <w:tcW w:w="500" w:type="pct"/>
                  <w:vMerge w:val="restart"/>
                  <w:noWrap/>
                  <w:vAlign w:val="center"/>
                </w:tcPr>
                <w:p w14:paraId="67FF62FA">
                  <w:pPr>
                    <w:pStyle w:val="11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成品运输车</w:t>
                  </w:r>
                </w:p>
              </w:tc>
              <w:tc>
                <w:tcPr>
                  <w:tcW w:w="718" w:type="pct"/>
                  <w:noWrap/>
                  <w:vAlign w:val="center"/>
                </w:tcPr>
                <w:p w14:paraId="6980A439">
                  <w:pPr>
                    <w:pStyle w:val="11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空车</w:t>
                  </w:r>
                </w:p>
              </w:tc>
              <w:tc>
                <w:tcPr>
                  <w:tcW w:w="345" w:type="pct"/>
                  <w:noWrap/>
                  <w:vAlign w:val="center"/>
                </w:tcPr>
                <w:p w14:paraId="05E745AE">
                  <w:pPr>
                    <w:pStyle w:val="11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eastAsia="zh-CN"/>
                    </w:rPr>
                    <w:t>1</w:t>
                  </w:r>
                  <w:r>
                    <w:rPr>
                      <w:rFonts w:hint="default" w:ascii="Times New Roman" w:hAnsi="Times New Roman" w:cs="Times New Roman"/>
                      <w:color w:val="auto"/>
                      <w:sz w:val="21"/>
                      <w:szCs w:val="21"/>
                      <w:highlight w:val="none"/>
                      <w:lang w:val="en-US" w:eastAsia="zh-CN"/>
                    </w:rPr>
                    <w:t>0</w:t>
                  </w:r>
                </w:p>
              </w:tc>
              <w:tc>
                <w:tcPr>
                  <w:tcW w:w="392" w:type="pct"/>
                  <w:noWrap/>
                  <w:vAlign w:val="center"/>
                </w:tcPr>
                <w:p w14:paraId="363F9FE9">
                  <w:pPr>
                    <w:pStyle w:val="11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16</w:t>
                  </w:r>
                </w:p>
              </w:tc>
              <w:tc>
                <w:tcPr>
                  <w:tcW w:w="537" w:type="pct"/>
                  <w:noWrap/>
                  <w:vAlign w:val="center"/>
                </w:tcPr>
                <w:p w14:paraId="45E31BDA">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0.1</w:t>
                  </w:r>
                </w:p>
              </w:tc>
              <w:tc>
                <w:tcPr>
                  <w:tcW w:w="1140" w:type="dxa"/>
                  <w:noWrap/>
                  <w:vAlign w:val="center"/>
                </w:tcPr>
                <w:p w14:paraId="585849BF">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0.080 </w:t>
                  </w:r>
                </w:p>
              </w:tc>
              <w:tc>
                <w:tcPr>
                  <w:tcW w:w="526" w:type="pct"/>
                  <w:noWrap/>
                  <w:vAlign w:val="center"/>
                </w:tcPr>
                <w:p w14:paraId="0555C646">
                  <w:pPr>
                    <w:pStyle w:val="110"/>
                    <w:jc w:val="center"/>
                    <w:rPr>
                      <w:rFonts w:hint="default" w:ascii="Times New Roman" w:hAnsi="Times New Roman" w:eastAsia="等线" w:cs="Times New Roman"/>
                      <w:color w:val="auto"/>
                      <w:sz w:val="21"/>
                      <w:szCs w:val="21"/>
                      <w:highlight w:val="none"/>
                      <w:lang w:val="en-US" w:eastAsia="zh-CN"/>
                    </w:rPr>
                  </w:pPr>
                  <w:r>
                    <w:rPr>
                      <w:rFonts w:hint="default" w:ascii="Times New Roman" w:hAnsi="Times New Roman" w:eastAsia="等线" w:cs="Times New Roman"/>
                      <w:color w:val="auto"/>
                      <w:sz w:val="21"/>
                      <w:szCs w:val="21"/>
                      <w:highlight w:val="none"/>
                      <w:lang w:val="en-US" w:eastAsia="zh-CN"/>
                    </w:rPr>
                    <w:t>58</w:t>
                  </w:r>
                </w:p>
              </w:tc>
              <w:tc>
                <w:tcPr>
                  <w:tcW w:w="750" w:type="dxa"/>
                  <w:noWrap/>
                  <w:vAlign w:val="center"/>
                </w:tcPr>
                <w:p w14:paraId="563466A4">
                  <w:pPr>
                    <w:keepNext w:val="0"/>
                    <w:keepLines w:val="0"/>
                    <w:widowControl/>
                    <w:suppressLineNumbers w:val="0"/>
                    <w:jc w:val="center"/>
                    <w:textAlignment w:val="center"/>
                    <w:rPr>
                      <w:rFonts w:hint="default" w:ascii="Times New Roman" w:hAnsi="Times New Roman" w:eastAsia="等线"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0.2</w:t>
                  </w:r>
                </w:p>
              </w:tc>
              <w:tc>
                <w:tcPr>
                  <w:tcW w:w="930" w:type="dxa"/>
                  <w:noWrap/>
                  <w:vAlign w:val="center"/>
                </w:tcPr>
                <w:p w14:paraId="222F08CC">
                  <w:pPr>
                    <w:keepNext w:val="0"/>
                    <w:keepLines w:val="0"/>
                    <w:widowControl/>
                    <w:suppressLineNumbers w:val="0"/>
                    <w:jc w:val="center"/>
                    <w:textAlignment w:val="center"/>
                    <w:rPr>
                      <w:rFonts w:hint="default" w:ascii="Times New Roman" w:hAnsi="Times New Roman" w:eastAsia="等线"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0.077 </w:t>
                  </w:r>
                </w:p>
              </w:tc>
              <w:tc>
                <w:tcPr>
                  <w:tcW w:w="790" w:type="dxa"/>
                  <w:noWrap/>
                  <w:vAlign w:val="center"/>
                </w:tcPr>
                <w:p w14:paraId="636DD870">
                  <w:pPr>
                    <w:keepNext w:val="0"/>
                    <w:keepLines w:val="0"/>
                    <w:widowControl/>
                    <w:suppressLineNumbers w:val="0"/>
                    <w:jc w:val="center"/>
                    <w:textAlignment w:val="center"/>
                    <w:rPr>
                      <w:rFonts w:hint="default" w:ascii="Times New Roman" w:hAnsi="Times New Roman" w:eastAsia="等线"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0.278 </w:t>
                  </w:r>
                </w:p>
              </w:tc>
            </w:tr>
            <w:tr w14:paraId="43C77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8" w:hRule="atLeast"/>
                <w:jc w:val="center"/>
              </w:trPr>
              <w:tc>
                <w:tcPr>
                  <w:tcW w:w="500" w:type="pct"/>
                  <w:vMerge w:val="continue"/>
                  <w:noWrap/>
                  <w:vAlign w:val="center"/>
                </w:tcPr>
                <w:p w14:paraId="4DCD4FD1">
                  <w:pPr>
                    <w:pStyle w:val="110"/>
                    <w:jc w:val="center"/>
                    <w:rPr>
                      <w:rFonts w:hint="default" w:ascii="Times New Roman" w:hAnsi="Times New Roman" w:cs="Times New Roman"/>
                      <w:color w:val="auto"/>
                      <w:sz w:val="21"/>
                      <w:szCs w:val="21"/>
                      <w:highlight w:val="none"/>
                      <w:lang w:val="en-US" w:eastAsia="zh-CN"/>
                    </w:rPr>
                  </w:pPr>
                </w:p>
              </w:tc>
              <w:tc>
                <w:tcPr>
                  <w:tcW w:w="718" w:type="pct"/>
                  <w:noWrap/>
                  <w:vAlign w:val="center"/>
                </w:tcPr>
                <w:p w14:paraId="68393961">
                  <w:pPr>
                    <w:pStyle w:val="11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重载</w:t>
                  </w:r>
                </w:p>
              </w:tc>
              <w:tc>
                <w:tcPr>
                  <w:tcW w:w="345" w:type="pct"/>
                  <w:noWrap/>
                  <w:vAlign w:val="center"/>
                </w:tcPr>
                <w:p w14:paraId="472D53E6">
                  <w:pPr>
                    <w:pStyle w:val="11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10</w:t>
                  </w:r>
                </w:p>
              </w:tc>
              <w:tc>
                <w:tcPr>
                  <w:tcW w:w="392" w:type="pct"/>
                  <w:noWrap/>
                  <w:vAlign w:val="center"/>
                </w:tcPr>
                <w:p w14:paraId="2B08D2A2">
                  <w:pPr>
                    <w:pStyle w:val="11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48</w:t>
                  </w:r>
                </w:p>
              </w:tc>
              <w:tc>
                <w:tcPr>
                  <w:tcW w:w="537" w:type="pct"/>
                  <w:noWrap/>
                  <w:vAlign w:val="center"/>
                </w:tcPr>
                <w:p w14:paraId="13D0F456">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0.1</w:t>
                  </w:r>
                </w:p>
              </w:tc>
              <w:tc>
                <w:tcPr>
                  <w:tcW w:w="1140" w:type="dxa"/>
                  <w:noWrap/>
                  <w:vAlign w:val="center"/>
                </w:tcPr>
                <w:p w14:paraId="0E9FC12F">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0.203 </w:t>
                  </w:r>
                </w:p>
              </w:tc>
              <w:tc>
                <w:tcPr>
                  <w:tcW w:w="526" w:type="pct"/>
                  <w:noWrap/>
                  <w:vAlign w:val="center"/>
                </w:tcPr>
                <w:p w14:paraId="53757DFA">
                  <w:pPr>
                    <w:pStyle w:val="110"/>
                    <w:jc w:val="center"/>
                    <w:rPr>
                      <w:rFonts w:hint="default" w:ascii="Times New Roman" w:hAnsi="Times New Roman" w:eastAsia="等线" w:cs="Times New Roman"/>
                      <w:color w:val="auto"/>
                      <w:sz w:val="21"/>
                      <w:szCs w:val="21"/>
                      <w:highlight w:val="none"/>
                      <w:lang w:val="en-US" w:eastAsia="zh-CN"/>
                    </w:rPr>
                  </w:pPr>
                  <w:r>
                    <w:rPr>
                      <w:rFonts w:hint="default" w:ascii="Times New Roman" w:hAnsi="Times New Roman" w:eastAsia="等线" w:cs="Times New Roman"/>
                      <w:color w:val="auto"/>
                      <w:sz w:val="21"/>
                      <w:szCs w:val="21"/>
                      <w:highlight w:val="none"/>
                      <w:lang w:val="en-US" w:eastAsia="zh-CN"/>
                    </w:rPr>
                    <w:t>58</w:t>
                  </w:r>
                </w:p>
              </w:tc>
              <w:tc>
                <w:tcPr>
                  <w:tcW w:w="750" w:type="dxa"/>
                  <w:noWrap/>
                  <w:vAlign w:val="center"/>
                </w:tcPr>
                <w:p w14:paraId="6110A356">
                  <w:pPr>
                    <w:keepNext w:val="0"/>
                    <w:keepLines w:val="0"/>
                    <w:widowControl/>
                    <w:suppressLineNumbers w:val="0"/>
                    <w:jc w:val="center"/>
                    <w:textAlignment w:val="center"/>
                    <w:rPr>
                      <w:rFonts w:hint="default" w:ascii="Times New Roman" w:hAnsi="Times New Roman" w:eastAsia="等线"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0.2</w:t>
                  </w:r>
                </w:p>
              </w:tc>
              <w:tc>
                <w:tcPr>
                  <w:tcW w:w="930" w:type="dxa"/>
                  <w:noWrap/>
                  <w:vAlign w:val="center"/>
                </w:tcPr>
                <w:p w14:paraId="6A80D990">
                  <w:pPr>
                    <w:keepNext w:val="0"/>
                    <w:keepLines w:val="0"/>
                    <w:widowControl/>
                    <w:suppressLineNumbers w:val="0"/>
                    <w:jc w:val="center"/>
                    <w:textAlignment w:val="center"/>
                    <w:rPr>
                      <w:rFonts w:hint="default" w:ascii="Times New Roman" w:hAnsi="Times New Roman" w:eastAsia="等线"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0.196 </w:t>
                  </w:r>
                </w:p>
              </w:tc>
              <w:tc>
                <w:tcPr>
                  <w:tcW w:w="790" w:type="dxa"/>
                  <w:noWrap/>
                  <w:vAlign w:val="center"/>
                </w:tcPr>
                <w:p w14:paraId="6BA03010">
                  <w:pPr>
                    <w:keepNext w:val="0"/>
                    <w:keepLines w:val="0"/>
                    <w:widowControl/>
                    <w:suppressLineNumbers w:val="0"/>
                    <w:jc w:val="center"/>
                    <w:textAlignment w:val="center"/>
                    <w:rPr>
                      <w:rFonts w:hint="default" w:ascii="Times New Roman" w:hAnsi="Times New Roman" w:eastAsia="等线"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0.707 </w:t>
                  </w:r>
                </w:p>
              </w:tc>
            </w:tr>
            <w:tr w14:paraId="700E9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72" w:hRule="atLeast"/>
                <w:jc w:val="center"/>
              </w:trPr>
              <w:tc>
                <w:tcPr>
                  <w:tcW w:w="4056" w:type="pct"/>
                  <w:gridSpan w:val="8"/>
                  <w:noWrap/>
                  <w:vAlign w:val="center"/>
                </w:tcPr>
                <w:p w14:paraId="5FEA35BA">
                  <w:pPr>
                    <w:pStyle w:val="11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b/>
                      <w:bCs/>
                      <w:color w:val="auto"/>
                      <w:highlight w:val="none"/>
                      <w:lang w:val="en-US" w:eastAsia="zh-CN"/>
                    </w:rPr>
                    <w:t>总计</w:t>
                  </w:r>
                </w:p>
              </w:tc>
              <w:tc>
                <w:tcPr>
                  <w:tcW w:w="930" w:type="dxa"/>
                  <w:noWrap/>
                  <w:vAlign w:val="center"/>
                </w:tcPr>
                <w:p w14:paraId="5BCF0F10">
                  <w:pPr>
                    <w:keepNext w:val="0"/>
                    <w:keepLines w:val="0"/>
                    <w:widowControl/>
                    <w:suppressLineNumbers w:val="0"/>
                    <w:jc w:val="center"/>
                    <w:textAlignment w:val="center"/>
                    <w:rPr>
                      <w:rFonts w:hint="default" w:ascii="Times New Roman" w:hAnsi="Times New Roman" w:eastAsia="等线"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0.542 </w:t>
                  </w:r>
                </w:p>
              </w:tc>
              <w:tc>
                <w:tcPr>
                  <w:tcW w:w="790" w:type="dxa"/>
                  <w:noWrap/>
                  <w:vAlign w:val="center"/>
                </w:tcPr>
                <w:p w14:paraId="48BF9D10">
                  <w:pPr>
                    <w:keepNext w:val="0"/>
                    <w:keepLines w:val="0"/>
                    <w:widowControl/>
                    <w:suppressLineNumbers w:val="0"/>
                    <w:jc w:val="center"/>
                    <w:textAlignment w:val="center"/>
                    <w:rPr>
                      <w:rFonts w:hint="default" w:ascii="Times New Roman" w:hAnsi="Times New Roman" w:eastAsia="等线"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1.950 </w:t>
                  </w:r>
                </w:p>
              </w:tc>
            </w:tr>
          </w:tbl>
          <w:p w14:paraId="2D67FD1D">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eastAsia="宋体" w:cs="Times New Roman"/>
                <w:color w:val="auto"/>
                <w:kern w:val="2"/>
                <w:sz w:val="24"/>
                <w:szCs w:val="24"/>
                <w:highlight w:val="none"/>
              </w:rPr>
              <w:t>根据本项目的实际情况，厂区内道路和场地硬化处理；严格管理运输车辆，禁止超载，限制车速；粉料均采用罐车密封运输，砂子运输过程使用遮挡布遮盖，防止物料洒落；及时清扫路面；厂区设置雾桩增湿抑尘；进出厂区车辆进行</w:t>
            </w:r>
            <w:r>
              <w:rPr>
                <w:rFonts w:hint="default" w:ascii="Times New Roman" w:hAnsi="Times New Roman" w:cs="Times New Roman"/>
                <w:color w:val="auto"/>
                <w:sz w:val="24"/>
                <w:szCs w:val="24"/>
                <w:highlight w:val="none"/>
                <w:lang w:val="en-US" w:eastAsia="zh-CN"/>
              </w:rPr>
              <w:t>清</w:t>
            </w:r>
            <w:r>
              <w:rPr>
                <w:rFonts w:hint="default" w:ascii="Times New Roman" w:hAnsi="Times New Roman" w:eastAsia="宋体" w:cs="Times New Roman"/>
                <w:i w:val="0"/>
                <w:iCs w:val="0"/>
                <w:color w:val="auto"/>
                <w:kern w:val="0"/>
                <w:sz w:val="24"/>
                <w:szCs w:val="24"/>
                <w:highlight w:val="none"/>
                <w:u w:val="none"/>
                <w:lang w:val="en-US" w:eastAsia="zh-CN" w:bidi="ar"/>
              </w:rPr>
              <w:t>洗</w:t>
            </w:r>
            <w:r>
              <w:rPr>
                <w:rFonts w:hint="default" w:ascii="Times New Roman" w:hAnsi="Times New Roman" w:eastAsia="宋体" w:cs="Times New Roman"/>
                <w:color w:val="auto"/>
                <w:kern w:val="2"/>
                <w:sz w:val="24"/>
                <w:szCs w:val="24"/>
                <w:highlight w:val="none"/>
              </w:rPr>
              <w:t>。</w:t>
            </w:r>
            <w:r>
              <w:rPr>
                <w:rFonts w:hint="default" w:ascii="Times New Roman" w:hAnsi="Times New Roman" w:eastAsia="宋体" w:cs="Times New Roman"/>
                <w:color w:val="auto"/>
                <w:kern w:val="2"/>
                <w:sz w:val="24"/>
                <w:szCs w:val="24"/>
                <w:highlight w:val="none"/>
                <w:lang w:val="en-US" w:eastAsia="zh-CN"/>
              </w:rPr>
              <w:t>且</w:t>
            </w:r>
            <w:r>
              <w:rPr>
                <w:rFonts w:hint="default" w:ascii="Times New Roman" w:hAnsi="Times New Roman" w:cs="Times New Roman"/>
                <w:color w:val="auto"/>
                <w:kern w:val="0"/>
                <w:sz w:val="24"/>
                <w:szCs w:val="24"/>
                <w:highlight w:val="none"/>
                <w:lang w:val="en-US" w:eastAsia="zh-CN"/>
              </w:rPr>
              <w:t>项目运输车辆扬尘通过扫除+洒水抑尘的方式处理后无组织排放。</w:t>
            </w:r>
          </w:p>
          <w:p w14:paraId="0EB26B9E">
            <w:pPr>
              <w:adjustRightInd w:val="0"/>
              <w:snapToGrid w:val="0"/>
              <w:spacing w:line="360" w:lineRule="auto"/>
              <w:ind w:firstLine="440" w:firstLineChars="200"/>
              <w:jc w:val="left"/>
              <w:rPr>
                <w:rFonts w:hint="default" w:ascii="Times New Roman" w:hAnsi="Times New Roman" w:eastAsia="宋体" w:cs="Times New Roman"/>
                <w:bCs/>
                <w:color w:val="auto"/>
                <w:spacing w:val="-10"/>
                <w:sz w:val="24"/>
                <w:szCs w:val="24"/>
                <w:highlight w:val="none"/>
              </w:rPr>
            </w:pPr>
            <w:r>
              <w:rPr>
                <w:rFonts w:hint="default" w:ascii="Times New Roman" w:hAnsi="Times New Roman" w:eastAsia="宋体" w:cs="Times New Roman"/>
                <w:bCs/>
                <w:color w:val="auto"/>
                <w:spacing w:val="-10"/>
                <w:sz w:val="24"/>
                <w:szCs w:val="24"/>
                <w:highlight w:val="none"/>
                <w:lang w:val="en-US" w:eastAsia="zh-CN"/>
              </w:rPr>
              <w:t>1.1.8</w:t>
            </w:r>
            <w:r>
              <w:rPr>
                <w:rFonts w:hint="default" w:ascii="Times New Roman" w:hAnsi="Times New Roman" w:eastAsia="宋体" w:cs="Times New Roman"/>
                <w:bCs/>
                <w:color w:val="auto"/>
                <w:spacing w:val="-10"/>
                <w:sz w:val="24"/>
                <w:szCs w:val="24"/>
                <w:highlight w:val="none"/>
              </w:rPr>
              <w:t>汽车尾气</w:t>
            </w:r>
          </w:p>
          <w:p w14:paraId="52830380">
            <w:pPr>
              <w:pStyle w:val="16"/>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rPr>
              <w:t>本项目运营期间，运输车辆进出作业区会产生少量的汽车尾气，</w:t>
            </w:r>
            <w:r>
              <w:rPr>
                <w:rFonts w:hint="default" w:ascii="Times New Roman" w:hAnsi="Times New Roman" w:eastAsia="宋体" w:cs="Times New Roman"/>
                <w:color w:val="auto"/>
                <w:kern w:val="0"/>
                <w:sz w:val="24"/>
                <w:szCs w:val="24"/>
                <w:highlight w:val="none"/>
                <w:lang w:val="en-US" w:eastAsia="zh-CN" w:bidi="ar-SA"/>
              </w:rPr>
              <w:t>汽车尾气的主要污染物为CO、NOx、THC等，</w:t>
            </w:r>
            <w:r>
              <w:rPr>
                <w:rFonts w:hint="default" w:ascii="Times New Roman" w:hAnsi="Times New Roman" w:eastAsia="宋体" w:cs="Times New Roman"/>
                <w:color w:val="auto"/>
                <w:kern w:val="2"/>
                <w:sz w:val="24"/>
                <w:szCs w:val="24"/>
                <w:highlight w:val="none"/>
                <w:lang w:val="en-US" w:eastAsia="zh-CN"/>
              </w:rPr>
              <w:t>由于汽车尾气排放量较小，且属于分散流动源，极易在大气中扩散，本项目不做定量分析。项目平时</w:t>
            </w:r>
            <w:r>
              <w:rPr>
                <w:rFonts w:hint="default" w:ascii="Times New Roman" w:hAnsi="Times New Roman" w:eastAsia="宋体" w:cs="Times New Roman"/>
                <w:color w:val="auto"/>
                <w:kern w:val="0"/>
                <w:sz w:val="24"/>
                <w:szCs w:val="24"/>
                <w:highlight w:val="none"/>
                <w:lang w:val="en-US" w:eastAsia="zh-CN" w:bidi="ar-SA"/>
              </w:rPr>
              <w:t>注意车辆维修保养，禁止不符国标或已到报废车龄的车辆进出厂区。排放的气体经扩散稀释后对周围环境影响不大。</w:t>
            </w:r>
          </w:p>
          <w:p w14:paraId="503F7A50">
            <w:pPr>
              <w:keepNext w:val="0"/>
              <w:keepLines w:val="0"/>
              <w:pageBreakBefore w:val="0"/>
              <w:widowControl/>
              <w:suppressLineNumbers w:val="0"/>
              <w:kinsoku/>
              <w:wordWrap/>
              <w:overflowPunct/>
              <w:topLinePunct w:val="0"/>
              <w:autoSpaceDE/>
              <w:autoSpaceDN/>
              <w:bidi w:val="0"/>
              <w:adjustRightInd w:val="0"/>
              <w:snapToGrid w:val="0"/>
              <w:spacing w:after="0" w:line="360" w:lineRule="auto"/>
              <w:ind w:firstLine="440" w:firstLineChars="200"/>
              <w:jc w:val="left"/>
              <w:textAlignment w:val="auto"/>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eastAsia="宋体" w:cs="Times New Roman"/>
                <w:bCs/>
                <w:color w:val="auto"/>
                <w:spacing w:val="-10"/>
                <w:sz w:val="24"/>
                <w:szCs w:val="24"/>
                <w:highlight w:val="none"/>
                <w:lang w:val="en-US" w:eastAsia="zh-CN"/>
              </w:rPr>
              <w:t>1.1.9</w:t>
            </w:r>
            <w:r>
              <w:rPr>
                <w:rFonts w:hint="default" w:ascii="Times New Roman" w:hAnsi="Times New Roman" w:eastAsia="宋体" w:cs="Times New Roman"/>
                <w:color w:val="auto"/>
                <w:kern w:val="2"/>
                <w:sz w:val="24"/>
                <w:szCs w:val="24"/>
                <w:highlight w:val="none"/>
                <w:lang w:val="en-US" w:eastAsia="zh-CN"/>
              </w:rPr>
              <w:t>锅炉燃烧废气</w:t>
            </w:r>
          </w:p>
          <w:p w14:paraId="03290B9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eastAsia="宋体" w:cs="Times New Roman"/>
                <w:bCs/>
                <w:color w:val="auto"/>
                <w:kern w:val="0"/>
                <w:sz w:val="24"/>
                <w:szCs w:val="24"/>
                <w:highlight w:val="none"/>
                <w:lang w:val="en-US" w:eastAsia="zh-CN" w:bidi="ar-SA"/>
              </w:rPr>
            </w:pPr>
            <w:r>
              <w:rPr>
                <w:rFonts w:hint="default" w:ascii="Times New Roman" w:hAnsi="Times New Roman" w:eastAsia="宋体" w:cs="Times New Roman"/>
                <w:bCs/>
                <w:color w:val="auto"/>
                <w:kern w:val="0"/>
                <w:sz w:val="24"/>
                <w:szCs w:val="24"/>
                <w:highlight w:val="none"/>
                <w:lang w:val="en-US" w:eastAsia="zh-CN" w:bidi="ar-SA"/>
              </w:rPr>
              <w:t>项目全年约100天需使用天然气锅炉提供蒸汽对产品进行热能，天然气燃烧过程产生污染物，主要污染因子是颗粒物、SO</w:t>
            </w:r>
            <w:r>
              <w:rPr>
                <w:rFonts w:hint="default" w:ascii="Times New Roman" w:hAnsi="Times New Roman" w:eastAsia="宋体" w:cs="Times New Roman"/>
                <w:bCs/>
                <w:color w:val="auto"/>
                <w:kern w:val="0"/>
                <w:sz w:val="24"/>
                <w:szCs w:val="24"/>
                <w:highlight w:val="none"/>
                <w:vertAlign w:val="subscript"/>
                <w:lang w:val="en-US" w:eastAsia="zh-CN" w:bidi="ar-SA"/>
              </w:rPr>
              <w:t>2</w:t>
            </w:r>
            <w:r>
              <w:rPr>
                <w:rFonts w:hint="default" w:ascii="Times New Roman" w:hAnsi="Times New Roman" w:eastAsia="宋体" w:cs="Times New Roman"/>
                <w:bCs/>
                <w:color w:val="auto"/>
                <w:kern w:val="0"/>
                <w:sz w:val="24"/>
                <w:szCs w:val="24"/>
                <w:highlight w:val="none"/>
                <w:lang w:val="en-US" w:eastAsia="zh-CN" w:bidi="ar-SA"/>
              </w:rPr>
              <w:t>、NOx，天然气燃烧的时候采用低氮燃烧装置。项目设置2台1t/h天然气锅炉进行生产使用，根据前文分析，2台锅炉天然气用量为17.832万m</w:t>
            </w:r>
            <w:r>
              <w:rPr>
                <w:rFonts w:hint="default" w:ascii="Times New Roman" w:hAnsi="Times New Roman" w:eastAsia="宋体" w:cs="Times New Roman"/>
                <w:bCs/>
                <w:color w:val="auto"/>
                <w:kern w:val="0"/>
                <w:sz w:val="24"/>
                <w:szCs w:val="24"/>
                <w:highlight w:val="none"/>
                <w:vertAlign w:val="superscript"/>
                <w:lang w:val="en-US" w:eastAsia="zh-CN" w:bidi="ar-SA"/>
              </w:rPr>
              <w:t>3</w:t>
            </w:r>
            <w:r>
              <w:rPr>
                <w:rFonts w:hint="default" w:ascii="Times New Roman" w:hAnsi="Times New Roman" w:eastAsia="宋体" w:cs="Times New Roman"/>
                <w:bCs/>
                <w:color w:val="auto"/>
                <w:kern w:val="0"/>
                <w:sz w:val="24"/>
                <w:szCs w:val="24"/>
                <w:highlight w:val="none"/>
                <w:lang w:val="en-US" w:eastAsia="zh-CN" w:bidi="ar-SA"/>
              </w:rPr>
              <w:t>/a，2台锅炉参数一致，且工作时间相同，约每年工作1200h，每台锅炉使用的天然气量为8.916</w:t>
            </w:r>
            <w:r>
              <w:rPr>
                <w:rFonts w:hint="eastAsia"/>
                <w:color w:val="auto"/>
                <w:highlight w:val="none"/>
                <w:lang w:val="en-US" w:eastAsia="zh-CN"/>
              </w:rPr>
              <w:t>万</w:t>
            </w:r>
            <w:r>
              <w:rPr>
                <w:rFonts w:hint="default" w:ascii="Times New Roman" w:hAnsi="Times New Roman" w:eastAsia="宋体" w:cs="Times New Roman"/>
                <w:bCs/>
                <w:color w:val="auto"/>
                <w:kern w:val="0"/>
                <w:sz w:val="24"/>
                <w:szCs w:val="24"/>
                <w:highlight w:val="none"/>
                <w:lang w:val="en-US" w:eastAsia="zh-CN" w:bidi="ar-SA"/>
              </w:rPr>
              <w:t>m</w:t>
            </w:r>
            <w:r>
              <w:rPr>
                <w:rFonts w:hint="default" w:ascii="Times New Roman" w:hAnsi="Times New Roman" w:eastAsia="宋体" w:cs="Times New Roman"/>
                <w:bCs/>
                <w:color w:val="auto"/>
                <w:kern w:val="0"/>
                <w:sz w:val="24"/>
                <w:szCs w:val="24"/>
                <w:highlight w:val="none"/>
                <w:vertAlign w:val="superscript"/>
                <w:lang w:val="en-US" w:eastAsia="zh-CN" w:bidi="ar-SA"/>
              </w:rPr>
              <w:t>3</w:t>
            </w:r>
            <w:r>
              <w:rPr>
                <w:rFonts w:hint="default" w:ascii="Times New Roman" w:hAnsi="Times New Roman" w:eastAsia="宋体" w:cs="Times New Roman"/>
                <w:bCs/>
                <w:color w:val="auto"/>
                <w:kern w:val="0"/>
                <w:sz w:val="24"/>
                <w:szCs w:val="24"/>
                <w:highlight w:val="none"/>
                <w:lang w:val="en-US" w:eastAsia="zh-CN" w:bidi="ar-SA"/>
              </w:rPr>
              <w:t>/a。</w:t>
            </w:r>
            <w:r>
              <w:rPr>
                <w:rFonts w:hint="default" w:ascii="Times New Roman" w:hAnsi="Times New Roman" w:eastAsia="宋体" w:cs="Times New Roman"/>
                <w:color w:val="auto"/>
                <w:sz w:val="24"/>
                <w:szCs w:val="24"/>
                <w:highlight w:val="none"/>
                <w:vertAlign w:val="baseline"/>
                <w:lang w:val="en-US" w:eastAsia="zh-CN"/>
              </w:rPr>
              <w:t>锅炉燃料为天然气，烟气中主要污染物为颗粒物、SO</w:t>
            </w:r>
            <w:r>
              <w:rPr>
                <w:rFonts w:hint="default" w:ascii="Times New Roman" w:hAnsi="Times New Roman" w:eastAsia="宋体" w:cs="Times New Roman"/>
                <w:color w:val="auto"/>
                <w:sz w:val="24"/>
                <w:szCs w:val="24"/>
                <w:highlight w:val="none"/>
                <w:vertAlign w:val="subscript"/>
                <w:lang w:val="en-US" w:eastAsia="zh-CN"/>
              </w:rPr>
              <w:t>2</w:t>
            </w:r>
            <w:r>
              <w:rPr>
                <w:rFonts w:hint="default" w:ascii="Times New Roman" w:hAnsi="Times New Roman" w:eastAsia="宋体" w:cs="Times New Roman"/>
                <w:color w:val="auto"/>
                <w:sz w:val="24"/>
                <w:szCs w:val="24"/>
                <w:highlight w:val="none"/>
                <w:vertAlign w:val="baseline"/>
                <w:lang w:val="en-US" w:eastAsia="zh-CN"/>
              </w:rPr>
              <w:t>、NOx。</w:t>
            </w:r>
            <w:r>
              <w:rPr>
                <w:rFonts w:hint="default" w:ascii="Times New Roman" w:hAnsi="Times New Roman" w:eastAsia="宋体" w:cs="Times New Roman"/>
                <w:bCs/>
                <w:color w:val="auto"/>
                <w:kern w:val="0"/>
                <w:sz w:val="24"/>
                <w:szCs w:val="24"/>
                <w:highlight w:val="none"/>
                <w:lang w:val="en-US" w:eastAsia="zh-CN" w:bidi="ar-SA"/>
              </w:rPr>
              <w:t>天然气燃烧废气中工业废气量、SO</w:t>
            </w:r>
            <w:r>
              <w:rPr>
                <w:rFonts w:hint="default" w:ascii="Times New Roman" w:hAnsi="Times New Roman" w:eastAsia="宋体" w:cs="Times New Roman"/>
                <w:bCs/>
                <w:color w:val="auto"/>
                <w:kern w:val="0"/>
                <w:sz w:val="24"/>
                <w:szCs w:val="24"/>
                <w:highlight w:val="none"/>
                <w:vertAlign w:val="subscript"/>
                <w:lang w:val="en-US" w:eastAsia="zh-CN" w:bidi="ar-SA"/>
              </w:rPr>
              <w:t>2</w:t>
            </w:r>
            <w:r>
              <w:rPr>
                <w:rFonts w:hint="default" w:ascii="Times New Roman" w:hAnsi="Times New Roman" w:eastAsia="宋体" w:cs="Times New Roman"/>
                <w:bCs/>
                <w:color w:val="auto"/>
                <w:kern w:val="0"/>
                <w:sz w:val="24"/>
                <w:szCs w:val="24"/>
                <w:highlight w:val="none"/>
                <w:lang w:val="en-US" w:eastAsia="zh-CN" w:bidi="ar-SA"/>
              </w:rPr>
              <w:t>、NOx的产污系数参照《排放源统计调查产排污核算方法和系数手册》中4430工业锅炉（热力供应）行业系数手册-燃气工业锅炉中原料名称为“天然气”的产排污系数，烟尘产污系数参照《纳入排污许可管理的火电等17个行业污染物实际排放量计算方法》（含排污系数、物料衡算方法）（试行）》附录A中烟尘的产污系数，则工业废气量、SO</w:t>
            </w:r>
            <w:r>
              <w:rPr>
                <w:rFonts w:hint="default" w:ascii="Times New Roman" w:hAnsi="Times New Roman" w:eastAsia="宋体" w:cs="Times New Roman"/>
                <w:bCs/>
                <w:color w:val="auto"/>
                <w:kern w:val="0"/>
                <w:sz w:val="24"/>
                <w:szCs w:val="24"/>
                <w:highlight w:val="none"/>
                <w:vertAlign w:val="subscript"/>
                <w:lang w:val="en-US" w:eastAsia="zh-CN" w:bidi="ar-SA"/>
              </w:rPr>
              <w:t>2</w:t>
            </w:r>
            <w:r>
              <w:rPr>
                <w:rFonts w:hint="default" w:ascii="Times New Roman" w:hAnsi="Times New Roman" w:eastAsia="宋体" w:cs="Times New Roman"/>
                <w:bCs/>
                <w:color w:val="auto"/>
                <w:kern w:val="0"/>
                <w:sz w:val="24"/>
                <w:szCs w:val="24"/>
                <w:highlight w:val="none"/>
                <w:lang w:val="en-US" w:eastAsia="zh-CN" w:bidi="ar-SA"/>
              </w:rPr>
              <w:t>、NO</w:t>
            </w:r>
            <w:r>
              <w:rPr>
                <w:rFonts w:hint="default" w:ascii="Times New Roman" w:hAnsi="Times New Roman" w:eastAsia="宋体" w:cs="Times New Roman"/>
                <w:bCs/>
                <w:color w:val="auto"/>
                <w:kern w:val="0"/>
                <w:sz w:val="24"/>
                <w:szCs w:val="24"/>
                <w:highlight w:val="none"/>
                <w:vertAlign w:val="subscript"/>
                <w:lang w:val="en-US" w:eastAsia="zh-CN" w:bidi="ar-SA"/>
              </w:rPr>
              <w:t>X</w:t>
            </w:r>
            <w:r>
              <w:rPr>
                <w:rFonts w:hint="default" w:ascii="Times New Roman" w:hAnsi="Times New Roman" w:eastAsia="宋体" w:cs="Times New Roman"/>
                <w:bCs/>
                <w:color w:val="auto"/>
                <w:kern w:val="0"/>
                <w:sz w:val="24"/>
                <w:szCs w:val="24"/>
                <w:highlight w:val="none"/>
                <w:lang w:val="en-US" w:eastAsia="zh-CN" w:bidi="ar-SA"/>
              </w:rPr>
              <w:t>和烟尘的产污系数分别为：</w:t>
            </w:r>
          </w:p>
          <w:p w14:paraId="72E80DA8">
            <w:pPr>
              <w:spacing w:after="0"/>
              <w:jc w:val="center"/>
              <w:rPr>
                <w:rFonts w:hint="default" w:ascii="Times New Roman" w:hAnsi="Times New Roman" w:eastAsia="宋体" w:cs="Times New Roman"/>
                <w:b/>
                <w:bCs/>
                <w:color w:val="auto"/>
                <w:sz w:val="21"/>
                <w:szCs w:val="20"/>
                <w:highlight w:val="none"/>
              </w:rPr>
            </w:pPr>
            <w:r>
              <w:rPr>
                <w:rFonts w:hint="default" w:ascii="Times New Roman" w:hAnsi="Times New Roman" w:eastAsia="宋体" w:cs="Times New Roman"/>
                <w:b/>
                <w:bCs/>
                <w:color w:val="auto"/>
                <w:sz w:val="21"/>
                <w:szCs w:val="20"/>
                <w:highlight w:val="none"/>
              </w:rPr>
              <w:t>表4</w:t>
            </w:r>
            <w:r>
              <w:rPr>
                <w:rFonts w:hint="default" w:ascii="Times New Roman" w:hAnsi="Times New Roman" w:eastAsia="宋体" w:cs="Times New Roman"/>
                <w:b/>
                <w:bCs/>
                <w:color w:val="auto"/>
                <w:sz w:val="21"/>
                <w:szCs w:val="20"/>
                <w:highlight w:val="none"/>
                <w:lang w:val="en-US" w:eastAsia="zh-CN"/>
              </w:rPr>
              <w:t>-3 项目</w:t>
            </w:r>
            <w:r>
              <w:rPr>
                <w:rFonts w:hint="default" w:ascii="Times New Roman" w:hAnsi="Times New Roman" w:eastAsia="宋体" w:cs="Times New Roman"/>
                <w:b/>
                <w:bCs/>
                <w:color w:val="auto"/>
                <w:sz w:val="21"/>
                <w:szCs w:val="20"/>
                <w:highlight w:val="none"/>
              </w:rPr>
              <w:t>大气污染物源强核算结果一览表</w:t>
            </w:r>
          </w:p>
          <w:tbl>
            <w:tblPr>
              <w:tblStyle w:val="34"/>
              <w:tblW w:w="9177" w:type="dxa"/>
              <w:tblInd w:w="-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698"/>
              <w:gridCol w:w="1140"/>
              <w:gridCol w:w="1275"/>
              <w:gridCol w:w="2745"/>
              <w:gridCol w:w="2587"/>
            </w:tblGrid>
            <w:tr w14:paraId="65126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398" w:type="pct"/>
                  <w:noWrap/>
                  <w:vAlign w:val="center"/>
                </w:tcPr>
                <w:p w14:paraId="405B1462">
                  <w:pPr>
                    <w:autoSpaceDE w:val="0"/>
                    <w:autoSpaceDN w:val="0"/>
                    <w:spacing w:after="0"/>
                    <w:jc w:val="center"/>
                    <w:textAlignment w:val="baseline"/>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名称</w:t>
                  </w:r>
                </w:p>
              </w:tc>
              <w:tc>
                <w:tcPr>
                  <w:tcW w:w="380" w:type="pct"/>
                  <w:noWrap/>
                  <w:vAlign w:val="center"/>
                </w:tcPr>
                <w:p w14:paraId="3C5CD983">
                  <w:pPr>
                    <w:autoSpaceDE w:val="0"/>
                    <w:autoSpaceDN w:val="0"/>
                    <w:spacing w:after="0"/>
                    <w:jc w:val="center"/>
                    <w:textAlignment w:val="baseline"/>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原料</w:t>
                  </w:r>
                </w:p>
              </w:tc>
              <w:tc>
                <w:tcPr>
                  <w:tcW w:w="621" w:type="pct"/>
                  <w:noWrap/>
                  <w:vAlign w:val="center"/>
                </w:tcPr>
                <w:p w14:paraId="41531E32">
                  <w:pPr>
                    <w:autoSpaceDE w:val="0"/>
                    <w:autoSpaceDN w:val="0"/>
                    <w:spacing w:after="0"/>
                    <w:jc w:val="center"/>
                    <w:textAlignment w:val="baseline"/>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rPr>
                    <w:t>规模</w:t>
                  </w:r>
                  <w:r>
                    <w:rPr>
                      <w:rFonts w:hint="default" w:ascii="Times New Roman" w:hAnsi="Times New Roman" w:eastAsia="宋体" w:cs="Times New Roman"/>
                      <w:b/>
                      <w:bCs/>
                      <w:color w:val="auto"/>
                      <w:sz w:val="21"/>
                      <w:szCs w:val="21"/>
                      <w:highlight w:val="none"/>
                      <w:lang w:val="en-US" w:eastAsia="zh-CN"/>
                    </w:rPr>
                    <w:t>等级</w:t>
                  </w:r>
                </w:p>
              </w:tc>
              <w:tc>
                <w:tcPr>
                  <w:tcW w:w="694" w:type="pct"/>
                  <w:noWrap/>
                  <w:vAlign w:val="center"/>
                </w:tcPr>
                <w:p w14:paraId="35360C0C">
                  <w:pPr>
                    <w:autoSpaceDE w:val="0"/>
                    <w:autoSpaceDN w:val="0"/>
                    <w:spacing w:after="0"/>
                    <w:jc w:val="center"/>
                    <w:textAlignment w:val="baseline"/>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污染物指标</w:t>
                  </w:r>
                </w:p>
              </w:tc>
              <w:tc>
                <w:tcPr>
                  <w:tcW w:w="1495" w:type="pct"/>
                  <w:noWrap/>
                  <w:vAlign w:val="center"/>
                </w:tcPr>
                <w:p w14:paraId="434ED3DC">
                  <w:pPr>
                    <w:autoSpaceDE w:val="0"/>
                    <w:autoSpaceDN w:val="0"/>
                    <w:spacing w:after="0"/>
                    <w:jc w:val="center"/>
                    <w:textAlignment w:val="baseline"/>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单位</w:t>
                  </w:r>
                </w:p>
              </w:tc>
              <w:tc>
                <w:tcPr>
                  <w:tcW w:w="1409" w:type="pct"/>
                  <w:noWrap/>
                  <w:vAlign w:val="center"/>
                </w:tcPr>
                <w:p w14:paraId="798C4A35">
                  <w:pPr>
                    <w:autoSpaceDE w:val="0"/>
                    <w:autoSpaceDN w:val="0"/>
                    <w:spacing w:after="0"/>
                    <w:jc w:val="center"/>
                    <w:textAlignment w:val="baseline"/>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产污系数</w:t>
                  </w:r>
                </w:p>
              </w:tc>
            </w:tr>
            <w:tr w14:paraId="0DAFB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398" w:type="pct"/>
                  <w:vMerge w:val="restart"/>
                  <w:noWrap/>
                  <w:vAlign w:val="center"/>
                </w:tcPr>
                <w:p w14:paraId="751157A8">
                  <w:pPr>
                    <w:autoSpaceDE w:val="0"/>
                    <w:autoSpaceDN w:val="0"/>
                    <w:spacing w:after="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蒸汽/热水/其他</w:t>
                  </w:r>
                </w:p>
              </w:tc>
              <w:tc>
                <w:tcPr>
                  <w:tcW w:w="380" w:type="pct"/>
                  <w:vMerge w:val="restart"/>
                  <w:noWrap/>
                  <w:vAlign w:val="center"/>
                </w:tcPr>
                <w:p w14:paraId="7089B08F">
                  <w:pPr>
                    <w:autoSpaceDE w:val="0"/>
                    <w:autoSpaceDN w:val="0"/>
                    <w:spacing w:after="0"/>
                    <w:jc w:val="center"/>
                    <w:textAlignment w:val="baseline"/>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天然气</w:t>
                  </w:r>
                </w:p>
              </w:tc>
              <w:tc>
                <w:tcPr>
                  <w:tcW w:w="621" w:type="pct"/>
                  <w:vMerge w:val="restart"/>
                  <w:noWrap/>
                  <w:vAlign w:val="center"/>
                </w:tcPr>
                <w:p w14:paraId="6F3F5766">
                  <w:pPr>
                    <w:autoSpaceDE w:val="0"/>
                    <w:autoSpaceDN w:val="0"/>
                    <w:spacing w:after="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所有规模</w:t>
                  </w:r>
                </w:p>
              </w:tc>
              <w:tc>
                <w:tcPr>
                  <w:tcW w:w="694" w:type="pct"/>
                  <w:noWrap/>
                  <w:vAlign w:val="center"/>
                </w:tcPr>
                <w:p w14:paraId="5830D7E8">
                  <w:pPr>
                    <w:autoSpaceDE w:val="0"/>
                    <w:autoSpaceDN w:val="0"/>
                    <w:spacing w:after="0"/>
                    <w:jc w:val="center"/>
                    <w:textAlignment w:val="baseline"/>
                    <w:rPr>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color w:val="auto"/>
                      <w:sz w:val="21"/>
                      <w:szCs w:val="21"/>
                      <w:highlight w:val="none"/>
                      <w:lang w:val="en-US" w:eastAsia="zh-CN" w:bidi="ar"/>
                    </w:rPr>
                    <w:t>工业废气量</w:t>
                  </w:r>
                </w:p>
              </w:tc>
              <w:tc>
                <w:tcPr>
                  <w:tcW w:w="1495" w:type="pct"/>
                  <w:noWrap/>
                  <w:vAlign w:val="center"/>
                </w:tcPr>
                <w:p w14:paraId="2795A0E0">
                  <w:pPr>
                    <w:autoSpaceDE w:val="0"/>
                    <w:autoSpaceDN w:val="0"/>
                    <w:spacing w:after="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标立方米/万立方米－原料</w:t>
                  </w:r>
                </w:p>
              </w:tc>
              <w:tc>
                <w:tcPr>
                  <w:tcW w:w="1409" w:type="pct"/>
                  <w:noWrap/>
                  <w:vAlign w:val="center"/>
                </w:tcPr>
                <w:p w14:paraId="1986426B">
                  <w:pPr>
                    <w:autoSpaceDE w:val="0"/>
                    <w:autoSpaceDN w:val="0"/>
                    <w:spacing w:after="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107753</w:t>
                  </w:r>
                </w:p>
              </w:tc>
            </w:tr>
            <w:tr w14:paraId="23154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398" w:type="pct"/>
                  <w:vMerge w:val="continue"/>
                  <w:noWrap/>
                  <w:vAlign w:val="center"/>
                </w:tcPr>
                <w:p w14:paraId="17F0647E">
                  <w:pPr>
                    <w:autoSpaceDE w:val="0"/>
                    <w:autoSpaceDN w:val="0"/>
                    <w:spacing w:after="0"/>
                    <w:jc w:val="center"/>
                    <w:textAlignment w:val="baseline"/>
                    <w:rPr>
                      <w:rFonts w:hint="default" w:ascii="Times New Roman" w:hAnsi="Times New Roman" w:eastAsia="宋体" w:cs="Times New Roman"/>
                      <w:color w:val="auto"/>
                      <w:sz w:val="21"/>
                      <w:szCs w:val="21"/>
                      <w:highlight w:val="none"/>
                    </w:rPr>
                  </w:pPr>
                </w:p>
              </w:tc>
              <w:tc>
                <w:tcPr>
                  <w:tcW w:w="380" w:type="pct"/>
                  <w:vMerge w:val="continue"/>
                  <w:noWrap/>
                  <w:vAlign w:val="center"/>
                </w:tcPr>
                <w:p w14:paraId="3DFC4646">
                  <w:pPr>
                    <w:autoSpaceDE w:val="0"/>
                    <w:autoSpaceDN w:val="0"/>
                    <w:spacing w:after="0"/>
                    <w:jc w:val="center"/>
                    <w:textAlignment w:val="baseline"/>
                    <w:rPr>
                      <w:rFonts w:hint="default" w:ascii="Times New Roman" w:hAnsi="Times New Roman" w:eastAsia="宋体" w:cs="Times New Roman"/>
                      <w:color w:val="auto"/>
                      <w:sz w:val="21"/>
                      <w:szCs w:val="21"/>
                      <w:highlight w:val="none"/>
                      <w:lang w:val="en-US" w:eastAsia="zh-CN"/>
                    </w:rPr>
                  </w:pPr>
                </w:p>
              </w:tc>
              <w:tc>
                <w:tcPr>
                  <w:tcW w:w="621" w:type="pct"/>
                  <w:vMerge w:val="continue"/>
                  <w:noWrap/>
                  <w:vAlign w:val="center"/>
                </w:tcPr>
                <w:p w14:paraId="7360EBCC">
                  <w:pPr>
                    <w:autoSpaceDE w:val="0"/>
                    <w:autoSpaceDN w:val="0"/>
                    <w:spacing w:after="0"/>
                    <w:jc w:val="center"/>
                    <w:textAlignment w:val="baseline"/>
                    <w:rPr>
                      <w:rFonts w:hint="default" w:ascii="Times New Roman" w:hAnsi="Times New Roman" w:eastAsia="宋体" w:cs="Times New Roman"/>
                      <w:color w:val="auto"/>
                      <w:sz w:val="21"/>
                      <w:szCs w:val="21"/>
                      <w:highlight w:val="none"/>
                    </w:rPr>
                  </w:pPr>
                </w:p>
              </w:tc>
              <w:tc>
                <w:tcPr>
                  <w:tcW w:w="694" w:type="pct"/>
                  <w:noWrap/>
                  <w:vAlign w:val="center"/>
                </w:tcPr>
                <w:p w14:paraId="35036405">
                  <w:pPr>
                    <w:autoSpaceDE w:val="0"/>
                    <w:autoSpaceDN w:val="0"/>
                    <w:spacing w:after="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二氧化硫</w:t>
                  </w:r>
                </w:p>
              </w:tc>
              <w:tc>
                <w:tcPr>
                  <w:tcW w:w="1495" w:type="pct"/>
                  <w:noWrap/>
                  <w:vAlign w:val="center"/>
                </w:tcPr>
                <w:p w14:paraId="4F232A37">
                  <w:pPr>
                    <w:autoSpaceDE w:val="0"/>
                    <w:autoSpaceDN w:val="0"/>
                    <w:spacing w:after="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千克/万立方米－原料</w:t>
                  </w:r>
                </w:p>
              </w:tc>
              <w:tc>
                <w:tcPr>
                  <w:tcW w:w="1409" w:type="pct"/>
                  <w:noWrap/>
                  <w:vAlign w:val="center"/>
                </w:tcPr>
                <w:p w14:paraId="5D6AF306">
                  <w:pPr>
                    <w:autoSpaceDE w:val="0"/>
                    <w:autoSpaceDN w:val="0"/>
                    <w:spacing w:after="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0.02S</w:t>
                  </w:r>
                  <w:r>
                    <w:rPr>
                      <w:rFonts w:hint="default" w:ascii="Times New Roman" w:hAnsi="Times New Roman" w:eastAsia="宋体" w:cs="Times New Roman"/>
                      <w:color w:val="auto"/>
                      <w:sz w:val="21"/>
                      <w:szCs w:val="21"/>
                      <w:highlight w:val="none"/>
                      <w:vertAlign w:val="superscript"/>
                      <w:lang w:val="en-US" w:eastAsia="zh-CN"/>
                    </w:rPr>
                    <w:t>①</w:t>
                  </w:r>
                </w:p>
              </w:tc>
            </w:tr>
            <w:tr w14:paraId="3ABF5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398" w:type="pct"/>
                  <w:vMerge w:val="continue"/>
                  <w:noWrap/>
                  <w:vAlign w:val="top"/>
                </w:tcPr>
                <w:p w14:paraId="4C1DC640">
                  <w:pPr>
                    <w:autoSpaceDE w:val="0"/>
                    <w:autoSpaceDN w:val="0"/>
                    <w:spacing w:after="0"/>
                    <w:textAlignment w:val="baseline"/>
                    <w:rPr>
                      <w:rFonts w:hint="default" w:ascii="Times New Roman" w:hAnsi="Times New Roman" w:eastAsia="宋体" w:cs="Times New Roman"/>
                      <w:color w:val="auto"/>
                      <w:sz w:val="21"/>
                      <w:szCs w:val="21"/>
                      <w:highlight w:val="none"/>
                    </w:rPr>
                  </w:pPr>
                </w:p>
              </w:tc>
              <w:tc>
                <w:tcPr>
                  <w:tcW w:w="380" w:type="pct"/>
                  <w:vMerge w:val="continue"/>
                  <w:noWrap/>
                  <w:vAlign w:val="center"/>
                </w:tcPr>
                <w:p w14:paraId="3248D6AC">
                  <w:pPr>
                    <w:autoSpaceDE w:val="0"/>
                    <w:autoSpaceDN w:val="0"/>
                    <w:spacing w:after="0"/>
                    <w:jc w:val="center"/>
                    <w:textAlignment w:val="baseline"/>
                    <w:rPr>
                      <w:rFonts w:hint="default" w:ascii="Times New Roman" w:hAnsi="Times New Roman" w:eastAsia="宋体" w:cs="Times New Roman"/>
                      <w:color w:val="auto"/>
                      <w:sz w:val="21"/>
                      <w:szCs w:val="21"/>
                      <w:highlight w:val="none"/>
                    </w:rPr>
                  </w:pPr>
                </w:p>
              </w:tc>
              <w:tc>
                <w:tcPr>
                  <w:tcW w:w="621" w:type="pct"/>
                  <w:vMerge w:val="continue"/>
                  <w:noWrap/>
                  <w:vAlign w:val="center"/>
                </w:tcPr>
                <w:p w14:paraId="48836137">
                  <w:pPr>
                    <w:autoSpaceDE w:val="0"/>
                    <w:autoSpaceDN w:val="0"/>
                    <w:spacing w:after="0"/>
                    <w:jc w:val="center"/>
                    <w:textAlignment w:val="baseline"/>
                    <w:rPr>
                      <w:rFonts w:hint="default" w:ascii="Times New Roman" w:hAnsi="Times New Roman" w:eastAsia="宋体" w:cs="Times New Roman"/>
                      <w:color w:val="auto"/>
                      <w:sz w:val="21"/>
                      <w:szCs w:val="21"/>
                      <w:highlight w:val="none"/>
                    </w:rPr>
                  </w:pPr>
                </w:p>
              </w:tc>
              <w:tc>
                <w:tcPr>
                  <w:tcW w:w="694" w:type="pct"/>
                  <w:noWrap/>
                  <w:vAlign w:val="center"/>
                </w:tcPr>
                <w:p w14:paraId="754C57CC">
                  <w:pPr>
                    <w:autoSpaceDE w:val="0"/>
                    <w:autoSpaceDN w:val="0"/>
                    <w:spacing w:after="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氮氧化物</w:t>
                  </w:r>
                </w:p>
              </w:tc>
              <w:tc>
                <w:tcPr>
                  <w:tcW w:w="1495" w:type="pct"/>
                  <w:noWrap/>
                  <w:vAlign w:val="center"/>
                </w:tcPr>
                <w:p w14:paraId="681EC35C">
                  <w:pPr>
                    <w:autoSpaceDE w:val="0"/>
                    <w:autoSpaceDN w:val="0"/>
                    <w:spacing w:after="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千克/万立方米－原料</w:t>
                  </w:r>
                </w:p>
              </w:tc>
              <w:tc>
                <w:tcPr>
                  <w:tcW w:w="1409" w:type="pct"/>
                  <w:noWrap/>
                  <w:vAlign w:val="center"/>
                </w:tcPr>
                <w:p w14:paraId="7580CDC5">
                  <w:pPr>
                    <w:autoSpaceDE w:val="0"/>
                    <w:autoSpaceDN w:val="0"/>
                    <w:spacing w:after="0"/>
                    <w:jc w:val="center"/>
                    <w:textAlignment w:val="baseline"/>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3.03（低氮燃烧-国际领先）</w:t>
                  </w:r>
                </w:p>
              </w:tc>
            </w:tr>
            <w:tr w14:paraId="11346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398" w:type="pct"/>
                  <w:vMerge w:val="continue"/>
                  <w:noWrap/>
                  <w:vAlign w:val="top"/>
                </w:tcPr>
                <w:p w14:paraId="4907B186">
                  <w:pPr>
                    <w:autoSpaceDE w:val="0"/>
                    <w:autoSpaceDN w:val="0"/>
                    <w:spacing w:after="0"/>
                    <w:textAlignment w:val="baseline"/>
                    <w:rPr>
                      <w:rFonts w:hint="default" w:ascii="Times New Roman" w:hAnsi="Times New Roman" w:eastAsia="宋体" w:cs="Times New Roman"/>
                      <w:color w:val="auto"/>
                      <w:sz w:val="21"/>
                      <w:szCs w:val="21"/>
                      <w:highlight w:val="none"/>
                    </w:rPr>
                  </w:pPr>
                </w:p>
              </w:tc>
              <w:tc>
                <w:tcPr>
                  <w:tcW w:w="380" w:type="pct"/>
                  <w:vMerge w:val="continue"/>
                  <w:noWrap/>
                  <w:vAlign w:val="center"/>
                </w:tcPr>
                <w:p w14:paraId="2FED941E">
                  <w:pPr>
                    <w:autoSpaceDE w:val="0"/>
                    <w:autoSpaceDN w:val="0"/>
                    <w:spacing w:after="0"/>
                    <w:jc w:val="center"/>
                    <w:textAlignment w:val="baseline"/>
                    <w:rPr>
                      <w:rFonts w:hint="default" w:ascii="Times New Roman" w:hAnsi="Times New Roman" w:eastAsia="宋体" w:cs="Times New Roman"/>
                      <w:color w:val="auto"/>
                      <w:sz w:val="21"/>
                      <w:szCs w:val="21"/>
                      <w:highlight w:val="none"/>
                    </w:rPr>
                  </w:pPr>
                </w:p>
              </w:tc>
              <w:tc>
                <w:tcPr>
                  <w:tcW w:w="621" w:type="pct"/>
                  <w:vMerge w:val="continue"/>
                  <w:noWrap/>
                  <w:vAlign w:val="center"/>
                </w:tcPr>
                <w:p w14:paraId="1726FCBB">
                  <w:pPr>
                    <w:autoSpaceDE w:val="0"/>
                    <w:autoSpaceDN w:val="0"/>
                    <w:spacing w:after="0"/>
                    <w:jc w:val="center"/>
                    <w:textAlignment w:val="baseline"/>
                    <w:rPr>
                      <w:rFonts w:hint="default" w:ascii="Times New Roman" w:hAnsi="Times New Roman" w:eastAsia="宋体" w:cs="Times New Roman"/>
                      <w:color w:val="auto"/>
                      <w:sz w:val="21"/>
                      <w:szCs w:val="21"/>
                      <w:highlight w:val="none"/>
                    </w:rPr>
                  </w:pPr>
                </w:p>
              </w:tc>
              <w:tc>
                <w:tcPr>
                  <w:tcW w:w="694" w:type="pct"/>
                  <w:noWrap/>
                  <w:vAlign w:val="center"/>
                </w:tcPr>
                <w:p w14:paraId="533923AE">
                  <w:pPr>
                    <w:autoSpaceDE w:val="0"/>
                    <w:autoSpaceDN w:val="0"/>
                    <w:spacing w:after="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颗粒物</w:t>
                  </w:r>
                </w:p>
              </w:tc>
              <w:tc>
                <w:tcPr>
                  <w:tcW w:w="1495" w:type="pct"/>
                  <w:noWrap/>
                  <w:vAlign w:val="center"/>
                </w:tcPr>
                <w:p w14:paraId="0A9C98B4">
                  <w:pPr>
                    <w:autoSpaceDE w:val="0"/>
                    <w:autoSpaceDN w:val="0"/>
                    <w:spacing w:after="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毫克/立方米－原料</w:t>
                  </w:r>
                </w:p>
              </w:tc>
              <w:tc>
                <w:tcPr>
                  <w:tcW w:w="1409" w:type="pct"/>
                  <w:noWrap/>
                  <w:vAlign w:val="center"/>
                </w:tcPr>
                <w:p w14:paraId="550A1C12">
                  <w:pPr>
                    <w:autoSpaceDE w:val="0"/>
                    <w:autoSpaceDN w:val="0"/>
                    <w:spacing w:after="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103.9</w:t>
                  </w:r>
                </w:p>
              </w:tc>
            </w:tr>
            <w:tr w14:paraId="36017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5000" w:type="pct"/>
                  <w:gridSpan w:val="6"/>
                  <w:noWrap/>
                  <w:vAlign w:val="center"/>
                </w:tcPr>
                <w:p w14:paraId="4D4CCC4B">
                  <w:pPr>
                    <w:pStyle w:val="43"/>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textAlignment w:val="baseline"/>
                    <w:rPr>
                      <w:rFonts w:hint="default" w:ascii="Times New Roman" w:hAnsi="Times New Roman" w:cs="Times New Roman"/>
                      <w:color w:val="auto"/>
                      <w:highlight w:val="none"/>
                      <w:lang w:val="en-US" w:eastAsia="zh-CN"/>
                    </w:rPr>
                  </w:pPr>
                  <w:r>
                    <w:rPr>
                      <w:rFonts w:hint="default" w:ascii="Times New Roman" w:hAnsi="Times New Roman" w:cs="Times New Roman"/>
                      <w:b/>
                      <w:bCs/>
                      <w:color w:val="auto"/>
                      <w:sz w:val="21"/>
                      <w:szCs w:val="21"/>
                      <w:highlight w:val="none"/>
                    </w:rPr>
                    <w:t>注：①二氧化硫的产排污系数以含硫量（S）的形式表示，单位是毫克/立方米；②含硫量（S）是指燃气收到基硫分含量，单位为毫克/立方米，</w:t>
                  </w:r>
                  <w:r>
                    <w:rPr>
                      <w:rFonts w:hint="eastAsia" w:ascii="Times New Roman" w:hAnsi="Times New Roman" w:eastAsia="宋体" w:cs="Times New Roman"/>
                      <w:b/>
                      <w:bCs w:val="0"/>
                      <w:color w:val="auto"/>
                      <w:sz w:val="21"/>
                      <w:szCs w:val="21"/>
                      <w:highlight w:val="none"/>
                      <w:lang w:bidi="ar"/>
                    </w:rPr>
                    <w:t>根据《进入天然气长输管道的气体质量要求》（GB/T37124-2018），进入天然气长输管道的气体总硫含量（以硫计）≤20mg/m</w:t>
                  </w:r>
                  <w:r>
                    <w:rPr>
                      <w:rFonts w:hint="eastAsia" w:ascii="Times New Roman" w:hAnsi="Times New Roman" w:eastAsia="宋体" w:cs="Times New Roman"/>
                      <w:b/>
                      <w:bCs w:val="0"/>
                      <w:color w:val="auto"/>
                      <w:sz w:val="21"/>
                      <w:szCs w:val="21"/>
                      <w:highlight w:val="none"/>
                      <w:vertAlign w:val="superscript"/>
                      <w:lang w:bidi="ar"/>
                    </w:rPr>
                    <w:t>3</w:t>
                  </w:r>
                  <w:r>
                    <w:rPr>
                      <w:rFonts w:hint="eastAsia" w:ascii="Times New Roman" w:hAnsi="Times New Roman" w:eastAsia="宋体" w:cs="Times New Roman"/>
                      <w:b/>
                      <w:bCs w:val="0"/>
                      <w:color w:val="auto"/>
                      <w:sz w:val="21"/>
                      <w:szCs w:val="21"/>
                      <w:highlight w:val="none"/>
                      <w:lang w:bidi="ar"/>
                    </w:rPr>
                    <w:t>，S取20mg/m</w:t>
                  </w:r>
                  <w:r>
                    <w:rPr>
                      <w:rFonts w:hint="eastAsia" w:ascii="Times New Roman" w:hAnsi="Times New Roman" w:eastAsia="宋体" w:cs="Times New Roman"/>
                      <w:b/>
                      <w:bCs w:val="0"/>
                      <w:color w:val="auto"/>
                      <w:sz w:val="21"/>
                      <w:szCs w:val="21"/>
                      <w:highlight w:val="none"/>
                      <w:vertAlign w:val="superscript"/>
                      <w:lang w:bidi="ar"/>
                    </w:rPr>
                    <w:t>3</w:t>
                  </w:r>
                  <w:r>
                    <w:rPr>
                      <w:rFonts w:hint="eastAsia" w:ascii="Times New Roman" w:hAnsi="Times New Roman" w:eastAsia="宋体" w:cs="Times New Roman"/>
                      <w:b/>
                      <w:bCs w:val="0"/>
                      <w:color w:val="auto"/>
                      <w:sz w:val="21"/>
                      <w:szCs w:val="21"/>
                      <w:highlight w:val="none"/>
                      <w:lang w:bidi="ar"/>
                    </w:rPr>
                    <w:t>。</w:t>
                  </w:r>
                  <w:r>
                    <w:rPr>
                      <w:rFonts w:hint="default" w:ascii="Times New Roman" w:hAnsi="Times New Roman" w:cs="Times New Roman"/>
                      <w:b/>
                      <w:bCs/>
                      <w:color w:val="auto"/>
                      <w:sz w:val="21"/>
                      <w:szCs w:val="21"/>
                      <w:highlight w:val="none"/>
                      <w:lang w:val="en-US" w:eastAsia="zh-CN"/>
                    </w:rPr>
                    <w:t xml:space="preserve"> </w:t>
                  </w:r>
                </w:p>
              </w:tc>
            </w:tr>
          </w:tbl>
          <w:p w14:paraId="3E675EC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sz w:val="24"/>
                <w:szCs w:val="24"/>
                <w:highlight w:val="none"/>
                <w:lang w:val="en-US" w:eastAsia="zh-CN"/>
              </w:rPr>
              <w:t>根据前文天然气用量一览表情况可知，项目管道天然气年总用量</w:t>
            </w:r>
            <w:r>
              <w:rPr>
                <w:rFonts w:hint="default" w:ascii="Times New Roman" w:hAnsi="Times New Roman" w:eastAsia="宋体" w:cs="Times New Roman"/>
                <w:bCs/>
                <w:color w:val="auto"/>
                <w:kern w:val="0"/>
                <w:sz w:val="24"/>
                <w:szCs w:val="24"/>
                <w:highlight w:val="none"/>
                <w:lang w:val="en-US" w:eastAsia="zh-CN" w:bidi="ar-SA"/>
              </w:rPr>
              <w:t>17.832万m</w:t>
            </w:r>
            <w:r>
              <w:rPr>
                <w:rFonts w:hint="default" w:ascii="Times New Roman" w:hAnsi="Times New Roman" w:eastAsia="宋体" w:cs="Times New Roman"/>
                <w:bCs/>
                <w:color w:val="auto"/>
                <w:kern w:val="0"/>
                <w:sz w:val="24"/>
                <w:szCs w:val="24"/>
                <w:highlight w:val="none"/>
                <w:vertAlign w:val="superscript"/>
                <w:lang w:val="en-US" w:eastAsia="zh-CN" w:bidi="ar-SA"/>
              </w:rPr>
              <w:t>3</w:t>
            </w:r>
            <w:r>
              <w:rPr>
                <w:rFonts w:hint="default" w:ascii="Times New Roman" w:hAnsi="Times New Roman" w:eastAsia="宋体" w:cs="Times New Roman"/>
                <w:bCs/>
                <w:color w:val="auto"/>
                <w:kern w:val="0"/>
                <w:sz w:val="24"/>
                <w:szCs w:val="24"/>
                <w:highlight w:val="none"/>
                <w:lang w:val="en-US" w:eastAsia="zh-CN" w:bidi="ar-SA"/>
              </w:rPr>
              <w:t>/a，每台锅炉天然气量为8.916</w:t>
            </w:r>
            <w:r>
              <w:rPr>
                <w:rFonts w:hint="eastAsia"/>
                <w:color w:val="auto"/>
                <w:highlight w:val="none"/>
                <w:lang w:val="en-US" w:eastAsia="zh-CN"/>
              </w:rPr>
              <w:t>万</w:t>
            </w:r>
            <w:r>
              <w:rPr>
                <w:rFonts w:hint="default" w:ascii="Times New Roman" w:hAnsi="Times New Roman" w:eastAsia="宋体" w:cs="Times New Roman"/>
                <w:bCs/>
                <w:color w:val="auto"/>
                <w:kern w:val="0"/>
                <w:sz w:val="24"/>
                <w:szCs w:val="24"/>
                <w:highlight w:val="none"/>
                <w:lang w:val="en-US" w:eastAsia="zh-CN" w:bidi="ar-SA"/>
              </w:rPr>
              <w:t>m</w:t>
            </w:r>
            <w:r>
              <w:rPr>
                <w:rFonts w:hint="default" w:ascii="Times New Roman" w:hAnsi="Times New Roman" w:eastAsia="宋体" w:cs="Times New Roman"/>
                <w:bCs/>
                <w:color w:val="auto"/>
                <w:kern w:val="0"/>
                <w:sz w:val="24"/>
                <w:szCs w:val="24"/>
                <w:highlight w:val="none"/>
                <w:vertAlign w:val="superscript"/>
                <w:lang w:val="en-US" w:eastAsia="zh-CN" w:bidi="ar-SA"/>
              </w:rPr>
              <w:t>3</w:t>
            </w:r>
            <w:r>
              <w:rPr>
                <w:rFonts w:hint="default" w:ascii="Times New Roman" w:hAnsi="Times New Roman" w:eastAsia="宋体" w:cs="Times New Roman"/>
                <w:bCs/>
                <w:color w:val="auto"/>
                <w:kern w:val="0"/>
                <w:sz w:val="24"/>
                <w:szCs w:val="24"/>
                <w:highlight w:val="none"/>
                <w:lang w:val="en-US" w:eastAsia="zh-CN" w:bidi="ar-SA"/>
              </w:rPr>
              <w:t>/a</w:t>
            </w:r>
            <w:r>
              <w:rPr>
                <w:rFonts w:hint="default" w:ascii="Times New Roman" w:hAnsi="Times New Roman" w:cs="Times New Roman"/>
                <w:color w:val="auto"/>
                <w:sz w:val="24"/>
                <w:szCs w:val="24"/>
                <w:highlight w:val="none"/>
                <w:lang w:val="en-US" w:eastAsia="zh-CN"/>
              </w:rPr>
              <w:t>。两台锅炉废气分别经排气筒排放，故项目天然气锅炉各因子产污源强如下：</w:t>
            </w:r>
          </w:p>
          <w:p w14:paraId="28A4DD91">
            <w:pPr>
              <w:pStyle w:val="94"/>
              <w:keepNext w:val="0"/>
              <w:keepLines w:val="0"/>
              <w:pageBreakBefore w:val="0"/>
              <w:widowControl w:val="0"/>
              <w:kinsoku/>
              <w:wordWrap/>
              <w:overflowPunct/>
              <w:topLinePunct w:val="0"/>
              <w:autoSpaceDE/>
              <w:autoSpaceDN/>
              <w:bidi w:val="0"/>
              <w:adjustRightInd w:val="0"/>
              <w:snapToGrid w:val="0"/>
              <w:spacing w:after="0" w:line="360" w:lineRule="auto"/>
              <w:ind w:left="0" w:leftChars="0" w:firstLine="480" w:firstLineChars="200"/>
              <w:textAlignment w:val="auto"/>
              <w:rPr>
                <w:rFonts w:hint="default" w:ascii="Times New Roman" w:hAnsi="Times New Roman" w:eastAsia="宋体" w:cs="Times New Roman"/>
                <w:bCs/>
                <w:color w:val="auto"/>
                <w:sz w:val="24"/>
                <w:szCs w:val="24"/>
                <w:highlight w:val="none"/>
              </w:rPr>
            </w:pPr>
            <w:r>
              <w:rPr>
                <w:rFonts w:hint="default" w:ascii="Times New Roman" w:hAnsi="Times New Roman" w:cs="Times New Roman"/>
                <w:color w:val="auto"/>
                <w:sz w:val="24"/>
                <w:szCs w:val="24"/>
                <w:highlight w:val="none"/>
                <w:lang w:val="en-US" w:eastAsia="zh-CN"/>
              </w:rPr>
              <w:t>则烟气量=107753</w:t>
            </w:r>
            <w:r>
              <w:rPr>
                <w:rFonts w:hint="default" w:ascii="Times New Roman" w:hAnsi="Times New Roman" w:eastAsia="宋体" w:cs="Times New Roman"/>
                <w:bCs/>
                <w:color w:val="auto"/>
                <w:sz w:val="24"/>
                <w:szCs w:val="24"/>
                <w:highlight w:val="none"/>
              </w:rPr>
              <w:t>×原料</w:t>
            </w:r>
            <w:r>
              <w:rPr>
                <w:rFonts w:hint="default" w:ascii="Times New Roman" w:hAnsi="Times New Roman" w:eastAsia="宋体" w:cs="Times New Roman"/>
                <w:bCs/>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107753m</w:t>
            </w:r>
            <w:r>
              <w:rPr>
                <w:rFonts w:hint="default" w:ascii="Times New Roman" w:hAnsi="Times New Roman" w:cs="Times New Roman"/>
                <w:color w:val="auto"/>
                <w:sz w:val="24"/>
                <w:szCs w:val="24"/>
                <w:highlight w:val="none"/>
                <w:vertAlign w:val="superscript"/>
                <w:lang w:val="en-US" w:eastAsia="zh-CN"/>
              </w:rPr>
              <w:t>3</w:t>
            </w:r>
            <w:r>
              <w:rPr>
                <w:rFonts w:hint="default" w:ascii="Times New Roman" w:hAnsi="Times New Roman" w:cs="Times New Roman"/>
                <w:color w:val="auto"/>
                <w:sz w:val="24"/>
                <w:szCs w:val="24"/>
                <w:highlight w:val="none"/>
                <w:lang w:val="en-US" w:eastAsia="zh-CN"/>
              </w:rPr>
              <w:t>/万m</w:t>
            </w:r>
            <w:r>
              <w:rPr>
                <w:rFonts w:hint="default" w:ascii="Times New Roman" w:hAnsi="Times New Roman" w:cs="Times New Roman"/>
                <w:color w:val="auto"/>
                <w:sz w:val="24"/>
                <w:szCs w:val="24"/>
                <w:highlight w:val="none"/>
                <w:vertAlign w:val="superscript"/>
                <w:lang w:val="en-US" w:eastAsia="zh-CN"/>
              </w:rPr>
              <w:t>3</w:t>
            </w:r>
            <w:r>
              <w:rPr>
                <w:rFonts w:hint="default" w:ascii="Times New Roman" w:hAnsi="Times New Roman" w:eastAsia="宋体" w:cs="Times New Roman"/>
                <w:bCs/>
                <w:color w:val="auto"/>
                <w:sz w:val="24"/>
                <w:szCs w:val="24"/>
                <w:highlight w:val="none"/>
              </w:rPr>
              <w:t>×</w:t>
            </w:r>
            <w:r>
              <w:rPr>
                <w:rFonts w:hint="default" w:ascii="Times New Roman" w:hAnsi="Times New Roman" w:cs="Times New Roman"/>
                <w:color w:val="auto"/>
                <w:sz w:val="24"/>
                <w:szCs w:val="24"/>
                <w:highlight w:val="none"/>
                <w:lang w:val="en-US" w:eastAsia="zh-CN"/>
              </w:rPr>
              <w:t>8.916万m</w:t>
            </w:r>
            <w:r>
              <w:rPr>
                <w:rFonts w:hint="default" w:ascii="Times New Roman" w:hAnsi="Times New Roman" w:cs="Times New Roman"/>
                <w:color w:val="auto"/>
                <w:sz w:val="24"/>
                <w:szCs w:val="24"/>
                <w:highlight w:val="none"/>
                <w:vertAlign w:val="superscript"/>
                <w:lang w:val="en-US" w:eastAsia="zh-CN"/>
              </w:rPr>
              <w:t>3</w:t>
            </w:r>
            <w:r>
              <w:rPr>
                <w:rFonts w:hint="default" w:ascii="Times New Roman" w:hAnsi="Times New Roman" w:cs="Times New Roman"/>
                <w:color w:val="auto"/>
                <w:sz w:val="24"/>
                <w:szCs w:val="24"/>
                <w:highlight w:val="none"/>
                <w:lang w:val="en-US" w:eastAsia="zh-CN"/>
              </w:rPr>
              <w:t>=960725.748m</w:t>
            </w:r>
            <w:r>
              <w:rPr>
                <w:rFonts w:hint="default" w:ascii="Times New Roman" w:hAnsi="Times New Roman" w:cs="Times New Roman"/>
                <w:color w:val="auto"/>
                <w:sz w:val="24"/>
                <w:szCs w:val="24"/>
                <w:highlight w:val="none"/>
                <w:vertAlign w:val="superscript"/>
                <w:lang w:val="en-US" w:eastAsia="zh-CN"/>
              </w:rPr>
              <w:t>3</w:t>
            </w:r>
            <w:r>
              <w:rPr>
                <w:rFonts w:hint="default" w:ascii="Times New Roman" w:hAnsi="Times New Roman" w:cs="Times New Roman"/>
                <w:color w:val="auto"/>
                <w:sz w:val="24"/>
                <w:szCs w:val="24"/>
                <w:highlight w:val="none"/>
                <w:lang w:val="en-US" w:eastAsia="zh-CN"/>
              </w:rPr>
              <w:t>/a（800m</w:t>
            </w:r>
            <w:r>
              <w:rPr>
                <w:rFonts w:hint="default" w:ascii="Times New Roman" w:hAnsi="Times New Roman" w:cs="Times New Roman"/>
                <w:color w:val="auto"/>
                <w:sz w:val="24"/>
                <w:szCs w:val="24"/>
                <w:highlight w:val="none"/>
                <w:vertAlign w:val="superscript"/>
                <w:lang w:val="en-US" w:eastAsia="zh-CN"/>
              </w:rPr>
              <w:t>3</w:t>
            </w:r>
            <w:r>
              <w:rPr>
                <w:rFonts w:hint="default" w:ascii="Times New Roman" w:hAnsi="Times New Roman" w:cs="Times New Roman"/>
                <w:color w:val="auto"/>
                <w:sz w:val="24"/>
                <w:szCs w:val="24"/>
                <w:highlight w:val="none"/>
                <w:lang w:val="en-US" w:eastAsia="zh-CN"/>
              </w:rPr>
              <w:t>/h）</w:t>
            </w:r>
          </w:p>
          <w:p w14:paraId="28B730B1">
            <w:pPr>
              <w:pStyle w:val="94"/>
              <w:keepNext w:val="0"/>
              <w:keepLines w:val="0"/>
              <w:pageBreakBefore w:val="0"/>
              <w:widowControl w:val="0"/>
              <w:kinsoku/>
              <w:wordWrap/>
              <w:overflowPunct/>
              <w:topLinePunct w:val="0"/>
              <w:autoSpaceDE/>
              <w:autoSpaceDN/>
              <w:bidi w:val="0"/>
              <w:adjustRightInd w:val="0"/>
              <w:snapToGrid w:val="0"/>
              <w:spacing w:after="0" w:line="360" w:lineRule="auto"/>
              <w:ind w:left="0" w:leftChars="0" w:firstLine="480" w:firstLineChars="200"/>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rPr>
              <w:t>二氧化硫=0.</w:t>
            </w:r>
            <w:r>
              <w:rPr>
                <w:rFonts w:hint="default" w:ascii="Times New Roman" w:hAnsi="Times New Roman" w:cs="Times New Roman"/>
                <w:bCs/>
                <w:color w:val="auto"/>
                <w:sz w:val="24"/>
                <w:szCs w:val="24"/>
                <w:highlight w:val="none"/>
                <w:lang w:val="en-US" w:eastAsia="zh-CN"/>
              </w:rPr>
              <w:t>02</w:t>
            </w:r>
            <w:r>
              <w:rPr>
                <w:rFonts w:hint="default" w:ascii="Times New Roman" w:hAnsi="Times New Roman" w:eastAsia="宋体" w:cs="Times New Roman"/>
                <w:bCs/>
                <w:color w:val="auto"/>
                <w:sz w:val="24"/>
                <w:szCs w:val="24"/>
                <w:highlight w:val="none"/>
              </w:rPr>
              <w:t>S×原料=（0.0</w:t>
            </w:r>
            <w:r>
              <w:rPr>
                <w:rFonts w:hint="default" w:ascii="Times New Roman" w:hAnsi="Times New Roman" w:cs="Times New Roman"/>
                <w:bCs/>
                <w:color w:val="auto"/>
                <w:sz w:val="24"/>
                <w:szCs w:val="24"/>
                <w:highlight w:val="none"/>
                <w:lang w:val="en-US" w:eastAsia="zh-CN"/>
              </w:rPr>
              <w:t>2</w:t>
            </w:r>
            <w:r>
              <w:rPr>
                <w:rFonts w:hint="default" w:ascii="Times New Roman" w:hAnsi="Times New Roman" w:eastAsia="宋体" w:cs="Times New Roman"/>
                <w:bCs/>
                <w:color w:val="auto"/>
                <w:sz w:val="24"/>
                <w:szCs w:val="24"/>
                <w:highlight w:val="none"/>
              </w:rPr>
              <w:t>×</w:t>
            </w:r>
            <w:r>
              <w:rPr>
                <w:rFonts w:hint="eastAsia" w:ascii="Times New Roman" w:hAnsi="Times New Roman" w:cs="Times New Roman"/>
                <w:bCs/>
                <w:color w:val="auto"/>
                <w:sz w:val="24"/>
                <w:szCs w:val="24"/>
                <w:highlight w:val="none"/>
                <w:lang w:val="en-US" w:eastAsia="zh-CN"/>
              </w:rPr>
              <w:t>20</w:t>
            </w:r>
            <w:r>
              <w:rPr>
                <w:rFonts w:hint="default" w:ascii="Times New Roman" w:hAnsi="Times New Roman" w:eastAsia="宋体" w:cs="Times New Roman"/>
                <w:bCs/>
                <w:color w:val="auto"/>
                <w:sz w:val="24"/>
                <w:szCs w:val="24"/>
                <w:highlight w:val="none"/>
              </w:rPr>
              <w:t>）</w:t>
            </w:r>
            <w:r>
              <w:rPr>
                <w:rFonts w:hint="default" w:ascii="Times New Roman" w:hAnsi="Times New Roman" w:cs="Times New Roman"/>
                <w:color w:val="auto"/>
                <w:sz w:val="24"/>
                <w:szCs w:val="24"/>
                <w:highlight w:val="none"/>
                <w:lang w:val="en-US" w:eastAsia="zh-CN"/>
              </w:rPr>
              <w:t>kg/万m</w:t>
            </w:r>
            <w:r>
              <w:rPr>
                <w:rFonts w:hint="default" w:ascii="Times New Roman" w:hAnsi="Times New Roman" w:cs="Times New Roman"/>
                <w:color w:val="auto"/>
                <w:sz w:val="24"/>
                <w:szCs w:val="24"/>
                <w:highlight w:val="none"/>
                <w:vertAlign w:val="superscript"/>
                <w:lang w:val="en-US" w:eastAsia="zh-CN"/>
              </w:rPr>
              <w:t>3</w:t>
            </w:r>
            <w:r>
              <w:rPr>
                <w:rFonts w:hint="default" w:ascii="Times New Roman" w:hAnsi="Times New Roman" w:eastAsia="宋体" w:cs="Times New Roman"/>
                <w:bCs/>
                <w:color w:val="auto"/>
                <w:sz w:val="24"/>
                <w:szCs w:val="24"/>
                <w:highlight w:val="none"/>
              </w:rPr>
              <w:t>×</w:t>
            </w:r>
            <w:r>
              <w:rPr>
                <w:rFonts w:hint="default" w:ascii="Times New Roman" w:hAnsi="Times New Roman" w:cs="Times New Roman"/>
                <w:color w:val="auto"/>
                <w:sz w:val="24"/>
                <w:szCs w:val="24"/>
                <w:highlight w:val="none"/>
                <w:lang w:val="en-US" w:eastAsia="zh-CN"/>
              </w:rPr>
              <w:t>8.916万m</w:t>
            </w:r>
            <w:r>
              <w:rPr>
                <w:rFonts w:hint="default" w:ascii="Times New Roman" w:hAnsi="Times New Roman" w:cs="Times New Roman"/>
                <w:color w:val="auto"/>
                <w:sz w:val="24"/>
                <w:szCs w:val="24"/>
                <w:highlight w:val="none"/>
                <w:vertAlign w:val="superscript"/>
                <w:lang w:val="en-US" w:eastAsia="zh-CN"/>
              </w:rPr>
              <w:t>3</w:t>
            </w:r>
            <w:r>
              <w:rPr>
                <w:rFonts w:hint="default" w:ascii="Times New Roman" w:hAnsi="Times New Roman" w:eastAsia="宋体" w:cs="Times New Roman"/>
                <w:bCs/>
                <w:color w:val="auto"/>
                <w:sz w:val="24"/>
                <w:szCs w:val="24"/>
                <w:highlight w:val="none"/>
                <w:lang w:val="en-US" w:eastAsia="zh-CN"/>
              </w:rPr>
              <w:t>/1000</w:t>
            </w:r>
            <w:r>
              <w:rPr>
                <w:rFonts w:hint="default" w:ascii="Times New Roman" w:hAnsi="Times New Roman" w:eastAsia="宋体" w:cs="Times New Roman"/>
                <w:bCs/>
                <w:color w:val="auto"/>
                <w:sz w:val="24"/>
                <w:szCs w:val="24"/>
                <w:highlight w:val="none"/>
              </w:rPr>
              <w:t>=</w:t>
            </w:r>
            <w:r>
              <w:rPr>
                <w:rFonts w:hint="eastAsia" w:ascii="Times New Roman" w:hAnsi="Times New Roman" w:cs="Times New Roman"/>
                <w:bCs/>
                <w:color w:val="auto"/>
                <w:sz w:val="24"/>
                <w:szCs w:val="24"/>
                <w:highlight w:val="none"/>
                <w:lang w:val="en-US" w:eastAsia="zh-CN"/>
              </w:rPr>
              <w:t>0.0036</w:t>
            </w:r>
            <w:r>
              <w:rPr>
                <w:rFonts w:hint="default" w:ascii="Times New Roman" w:hAnsi="Times New Roman" w:eastAsia="宋体" w:cs="Times New Roman"/>
                <w:bCs/>
                <w:color w:val="auto"/>
                <w:sz w:val="24"/>
                <w:szCs w:val="24"/>
                <w:highlight w:val="none"/>
              </w:rPr>
              <w:t>t/a</w:t>
            </w:r>
            <w:r>
              <w:rPr>
                <w:rFonts w:hint="default" w:ascii="Times New Roman" w:hAnsi="Times New Roman" w:eastAsia="宋体" w:cs="Times New Roman"/>
                <w:bCs/>
                <w:color w:val="auto"/>
                <w:sz w:val="24"/>
                <w:szCs w:val="24"/>
                <w:highlight w:val="none"/>
                <w:lang w:eastAsia="zh-CN"/>
              </w:rPr>
              <w:t>。</w:t>
            </w:r>
          </w:p>
          <w:p w14:paraId="7549843D">
            <w:pPr>
              <w:pStyle w:val="94"/>
              <w:keepNext w:val="0"/>
              <w:keepLines w:val="0"/>
              <w:pageBreakBefore w:val="0"/>
              <w:widowControl w:val="0"/>
              <w:kinsoku/>
              <w:wordWrap/>
              <w:overflowPunct/>
              <w:topLinePunct w:val="0"/>
              <w:autoSpaceDE/>
              <w:autoSpaceDN/>
              <w:bidi w:val="0"/>
              <w:adjustRightInd w:val="0"/>
              <w:snapToGrid w:val="0"/>
              <w:spacing w:after="0" w:line="360" w:lineRule="auto"/>
              <w:ind w:left="420" w:leftChars="200" w:firstLine="0" w:firstLineChars="0"/>
              <w:textAlignment w:val="auto"/>
              <w:rPr>
                <w:rFonts w:hint="default" w:ascii="Times New Roman" w:hAnsi="Times New Roman" w:cs="Times New Roman"/>
                <w:bCs/>
                <w:color w:val="auto"/>
                <w:sz w:val="24"/>
                <w:szCs w:val="24"/>
                <w:highlight w:val="none"/>
              </w:rPr>
            </w:pPr>
            <w:r>
              <w:rPr>
                <w:rFonts w:hint="default" w:ascii="Times New Roman" w:hAnsi="Times New Roman" w:eastAsia="宋体" w:cs="Times New Roman"/>
                <w:bCs/>
                <w:color w:val="auto"/>
                <w:sz w:val="24"/>
                <w:szCs w:val="24"/>
                <w:highlight w:val="none"/>
              </w:rPr>
              <w:t>氮氧化物=</w:t>
            </w:r>
            <w:r>
              <w:rPr>
                <w:rFonts w:hint="default" w:ascii="Times New Roman" w:hAnsi="Times New Roman" w:cs="Times New Roman"/>
                <w:bCs/>
                <w:color w:val="auto"/>
                <w:sz w:val="24"/>
                <w:szCs w:val="24"/>
                <w:highlight w:val="none"/>
                <w:lang w:val="en-US" w:eastAsia="zh-CN"/>
              </w:rPr>
              <w:t>3.03</w:t>
            </w:r>
            <w:r>
              <w:rPr>
                <w:rFonts w:hint="default" w:ascii="Times New Roman" w:hAnsi="Times New Roman" w:eastAsia="宋体" w:cs="Times New Roman"/>
                <w:bCs/>
                <w:color w:val="auto"/>
                <w:sz w:val="24"/>
                <w:szCs w:val="24"/>
                <w:highlight w:val="none"/>
              </w:rPr>
              <w:t>×原料=</w:t>
            </w:r>
            <w:r>
              <w:rPr>
                <w:rFonts w:hint="default" w:ascii="Times New Roman" w:hAnsi="Times New Roman" w:cs="Times New Roman"/>
                <w:bCs/>
                <w:color w:val="auto"/>
                <w:sz w:val="24"/>
                <w:szCs w:val="24"/>
                <w:highlight w:val="none"/>
                <w:lang w:val="en-US" w:eastAsia="zh-CN"/>
              </w:rPr>
              <w:t>3.03</w:t>
            </w:r>
            <w:r>
              <w:rPr>
                <w:rFonts w:hint="default" w:ascii="Times New Roman" w:hAnsi="Times New Roman" w:cs="Times New Roman"/>
                <w:color w:val="auto"/>
                <w:sz w:val="24"/>
                <w:szCs w:val="24"/>
                <w:highlight w:val="none"/>
                <w:lang w:val="en-US" w:eastAsia="zh-CN"/>
              </w:rPr>
              <w:t>kg/万m</w:t>
            </w:r>
            <w:r>
              <w:rPr>
                <w:rFonts w:hint="default" w:ascii="Times New Roman" w:hAnsi="Times New Roman" w:cs="Times New Roman"/>
                <w:color w:val="auto"/>
                <w:sz w:val="24"/>
                <w:szCs w:val="24"/>
                <w:highlight w:val="none"/>
                <w:vertAlign w:val="superscript"/>
                <w:lang w:val="en-US" w:eastAsia="zh-CN"/>
              </w:rPr>
              <w:t>3</w:t>
            </w:r>
            <w:r>
              <w:rPr>
                <w:rFonts w:hint="default" w:ascii="Times New Roman" w:hAnsi="Times New Roman" w:eastAsia="宋体" w:cs="Times New Roman"/>
                <w:bCs/>
                <w:color w:val="auto"/>
                <w:sz w:val="24"/>
                <w:szCs w:val="24"/>
                <w:highlight w:val="none"/>
              </w:rPr>
              <w:t>×</w:t>
            </w:r>
            <w:r>
              <w:rPr>
                <w:rFonts w:hint="default" w:ascii="Times New Roman" w:hAnsi="Times New Roman" w:cs="Times New Roman"/>
                <w:color w:val="auto"/>
                <w:sz w:val="24"/>
                <w:szCs w:val="24"/>
                <w:highlight w:val="none"/>
                <w:lang w:val="en-US" w:eastAsia="zh-CN"/>
              </w:rPr>
              <w:t>8.916万m</w:t>
            </w:r>
            <w:r>
              <w:rPr>
                <w:rFonts w:hint="default" w:ascii="Times New Roman" w:hAnsi="Times New Roman" w:cs="Times New Roman"/>
                <w:color w:val="auto"/>
                <w:sz w:val="24"/>
                <w:szCs w:val="24"/>
                <w:highlight w:val="none"/>
                <w:vertAlign w:val="superscript"/>
                <w:lang w:val="en-US" w:eastAsia="zh-CN"/>
              </w:rPr>
              <w:t>3</w:t>
            </w:r>
            <w:r>
              <w:rPr>
                <w:rFonts w:hint="default" w:ascii="Times New Roman" w:hAnsi="Times New Roman" w:eastAsia="宋体" w:cs="Times New Roman"/>
                <w:bCs/>
                <w:color w:val="auto"/>
                <w:sz w:val="24"/>
                <w:szCs w:val="24"/>
                <w:highlight w:val="none"/>
                <w:lang w:val="en-US" w:eastAsia="zh-CN"/>
              </w:rPr>
              <w:t>/1000</w:t>
            </w:r>
            <w:r>
              <w:rPr>
                <w:rFonts w:hint="default" w:ascii="Times New Roman" w:hAnsi="Times New Roman" w:eastAsia="宋体" w:cs="Times New Roman"/>
                <w:bCs/>
                <w:color w:val="auto"/>
                <w:sz w:val="24"/>
                <w:szCs w:val="24"/>
                <w:highlight w:val="none"/>
              </w:rPr>
              <w:t>=</w:t>
            </w:r>
            <w:r>
              <w:rPr>
                <w:rFonts w:hint="default" w:ascii="Times New Roman" w:hAnsi="Times New Roman" w:cs="Times New Roman"/>
                <w:bCs/>
                <w:color w:val="auto"/>
                <w:sz w:val="24"/>
                <w:szCs w:val="24"/>
                <w:highlight w:val="none"/>
                <w:lang w:val="en-US" w:eastAsia="zh-CN"/>
              </w:rPr>
              <w:t>0.027</w:t>
            </w:r>
            <w:r>
              <w:rPr>
                <w:rFonts w:hint="default" w:ascii="Times New Roman" w:hAnsi="Times New Roman" w:eastAsia="宋体" w:cs="Times New Roman"/>
                <w:bCs/>
                <w:color w:val="auto"/>
                <w:sz w:val="24"/>
                <w:szCs w:val="24"/>
                <w:highlight w:val="none"/>
              </w:rPr>
              <w:t>t/a。</w:t>
            </w:r>
          </w:p>
          <w:p w14:paraId="24C5B951">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textAlignment w:val="auto"/>
              <w:rPr>
                <w:rFonts w:hint="default" w:ascii="Times New Roman" w:hAnsi="Times New Roman" w:cs="Times New Roman"/>
                <w:b/>
                <w:bCs/>
                <w:color w:val="auto"/>
                <w:sz w:val="24"/>
                <w:szCs w:val="25"/>
                <w:highlight w:val="none"/>
              </w:rPr>
            </w:pPr>
            <w:r>
              <w:rPr>
                <w:rFonts w:hint="default" w:ascii="Times New Roman" w:hAnsi="Times New Roman" w:eastAsia="宋体" w:cs="Times New Roman"/>
                <w:color w:val="auto"/>
                <w:sz w:val="24"/>
                <w:highlight w:val="none"/>
              </w:rPr>
              <w:t>颗粒物=</w:t>
            </w:r>
            <w:r>
              <w:rPr>
                <w:rFonts w:hint="default" w:ascii="Times New Roman" w:hAnsi="Times New Roman" w:eastAsia="宋体" w:cs="Times New Roman"/>
                <w:color w:val="auto"/>
                <w:sz w:val="24"/>
                <w:highlight w:val="none"/>
                <w:lang w:val="en-US" w:eastAsia="zh-CN"/>
              </w:rPr>
              <w:t>103.9</w:t>
            </w:r>
            <w:r>
              <w:rPr>
                <w:rFonts w:hint="default" w:ascii="Times New Roman" w:hAnsi="Times New Roman" w:eastAsia="宋体" w:cs="Times New Roman"/>
                <w:bCs/>
                <w:color w:val="auto"/>
                <w:sz w:val="24"/>
                <w:highlight w:val="none"/>
              </w:rPr>
              <w:t>×原料=</w:t>
            </w:r>
            <w:r>
              <w:rPr>
                <w:rFonts w:hint="default" w:ascii="Times New Roman" w:hAnsi="Times New Roman" w:eastAsia="宋体" w:cs="Times New Roman"/>
                <w:bCs/>
                <w:color w:val="auto"/>
                <w:sz w:val="24"/>
                <w:highlight w:val="none"/>
                <w:lang w:val="en-US" w:eastAsia="zh-CN"/>
              </w:rPr>
              <w:t>103.9</w:t>
            </w:r>
            <w:r>
              <w:rPr>
                <w:rFonts w:hint="default" w:ascii="Times New Roman" w:hAnsi="Times New Roman" w:cs="Times New Roman"/>
                <w:color w:val="auto"/>
                <w:sz w:val="24"/>
                <w:szCs w:val="24"/>
                <w:highlight w:val="none"/>
                <w:lang w:val="en-US" w:eastAsia="zh-CN"/>
              </w:rPr>
              <w:t>mg/m</w:t>
            </w:r>
            <w:r>
              <w:rPr>
                <w:rFonts w:hint="default" w:ascii="Times New Roman" w:hAnsi="Times New Roman" w:cs="Times New Roman"/>
                <w:color w:val="auto"/>
                <w:sz w:val="24"/>
                <w:szCs w:val="24"/>
                <w:highlight w:val="none"/>
                <w:vertAlign w:val="superscript"/>
                <w:lang w:val="en-US" w:eastAsia="zh-CN"/>
              </w:rPr>
              <w:t>3</w:t>
            </w:r>
            <w:r>
              <w:rPr>
                <w:rFonts w:hint="default" w:ascii="Times New Roman" w:hAnsi="Times New Roman" w:eastAsia="宋体" w:cs="Times New Roman"/>
                <w:bCs/>
                <w:color w:val="auto"/>
                <w:sz w:val="24"/>
                <w:szCs w:val="24"/>
                <w:highlight w:val="none"/>
              </w:rPr>
              <w:t>×</w:t>
            </w:r>
            <w:r>
              <w:rPr>
                <w:rFonts w:hint="default" w:ascii="Times New Roman" w:hAnsi="Times New Roman" w:cs="Times New Roman"/>
                <w:color w:val="auto"/>
                <w:sz w:val="24"/>
                <w:szCs w:val="24"/>
                <w:highlight w:val="none"/>
                <w:lang w:val="en-US" w:eastAsia="zh-CN"/>
              </w:rPr>
              <w:t>8.916万m</w:t>
            </w:r>
            <w:r>
              <w:rPr>
                <w:rFonts w:hint="default" w:ascii="Times New Roman" w:hAnsi="Times New Roman" w:cs="Times New Roman"/>
                <w:color w:val="auto"/>
                <w:sz w:val="24"/>
                <w:szCs w:val="24"/>
                <w:highlight w:val="none"/>
                <w:vertAlign w:val="superscript"/>
                <w:lang w:val="en-US" w:eastAsia="zh-CN"/>
              </w:rPr>
              <w:t>3</w:t>
            </w:r>
            <w:r>
              <w:rPr>
                <w:rFonts w:hint="default" w:ascii="Times New Roman" w:hAnsi="Times New Roman" w:eastAsia="宋体" w:cs="Times New Roman"/>
                <w:bCs/>
                <w:color w:val="auto"/>
                <w:sz w:val="24"/>
                <w:szCs w:val="24"/>
                <w:highlight w:val="none"/>
                <w:lang w:val="en-US" w:eastAsia="zh-CN"/>
              </w:rPr>
              <w:t>/1000000000</w:t>
            </w:r>
            <w:r>
              <w:rPr>
                <w:rFonts w:hint="default" w:ascii="Times New Roman" w:hAnsi="Times New Roman" w:eastAsia="宋体" w:cs="Times New Roman"/>
                <w:bCs/>
                <w:color w:val="auto"/>
                <w:sz w:val="24"/>
                <w:highlight w:val="none"/>
              </w:rPr>
              <w:t>=</w:t>
            </w:r>
            <w:r>
              <w:rPr>
                <w:rFonts w:hint="default" w:ascii="Times New Roman" w:hAnsi="Times New Roman" w:eastAsia="宋体" w:cs="Times New Roman"/>
                <w:bCs/>
                <w:color w:val="auto"/>
                <w:sz w:val="24"/>
                <w:highlight w:val="none"/>
                <w:lang w:val="en-US" w:eastAsia="zh-CN"/>
              </w:rPr>
              <w:t>0.009</w:t>
            </w:r>
            <w:r>
              <w:rPr>
                <w:rFonts w:hint="default" w:ascii="Times New Roman" w:hAnsi="Times New Roman" w:eastAsia="宋体" w:cs="Times New Roman"/>
                <w:bCs/>
                <w:color w:val="auto"/>
                <w:sz w:val="24"/>
                <w:highlight w:val="none"/>
              </w:rPr>
              <w:t>t/a。</w:t>
            </w:r>
          </w:p>
          <w:p w14:paraId="50FDD6D8">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textAlignment w:val="auto"/>
              <w:rPr>
                <w:rFonts w:hint="default" w:ascii="Times New Roman" w:hAnsi="Times New Roman" w:eastAsia="宋体" w:cs="Times New Roman"/>
                <w:color w:val="auto"/>
                <w:kern w:val="2"/>
                <w:sz w:val="24"/>
                <w:szCs w:val="24"/>
                <w:highlight w:val="none"/>
                <w:lang w:bidi="ar"/>
              </w:rPr>
            </w:pPr>
            <w:r>
              <w:rPr>
                <w:rFonts w:hint="default" w:ascii="Times New Roman" w:hAnsi="Times New Roman" w:eastAsia="宋体" w:cs="Times New Roman"/>
                <w:color w:val="auto"/>
                <w:kern w:val="2"/>
                <w:sz w:val="24"/>
                <w:szCs w:val="24"/>
                <w:highlight w:val="none"/>
                <w:lang w:val="en-US" w:eastAsia="zh-CN" w:bidi="ar"/>
              </w:rPr>
              <w:t>由分析可知，</w:t>
            </w:r>
            <w:r>
              <w:rPr>
                <w:rFonts w:hint="default" w:ascii="Times New Roman" w:hAnsi="Times New Roman" w:eastAsia="宋体" w:cs="Times New Roman"/>
                <w:color w:val="auto"/>
                <w:kern w:val="2"/>
                <w:sz w:val="24"/>
                <w:szCs w:val="24"/>
                <w:highlight w:val="none"/>
                <w:lang w:bidi="ar"/>
              </w:rPr>
              <w:t>锅炉使用天然气燃烧时采用低氮燃烧</w:t>
            </w:r>
            <w:r>
              <w:rPr>
                <w:rFonts w:hint="default" w:ascii="Times New Roman" w:hAnsi="Times New Roman" w:eastAsia="宋体" w:cs="Times New Roman"/>
                <w:color w:val="auto"/>
                <w:kern w:val="2"/>
                <w:sz w:val="24"/>
                <w:szCs w:val="24"/>
                <w:highlight w:val="none"/>
                <w:lang w:val="en-US" w:eastAsia="zh-CN" w:bidi="ar"/>
              </w:rPr>
              <w:t>-国际领先</w:t>
            </w:r>
            <w:r>
              <w:rPr>
                <w:rFonts w:hint="default" w:ascii="Times New Roman" w:hAnsi="Times New Roman" w:eastAsia="宋体" w:cs="Times New Roman"/>
                <w:color w:val="auto"/>
                <w:kern w:val="2"/>
                <w:sz w:val="24"/>
                <w:szCs w:val="24"/>
                <w:highlight w:val="none"/>
                <w:lang w:bidi="ar"/>
              </w:rPr>
              <w:t>设施</w:t>
            </w:r>
            <w:r>
              <w:rPr>
                <w:rFonts w:hint="default" w:ascii="Times New Roman" w:hAnsi="Times New Roman" w:eastAsia="宋体" w:cs="Times New Roman"/>
                <w:color w:val="auto"/>
                <w:kern w:val="2"/>
                <w:sz w:val="24"/>
                <w:szCs w:val="24"/>
                <w:highlight w:val="none"/>
                <w:lang w:val="en-US" w:eastAsia="zh-CN" w:bidi="ar"/>
              </w:rPr>
              <w:t>时可</w:t>
            </w:r>
            <w:r>
              <w:rPr>
                <w:rFonts w:hint="default" w:ascii="Times New Roman" w:hAnsi="Times New Roman" w:eastAsia="宋体" w:cs="Times New Roman"/>
                <w:color w:val="auto"/>
                <w:sz w:val="24"/>
                <w:szCs w:val="24"/>
                <w:highlight w:val="none"/>
                <w:vertAlign w:val="baseline"/>
                <w:lang w:val="en-US" w:eastAsia="zh-CN"/>
              </w:rPr>
              <w:t>确保氮氧化物排放浓度≤50mg/m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vertAlign w:val="baseline"/>
                <w:lang w:val="en-US" w:eastAsia="zh-CN"/>
              </w:rPr>
              <w:t>，</w:t>
            </w:r>
            <w:r>
              <w:rPr>
                <w:rFonts w:hint="default" w:ascii="Times New Roman" w:hAnsi="Times New Roman" w:eastAsia="宋体" w:cs="Times New Roman"/>
                <w:color w:val="auto"/>
                <w:kern w:val="2"/>
                <w:sz w:val="24"/>
                <w:szCs w:val="24"/>
                <w:highlight w:val="none"/>
                <w:lang w:val="en-US" w:eastAsia="zh-CN" w:bidi="ar"/>
              </w:rPr>
              <w:t>锅炉</w:t>
            </w:r>
            <w:r>
              <w:rPr>
                <w:rFonts w:hint="default" w:ascii="Times New Roman" w:hAnsi="Times New Roman" w:eastAsia="宋体" w:cs="Times New Roman"/>
                <w:color w:val="auto"/>
                <w:kern w:val="2"/>
                <w:sz w:val="24"/>
                <w:szCs w:val="24"/>
                <w:highlight w:val="none"/>
                <w:lang w:bidi="ar"/>
              </w:rPr>
              <w:t>废气收集后</w:t>
            </w:r>
            <w:r>
              <w:rPr>
                <w:rFonts w:hint="default" w:ascii="Times New Roman" w:hAnsi="Times New Roman" w:eastAsia="宋体" w:cs="Times New Roman"/>
                <w:color w:val="auto"/>
                <w:kern w:val="2"/>
                <w:sz w:val="24"/>
                <w:szCs w:val="24"/>
                <w:highlight w:val="none"/>
                <w:lang w:val="en-US" w:eastAsia="zh-CN" w:bidi="ar"/>
              </w:rPr>
              <w:t>分别</w:t>
            </w:r>
            <w:r>
              <w:rPr>
                <w:rFonts w:hint="default" w:ascii="Times New Roman" w:hAnsi="Times New Roman" w:eastAsia="宋体" w:cs="Times New Roman"/>
                <w:color w:val="auto"/>
                <w:kern w:val="2"/>
                <w:sz w:val="24"/>
                <w:szCs w:val="24"/>
                <w:highlight w:val="none"/>
                <w:lang w:bidi="ar"/>
              </w:rPr>
              <w:t>通过</w:t>
            </w:r>
            <w:r>
              <w:rPr>
                <w:rFonts w:hint="default" w:ascii="Times New Roman" w:hAnsi="Times New Roman" w:eastAsia="宋体" w:cs="Times New Roman"/>
                <w:color w:val="auto"/>
                <w:kern w:val="2"/>
                <w:sz w:val="24"/>
                <w:szCs w:val="24"/>
                <w:highlight w:val="none"/>
                <w:lang w:val="en-US" w:eastAsia="zh-CN" w:bidi="ar"/>
              </w:rPr>
              <w:t>15</w:t>
            </w:r>
            <w:r>
              <w:rPr>
                <w:rFonts w:hint="default" w:ascii="Times New Roman" w:hAnsi="Times New Roman" w:eastAsia="宋体" w:cs="Times New Roman"/>
                <w:color w:val="auto"/>
                <w:kern w:val="2"/>
                <w:sz w:val="24"/>
                <w:szCs w:val="24"/>
                <w:highlight w:val="none"/>
                <w:lang w:bidi="ar"/>
              </w:rPr>
              <w:t>m高排气筒DA00</w:t>
            </w:r>
            <w:r>
              <w:rPr>
                <w:rFonts w:hint="default" w:ascii="Times New Roman" w:hAnsi="Times New Roman" w:eastAsia="宋体" w:cs="Times New Roman"/>
                <w:color w:val="auto"/>
                <w:kern w:val="2"/>
                <w:sz w:val="24"/>
                <w:szCs w:val="24"/>
                <w:highlight w:val="none"/>
                <w:lang w:val="en-US" w:eastAsia="zh-CN" w:bidi="ar"/>
              </w:rPr>
              <w:t>1及DA002</w:t>
            </w:r>
            <w:r>
              <w:rPr>
                <w:rFonts w:hint="default" w:ascii="Times New Roman" w:hAnsi="Times New Roman" w:eastAsia="宋体" w:cs="Times New Roman"/>
                <w:color w:val="auto"/>
                <w:kern w:val="2"/>
                <w:sz w:val="24"/>
                <w:szCs w:val="24"/>
                <w:highlight w:val="none"/>
                <w:lang w:bidi="ar"/>
              </w:rPr>
              <w:t>高空排放。</w:t>
            </w:r>
          </w:p>
          <w:p w14:paraId="5C85E192">
            <w:pPr>
              <w:keepNext w:val="0"/>
              <w:keepLines w:val="0"/>
              <w:pageBreakBefore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b/>
                <w:bCs/>
                <w:color w:val="auto"/>
                <w:sz w:val="24"/>
                <w:szCs w:val="24"/>
                <w:highlight w:val="none"/>
                <w:lang w:val="en-US" w:eastAsia="zh-CN" w:bidi="ar"/>
              </w:rPr>
            </w:pPr>
            <w:r>
              <w:rPr>
                <w:rFonts w:hint="default" w:ascii="Times New Roman" w:hAnsi="Times New Roman" w:eastAsia="宋体" w:cs="Times New Roman"/>
                <w:b/>
                <w:bCs/>
                <w:color w:val="auto"/>
                <w:sz w:val="24"/>
                <w:szCs w:val="24"/>
                <w:highlight w:val="none"/>
                <w:lang w:val="en-US" w:eastAsia="zh-CN" w:bidi="ar"/>
              </w:rPr>
              <w:t xml:space="preserve">1.3收集效率分析  </w:t>
            </w:r>
          </w:p>
          <w:p w14:paraId="1A44008F">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项目焊接废气收集效率参考广东省生态环境厅《关于印发工业源挥发性有机物和氮氧化物减排量核算方法的通知》（粤环函〔2023〕538 号）中表3.3-2废气收集集气效率参考值，由于搅拌机为全封闭式多功能搅拌机，不设集气罩及集气风管，不设集气风量。物料全程密闭管道输送，物料与搅拌机输入口接口密闭对接，工作时产品出口也为密闭状态，每批次搅拌完成后方打开产品出口，产品为湿润流体态，整个搅拌过程基本不存在粉尘逸散，收集效率可视作100%。</w:t>
            </w:r>
            <w:r>
              <w:rPr>
                <w:rFonts w:hint="eastAsia" w:ascii="Times New Roman" w:hAnsi="Times New Roman" w:eastAsia="宋体" w:cs="Times New Roman"/>
                <w:color w:val="auto"/>
                <w:kern w:val="2"/>
                <w:sz w:val="24"/>
                <w:szCs w:val="24"/>
                <w:highlight w:val="none"/>
                <w:lang w:val="en-US" w:eastAsia="zh-CN" w:bidi="ar-SA"/>
              </w:rPr>
              <w:t>但综合参考</w:t>
            </w:r>
            <w:r>
              <w:rPr>
                <w:rFonts w:hint="default" w:ascii="Times New Roman" w:hAnsi="Times New Roman" w:eastAsia="宋体" w:cs="Times New Roman"/>
                <w:color w:val="auto"/>
                <w:kern w:val="2"/>
                <w:sz w:val="24"/>
                <w:szCs w:val="24"/>
                <w:highlight w:val="none"/>
                <w:lang w:val="en-US" w:eastAsia="zh-CN" w:bidi="ar-SA"/>
              </w:rPr>
              <w:t>搅拌环节搅拌粉尘收集效率参照《江门市生态环境局拟对江门市汇同混凝土有限公司年产混凝土230万吨新建项目环境影响评价文件作出批准决定的公示》型搅拌机搅拌粉尘收集效率为99.5%。（相关连接为：http://www.jiangmen.gov.cn/bmpd/jmssthjj/zwgk/tzgg/content/post_2935528.html）</w:t>
            </w:r>
            <w:r>
              <w:rPr>
                <w:rFonts w:hint="eastAsia"/>
                <w:color w:val="auto"/>
                <w:highlight w:val="none"/>
                <w:lang w:eastAsia="zh-CN"/>
              </w:rPr>
              <w:t>；</w:t>
            </w:r>
            <w:r>
              <w:rPr>
                <w:rFonts w:hint="eastAsia"/>
                <w:color w:val="auto"/>
                <w:sz w:val="24"/>
                <w:szCs w:val="24"/>
                <w:highlight w:val="none"/>
                <w:lang w:val="en-US" w:eastAsia="zh-CN"/>
              </w:rPr>
              <w:t>及</w:t>
            </w:r>
            <w:r>
              <w:rPr>
                <w:rFonts w:hint="default" w:ascii="Times New Roman" w:hAnsi="Times New Roman" w:eastAsia="宋体" w:cs="Times New Roman"/>
                <w:color w:val="auto"/>
                <w:sz w:val="24"/>
                <w:szCs w:val="24"/>
                <w:highlight w:val="none"/>
                <w:lang w:val="en-US" w:eastAsia="zh-CN"/>
              </w:rPr>
              <w:t>根据《逸散性工业粉尘控制技术》转运砂和粒料至高架贮箱过程中“封闭”控制效率为99%</w:t>
            </w:r>
            <w:r>
              <w:rPr>
                <w:rFonts w:hint="eastAsia" w:ascii="Times New Roman" w:hAnsi="Times New Roman" w:eastAsia="宋体" w:cs="Times New Roman"/>
                <w:color w:val="auto"/>
                <w:sz w:val="24"/>
                <w:szCs w:val="24"/>
                <w:highlight w:val="none"/>
                <w:lang w:val="en-US" w:eastAsia="zh-CN"/>
              </w:rPr>
              <w:t>，本项目搅拌机密闭可看成一个“封闭”的贮箱，</w:t>
            </w:r>
            <w:r>
              <w:rPr>
                <w:rFonts w:hint="default" w:ascii="Times New Roman" w:hAnsi="Times New Roman" w:eastAsia="宋体" w:cs="Times New Roman"/>
                <w:color w:val="auto"/>
                <w:kern w:val="2"/>
                <w:sz w:val="24"/>
                <w:szCs w:val="24"/>
                <w:highlight w:val="none"/>
                <w:lang w:val="en-US" w:eastAsia="zh-CN" w:bidi="ar-SA"/>
              </w:rPr>
              <w:t>本项目根据实际情况类比同类项目，保险考虑收集效率为99%；筒仓呼吸废气参考《关于印发工业源挥发性有机物和氮氧化物减排量核算方法的通知》（粤环函〔2023〕538 号）中表3.3-2</w:t>
            </w:r>
            <w:r>
              <w:rPr>
                <w:rFonts w:hint="default" w:ascii="Times New Roman" w:hAnsi="Times New Roman" w:cs="Times New Roman"/>
                <w:color w:val="auto"/>
                <w:sz w:val="24"/>
                <w:szCs w:val="24"/>
                <w:highlight w:val="none"/>
                <w:lang w:val="en-US" w:eastAsia="zh-CN"/>
              </w:rPr>
              <w:t>设备有固定排放管（或口）直接与风管连接，</w:t>
            </w:r>
            <w:r>
              <w:rPr>
                <w:rFonts w:hint="default" w:ascii="Times New Roman" w:hAnsi="Times New Roman" w:eastAsia="宋体" w:cs="Times New Roman"/>
                <w:color w:val="auto"/>
                <w:kern w:val="2"/>
                <w:sz w:val="24"/>
                <w:szCs w:val="24"/>
                <w:highlight w:val="none"/>
                <w:lang w:val="en-US" w:eastAsia="zh-CN" w:bidi="ar-SA"/>
              </w:rPr>
              <w:t>设备整体密闭只留产品进口，且出口直接与下一级密闭设备连接，收集效率为95%，且在此基础上筒仓工作时产品进口与输送密闭管道直连，非工作时为全密闭状态</w:t>
            </w:r>
            <w:r>
              <w:rPr>
                <w:rFonts w:hint="default" w:ascii="Times New Roman" w:hAnsi="Times New Roman" w:cs="Times New Roman"/>
                <w:color w:val="auto"/>
                <w:sz w:val="21"/>
                <w:szCs w:val="21"/>
                <w:highlight w:val="none"/>
                <w:lang w:val="en-US" w:eastAsia="zh-CN"/>
              </w:rPr>
              <w:t>，</w:t>
            </w:r>
            <w:r>
              <w:rPr>
                <w:rFonts w:hint="default" w:ascii="Times New Roman" w:hAnsi="Times New Roman" w:eastAsia="宋体" w:cs="Times New Roman"/>
                <w:color w:val="auto"/>
                <w:kern w:val="2"/>
                <w:sz w:val="24"/>
                <w:szCs w:val="24"/>
                <w:highlight w:val="none"/>
                <w:lang w:val="en-US" w:eastAsia="zh-CN" w:bidi="ar-SA"/>
              </w:rPr>
              <w:t>综合取值97%。具体集气效率情况如下表所示：</w:t>
            </w:r>
          </w:p>
          <w:p w14:paraId="2E4B86F0">
            <w:pPr>
              <w:pStyle w:val="49"/>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Times New Roman" w:hAnsi="Times New Roman" w:eastAsia="宋体" w:cs="Times New Roman"/>
                <w:b/>
                <w:bCs/>
                <w:color w:val="auto"/>
                <w:kern w:val="2"/>
                <w:sz w:val="24"/>
                <w:szCs w:val="24"/>
                <w:highlight w:val="none"/>
                <w:lang w:eastAsia="zh-CN"/>
              </w:rPr>
            </w:pPr>
            <w:r>
              <w:rPr>
                <w:rFonts w:hint="default" w:ascii="Times New Roman" w:hAnsi="Times New Roman" w:eastAsia="宋体" w:cs="Times New Roman"/>
                <w:b/>
                <w:bCs/>
                <w:color w:val="auto"/>
                <w:kern w:val="2"/>
                <w:sz w:val="21"/>
                <w:szCs w:val="21"/>
                <w:highlight w:val="none"/>
                <w:lang w:eastAsia="zh-CN"/>
              </w:rPr>
              <w:t>表</w:t>
            </w:r>
            <w:r>
              <w:rPr>
                <w:rFonts w:hint="default" w:ascii="Times New Roman" w:hAnsi="Times New Roman" w:eastAsia="宋体" w:cs="Times New Roman"/>
                <w:b/>
                <w:bCs/>
                <w:color w:val="auto"/>
                <w:kern w:val="2"/>
                <w:sz w:val="21"/>
                <w:szCs w:val="21"/>
                <w:highlight w:val="none"/>
                <w:lang w:val="en-US" w:eastAsia="zh-CN"/>
              </w:rPr>
              <w:t>4-</w:t>
            </w:r>
            <w:r>
              <w:rPr>
                <w:rFonts w:hint="default" w:ascii="Times New Roman" w:hAnsi="Times New Roman" w:cs="Times New Roman"/>
                <w:b/>
                <w:bCs/>
                <w:color w:val="auto"/>
                <w:kern w:val="2"/>
                <w:sz w:val="21"/>
                <w:szCs w:val="21"/>
                <w:highlight w:val="none"/>
                <w:lang w:val="en-US" w:eastAsia="zh-CN"/>
              </w:rPr>
              <w:t>4</w:t>
            </w:r>
            <w:r>
              <w:rPr>
                <w:rFonts w:hint="default" w:ascii="Times New Roman" w:hAnsi="Times New Roman" w:eastAsia="宋体" w:cs="Times New Roman"/>
                <w:b/>
                <w:bCs/>
                <w:color w:val="auto"/>
                <w:kern w:val="2"/>
                <w:sz w:val="21"/>
                <w:szCs w:val="21"/>
                <w:highlight w:val="none"/>
                <w:lang w:eastAsia="zh-CN"/>
              </w:rPr>
              <w:t xml:space="preserve"> 本项目拟采用的废气收集方式及废气收集效率估算</w:t>
            </w:r>
          </w:p>
          <w:tbl>
            <w:tblPr>
              <w:tblStyle w:val="35"/>
              <w:tblW w:w="91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7"/>
              <w:gridCol w:w="6025"/>
              <w:gridCol w:w="2036"/>
            </w:tblGrid>
            <w:tr w14:paraId="55B7E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057" w:type="dxa"/>
                  <w:tcBorders>
                    <w:tl2br w:val="nil"/>
                    <w:tr2bl w:val="nil"/>
                  </w:tcBorders>
                  <w:noWrap w:val="0"/>
                  <w:vAlign w:val="center"/>
                </w:tcPr>
                <w:p w14:paraId="5A13131B">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工位</w:t>
                  </w:r>
                </w:p>
              </w:tc>
              <w:tc>
                <w:tcPr>
                  <w:tcW w:w="6025" w:type="dxa"/>
                  <w:tcBorders>
                    <w:tl2br w:val="nil"/>
                    <w:tr2bl w:val="nil"/>
                  </w:tcBorders>
                  <w:noWrap w:val="0"/>
                  <w:vAlign w:val="center"/>
                </w:tcPr>
                <w:p w14:paraId="391B6FC1">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收集方式</w:t>
                  </w:r>
                </w:p>
              </w:tc>
              <w:tc>
                <w:tcPr>
                  <w:tcW w:w="2036" w:type="dxa"/>
                  <w:tcBorders>
                    <w:tl2br w:val="nil"/>
                    <w:tr2bl w:val="nil"/>
                  </w:tcBorders>
                  <w:noWrap w:val="0"/>
                  <w:vAlign w:val="center"/>
                </w:tcPr>
                <w:p w14:paraId="03C883C9">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估算集气效率（%）</w:t>
                  </w:r>
                </w:p>
              </w:tc>
            </w:tr>
            <w:tr w14:paraId="17810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1057" w:type="dxa"/>
                  <w:tcBorders>
                    <w:tl2br w:val="nil"/>
                    <w:tr2bl w:val="nil"/>
                  </w:tcBorders>
                  <w:noWrap w:val="0"/>
                  <w:vAlign w:val="center"/>
                </w:tcPr>
                <w:p w14:paraId="3CA3E234">
                  <w:pPr>
                    <w:pStyle w:val="48"/>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水泥及粉煤灰筒仓</w:t>
                  </w:r>
                </w:p>
              </w:tc>
              <w:tc>
                <w:tcPr>
                  <w:tcW w:w="6025" w:type="dxa"/>
                  <w:tcBorders>
                    <w:tl2br w:val="nil"/>
                    <w:tr2bl w:val="nil"/>
                  </w:tcBorders>
                  <w:noWrap w:val="0"/>
                  <w:vAlign w:val="center"/>
                </w:tcPr>
                <w:p w14:paraId="570C0CE0">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设备有固定排放管（或口）直接与风管连接，设备整体密闭只留产品进口，工作时产品进口与输送密闭管道直连，非工作时为全密闭状态，出口直接与下一级密闭设备连接</w:t>
                  </w:r>
                </w:p>
              </w:tc>
              <w:tc>
                <w:tcPr>
                  <w:tcW w:w="2036" w:type="dxa"/>
                  <w:tcBorders>
                    <w:tl2br w:val="nil"/>
                    <w:tr2bl w:val="nil"/>
                  </w:tcBorders>
                  <w:noWrap w:val="0"/>
                  <w:vAlign w:val="center"/>
                </w:tcPr>
                <w:p w14:paraId="0F616509">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97</w:t>
                  </w:r>
                </w:p>
              </w:tc>
            </w:tr>
            <w:tr w14:paraId="420E7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57" w:type="dxa"/>
                  <w:tcBorders>
                    <w:tl2br w:val="nil"/>
                    <w:tr2bl w:val="nil"/>
                  </w:tcBorders>
                  <w:noWrap w:val="0"/>
                  <w:vAlign w:val="center"/>
                </w:tcPr>
                <w:p w14:paraId="7AFD2B90">
                  <w:pPr>
                    <w:pStyle w:val="48"/>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焊接</w:t>
                  </w:r>
                </w:p>
              </w:tc>
              <w:tc>
                <w:tcPr>
                  <w:tcW w:w="6025" w:type="dxa"/>
                  <w:tcBorders>
                    <w:tl2br w:val="nil"/>
                    <w:tr2bl w:val="nil"/>
                  </w:tcBorders>
                  <w:noWrap w:val="0"/>
                  <w:vAlign w:val="center"/>
                </w:tcPr>
                <w:p w14:paraId="2F8CCD25">
                  <w:pPr>
                    <w:keepNext w:val="0"/>
                    <w:keepLines w:val="0"/>
                    <w:widowControl/>
                    <w:suppressLineNumbers w:val="0"/>
                    <w:jc w:val="center"/>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kern w:val="44"/>
                      <w:sz w:val="21"/>
                      <w:szCs w:val="21"/>
                      <w:highlight w:val="none"/>
                      <w:lang w:val="en-US" w:eastAsia="zh-CN" w:bidi="ar-SA"/>
                    </w:rPr>
                    <w:t>移动式焊烟净化器含自带的收集管道，工作时，集气管上方的集气罩放置于产污部位上方，可视作为外部集气罩</w:t>
                  </w:r>
                </w:p>
              </w:tc>
              <w:tc>
                <w:tcPr>
                  <w:tcW w:w="2036" w:type="dxa"/>
                  <w:tcBorders>
                    <w:tl2br w:val="nil"/>
                    <w:tr2bl w:val="nil"/>
                  </w:tcBorders>
                  <w:noWrap w:val="0"/>
                  <w:vAlign w:val="center"/>
                </w:tcPr>
                <w:p w14:paraId="48013061">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cs="Times New Roman"/>
                      <w:color w:val="auto"/>
                      <w:sz w:val="21"/>
                      <w:szCs w:val="21"/>
                      <w:highlight w:val="none"/>
                      <w:lang w:val="en-US" w:eastAsia="zh-CN"/>
                    </w:rPr>
                    <w:t>30</w:t>
                  </w:r>
                </w:p>
              </w:tc>
            </w:tr>
            <w:tr w14:paraId="3C7D1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057" w:type="dxa"/>
                  <w:tcBorders>
                    <w:tl2br w:val="nil"/>
                    <w:tr2bl w:val="nil"/>
                  </w:tcBorders>
                  <w:noWrap w:val="0"/>
                  <w:vAlign w:val="center"/>
                </w:tcPr>
                <w:p w14:paraId="6DACAC8D">
                  <w:pPr>
                    <w:pStyle w:val="48"/>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搅拌机</w:t>
                  </w:r>
                </w:p>
              </w:tc>
              <w:tc>
                <w:tcPr>
                  <w:tcW w:w="6025" w:type="dxa"/>
                  <w:tcBorders>
                    <w:tl2br w:val="nil"/>
                    <w:tr2bl w:val="nil"/>
                  </w:tcBorders>
                  <w:noWrap w:val="0"/>
                  <w:vAlign w:val="center"/>
                </w:tcPr>
                <w:p w14:paraId="50280D5D">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44"/>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全密闭空间输送及工作</w:t>
                  </w:r>
                </w:p>
              </w:tc>
              <w:tc>
                <w:tcPr>
                  <w:tcW w:w="2036" w:type="dxa"/>
                  <w:tcBorders>
                    <w:tl2br w:val="nil"/>
                    <w:tr2bl w:val="nil"/>
                  </w:tcBorders>
                  <w:noWrap w:val="0"/>
                  <w:vAlign w:val="center"/>
                </w:tcPr>
                <w:p w14:paraId="39953787">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99</w:t>
                  </w:r>
                </w:p>
              </w:tc>
            </w:tr>
          </w:tbl>
          <w:p w14:paraId="1A80BF4C">
            <w:pPr>
              <w:keepNext w:val="0"/>
              <w:keepLines w:val="0"/>
              <w:pageBreakBefore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1.4 处理效率分析</w:t>
            </w:r>
          </w:p>
          <w:p w14:paraId="5A076E9D">
            <w:pPr>
              <w:pStyle w:val="48"/>
              <w:keepNext w:val="0"/>
              <w:keepLines w:val="0"/>
              <w:pageBreakBefore w:val="0"/>
              <w:widowControl/>
              <w:kinsoku/>
              <w:wordWrap/>
              <w:overflowPunct/>
              <w:topLinePunct w:val="0"/>
              <w:autoSpaceDE/>
              <w:autoSpaceDN/>
              <w:bidi w:val="0"/>
              <w:adjustRightInd/>
              <w:snapToGrid w:val="0"/>
              <w:spacing w:line="360" w:lineRule="auto"/>
              <w:textAlignment w:val="auto"/>
              <w:rPr>
                <w:rFonts w:hint="default" w:ascii="Times New Roman" w:hAnsi="Times New Roman" w:cs="Times New Roman"/>
                <w:color w:val="auto"/>
                <w:spacing w:val="4"/>
                <w:sz w:val="24"/>
                <w:szCs w:val="24"/>
                <w:highlight w:val="none"/>
                <w:lang w:val="en-US" w:eastAsia="zh-CN"/>
              </w:rPr>
            </w:pPr>
            <w:r>
              <w:rPr>
                <w:rFonts w:hint="default" w:ascii="Times New Roman" w:hAnsi="Times New Roman" w:cs="Times New Roman"/>
                <w:color w:val="auto"/>
                <w:spacing w:val="4"/>
                <w:sz w:val="24"/>
                <w:szCs w:val="24"/>
                <w:highlight w:val="none"/>
                <w:lang w:val="en-US" w:eastAsia="zh-CN"/>
              </w:rPr>
              <w:t>1.4.1布袋对颗粒物处理效率：</w:t>
            </w:r>
          </w:p>
          <w:p w14:paraId="27148819">
            <w:pPr>
              <w:pStyle w:val="48"/>
              <w:keepNext w:val="0"/>
              <w:keepLines w:val="0"/>
              <w:pageBreakBefore w:val="0"/>
              <w:kinsoku/>
              <w:wordWrap/>
              <w:overflowPunct/>
              <w:topLinePunct w:val="0"/>
              <w:autoSpaceDE/>
              <w:autoSpaceDN/>
              <w:bidi w:val="0"/>
              <w:adjustRightInd w:val="0"/>
              <w:snapToGrid w:val="0"/>
              <w:spacing w:line="360" w:lineRule="auto"/>
              <w:textAlignment w:val="auto"/>
              <w:rPr>
                <w:rFonts w:hint="default" w:ascii="Times New Roman" w:hAnsi="Times New Roman" w:eastAsia="宋体" w:cs="Times New Roman"/>
                <w:bCs/>
                <w:color w:val="auto"/>
                <w:spacing w:val="10"/>
                <w:sz w:val="24"/>
                <w:szCs w:val="24"/>
                <w:highlight w:val="none"/>
                <w:lang w:eastAsia="zh-CN"/>
              </w:rPr>
            </w:pPr>
            <w:r>
              <w:rPr>
                <w:rFonts w:hint="default" w:ascii="Times New Roman" w:hAnsi="Times New Roman" w:eastAsia="宋体" w:cs="Times New Roman"/>
                <w:color w:val="auto"/>
                <w:kern w:val="2"/>
                <w:sz w:val="24"/>
                <w:szCs w:val="24"/>
                <w:highlight w:val="none"/>
                <w:lang w:val="en-US" w:eastAsia="zh-CN"/>
              </w:rPr>
              <w:t>根据《排放源统计调查产排污核算方法和系数手册》中3021水泥制品制造行业系数表中物料输送、物料搅拌等产生的颗粒物，使用袋式除尘末端治理效率可达99.7%，本项目筒仓及搅拌机自带脉冲布袋除尘器，故除尘效率为99.7%</w:t>
            </w:r>
            <w:r>
              <w:rPr>
                <w:rFonts w:hint="default" w:ascii="Times New Roman" w:hAnsi="Times New Roman" w:eastAsia="宋体" w:cs="Times New Roman"/>
                <w:bCs/>
                <w:color w:val="auto"/>
                <w:spacing w:val="10"/>
                <w:sz w:val="24"/>
                <w:szCs w:val="24"/>
                <w:highlight w:val="none"/>
                <w:lang w:eastAsia="zh-CN"/>
              </w:rPr>
              <w:t>。</w:t>
            </w:r>
          </w:p>
          <w:p w14:paraId="21A9FABB">
            <w:pPr>
              <w:pStyle w:val="48"/>
              <w:keepNext w:val="0"/>
              <w:keepLines w:val="0"/>
              <w:pageBreakBefore w:val="0"/>
              <w:kinsoku/>
              <w:wordWrap/>
              <w:overflowPunct/>
              <w:topLinePunct w:val="0"/>
              <w:autoSpaceDE/>
              <w:autoSpaceDN/>
              <w:bidi w:val="0"/>
              <w:adjustRightInd w:val="0"/>
              <w:snapToGrid w:val="0"/>
              <w:spacing w:line="360" w:lineRule="auto"/>
              <w:textAlignment w:val="auto"/>
              <w:rPr>
                <w:rFonts w:hint="default" w:ascii="Times New Roman" w:hAnsi="Times New Roman" w:cs="Times New Roman"/>
                <w:color w:val="auto"/>
                <w:spacing w:val="4"/>
                <w:sz w:val="24"/>
                <w:szCs w:val="24"/>
                <w:highlight w:val="none"/>
                <w:lang w:val="en-US" w:eastAsia="zh-CN"/>
              </w:rPr>
            </w:pPr>
            <w:r>
              <w:rPr>
                <w:rFonts w:hint="default" w:ascii="Times New Roman" w:hAnsi="Times New Roman" w:cs="Times New Roman"/>
                <w:color w:val="auto"/>
                <w:spacing w:val="4"/>
                <w:sz w:val="24"/>
                <w:szCs w:val="24"/>
                <w:highlight w:val="none"/>
                <w:lang w:val="en-US" w:eastAsia="zh-CN"/>
              </w:rPr>
              <w:t>1.4.2洒水抑尘对颗粒物理效率分析：</w:t>
            </w:r>
          </w:p>
          <w:p w14:paraId="22E10B9C">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eastAsia="宋体" w:cs="Times New Roman"/>
                <w:b w:val="0"/>
                <w:bCs w:val="0"/>
                <w:color w:val="auto"/>
                <w:kern w:val="0"/>
                <w:sz w:val="24"/>
                <w:szCs w:val="24"/>
                <w:highlight w:val="none"/>
                <w:lang w:val="en-US" w:eastAsia="zh-CN" w:bidi="ar"/>
              </w:rPr>
            </w:pPr>
            <w:r>
              <w:rPr>
                <w:rFonts w:hint="default" w:ascii="Times New Roman" w:hAnsi="Times New Roman" w:eastAsia="宋体" w:cs="Times New Roman"/>
                <w:b w:val="0"/>
                <w:bCs w:val="0"/>
                <w:color w:val="auto"/>
                <w:kern w:val="0"/>
                <w:sz w:val="24"/>
                <w:szCs w:val="24"/>
                <w:highlight w:val="none"/>
                <w:lang w:val="en-US" w:eastAsia="zh-CN" w:bidi="ar"/>
              </w:rPr>
              <w:t>洒水抑尘控制效率参照《固体物料堆存颗粒物产排污核算系数手册》附录4洒水控制效率为74%。</w:t>
            </w:r>
          </w:p>
          <w:p w14:paraId="464A15CF">
            <w:pPr>
              <w:pStyle w:val="48"/>
              <w:keepNext w:val="0"/>
              <w:keepLines w:val="0"/>
              <w:pageBreakBefore w:val="0"/>
              <w:kinsoku/>
              <w:wordWrap/>
              <w:overflowPunct/>
              <w:topLinePunct w:val="0"/>
              <w:autoSpaceDE/>
              <w:autoSpaceDN/>
              <w:bidi w:val="0"/>
              <w:adjustRightInd w:val="0"/>
              <w:snapToGrid w:val="0"/>
              <w:spacing w:line="360" w:lineRule="auto"/>
              <w:textAlignment w:val="auto"/>
              <w:rPr>
                <w:rFonts w:hint="default" w:ascii="Times New Roman" w:hAnsi="Times New Roman" w:cs="Times New Roman"/>
                <w:color w:val="auto"/>
                <w:spacing w:val="4"/>
                <w:sz w:val="24"/>
                <w:szCs w:val="24"/>
                <w:highlight w:val="none"/>
                <w:lang w:val="en-US" w:eastAsia="zh-CN"/>
              </w:rPr>
            </w:pPr>
            <w:r>
              <w:rPr>
                <w:rFonts w:hint="default" w:ascii="Times New Roman" w:hAnsi="Times New Roman" w:cs="Times New Roman"/>
                <w:color w:val="auto"/>
                <w:spacing w:val="4"/>
                <w:sz w:val="24"/>
                <w:szCs w:val="24"/>
                <w:highlight w:val="none"/>
                <w:lang w:val="en-US" w:eastAsia="zh-CN"/>
              </w:rPr>
              <w:t>1.4.3移动式烟尘净化器对焊接烟尘的处理效率分析：</w:t>
            </w:r>
          </w:p>
          <w:p w14:paraId="1C9378C8">
            <w:pPr>
              <w:pStyle w:val="5"/>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leftChars="0" w:right="0" w:firstLine="480" w:firstLineChars="200"/>
              <w:jc w:val="both"/>
              <w:textAlignment w:val="baseline"/>
              <w:rPr>
                <w:rFonts w:hint="default" w:ascii="Times New Roman" w:hAnsi="Times New Roman" w:cs="Times New Roman"/>
                <w:b w:val="0"/>
                <w:bCs/>
                <w:color w:val="auto"/>
                <w:kern w:val="2"/>
                <w:sz w:val="24"/>
                <w:szCs w:val="24"/>
                <w:highlight w:val="none"/>
                <w:shd w:val="clear" w:color="auto" w:fill="auto"/>
                <w:lang w:val="en-US" w:eastAsia="zh-CN"/>
              </w:rPr>
            </w:pPr>
            <w:r>
              <w:rPr>
                <w:rFonts w:hint="default" w:ascii="Times New Roman" w:hAnsi="Times New Roman" w:cs="Times New Roman"/>
                <w:b w:val="0"/>
                <w:bCs/>
                <w:color w:val="auto"/>
                <w:kern w:val="2"/>
                <w:sz w:val="24"/>
                <w:szCs w:val="24"/>
                <w:highlight w:val="none"/>
                <w:shd w:val="clear" w:color="auto" w:fill="auto"/>
                <w:lang w:val="en-US" w:eastAsia="zh-CN"/>
              </w:rPr>
              <w:t>项目对焊接废气采用“移动式烟尘净化器”进行处理，处理效率参考《排放源统计调查产排污核算方法和系数手册》33-37，431-434机械行业系数手册-09焊接-实心焊丝中其他（移动式烟尘净化器）对烟尘的处理效率为95%，故项目焊接烟尘处理效率取95%。</w:t>
            </w:r>
          </w:p>
          <w:p w14:paraId="4AFD88B4">
            <w:pPr>
              <w:adjustRightInd w:val="0"/>
              <w:snapToGrid w:val="0"/>
              <w:spacing w:line="360" w:lineRule="auto"/>
              <w:ind w:firstLine="482" w:firstLineChars="200"/>
              <w:rPr>
                <w:rFonts w:hint="default" w:ascii="Times New Roman" w:hAnsi="Times New Roman" w:cs="Times New Roman"/>
                <w:color w:val="auto"/>
                <w:sz w:val="24"/>
                <w:szCs w:val="24"/>
                <w:highlight w:val="none"/>
              </w:rPr>
            </w:pPr>
            <w:r>
              <w:rPr>
                <w:rFonts w:hint="default" w:ascii="Times New Roman" w:hAnsi="Times New Roman" w:cs="Times New Roman"/>
                <w:b/>
                <w:bCs/>
                <w:color w:val="auto"/>
                <w:sz w:val="24"/>
                <w:szCs w:val="24"/>
                <w:highlight w:val="none"/>
              </w:rPr>
              <w:t>1.</w:t>
            </w:r>
            <w:r>
              <w:rPr>
                <w:rFonts w:hint="default" w:ascii="Times New Roman" w:hAnsi="Times New Roman" w:cs="Times New Roman"/>
                <w:b/>
                <w:bCs/>
                <w:color w:val="auto"/>
                <w:sz w:val="24"/>
                <w:szCs w:val="24"/>
                <w:highlight w:val="none"/>
                <w:lang w:val="en-US" w:eastAsia="zh-CN"/>
              </w:rPr>
              <w:t xml:space="preserve">5 </w:t>
            </w:r>
            <w:r>
              <w:rPr>
                <w:rFonts w:hint="default" w:ascii="Times New Roman" w:hAnsi="Times New Roman" w:cs="Times New Roman"/>
                <w:b/>
                <w:bCs/>
                <w:color w:val="auto"/>
                <w:sz w:val="24"/>
                <w:szCs w:val="24"/>
                <w:highlight w:val="none"/>
              </w:rPr>
              <w:t>排放口情况、监测要求、非正常工况</w:t>
            </w:r>
          </w:p>
          <w:p w14:paraId="251613B3">
            <w:pPr>
              <w:adjustRightInd w:val="0"/>
              <w:snapToGrid w:val="0"/>
              <w:spacing w:line="360" w:lineRule="auto"/>
              <w:ind w:firstLine="482"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cs="Times New Roman"/>
                <w:b/>
                <w:bCs/>
                <w:color w:val="auto"/>
                <w:sz w:val="24"/>
                <w:szCs w:val="24"/>
                <w:highlight w:val="none"/>
              </w:rPr>
              <w:t>1.</w:t>
            </w:r>
            <w:r>
              <w:rPr>
                <w:rFonts w:hint="default" w:ascii="Times New Roman" w:hAnsi="Times New Roman" w:cs="Times New Roman"/>
                <w:b/>
                <w:bCs/>
                <w:color w:val="auto"/>
                <w:sz w:val="24"/>
                <w:szCs w:val="24"/>
                <w:highlight w:val="none"/>
                <w:lang w:val="en-US" w:eastAsia="zh-CN"/>
              </w:rPr>
              <w:t>5.1</w:t>
            </w:r>
            <w:r>
              <w:rPr>
                <w:rFonts w:hint="default" w:ascii="Times New Roman" w:hAnsi="Times New Roman" w:cs="Times New Roman"/>
                <w:b/>
                <w:bCs/>
                <w:color w:val="auto"/>
                <w:sz w:val="24"/>
                <w:szCs w:val="24"/>
                <w:highlight w:val="none"/>
              </w:rPr>
              <w:t>排放口情况、监测要求</w:t>
            </w:r>
          </w:p>
          <w:p w14:paraId="42D65DBC">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cs="Times New Roman"/>
                <w:color w:val="auto"/>
                <w:sz w:val="24"/>
                <w:szCs w:val="24"/>
                <w:highlight w:val="none"/>
              </w:rPr>
              <w:t>根据《固定污染源排污许可分类管理名录(2019年版)》，属于登记管理。</w:t>
            </w:r>
            <w:r>
              <w:rPr>
                <w:rFonts w:hint="default" w:ascii="Times New Roman" w:hAnsi="Times New Roman" w:eastAsia="宋体" w:cs="Times New Roman"/>
                <w:b w:val="0"/>
                <w:bCs/>
                <w:color w:val="auto"/>
                <w:kern w:val="2"/>
                <w:sz w:val="24"/>
                <w:szCs w:val="24"/>
                <w:highlight w:val="none"/>
                <w:shd w:val="clear" w:color="auto" w:fill="auto"/>
                <w:lang w:val="en-US" w:eastAsia="zh-CN" w:bidi="ar-SA"/>
              </w:rPr>
              <w:t>本项目废气的自行监测要求参照《排污许可证申请与核发技术规范 水泥工业》（HJ847-2017）及《排污单位自行监测技术指南 总则》（HJ819-2017）中5.2.2.3 监测频次“钢铁、水泥、焦化、石油加工、有色金属冶炼、采矿业等无组织废气排放较重的污染源，无组织废气每季度至少开展一次监测</w:t>
            </w:r>
            <w:r>
              <w:rPr>
                <w:rFonts w:hint="default" w:ascii="Times New Roman" w:hAnsi="Times New Roman" w:eastAsia="宋体" w:cs="Times New Roman"/>
                <w:color w:val="auto"/>
                <w:sz w:val="24"/>
                <w:szCs w:val="24"/>
                <w:highlight w:val="none"/>
                <w:lang w:val="en-US" w:eastAsia="zh-CN"/>
              </w:rPr>
              <w:t>等相关规定</w:t>
            </w:r>
            <w:r>
              <w:rPr>
                <w:rFonts w:hint="default" w:ascii="Times New Roman" w:hAnsi="Times New Roman" w:eastAsia="宋体" w:cs="Times New Roman"/>
                <w:color w:val="auto"/>
                <w:sz w:val="24"/>
                <w:szCs w:val="24"/>
                <w:highlight w:val="none"/>
              </w:rPr>
              <w:t>制定</w:t>
            </w:r>
            <w:r>
              <w:rPr>
                <w:rFonts w:hint="default" w:ascii="Times New Roman" w:hAnsi="Times New Roman" w:eastAsia="宋体" w:cs="Times New Roman"/>
                <w:color w:val="auto"/>
                <w:sz w:val="24"/>
                <w:szCs w:val="24"/>
                <w:highlight w:val="none"/>
                <w:lang w:eastAsia="zh-CN"/>
              </w:rPr>
              <w:t>本项目</w:t>
            </w:r>
            <w:r>
              <w:rPr>
                <w:rFonts w:hint="default" w:ascii="Times New Roman" w:hAnsi="Times New Roman" w:eastAsia="宋体" w:cs="Times New Roman"/>
                <w:color w:val="auto"/>
                <w:sz w:val="24"/>
                <w:szCs w:val="24"/>
                <w:highlight w:val="none"/>
              </w:rPr>
              <w:t>大气监测计划如下：</w:t>
            </w:r>
          </w:p>
          <w:p w14:paraId="06877517">
            <w:pPr>
              <w:keepNext w:val="0"/>
              <w:keepLines w:val="0"/>
              <w:pageBreakBefore w:val="0"/>
              <w:kinsoku/>
              <w:wordWrap/>
              <w:overflowPunct/>
              <w:topLinePunct w:val="0"/>
              <w:autoSpaceDE/>
              <w:autoSpaceDN/>
              <w:bidi w:val="0"/>
              <w:adjustRightInd w:val="0"/>
              <w:snapToGrid w:val="0"/>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表</w:t>
            </w:r>
            <w:r>
              <w:rPr>
                <w:rFonts w:hint="default" w:ascii="Times New Roman" w:hAnsi="Times New Roman" w:cs="Times New Roman"/>
                <w:b/>
                <w:bCs/>
                <w:color w:val="auto"/>
                <w:sz w:val="21"/>
                <w:szCs w:val="21"/>
                <w:highlight w:val="none"/>
                <w:lang w:val="en-US" w:eastAsia="zh-CN"/>
              </w:rPr>
              <w:t xml:space="preserve">4-5 </w:t>
            </w:r>
            <w:r>
              <w:rPr>
                <w:rFonts w:hint="default" w:ascii="Times New Roman" w:hAnsi="Times New Roman" w:cs="Times New Roman"/>
                <w:b/>
                <w:bCs/>
                <w:color w:val="auto"/>
                <w:sz w:val="21"/>
                <w:szCs w:val="21"/>
                <w:highlight w:val="none"/>
              </w:rPr>
              <w:t>废气排放口基本情况</w:t>
            </w:r>
          </w:p>
          <w:tbl>
            <w:tblPr>
              <w:tblStyle w:val="34"/>
              <w:tblW w:w="9166" w:type="dxa"/>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4"/>
              <w:gridCol w:w="1065"/>
              <w:gridCol w:w="1170"/>
              <w:gridCol w:w="960"/>
              <w:gridCol w:w="930"/>
              <w:gridCol w:w="855"/>
              <w:gridCol w:w="915"/>
              <w:gridCol w:w="885"/>
              <w:gridCol w:w="915"/>
              <w:gridCol w:w="877"/>
            </w:tblGrid>
            <w:tr w14:paraId="337B8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594" w:type="dxa"/>
                  <w:vMerge w:val="restart"/>
                  <w:noWrap w:val="0"/>
                  <w:vAlign w:val="center"/>
                </w:tcPr>
                <w:p w14:paraId="26696816">
                  <w:pPr>
                    <w:keepNext w:val="0"/>
                    <w:keepLines w:val="0"/>
                    <w:pageBreakBefore w:val="0"/>
                    <w:kinsoku/>
                    <w:wordWrap/>
                    <w:overflowPunct/>
                    <w:topLinePunct w:val="0"/>
                    <w:autoSpaceDE/>
                    <w:autoSpaceDN/>
                    <w:bidi w:val="0"/>
                    <w:adjustRightInd w:val="0"/>
                    <w:snapToGrid w:val="0"/>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编号</w:t>
                  </w:r>
                </w:p>
              </w:tc>
              <w:tc>
                <w:tcPr>
                  <w:tcW w:w="1065" w:type="dxa"/>
                  <w:vMerge w:val="restart"/>
                  <w:noWrap w:val="0"/>
                  <w:vAlign w:val="center"/>
                </w:tcPr>
                <w:p w14:paraId="6D451CF4">
                  <w:pPr>
                    <w:keepNext w:val="0"/>
                    <w:keepLines w:val="0"/>
                    <w:pageBreakBefore w:val="0"/>
                    <w:kinsoku/>
                    <w:wordWrap/>
                    <w:overflowPunct/>
                    <w:topLinePunct w:val="0"/>
                    <w:autoSpaceDE/>
                    <w:autoSpaceDN/>
                    <w:bidi w:val="0"/>
                    <w:adjustRightInd w:val="0"/>
                    <w:snapToGrid w:val="0"/>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排气口名称</w:t>
                  </w:r>
                </w:p>
              </w:tc>
              <w:tc>
                <w:tcPr>
                  <w:tcW w:w="1170" w:type="dxa"/>
                  <w:vMerge w:val="restart"/>
                  <w:noWrap w:val="0"/>
                  <w:vAlign w:val="center"/>
                </w:tcPr>
                <w:p w14:paraId="63417E4C">
                  <w:pPr>
                    <w:keepNext w:val="0"/>
                    <w:keepLines w:val="0"/>
                    <w:pageBreakBefore w:val="0"/>
                    <w:kinsoku/>
                    <w:wordWrap/>
                    <w:overflowPunct/>
                    <w:topLinePunct w:val="0"/>
                    <w:autoSpaceDE/>
                    <w:autoSpaceDN/>
                    <w:bidi w:val="0"/>
                    <w:adjustRightInd w:val="0"/>
                    <w:snapToGrid w:val="0"/>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污染物</w:t>
                  </w:r>
                </w:p>
                <w:p w14:paraId="4800B5B1">
                  <w:pPr>
                    <w:keepNext w:val="0"/>
                    <w:keepLines w:val="0"/>
                    <w:pageBreakBefore w:val="0"/>
                    <w:kinsoku/>
                    <w:wordWrap/>
                    <w:overflowPunct/>
                    <w:topLinePunct w:val="0"/>
                    <w:autoSpaceDE/>
                    <w:autoSpaceDN/>
                    <w:bidi w:val="0"/>
                    <w:adjustRightInd w:val="0"/>
                    <w:snapToGrid w:val="0"/>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种类</w:t>
                  </w:r>
                </w:p>
              </w:tc>
              <w:tc>
                <w:tcPr>
                  <w:tcW w:w="1890" w:type="dxa"/>
                  <w:gridSpan w:val="2"/>
                  <w:noWrap w:val="0"/>
                  <w:vAlign w:val="center"/>
                </w:tcPr>
                <w:p w14:paraId="5EAEE6BD">
                  <w:pPr>
                    <w:keepNext w:val="0"/>
                    <w:keepLines w:val="0"/>
                    <w:pageBreakBefore w:val="0"/>
                    <w:kinsoku/>
                    <w:wordWrap/>
                    <w:overflowPunct/>
                    <w:topLinePunct w:val="0"/>
                    <w:autoSpaceDE/>
                    <w:autoSpaceDN/>
                    <w:bidi w:val="0"/>
                    <w:adjustRightInd w:val="0"/>
                    <w:snapToGrid w:val="0"/>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排放口地理坐标</w:t>
                  </w:r>
                </w:p>
              </w:tc>
              <w:tc>
                <w:tcPr>
                  <w:tcW w:w="855" w:type="dxa"/>
                  <w:vMerge w:val="restart"/>
                  <w:noWrap w:val="0"/>
                  <w:vAlign w:val="center"/>
                </w:tcPr>
                <w:p w14:paraId="71D34647">
                  <w:pPr>
                    <w:keepNext w:val="0"/>
                    <w:keepLines w:val="0"/>
                    <w:pageBreakBefore w:val="0"/>
                    <w:kinsoku/>
                    <w:wordWrap/>
                    <w:overflowPunct/>
                    <w:topLinePunct w:val="0"/>
                    <w:autoSpaceDE/>
                    <w:autoSpaceDN/>
                    <w:bidi w:val="0"/>
                    <w:adjustRightInd w:val="0"/>
                    <w:snapToGrid w:val="0"/>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排气温度℃</w:t>
                  </w:r>
                </w:p>
              </w:tc>
              <w:tc>
                <w:tcPr>
                  <w:tcW w:w="915" w:type="dxa"/>
                  <w:vMerge w:val="restart"/>
                  <w:noWrap w:val="0"/>
                  <w:vAlign w:val="center"/>
                </w:tcPr>
                <w:p w14:paraId="71C250CD">
                  <w:pPr>
                    <w:keepNext w:val="0"/>
                    <w:keepLines w:val="0"/>
                    <w:pageBreakBefore w:val="0"/>
                    <w:kinsoku/>
                    <w:wordWrap/>
                    <w:overflowPunct/>
                    <w:topLinePunct w:val="0"/>
                    <w:autoSpaceDE/>
                    <w:autoSpaceDN/>
                    <w:bidi w:val="0"/>
                    <w:adjustRightInd w:val="0"/>
                    <w:snapToGrid w:val="0"/>
                    <w:ind w:firstLine="0" w:firstLine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eastAsia="zh-CN"/>
                    </w:rPr>
                    <w:t>烟气流速</w:t>
                  </w:r>
                  <w:r>
                    <w:rPr>
                      <w:rFonts w:hint="default" w:ascii="Times New Roman" w:hAnsi="Times New Roman" w:cs="Times New Roman"/>
                      <w:b/>
                      <w:bCs/>
                      <w:color w:val="auto"/>
                      <w:sz w:val="21"/>
                      <w:szCs w:val="21"/>
                      <w:highlight w:val="none"/>
                      <w:lang w:val="en-US" w:eastAsia="zh-CN"/>
                    </w:rPr>
                    <w:t>m/s</w:t>
                  </w:r>
                </w:p>
              </w:tc>
              <w:tc>
                <w:tcPr>
                  <w:tcW w:w="1800" w:type="dxa"/>
                  <w:gridSpan w:val="2"/>
                  <w:noWrap w:val="0"/>
                  <w:vAlign w:val="center"/>
                </w:tcPr>
                <w:p w14:paraId="4F791918">
                  <w:pPr>
                    <w:keepNext w:val="0"/>
                    <w:keepLines w:val="0"/>
                    <w:pageBreakBefore w:val="0"/>
                    <w:kinsoku/>
                    <w:wordWrap/>
                    <w:overflowPunct/>
                    <w:topLinePunct w:val="0"/>
                    <w:autoSpaceDE/>
                    <w:autoSpaceDN/>
                    <w:bidi w:val="0"/>
                    <w:adjustRightInd w:val="0"/>
                    <w:snapToGrid w:val="0"/>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排气筒</w:t>
                  </w:r>
                </w:p>
              </w:tc>
              <w:tc>
                <w:tcPr>
                  <w:tcW w:w="877" w:type="dxa"/>
                  <w:vMerge w:val="restart"/>
                  <w:noWrap w:val="0"/>
                  <w:vAlign w:val="center"/>
                </w:tcPr>
                <w:p w14:paraId="6F8984EC">
                  <w:pPr>
                    <w:keepNext w:val="0"/>
                    <w:keepLines w:val="0"/>
                    <w:pageBreakBefore w:val="0"/>
                    <w:kinsoku/>
                    <w:wordWrap/>
                    <w:overflowPunct/>
                    <w:topLinePunct w:val="0"/>
                    <w:autoSpaceDE/>
                    <w:autoSpaceDN/>
                    <w:bidi w:val="0"/>
                    <w:adjustRightInd w:val="0"/>
                    <w:snapToGrid w:val="0"/>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类型</w:t>
                  </w:r>
                </w:p>
              </w:tc>
            </w:tr>
            <w:tr w14:paraId="2E3B1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594" w:type="dxa"/>
                  <w:vMerge w:val="continue"/>
                  <w:noWrap w:val="0"/>
                  <w:vAlign w:val="center"/>
                </w:tcPr>
                <w:p w14:paraId="3465116F">
                  <w:pPr>
                    <w:keepNext w:val="0"/>
                    <w:keepLines w:val="0"/>
                    <w:pageBreakBefore w:val="0"/>
                    <w:kinsoku/>
                    <w:wordWrap/>
                    <w:overflowPunct/>
                    <w:topLinePunct w:val="0"/>
                    <w:autoSpaceDE/>
                    <w:autoSpaceDN/>
                    <w:bidi w:val="0"/>
                    <w:adjustRightInd w:val="0"/>
                    <w:snapToGrid w:val="0"/>
                    <w:ind w:firstLine="0" w:firstLineChars="0"/>
                    <w:jc w:val="center"/>
                    <w:rPr>
                      <w:rFonts w:hint="default" w:ascii="Times New Roman" w:hAnsi="Times New Roman" w:cs="Times New Roman"/>
                      <w:b/>
                      <w:bCs/>
                      <w:color w:val="auto"/>
                      <w:sz w:val="21"/>
                      <w:szCs w:val="21"/>
                      <w:highlight w:val="none"/>
                    </w:rPr>
                  </w:pPr>
                </w:p>
              </w:tc>
              <w:tc>
                <w:tcPr>
                  <w:tcW w:w="1065" w:type="dxa"/>
                  <w:vMerge w:val="continue"/>
                  <w:noWrap w:val="0"/>
                  <w:vAlign w:val="center"/>
                </w:tcPr>
                <w:p w14:paraId="124F2107">
                  <w:pPr>
                    <w:keepNext w:val="0"/>
                    <w:keepLines w:val="0"/>
                    <w:pageBreakBefore w:val="0"/>
                    <w:kinsoku/>
                    <w:wordWrap/>
                    <w:overflowPunct/>
                    <w:topLinePunct w:val="0"/>
                    <w:autoSpaceDE/>
                    <w:autoSpaceDN/>
                    <w:bidi w:val="0"/>
                    <w:adjustRightInd w:val="0"/>
                    <w:snapToGrid w:val="0"/>
                    <w:ind w:firstLine="0" w:firstLineChars="0"/>
                    <w:jc w:val="center"/>
                    <w:rPr>
                      <w:rFonts w:hint="default" w:ascii="Times New Roman" w:hAnsi="Times New Roman" w:cs="Times New Roman"/>
                      <w:b/>
                      <w:bCs/>
                      <w:color w:val="auto"/>
                      <w:sz w:val="21"/>
                      <w:szCs w:val="21"/>
                      <w:highlight w:val="none"/>
                    </w:rPr>
                  </w:pPr>
                </w:p>
              </w:tc>
              <w:tc>
                <w:tcPr>
                  <w:tcW w:w="1170" w:type="dxa"/>
                  <w:vMerge w:val="continue"/>
                  <w:noWrap w:val="0"/>
                  <w:vAlign w:val="center"/>
                </w:tcPr>
                <w:p w14:paraId="65B18C03">
                  <w:pPr>
                    <w:keepNext w:val="0"/>
                    <w:keepLines w:val="0"/>
                    <w:pageBreakBefore w:val="0"/>
                    <w:kinsoku/>
                    <w:wordWrap/>
                    <w:overflowPunct/>
                    <w:topLinePunct w:val="0"/>
                    <w:autoSpaceDE/>
                    <w:autoSpaceDN/>
                    <w:bidi w:val="0"/>
                    <w:adjustRightInd w:val="0"/>
                    <w:snapToGrid w:val="0"/>
                    <w:ind w:firstLine="0" w:firstLineChars="0"/>
                    <w:jc w:val="center"/>
                    <w:rPr>
                      <w:rFonts w:hint="default" w:ascii="Times New Roman" w:hAnsi="Times New Roman" w:cs="Times New Roman"/>
                      <w:b/>
                      <w:bCs/>
                      <w:color w:val="auto"/>
                      <w:sz w:val="21"/>
                      <w:szCs w:val="21"/>
                      <w:highlight w:val="none"/>
                    </w:rPr>
                  </w:pPr>
                </w:p>
              </w:tc>
              <w:tc>
                <w:tcPr>
                  <w:tcW w:w="960" w:type="dxa"/>
                  <w:noWrap w:val="0"/>
                  <w:vAlign w:val="center"/>
                </w:tcPr>
                <w:p w14:paraId="41D016CD">
                  <w:pPr>
                    <w:keepNext w:val="0"/>
                    <w:keepLines w:val="0"/>
                    <w:pageBreakBefore w:val="0"/>
                    <w:kinsoku/>
                    <w:wordWrap/>
                    <w:overflowPunct/>
                    <w:topLinePunct w:val="0"/>
                    <w:autoSpaceDE/>
                    <w:autoSpaceDN/>
                    <w:bidi w:val="0"/>
                    <w:adjustRightInd w:val="0"/>
                    <w:snapToGrid w:val="0"/>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经度</w:t>
                  </w:r>
                </w:p>
              </w:tc>
              <w:tc>
                <w:tcPr>
                  <w:tcW w:w="930" w:type="dxa"/>
                  <w:noWrap w:val="0"/>
                  <w:vAlign w:val="center"/>
                </w:tcPr>
                <w:p w14:paraId="68B9277E">
                  <w:pPr>
                    <w:keepNext w:val="0"/>
                    <w:keepLines w:val="0"/>
                    <w:pageBreakBefore w:val="0"/>
                    <w:kinsoku/>
                    <w:wordWrap/>
                    <w:overflowPunct/>
                    <w:topLinePunct w:val="0"/>
                    <w:autoSpaceDE/>
                    <w:autoSpaceDN/>
                    <w:bidi w:val="0"/>
                    <w:adjustRightInd w:val="0"/>
                    <w:snapToGrid w:val="0"/>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纬度</w:t>
                  </w:r>
                </w:p>
              </w:tc>
              <w:tc>
                <w:tcPr>
                  <w:tcW w:w="855" w:type="dxa"/>
                  <w:vMerge w:val="continue"/>
                  <w:noWrap w:val="0"/>
                  <w:vAlign w:val="center"/>
                </w:tcPr>
                <w:p w14:paraId="39B15405">
                  <w:pPr>
                    <w:keepNext w:val="0"/>
                    <w:keepLines w:val="0"/>
                    <w:pageBreakBefore w:val="0"/>
                    <w:kinsoku/>
                    <w:wordWrap/>
                    <w:overflowPunct/>
                    <w:topLinePunct w:val="0"/>
                    <w:autoSpaceDE/>
                    <w:autoSpaceDN/>
                    <w:bidi w:val="0"/>
                    <w:adjustRightInd w:val="0"/>
                    <w:snapToGrid w:val="0"/>
                    <w:ind w:firstLine="0" w:firstLineChars="0"/>
                    <w:jc w:val="center"/>
                    <w:rPr>
                      <w:rFonts w:hint="default" w:ascii="Times New Roman" w:hAnsi="Times New Roman" w:cs="Times New Roman"/>
                      <w:b/>
                      <w:bCs/>
                      <w:color w:val="auto"/>
                      <w:sz w:val="21"/>
                      <w:szCs w:val="21"/>
                      <w:highlight w:val="none"/>
                    </w:rPr>
                  </w:pPr>
                </w:p>
              </w:tc>
              <w:tc>
                <w:tcPr>
                  <w:tcW w:w="915" w:type="dxa"/>
                  <w:vMerge w:val="continue"/>
                  <w:noWrap w:val="0"/>
                  <w:vAlign w:val="center"/>
                </w:tcPr>
                <w:p w14:paraId="2E7EEE69">
                  <w:pPr>
                    <w:keepNext w:val="0"/>
                    <w:keepLines w:val="0"/>
                    <w:pageBreakBefore w:val="0"/>
                    <w:kinsoku/>
                    <w:wordWrap/>
                    <w:overflowPunct/>
                    <w:topLinePunct w:val="0"/>
                    <w:autoSpaceDE/>
                    <w:autoSpaceDN/>
                    <w:bidi w:val="0"/>
                    <w:adjustRightInd w:val="0"/>
                    <w:snapToGrid w:val="0"/>
                    <w:ind w:firstLine="0" w:firstLineChars="0"/>
                    <w:jc w:val="center"/>
                    <w:rPr>
                      <w:rFonts w:hint="default" w:ascii="Times New Roman" w:hAnsi="Times New Roman" w:cs="Times New Roman"/>
                      <w:b/>
                      <w:bCs/>
                      <w:color w:val="auto"/>
                      <w:sz w:val="21"/>
                      <w:szCs w:val="21"/>
                      <w:highlight w:val="none"/>
                    </w:rPr>
                  </w:pPr>
                </w:p>
              </w:tc>
              <w:tc>
                <w:tcPr>
                  <w:tcW w:w="885" w:type="dxa"/>
                  <w:noWrap w:val="0"/>
                  <w:vAlign w:val="center"/>
                </w:tcPr>
                <w:p w14:paraId="4D089E9F">
                  <w:pPr>
                    <w:keepNext w:val="0"/>
                    <w:keepLines w:val="0"/>
                    <w:pageBreakBefore w:val="0"/>
                    <w:kinsoku/>
                    <w:wordWrap/>
                    <w:overflowPunct/>
                    <w:topLinePunct w:val="0"/>
                    <w:autoSpaceDE/>
                    <w:autoSpaceDN/>
                    <w:bidi w:val="0"/>
                    <w:adjustRightInd w:val="0"/>
                    <w:snapToGrid w:val="0"/>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高度m</w:t>
                  </w:r>
                </w:p>
              </w:tc>
              <w:tc>
                <w:tcPr>
                  <w:tcW w:w="915" w:type="dxa"/>
                  <w:noWrap w:val="0"/>
                  <w:vAlign w:val="center"/>
                </w:tcPr>
                <w:p w14:paraId="70557AEE">
                  <w:pPr>
                    <w:keepNext w:val="0"/>
                    <w:keepLines w:val="0"/>
                    <w:pageBreakBefore w:val="0"/>
                    <w:kinsoku/>
                    <w:wordWrap/>
                    <w:overflowPunct/>
                    <w:topLinePunct w:val="0"/>
                    <w:autoSpaceDE/>
                    <w:autoSpaceDN/>
                    <w:bidi w:val="0"/>
                    <w:adjustRightInd w:val="0"/>
                    <w:snapToGrid w:val="0"/>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lang w:eastAsia="zh-CN"/>
                    </w:rPr>
                    <w:t>内</w:t>
                  </w:r>
                  <w:r>
                    <w:rPr>
                      <w:rFonts w:hint="default" w:ascii="Times New Roman" w:hAnsi="Times New Roman" w:cs="Times New Roman"/>
                      <w:b/>
                      <w:bCs/>
                      <w:color w:val="auto"/>
                      <w:sz w:val="21"/>
                      <w:szCs w:val="21"/>
                      <w:highlight w:val="none"/>
                    </w:rPr>
                    <w:t>径m</w:t>
                  </w:r>
                </w:p>
              </w:tc>
              <w:tc>
                <w:tcPr>
                  <w:tcW w:w="877" w:type="dxa"/>
                  <w:vMerge w:val="continue"/>
                  <w:noWrap w:val="0"/>
                  <w:vAlign w:val="center"/>
                </w:tcPr>
                <w:p w14:paraId="48E2220A">
                  <w:pPr>
                    <w:keepNext w:val="0"/>
                    <w:keepLines w:val="0"/>
                    <w:pageBreakBefore w:val="0"/>
                    <w:kinsoku/>
                    <w:wordWrap/>
                    <w:overflowPunct/>
                    <w:topLinePunct w:val="0"/>
                    <w:autoSpaceDE/>
                    <w:autoSpaceDN/>
                    <w:bidi w:val="0"/>
                    <w:adjustRightInd w:val="0"/>
                    <w:snapToGrid w:val="0"/>
                    <w:ind w:firstLine="0" w:firstLineChars="0"/>
                    <w:jc w:val="center"/>
                    <w:rPr>
                      <w:rFonts w:hint="default" w:ascii="Times New Roman" w:hAnsi="Times New Roman" w:cs="Times New Roman"/>
                      <w:b/>
                      <w:bCs/>
                      <w:color w:val="auto"/>
                      <w:sz w:val="21"/>
                      <w:szCs w:val="21"/>
                      <w:highlight w:val="none"/>
                    </w:rPr>
                  </w:pPr>
                </w:p>
              </w:tc>
            </w:tr>
            <w:tr w14:paraId="18CF3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94" w:type="dxa"/>
                  <w:noWrap w:val="0"/>
                  <w:vAlign w:val="center"/>
                </w:tcPr>
                <w:p w14:paraId="0BAEDB9C">
                  <w:pPr>
                    <w:keepNext w:val="0"/>
                    <w:keepLines w:val="0"/>
                    <w:pageBreakBefore w:val="0"/>
                    <w:kinsoku/>
                    <w:wordWrap/>
                    <w:overflowPunct/>
                    <w:topLinePunct w:val="0"/>
                    <w:autoSpaceDE/>
                    <w:autoSpaceDN/>
                    <w:bidi w:val="0"/>
                    <w:adjustRightInd w:val="0"/>
                    <w:snapToGrid w:val="0"/>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DA001</w:t>
                  </w:r>
                </w:p>
              </w:tc>
              <w:tc>
                <w:tcPr>
                  <w:tcW w:w="1065" w:type="dxa"/>
                  <w:noWrap w:val="0"/>
                  <w:vAlign w:val="center"/>
                </w:tcPr>
                <w:p w14:paraId="429147D8">
                  <w:pPr>
                    <w:pStyle w:val="51"/>
                    <w:keepNext w:val="0"/>
                    <w:keepLines w:val="0"/>
                    <w:pageBreakBefore w:val="0"/>
                    <w:widowControl/>
                    <w:kinsoku/>
                    <w:wordWrap/>
                    <w:overflowPunct/>
                    <w:topLinePunct w:val="0"/>
                    <w:autoSpaceDE/>
                    <w:autoSpaceDN/>
                    <w:bidi w:val="0"/>
                    <w:adjustRightInd w:val="0"/>
                    <w:snapToGrid w:val="0"/>
                    <w:spacing w:after="0"/>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天然气燃烧废气排气筒</w:t>
                  </w:r>
                </w:p>
              </w:tc>
              <w:tc>
                <w:tcPr>
                  <w:tcW w:w="1170" w:type="dxa"/>
                  <w:noWrap w:val="0"/>
                  <w:vAlign w:val="center"/>
                </w:tcPr>
                <w:p w14:paraId="4E6B5876">
                  <w:pPr>
                    <w:keepNext w:val="0"/>
                    <w:keepLines w:val="0"/>
                    <w:pageBreakBefore w:val="0"/>
                    <w:kinsoku/>
                    <w:wordWrap/>
                    <w:overflowPunct/>
                    <w:topLinePunct w:val="0"/>
                    <w:autoSpaceDE/>
                    <w:autoSpaceDN/>
                    <w:bidi w:val="0"/>
                    <w:adjustRightInd w:val="0"/>
                    <w:snapToGrid w:val="0"/>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rPr>
                    <w:t>颗粒物</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lang w:val="en-US" w:eastAsia="zh-CN"/>
                    </w:rPr>
                    <w:t>氮氧化物、二氧化硫</w:t>
                  </w:r>
                </w:p>
              </w:tc>
              <w:tc>
                <w:tcPr>
                  <w:tcW w:w="960" w:type="dxa"/>
                  <w:noWrap w:val="0"/>
                  <w:vAlign w:val="center"/>
                </w:tcPr>
                <w:p w14:paraId="1BF72362">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11</w:t>
                  </w:r>
                  <w:r>
                    <w:rPr>
                      <w:rFonts w:hint="default" w:ascii="Times New Roman" w:hAnsi="Times New Roman" w:cs="Times New Roman"/>
                      <w:i w:val="0"/>
                      <w:iCs w:val="0"/>
                      <w:color w:val="auto"/>
                      <w:kern w:val="0"/>
                      <w:sz w:val="21"/>
                      <w:szCs w:val="21"/>
                      <w:highlight w:val="none"/>
                      <w:u w:val="none"/>
                      <w:lang w:val="en-US" w:eastAsia="zh-CN" w:bidi="ar"/>
                    </w:rPr>
                    <w:t>4</w:t>
                  </w: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cs="Times New Roman"/>
                      <w:i w:val="0"/>
                      <w:iCs w:val="0"/>
                      <w:color w:val="auto"/>
                      <w:kern w:val="0"/>
                      <w:sz w:val="21"/>
                      <w:szCs w:val="21"/>
                      <w:highlight w:val="none"/>
                      <w:u w:val="none"/>
                      <w:lang w:val="en-US" w:eastAsia="zh-CN" w:bidi="ar"/>
                    </w:rPr>
                    <w:t>25</w:t>
                  </w: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cs="Times New Roman"/>
                      <w:i w:val="0"/>
                      <w:iCs w:val="0"/>
                      <w:color w:val="auto"/>
                      <w:kern w:val="0"/>
                      <w:sz w:val="21"/>
                      <w:szCs w:val="21"/>
                      <w:highlight w:val="none"/>
                      <w:u w:val="none"/>
                      <w:lang w:val="en-US" w:eastAsia="zh-CN" w:bidi="ar"/>
                    </w:rPr>
                    <w:t>39.517</w:t>
                  </w: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930" w:type="dxa"/>
                  <w:noWrap w:val="0"/>
                  <w:vAlign w:val="center"/>
                </w:tcPr>
                <w:p w14:paraId="55AAF9CC">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23°</w:t>
                  </w:r>
                  <w:r>
                    <w:rPr>
                      <w:rFonts w:hint="default" w:ascii="Times New Roman" w:hAnsi="Times New Roman" w:cs="Times New Roman"/>
                      <w:i w:val="0"/>
                      <w:iCs w:val="0"/>
                      <w:color w:val="auto"/>
                      <w:kern w:val="0"/>
                      <w:sz w:val="21"/>
                      <w:szCs w:val="21"/>
                      <w:highlight w:val="none"/>
                      <w:u w:val="none"/>
                      <w:lang w:val="en-US" w:eastAsia="zh-CN" w:bidi="ar"/>
                    </w:rPr>
                    <w:t>13</w:t>
                  </w: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cs="Times New Roman"/>
                      <w:i w:val="0"/>
                      <w:iCs w:val="0"/>
                      <w:color w:val="auto"/>
                      <w:kern w:val="0"/>
                      <w:sz w:val="21"/>
                      <w:szCs w:val="21"/>
                      <w:highlight w:val="none"/>
                      <w:u w:val="none"/>
                      <w:lang w:val="en-US" w:eastAsia="zh-CN" w:bidi="ar"/>
                    </w:rPr>
                    <w:t>56.635</w:t>
                  </w: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855" w:type="dxa"/>
                  <w:noWrap w:val="0"/>
                  <w:vAlign w:val="center"/>
                </w:tcPr>
                <w:p w14:paraId="301B6620">
                  <w:pPr>
                    <w:keepNext w:val="0"/>
                    <w:keepLines w:val="0"/>
                    <w:pageBreakBefore w:val="0"/>
                    <w:kinsoku/>
                    <w:wordWrap/>
                    <w:overflowPunct/>
                    <w:topLinePunct w:val="0"/>
                    <w:autoSpaceDE/>
                    <w:autoSpaceDN/>
                    <w:bidi w:val="0"/>
                    <w:adjustRightInd w:val="0"/>
                    <w:snapToGrid w:val="0"/>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35</w:t>
                  </w:r>
                </w:p>
              </w:tc>
              <w:tc>
                <w:tcPr>
                  <w:tcW w:w="915" w:type="dxa"/>
                  <w:noWrap w:val="0"/>
                  <w:vAlign w:val="center"/>
                </w:tcPr>
                <w:p w14:paraId="7D2AACF4">
                  <w:pPr>
                    <w:keepNext w:val="0"/>
                    <w:keepLines w:val="0"/>
                    <w:pageBreakBefore w:val="0"/>
                    <w:kinsoku/>
                    <w:wordWrap/>
                    <w:overflowPunct/>
                    <w:topLinePunct w:val="0"/>
                    <w:autoSpaceDE/>
                    <w:autoSpaceDN/>
                    <w:bidi w:val="0"/>
                    <w:adjustRightInd w:val="0"/>
                    <w:snapToGrid w:val="0"/>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14.44</w:t>
                  </w:r>
                </w:p>
              </w:tc>
              <w:tc>
                <w:tcPr>
                  <w:tcW w:w="885" w:type="dxa"/>
                  <w:noWrap w:val="0"/>
                  <w:vAlign w:val="center"/>
                </w:tcPr>
                <w:p w14:paraId="1A321937">
                  <w:pPr>
                    <w:keepNext w:val="0"/>
                    <w:keepLines w:val="0"/>
                    <w:pageBreakBefore w:val="0"/>
                    <w:kinsoku/>
                    <w:wordWrap/>
                    <w:overflowPunct/>
                    <w:topLinePunct w:val="0"/>
                    <w:autoSpaceDE/>
                    <w:autoSpaceDN/>
                    <w:bidi w:val="0"/>
                    <w:adjustRightInd w:val="0"/>
                    <w:snapToGrid w:val="0"/>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15</w:t>
                  </w:r>
                </w:p>
              </w:tc>
              <w:tc>
                <w:tcPr>
                  <w:tcW w:w="915" w:type="dxa"/>
                  <w:noWrap w:val="0"/>
                  <w:vAlign w:val="center"/>
                </w:tcPr>
                <w:p w14:paraId="59AB3486">
                  <w:pPr>
                    <w:keepNext w:val="0"/>
                    <w:keepLines w:val="0"/>
                    <w:pageBreakBefore w:val="0"/>
                    <w:kinsoku/>
                    <w:wordWrap/>
                    <w:overflowPunct/>
                    <w:topLinePunct w:val="0"/>
                    <w:autoSpaceDE/>
                    <w:autoSpaceDN/>
                    <w:bidi w:val="0"/>
                    <w:adjustRightInd w:val="0"/>
                    <w:snapToGrid w:val="0"/>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0.14</w:t>
                  </w:r>
                </w:p>
              </w:tc>
              <w:tc>
                <w:tcPr>
                  <w:tcW w:w="877" w:type="dxa"/>
                  <w:noWrap w:val="0"/>
                  <w:vAlign w:val="center"/>
                </w:tcPr>
                <w:p w14:paraId="16355E4D">
                  <w:pPr>
                    <w:keepNext w:val="0"/>
                    <w:keepLines w:val="0"/>
                    <w:pageBreakBefore w:val="0"/>
                    <w:kinsoku/>
                    <w:wordWrap/>
                    <w:overflowPunct/>
                    <w:topLinePunct w:val="0"/>
                    <w:autoSpaceDE/>
                    <w:autoSpaceDN/>
                    <w:bidi w:val="0"/>
                    <w:adjustRightInd w:val="0"/>
                    <w:snapToGrid w:val="0"/>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一般</w:t>
                  </w:r>
                </w:p>
                <w:p w14:paraId="310C222E">
                  <w:pPr>
                    <w:keepNext w:val="0"/>
                    <w:keepLines w:val="0"/>
                    <w:pageBreakBefore w:val="0"/>
                    <w:kinsoku/>
                    <w:wordWrap/>
                    <w:overflowPunct/>
                    <w:topLinePunct w:val="0"/>
                    <w:autoSpaceDE/>
                    <w:autoSpaceDN/>
                    <w:bidi w:val="0"/>
                    <w:adjustRightInd w:val="0"/>
                    <w:snapToGrid w:val="0"/>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排放口</w:t>
                  </w:r>
                </w:p>
              </w:tc>
            </w:tr>
            <w:tr w14:paraId="7A95F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94" w:type="dxa"/>
                  <w:noWrap w:val="0"/>
                  <w:vAlign w:val="center"/>
                </w:tcPr>
                <w:p w14:paraId="78C6B0DD">
                  <w:pPr>
                    <w:keepNext w:val="0"/>
                    <w:keepLines w:val="0"/>
                    <w:pageBreakBefore w:val="0"/>
                    <w:kinsoku/>
                    <w:wordWrap/>
                    <w:overflowPunct/>
                    <w:topLinePunct w:val="0"/>
                    <w:autoSpaceDE/>
                    <w:autoSpaceDN/>
                    <w:bidi w:val="0"/>
                    <w:adjustRightInd w:val="0"/>
                    <w:snapToGrid w:val="0"/>
                    <w:ind w:firstLine="0" w:firstLine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DA002</w:t>
                  </w:r>
                </w:p>
              </w:tc>
              <w:tc>
                <w:tcPr>
                  <w:tcW w:w="1065" w:type="dxa"/>
                  <w:noWrap w:val="0"/>
                  <w:vAlign w:val="center"/>
                </w:tcPr>
                <w:p w14:paraId="5096AA48">
                  <w:pPr>
                    <w:pStyle w:val="51"/>
                    <w:keepNext w:val="0"/>
                    <w:keepLines w:val="0"/>
                    <w:pageBreakBefore w:val="0"/>
                    <w:widowControl/>
                    <w:kinsoku/>
                    <w:wordWrap/>
                    <w:overflowPunct/>
                    <w:topLinePunct w:val="0"/>
                    <w:autoSpaceDE/>
                    <w:autoSpaceDN/>
                    <w:bidi w:val="0"/>
                    <w:adjustRightInd w:val="0"/>
                    <w:snapToGrid w:val="0"/>
                    <w:spacing w:after="0"/>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天然气燃烧废气排气筒</w:t>
                  </w:r>
                </w:p>
              </w:tc>
              <w:tc>
                <w:tcPr>
                  <w:tcW w:w="1170" w:type="dxa"/>
                  <w:noWrap w:val="0"/>
                  <w:vAlign w:val="center"/>
                </w:tcPr>
                <w:p w14:paraId="3FCF5B3D">
                  <w:pPr>
                    <w:keepNext w:val="0"/>
                    <w:keepLines w:val="0"/>
                    <w:pageBreakBefore w:val="0"/>
                    <w:kinsoku/>
                    <w:wordWrap/>
                    <w:overflowPunct/>
                    <w:topLinePunct w:val="0"/>
                    <w:autoSpaceDE/>
                    <w:autoSpaceDN/>
                    <w:bidi w:val="0"/>
                    <w:adjustRightInd w:val="0"/>
                    <w:snapToGrid w:val="0"/>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颗粒物</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lang w:val="en-US" w:eastAsia="zh-CN"/>
                    </w:rPr>
                    <w:t>氮氧化物、二氧化硫</w:t>
                  </w:r>
                </w:p>
              </w:tc>
              <w:tc>
                <w:tcPr>
                  <w:tcW w:w="960" w:type="dxa"/>
                  <w:noWrap w:val="0"/>
                  <w:vAlign w:val="center"/>
                </w:tcPr>
                <w:p w14:paraId="06E05B9D">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11</w:t>
                  </w:r>
                  <w:r>
                    <w:rPr>
                      <w:rFonts w:hint="default" w:ascii="Times New Roman" w:hAnsi="Times New Roman" w:cs="Times New Roman"/>
                      <w:i w:val="0"/>
                      <w:iCs w:val="0"/>
                      <w:color w:val="auto"/>
                      <w:kern w:val="0"/>
                      <w:sz w:val="21"/>
                      <w:szCs w:val="21"/>
                      <w:highlight w:val="none"/>
                      <w:u w:val="none"/>
                      <w:lang w:val="en-US" w:eastAsia="zh-CN" w:bidi="ar"/>
                    </w:rPr>
                    <w:t>4</w:t>
                  </w: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cs="Times New Roman"/>
                      <w:i w:val="0"/>
                      <w:iCs w:val="0"/>
                      <w:color w:val="auto"/>
                      <w:kern w:val="0"/>
                      <w:sz w:val="21"/>
                      <w:szCs w:val="21"/>
                      <w:highlight w:val="none"/>
                      <w:u w:val="none"/>
                      <w:lang w:val="en-US" w:eastAsia="zh-CN" w:bidi="ar"/>
                    </w:rPr>
                    <w:t>25</w:t>
                  </w: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cs="Times New Roman"/>
                      <w:i w:val="0"/>
                      <w:iCs w:val="0"/>
                      <w:color w:val="auto"/>
                      <w:kern w:val="0"/>
                      <w:sz w:val="21"/>
                      <w:szCs w:val="21"/>
                      <w:highlight w:val="none"/>
                      <w:u w:val="none"/>
                      <w:lang w:val="en-US" w:eastAsia="zh-CN" w:bidi="ar"/>
                    </w:rPr>
                    <w:t>39.247</w:t>
                  </w: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930" w:type="dxa"/>
                  <w:noWrap w:val="0"/>
                  <w:vAlign w:val="center"/>
                </w:tcPr>
                <w:p w14:paraId="4BAEDF0C">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23°</w:t>
                  </w:r>
                  <w:r>
                    <w:rPr>
                      <w:rFonts w:hint="default" w:ascii="Times New Roman" w:hAnsi="Times New Roman" w:cs="Times New Roman"/>
                      <w:i w:val="0"/>
                      <w:iCs w:val="0"/>
                      <w:color w:val="auto"/>
                      <w:kern w:val="0"/>
                      <w:sz w:val="21"/>
                      <w:szCs w:val="21"/>
                      <w:highlight w:val="none"/>
                      <w:u w:val="none"/>
                      <w:lang w:val="en-US" w:eastAsia="zh-CN" w:bidi="ar"/>
                    </w:rPr>
                    <w:t>13</w:t>
                  </w: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cs="Times New Roman"/>
                      <w:i w:val="0"/>
                      <w:iCs w:val="0"/>
                      <w:color w:val="auto"/>
                      <w:kern w:val="0"/>
                      <w:sz w:val="21"/>
                      <w:szCs w:val="21"/>
                      <w:highlight w:val="none"/>
                      <w:u w:val="none"/>
                      <w:lang w:val="en-US" w:eastAsia="zh-CN" w:bidi="ar"/>
                    </w:rPr>
                    <w:t>56.268</w:t>
                  </w: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855" w:type="dxa"/>
                  <w:noWrap w:val="0"/>
                  <w:vAlign w:val="center"/>
                </w:tcPr>
                <w:p w14:paraId="31E3DC1C">
                  <w:pPr>
                    <w:keepNext w:val="0"/>
                    <w:keepLines w:val="0"/>
                    <w:pageBreakBefore w:val="0"/>
                    <w:kinsoku/>
                    <w:wordWrap/>
                    <w:overflowPunct/>
                    <w:topLinePunct w:val="0"/>
                    <w:autoSpaceDE/>
                    <w:autoSpaceDN/>
                    <w:bidi w:val="0"/>
                    <w:adjustRightInd w:val="0"/>
                    <w:snapToGrid w:val="0"/>
                    <w:ind w:firstLine="0" w:firstLine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35</w:t>
                  </w:r>
                </w:p>
              </w:tc>
              <w:tc>
                <w:tcPr>
                  <w:tcW w:w="915" w:type="dxa"/>
                  <w:noWrap w:val="0"/>
                  <w:vAlign w:val="center"/>
                </w:tcPr>
                <w:p w14:paraId="05D72410">
                  <w:pPr>
                    <w:keepNext w:val="0"/>
                    <w:keepLines w:val="0"/>
                    <w:pageBreakBefore w:val="0"/>
                    <w:kinsoku/>
                    <w:wordWrap/>
                    <w:overflowPunct/>
                    <w:topLinePunct w:val="0"/>
                    <w:autoSpaceDE/>
                    <w:autoSpaceDN/>
                    <w:bidi w:val="0"/>
                    <w:adjustRightInd w:val="0"/>
                    <w:snapToGrid w:val="0"/>
                    <w:ind w:firstLine="0" w:firstLine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14.44</w:t>
                  </w:r>
                </w:p>
              </w:tc>
              <w:tc>
                <w:tcPr>
                  <w:tcW w:w="885" w:type="dxa"/>
                  <w:noWrap w:val="0"/>
                  <w:vAlign w:val="center"/>
                </w:tcPr>
                <w:p w14:paraId="32E7FF2E">
                  <w:pPr>
                    <w:keepNext w:val="0"/>
                    <w:keepLines w:val="0"/>
                    <w:pageBreakBefore w:val="0"/>
                    <w:kinsoku/>
                    <w:wordWrap/>
                    <w:overflowPunct/>
                    <w:topLinePunct w:val="0"/>
                    <w:autoSpaceDE/>
                    <w:autoSpaceDN/>
                    <w:bidi w:val="0"/>
                    <w:adjustRightInd w:val="0"/>
                    <w:snapToGrid w:val="0"/>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15</w:t>
                  </w:r>
                </w:p>
              </w:tc>
              <w:tc>
                <w:tcPr>
                  <w:tcW w:w="915" w:type="dxa"/>
                  <w:noWrap w:val="0"/>
                  <w:vAlign w:val="center"/>
                </w:tcPr>
                <w:p w14:paraId="43A3971C">
                  <w:pPr>
                    <w:keepNext w:val="0"/>
                    <w:keepLines w:val="0"/>
                    <w:pageBreakBefore w:val="0"/>
                    <w:kinsoku/>
                    <w:wordWrap/>
                    <w:overflowPunct/>
                    <w:topLinePunct w:val="0"/>
                    <w:autoSpaceDE/>
                    <w:autoSpaceDN/>
                    <w:bidi w:val="0"/>
                    <w:adjustRightInd w:val="0"/>
                    <w:snapToGrid w:val="0"/>
                    <w:ind w:firstLine="0" w:firstLine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0.14</w:t>
                  </w:r>
                </w:p>
              </w:tc>
              <w:tc>
                <w:tcPr>
                  <w:tcW w:w="877" w:type="dxa"/>
                  <w:noWrap w:val="0"/>
                  <w:vAlign w:val="center"/>
                </w:tcPr>
                <w:p w14:paraId="3F3A6BCD">
                  <w:pPr>
                    <w:keepNext w:val="0"/>
                    <w:keepLines w:val="0"/>
                    <w:pageBreakBefore w:val="0"/>
                    <w:kinsoku/>
                    <w:wordWrap/>
                    <w:overflowPunct/>
                    <w:topLinePunct w:val="0"/>
                    <w:autoSpaceDE/>
                    <w:autoSpaceDN/>
                    <w:bidi w:val="0"/>
                    <w:adjustRightInd w:val="0"/>
                    <w:snapToGrid w:val="0"/>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一般</w:t>
                  </w:r>
                </w:p>
                <w:p w14:paraId="0F1294D6">
                  <w:pPr>
                    <w:keepNext w:val="0"/>
                    <w:keepLines w:val="0"/>
                    <w:pageBreakBefore w:val="0"/>
                    <w:kinsoku/>
                    <w:wordWrap/>
                    <w:overflowPunct/>
                    <w:topLinePunct w:val="0"/>
                    <w:autoSpaceDE/>
                    <w:autoSpaceDN/>
                    <w:bidi w:val="0"/>
                    <w:adjustRightInd w:val="0"/>
                    <w:snapToGrid w:val="0"/>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排放口</w:t>
                  </w:r>
                </w:p>
              </w:tc>
            </w:tr>
          </w:tbl>
          <w:p w14:paraId="49476991">
            <w:pPr>
              <w:adjustRightInd w:val="0"/>
              <w:snapToGrid w:val="0"/>
              <w:jc w:val="center"/>
              <w:rPr>
                <w:rFonts w:hint="default" w:ascii="Times New Roman" w:hAnsi="Times New Roman" w:cs="Times New Roman"/>
                <w:b/>
                <w:bCs/>
                <w:color w:val="auto"/>
                <w:sz w:val="21"/>
                <w:szCs w:val="21"/>
                <w:highlight w:val="none"/>
              </w:rPr>
            </w:pPr>
          </w:p>
          <w:p w14:paraId="5504B0DC">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表</w:t>
            </w:r>
            <w:r>
              <w:rPr>
                <w:rFonts w:hint="default" w:ascii="Times New Roman" w:hAnsi="Times New Roman" w:cs="Times New Roman"/>
                <w:b/>
                <w:bCs/>
                <w:color w:val="auto"/>
                <w:sz w:val="21"/>
                <w:szCs w:val="21"/>
                <w:highlight w:val="none"/>
                <w:lang w:val="en-US" w:eastAsia="zh-CN"/>
              </w:rPr>
              <w:t xml:space="preserve">4-6 </w:t>
            </w:r>
            <w:r>
              <w:rPr>
                <w:rFonts w:hint="default" w:ascii="Times New Roman" w:hAnsi="Times New Roman" w:cs="Times New Roman"/>
                <w:b/>
                <w:bCs/>
                <w:color w:val="auto"/>
                <w:sz w:val="21"/>
                <w:szCs w:val="21"/>
                <w:highlight w:val="none"/>
              </w:rPr>
              <w:t>项目大气污染物监测计划</w:t>
            </w:r>
          </w:p>
          <w:tbl>
            <w:tblPr>
              <w:tblStyle w:val="34"/>
              <w:tblW w:w="9259" w:type="dxa"/>
              <w:tblInd w:w="-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880"/>
              <w:gridCol w:w="1080"/>
              <w:gridCol w:w="840"/>
              <w:gridCol w:w="1050"/>
              <w:gridCol w:w="870"/>
              <w:gridCol w:w="3649"/>
            </w:tblGrid>
            <w:tr w14:paraId="00748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890" w:type="dxa"/>
                  <w:vMerge w:val="restart"/>
                  <w:noWrap w:val="0"/>
                  <w:vAlign w:val="center"/>
                </w:tcPr>
                <w:p w14:paraId="3161CCB7">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排气口编号</w:t>
                  </w:r>
                </w:p>
              </w:tc>
              <w:tc>
                <w:tcPr>
                  <w:tcW w:w="880" w:type="dxa"/>
                  <w:vMerge w:val="restart"/>
                  <w:noWrap w:val="0"/>
                  <w:vAlign w:val="center"/>
                </w:tcPr>
                <w:p w14:paraId="4D39AC9E">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排气口名称</w:t>
                  </w:r>
                </w:p>
              </w:tc>
              <w:tc>
                <w:tcPr>
                  <w:tcW w:w="1920" w:type="dxa"/>
                  <w:gridSpan w:val="2"/>
                  <w:noWrap w:val="0"/>
                  <w:vAlign w:val="center"/>
                </w:tcPr>
                <w:p w14:paraId="36C1C69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监测要求</w:t>
                  </w:r>
                </w:p>
              </w:tc>
              <w:tc>
                <w:tcPr>
                  <w:tcW w:w="5569" w:type="dxa"/>
                  <w:gridSpan w:val="3"/>
                  <w:noWrap w:val="0"/>
                  <w:vAlign w:val="center"/>
                </w:tcPr>
                <w:p w14:paraId="1646D60B">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排放标准</w:t>
                  </w:r>
                </w:p>
              </w:tc>
            </w:tr>
            <w:tr w14:paraId="10213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90" w:type="dxa"/>
                  <w:vMerge w:val="continue"/>
                  <w:noWrap w:val="0"/>
                  <w:vAlign w:val="center"/>
                </w:tcPr>
                <w:p w14:paraId="163E98FF">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z w:val="21"/>
                      <w:szCs w:val="21"/>
                      <w:highlight w:val="none"/>
                    </w:rPr>
                  </w:pPr>
                </w:p>
              </w:tc>
              <w:tc>
                <w:tcPr>
                  <w:tcW w:w="880" w:type="dxa"/>
                  <w:vMerge w:val="continue"/>
                  <w:noWrap w:val="0"/>
                  <w:vAlign w:val="center"/>
                </w:tcPr>
                <w:p w14:paraId="6882433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z w:val="21"/>
                      <w:szCs w:val="21"/>
                      <w:highlight w:val="none"/>
                    </w:rPr>
                  </w:pPr>
                </w:p>
              </w:tc>
              <w:tc>
                <w:tcPr>
                  <w:tcW w:w="1080" w:type="dxa"/>
                  <w:noWrap w:val="0"/>
                  <w:vAlign w:val="center"/>
                </w:tcPr>
                <w:p w14:paraId="1ECB0AA5">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监测因子</w:t>
                  </w:r>
                </w:p>
              </w:tc>
              <w:tc>
                <w:tcPr>
                  <w:tcW w:w="840" w:type="dxa"/>
                  <w:noWrap w:val="0"/>
                  <w:vAlign w:val="center"/>
                </w:tcPr>
                <w:p w14:paraId="621B6D8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监测频次</w:t>
                  </w:r>
                </w:p>
              </w:tc>
              <w:tc>
                <w:tcPr>
                  <w:tcW w:w="1050" w:type="dxa"/>
                  <w:noWrap w:val="0"/>
                  <w:vAlign w:val="center"/>
                </w:tcPr>
                <w:p w14:paraId="15935317">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浓度限值mg/m</w:t>
                  </w:r>
                  <w:r>
                    <w:rPr>
                      <w:rFonts w:hint="default" w:ascii="Times New Roman" w:hAnsi="Times New Roman" w:cs="Times New Roman"/>
                      <w:b/>
                      <w:bCs/>
                      <w:color w:val="auto"/>
                      <w:sz w:val="21"/>
                      <w:szCs w:val="21"/>
                      <w:highlight w:val="none"/>
                      <w:vertAlign w:val="superscript"/>
                    </w:rPr>
                    <w:t>3</w:t>
                  </w:r>
                </w:p>
              </w:tc>
              <w:tc>
                <w:tcPr>
                  <w:tcW w:w="870" w:type="dxa"/>
                  <w:noWrap w:val="0"/>
                  <w:vAlign w:val="center"/>
                </w:tcPr>
                <w:p w14:paraId="63F9A9DC">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速率限值kg/h</w:t>
                  </w:r>
                </w:p>
              </w:tc>
              <w:tc>
                <w:tcPr>
                  <w:tcW w:w="3649" w:type="dxa"/>
                  <w:noWrap w:val="0"/>
                  <w:vAlign w:val="center"/>
                </w:tcPr>
                <w:p w14:paraId="3339099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标准名称</w:t>
                  </w:r>
                </w:p>
              </w:tc>
            </w:tr>
            <w:tr w14:paraId="3F429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890" w:type="dxa"/>
                  <w:vMerge w:val="restart"/>
                  <w:noWrap w:val="0"/>
                  <w:vAlign w:val="center"/>
                </w:tcPr>
                <w:p w14:paraId="48ECF90E">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DA001及DA002</w:t>
                  </w:r>
                </w:p>
              </w:tc>
              <w:tc>
                <w:tcPr>
                  <w:tcW w:w="880" w:type="dxa"/>
                  <w:vMerge w:val="restart"/>
                  <w:noWrap w:val="0"/>
                  <w:vAlign w:val="center"/>
                </w:tcPr>
                <w:p w14:paraId="0485C6D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val="en-US" w:eastAsia="zh-CN"/>
                    </w:rPr>
                    <w:t>锅炉燃烧废气排气筒</w:t>
                  </w:r>
                </w:p>
              </w:tc>
              <w:tc>
                <w:tcPr>
                  <w:tcW w:w="1080" w:type="dxa"/>
                  <w:noWrap w:val="0"/>
                  <w:vAlign w:val="center"/>
                </w:tcPr>
                <w:p w14:paraId="4989945B">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颗粒物</w:t>
                  </w:r>
                </w:p>
              </w:tc>
              <w:tc>
                <w:tcPr>
                  <w:tcW w:w="840" w:type="dxa"/>
                  <w:noWrap w:val="0"/>
                  <w:vAlign w:val="center"/>
                </w:tcPr>
                <w:p w14:paraId="0C6EB83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val="en-US" w:eastAsia="zh-CN"/>
                    </w:rPr>
                    <w:t>1</w:t>
                  </w:r>
                  <w:r>
                    <w:rPr>
                      <w:rFonts w:hint="default" w:ascii="Times New Roman" w:hAnsi="Times New Roman" w:cs="Times New Roman"/>
                      <w:color w:val="auto"/>
                      <w:sz w:val="21"/>
                      <w:szCs w:val="21"/>
                      <w:highlight w:val="none"/>
                      <w:lang w:eastAsia="zh-CN"/>
                    </w:rPr>
                    <w:t>次</w:t>
                  </w:r>
                  <w:r>
                    <w:rPr>
                      <w:rFonts w:hint="default" w:ascii="Times New Roman" w:hAnsi="Times New Roman" w:cs="Times New Roman"/>
                      <w:color w:val="auto"/>
                      <w:sz w:val="21"/>
                      <w:szCs w:val="21"/>
                      <w:highlight w:val="none"/>
                    </w:rPr>
                    <w:t>/</w:t>
                  </w:r>
                  <w:r>
                    <w:rPr>
                      <w:rFonts w:hint="default" w:ascii="Times New Roman" w:hAnsi="Times New Roman" w:cs="Times New Roman"/>
                      <w:color w:val="auto"/>
                      <w:sz w:val="21"/>
                      <w:szCs w:val="21"/>
                      <w:highlight w:val="none"/>
                      <w:lang w:val="en-US" w:eastAsia="zh-CN"/>
                    </w:rPr>
                    <w:t>年</w:t>
                  </w:r>
                </w:p>
              </w:tc>
              <w:tc>
                <w:tcPr>
                  <w:tcW w:w="1050" w:type="dxa"/>
                  <w:noWrap w:val="0"/>
                  <w:vAlign w:val="center"/>
                </w:tcPr>
                <w:p w14:paraId="713772E8">
                  <w:pPr>
                    <w:spacing w:after="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44"/>
                      <w:sz w:val="21"/>
                      <w:szCs w:val="21"/>
                      <w:highlight w:val="none"/>
                      <w:lang w:val="en-US" w:eastAsia="zh-CN"/>
                    </w:rPr>
                    <w:t>10</w:t>
                  </w:r>
                </w:p>
              </w:tc>
              <w:tc>
                <w:tcPr>
                  <w:tcW w:w="870" w:type="dxa"/>
                  <w:noWrap w:val="0"/>
                  <w:vAlign w:val="center"/>
                </w:tcPr>
                <w:p w14:paraId="34BF3FC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p>
              </w:tc>
              <w:tc>
                <w:tcPr>
                  <w:tcW w:w="3649" w:type="dxa"/>
                  <w:vMerge w:val="restart"/>
                  <w:noWrap w:val="0"/>
                  <w:vAlign w:val="center"/>
                </w:tcPr>
                <w:p w14:paraId="63D1A5A2">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val="0"/>
                      <w:color w:val="auto"/>
                      <w:sz w:val="21"/>
                      <w:szCs w:val="21"/>
                      <w:highlight w:val="none"/>
                      <w:lang w:eastAsia="zh-CN"/>
                    </w:rPr>
                  </w:pPr>
                  <w:r>
                    <w:rPr>
                      <w:rFonts w:hint="default" w:ascii="Times New Roman" w:hAnsi="Times New Roman" w:eastAsia="宋体" w:cs="Times New Roman"/>
                      <w:color w:val="auto"/>
                      <w:kern w:val="44"/>
                      <w:sz w:val="21"/>
                      <w:szCs w:val="21"/>
                      <w:highlight w:val="none"/>
                    </w:rPr>
                    <w:t>《锅炉大气污染物排放标准》（DB44/765-2019）</w:t>
                  </w:r>
                  <w:r>
                    <w:rPr>
                      <w:rFonts w:hint="default" w:ascii="Times New Roman" w:hAnsi="Times New Roman" w:eastAsia="宋体" w:cs="Times New Roman"/>
                      <w:color w:val="auto"/>
                      <w:kern w:val="2"/>
                      <w:sz w:val="21"/>
                      <w:szCs w:val="21"/>
                      <w:highlight w:val="none"/>
                      <w:lang w:val="en-US" w:eastAsia="zh-CN"/>
                    </w:rPr>
                    <w:t>表3大气污染物特别排放限值</w:t>
                  </w:r>
                </w:p>
              </w:tc>
            </w:tr>
            <w:tr w14:paraId="79D33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890" w:type="dxa"/>
                  <w:vMerge w:val="continue"/>
                  <w:noWrap w:val="0"/>
                  <w:vAlign w:val="center"/>
                </w:tcPr>
                <w:p w14:paraId="19A47619">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lang w:val="en-US" w:eastAsia="zh-CN"/>
                    </w:rPr>
                  </w:pPr>
                </w:p>
              </w:tc>
              <w:tc>
                <w:tcPr>
                  <w:tcW w:w="880" w:type="dxa"/>
                  <w:vMerge w:val="continue"/>
                  <w:noWrap w:val="0"/>
                  <w:vAlign w:val="center"/>
                </w:tcPr>
                <w:p w14:paraId="7A84882D">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lang w:val="en-US" w:eastAsia="zh-CN"/>
                    </w:rPr>
                  </w:pPr>
                </w:p>
              </w:tc>
              <w:tc>
                <w:tcPr>
                  <w:tcW w:w="1080" w:type="dxa"/>
                  <w:noWrap w:val="0"/>
                  <w:vAlign w:val="center"/>
                </w:tcPr>
                <w:p w14:paraId="2B64E84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二氧化硫</w:t>
                  </w:r>
                </w:p>
              </w:tc>
              <w:tc>
                <w:tcPr>
                  <w:tcW w:w="840" w:type="dxa"/>
                  <w:noWrap w:val="0"/>
                  <w:vAlign w:val="center"/>
                </w:tcPr>
                <w:p w14:paraId="323D542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w:t>
                  </w:r>
                  <w:r>
                    <w:rPr>
                      <w:rFonts w:hint="default" w:ascii="Times New Roman" w:hAnsi="Times New Roman" w:cs="Times New Roman"/>
                      <w:color w:val="auto"/>
                      <w:sz w:val="21"/>
                      <w:szCs w:val="21"/>
                      <w:highlight w:val="none"/>
                      <w:lang w:eastAsia="zh-CN"/>
                    </w:rPr>
                    <w:t>次</w:t>
                  </w:r>
                  <w:r>
                    <w:rPr>
                      <w:rFonts w:hint="default" w:ascii="Times New Roman" w:hAnsi="Times New Roman" w:cs="Times New Roman"/>
                      <w:color w:val="auto"/>
                      <w:sz w:val="21"/>
                      <w:szCs w:val="21"/>
                      <w:highlight w:val="none"/>
                    </w:rPr>
                    <w:t>/</w:t>
                  </w:r>
                  <w:r>
                    <w:rPr>
                      <w:rFonts w:hint="default" w:ascii="Times New Roman" w:hAnsi="Times New Roman" w:cs="Times New Roman"/>
                      <w:color w:val="auto"/>
                      <w:sz w:val="21"/>
                      <w:szCs w:val="21"/>
                      <w:highlight w:val="none"/>
                      <w:lang w:val="en-US" w:eastAsia="zh-CN"/>
                    </w:rPr>
                    <w:t>年</w:t>
                  </w:r>
                </w:p>
              </w:tc>
              <w:tc>
                <w:tcPr>
                  <w:tcW w:w="1050" w:type="dxa"/>
                  <w:noWrap w:val="0"/>
                  <w:vAlign w:val="center"/>
                </w:tcPr>
                <w:p w14:paraId="067C6466">
                  <w:pPr>
                    <w:widowControl w:val="0"/>
                    <w:spacing w:after="0"/>
                    <w:jc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 w:val="21"/>
                      <w:highlight w:val="none"/>
                      <w:lang w:val="en-US" w:eastAsia="zh-CN"/>
                    </w:rPr>
                    <w:t>35</w:t>
                  </w:r>
                </w:p>
              </w:tc>
              <w:tc>
                <w:tcPr>
                  <w:tcW w:w="870" w:type="dxa"/>
                  <w:noWrap w:val="0"/>
                  <w:vAlign w:val="center"/>
                </w:tcPr>
                <w:p w14:paraId="161125CE">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color w:val="auto"/>
                      <w:sz w:val="21"/>
                      <w:szCs w:val="21"/>
                      <w:highlight w:val="none"/>
                    </w:rPr>
                    <w:t>/</w:t>
                  </w:r>
                </w:p>
              </w:tc>
              <w:tc>
                <w:tcPr>
                  <w:tcW w:w="3649" w:type="dxa"/>
                  <w:vMerge w:val="continue"/>
                  <w:noWrap w:val="0"/>
                  <w:vAlign w:val="center"/>
                </w:tcPr>
                <w:p w14:paraId="08FFD8E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rPr>
                  </w:pPr>
                </w:p>
              </w:tc>
            </w:tr>
            <w:tr w14:paraId="17CF1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890" w:type="dxa"/>
                  <w:vMerge w:val="continue"/>
                  <w:noWrap w:val="0"/>
                  <w:vAlign w:val="center"/>
                </w:tcPr>
                <w:p w14:paraId="233D61F5">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lang w:val="en-US" w:eastAsia="zh-CN"/>
                    </w:rPr>
                  </w:pPr>
                </w:p>
              </w:tc>
              <w:tc>
                <w:tcPr>
                  <w:tcW w:w="880" w:type="dxa"/>
                  <w:vMerge w:val="continue"/>
                  <w:noWrap w:val="0"/>
                  <w:vAlign w:val="center"/>
                </w:tcPr>
                <w:p w14:paraId="78E663D5">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lang w:val="en-US" w:eastAsia="zh-CN"/>
                    </w:rPr>
                  </w:pPr>
                </w:p>
              </w:tc>
              <w:tc>
                <w:tcPr>
                  <w:tcW w:w="1080" w:type="dxa"/>
                  <w:noWrap w:val="0"/>
                  <w:vAlign w:val="center"/>
                </w:tcPr>
                <w:p w14:paraId="6BA1537E">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氮氧化物</w:t>
                  </w:r>
                </w:p>
              </w:tc>
              <w:tc>
                <w:tcPr>
                  <w:tcW w:w="840" w:type="dxa"/>
                  <w:noWrap w:val="0"/>
                  <w:vAlign w:val="center"/>
                </w:tcPr>
                <w:p w14:paraId="7D566183">
                  <w:pPr>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1</w:t>
                  </w:r>
                  <w:r>
                    <w:rPr>
                      <w:rFonts w:hint="default" w:ascii="Times New Roman" w:hAnsi="Times New Roman" w:cs="Times New Roman"/>
                      <w:color w:val="auto"/>
                      <w:sz w:val="21"/>
                      <w:szCs w:val="21"/>
                      <w:highlight w:val="none"/>
                      <w:lang w:eastAsia="zh-CN"/>
                    </w:rPr>
                    <w:t>次</w:t>
                  </w:r>
                  <w:r>
                    <w:rPr>
                      <w:rFonts w:hint="default" w:ascii="Times New Roman" w:hAnsi="Times New Roman" w:cs="Times New Roman"/>
                      <w:color w:val="auto"/>
                      <w:sz w:val="21"/>
                      <w:szCs w:val="21"/>
                      <w:highlight w:val="none"/>
                    </w:rPr>
                    <w:t>/</w:t>
                  </w:r>
                  <w:r>
                    <w:rPr>
                      <w:rFonts w:hint="eastAsia" w:ascii="Times New Roman" w:hAnsi="Times New Roman" w:cs="Times New Roman"/>
                      <w:color w:val="auto"/>
                      <w:sz w:val="21"/>
                      <w:szCs w:val="21"/>
                      <w:highlight w:val="none"/>
                      <w:lang w:val="en-US" w:eastAsia="zh-CN"/>
                    </w:rPr>
                    <w:t>月</w:t>
                  </w:r>
                </w:p>
              </w:tc>
              <w:tc>
                <w:tcPr>
                  <w:tcW w:w="1050" w:type="dxa"/>
                  <w:noWrap w:val="0"/>
                  <w:vAlign w:val="center"/>
                </w:tcPr>
                <w:p w14:paraId="163D741A">
                  <w:pPr>
                    <w:widowControl w:val="0"/>
                    <w:spacing w:after="0"/>
                    <w:jc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 w:val="21"/>
                      <w:highlight w:val="none"/>
                    </w:rPr>
                    <w:t>50</w:t>
                  </w:r>
                </w:p>
              </w:tc>
              <w:tc>
                <w:tcPr>
                  <w:tcW w:w="870" w:type="dxa"/>
                  <w:noWrap w:val="0"/>
                  <w:vAlign w:val="center"/>
                </w:tcPr>
                <w:p w14:paraId="0E97D782">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color w:val="auto"/>
                      <w:sz w:val="21"/>
                      <w:szCs w:val="21"/>
                      <w:highlight w:val="none"/>
                    </w:rPr>
                    <w:t>/</w:t>
                  </w:r>
                </w:p>
              </w:tc>
              <w:tc>
                <w:tcPr>
                  <w:tcW w:w="3649" w:type="dxa"/>
                  <w:vMerge w:val="continue"/>
                  <w:noWrap w:val="0"/>
                  <w:vAlign w:val="center"/>
                </w:tcPr>
                <w:p w14:paraId="6121F282">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rPr>
                  </w:pPr>
                </w:p>
              </w:tc>
            </w:tr>
            <w:tr w14:paraId="3FAD2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90" w:type="dxa"/>
                  <w:noWrap w:val="0"/>
                  <w:vAlign w:val="center"/>
                </w:tcPr>
                <w:p w14:paraId="1E78CBE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厂界</w:t>
                  </w:r>
                </w:p>
              </w:tc>
              <w:tc>
                <w:tcPr>
                  <w:tcW w:w="880" w:type="dxa"/>
                  <w:noWrap w:val="0"/>
                  <w:vAlign w:val="center"/>
                </w:tcPr>
                <w:p w14:paraId="1121A92C">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1080" w:type="dxa"/>
                  <w:noWrap w:val="0"/>
                  <w:vAlign w:val="center"/>
                </w:tcPr>
                <w:p w14:paraId="7198A79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highlight w:val="none"/>
                      <w:lang w:val="en-US"/>
                    </w:rPr>
                  </w:pPr>
                  <w:r>
                    <w:rPr>
                      <w:rFonts w:hint="default" w:ascii="Times New Roman" w:hAnsi="Times New Roman" w:cs="Times New Roman"/>
                      <w:b w:val="0"/>
                      <w:bCs w:val="0"/>
                      <w:color w:val="auto"/>
                      <w:sz w:val="21"/>
                      <w:szCs w:val="21"/>
                      <w:highlight w:val="none"/>
                      <w:vertAlign w:val="baseline"/>
                      <w:lang w:val="en-US" w:eastAsia="zh-CN"/>
                    </w:rPr>
                    <w:t>颗粒物</w:t>
                  </w:r>
                </w:p>
              </w:tc>
              <w:tc>
                <w:tcPr>
                  <w:tcW w:w="840" w:type="dxa"/>
                  <w:noWrap w:val="0"/>
                  <w:vAlign w:val="center"/>
                </w:tcPr>
                <w:p w14:paraId="27AF1ED9">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1次/季度</w:t>
                  </w:r>
                </w:p>
              </w:tc>
              <w:tc>
                <w:tcPr>
                  <w:tcW w:w="1050" w:type="dxa"/>
                  <w:noWrap w:val="0"/>
                  <w:vAlign w:val="center"/>
                </w:tcPr>
                <w:p w14:paraId="1C55E98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b w:val="0"/>
                      <w:bCs w:val="0"/>
                      <w:color w:val="auto"/>
                      <w:sz w:val="21"/>
                      <w:szCs w:val="21"/>
                      <w:highlight w:val="none"/>
                      <w:vertAlign w:val="baseline"/>
                      <w:lang w:val="en-US" w:eastAsia="zh-CN"/>
                    </w:rPr>
                    <w:t>0.5</w:t>
                  </w:r>
                </w:p>
              </w:tc>
              <w:tc>
                <w:tcPr>
                  <w:tcW w:w="870" w:type="dxa"/>
                  <w:noWrap w:val="0"/>
                  <w:vAlign w:val="center"/>
                </w:tcPr>
                <w:p w14:paraId="71AE053E">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p>
              </w:tc>
              <w:tc>
                <w:tcPr>
                  <w:tcW w:w="3649" w:type="dxa"/>
                  <w:noWrap w:val="0"/>
                  <w:vAlign w:val="center"/>
                </w:tcPr>
                <w:p w14:paraId="498DD38A">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sz w:val="21"/>
                      <w:szCs w:val="21"/>
                      <w:highlight w:val="none"/>
                    </w:rPr>
                    <w:t>《水泥工业大气污染物排放标准》（GB4915-2013）表3大气污染物无组织排放限值</w:t>
                  </w:r>
                  <w:r>
                    <w:rPr>
                      <w:rFonts w:hint="default" w:ascii="Times New Roman" w:hAnsi="Times New Roman" w:eastAsia="宋体" w:cs="Times New Roman"/>
                      <w:color w:val="auto"/>
                      <w:szCs w:val="21"/>
                      <w:highlight w:val="none"/>
                      <w:lang w:val="en-US" w:eastAsia="zh-CN"/>
                    </w:rPr>
                    <w:t>及广东省《大气污染物排放限值》（DB44/27-2001）第二时段无组织排放监控浓度限值较严值</w:t>
                  </w:r>
                </w:p>
              </w:tc>
            </w:tr>
          </w:tbl>
          <w:p w14:paraId="6E598935">
            <w:pPr>
              <w:adjustRightInd w:val="0"/>
              <w:snapToGrid w:val="0"/>
              <w:spacing w:line="360" w:lineRule="auto"/>
              <w:ind w:firstLine="482" w:firstLineChars="200"/>
              <w:rPr>
                <w:rFonts w:hint="default" w:ascii="Times New Roman" w:hAnsi="Times New Roman" w:cs="Times New Roman"/>
                <w:color w:val="auto"/>
                <w:sz w:val="24"/>
                <w:szCs w:val="24"/>
                <w:highlight w:val="none"/>
              </w:rPr>
            </w:pPr>
            <w:r>
              <w:rPr>
                <w:rFonts w:hint="default" w:ascii="Times New Roman" w:hAnsi="Times New Roman" w:cs="Times New Roman"/>
                <w:b/>
                <w:bCs/>
                <w:color w:val="auto"/>
                <w:sz w:val="24"/>
                <w:szCs w:val="24"/>
                <w:highlight w:val="none"/>
              </w:rPr>
              <w:t>1.</w:t>
            </w:r>
            <w:r>
              <w:rPr>
                <w:rFonts w:hint="default" w:ascii="Times New Roman" w:hAnsi="Times New Roman" w:cs="Times New Roman"/>
                <w:b/>
                <w:bCs/>
                <w:color w:val="auto"/>
                <w:sz w:val="24"/>
                <w:szCs w:val="24"/>
                <w:highlight w:val="none"/>
                <w:lang w:val="en-US" w:eastAsia="zh-CN"/>
              </w:rPr>
              <w:t xml:space="preserve">5.2 </w:t>
            </w:r>
            <w:r>
              <w:rPr>
                <w:rFonts w:hint="default" w:ascii="Times New Roman" w:hAnsi="Times New Roman" w:cs="Times New Roman"/>
                <w:b/>
                <w:bCs/>
                <w:color w:val="auto"/>
                <w:sz w:val="24"/>
                <w:szCs w:val="24"/>
                <w:highlight w:val="none"/>
              </w:rPr>
              <w:t>非正常工况</w:t>
            </w:r>
          </w:p>
          <w:p w14:paraId="6F556298">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cs="Times New Roman" w:eastAsiaTheme="minorEastAsia"/>
                <w:b w:val="0"/>
                <w:bCs w:val="0"/>
                <w:color w:val="auto"/>
                <w:sz w:val="24"/>
                <w:szCs w:val="24"/>
                <w:highlight w:val="none"/>
                <w:lang w:eastAsia="zh-CN"/>
              </w:rPr>
            </w:pPr>
            <w:r>
              <w:rPr>
                <w:rFonts w:hint="default" w:ascii="Times New Roman" w:hAnsi="Times New Roman" w:cs="Times New Roman"/>
                <w:b w:val="0"/>
                <w:bCs w:val="0"/>
                <w:color w:val="auto"/>
                <w:sz w:val="24"/>
                <w:szCs w:val="24"/>
                <w:highlight w:val="none"/>
              </w:rPr>
              <w:t>非正常排放是指生产过程中开停车(工、炉)、设备检修、工艺设备运转异常等非正常工况下的污染物排放，以及污染物排放控制措施达不到应有效率等情况下的排放。</w:t>
            </w:r>
            <w:r>
              <w:rPr>
                <w:rFonts w:hint="default" w:ascii="Times New Roman" w:hAnsi="Times New Roman" w:cs="Times New Roman"/>
                <w:b w:val="0"/>
                <w:bCs w:val="0"/>
                <w:color w:val="auto"/>
                <w:sz w:val="24"/>
                <w:szCs w:val="24"/>
                <w:highlight w:val="none"/>
                <w:lang w:val="en-US" w:eastAsia="zh-CN"/>
              </w:rPr>
              <w:t>项目</w:t>
            </w:r>
            <w:r>
              <w:rPr>
                <w:rFonts w:hint="default" w:ascii="Times New Roman" w:hAnsi="Times New Roman" w:eastAsia="宋体" w:cs="Times New Roman"/>
                <w:color w:val="auto"/>
                <w:kern w:val="44"/>
                <w:sz w:val="24"/>
                <w:szCs w:val="44"/>
                <w:highlight w:val="none"/>
                <w:lang w:val="en-US" w:eastAsia="zh-CN"/>
              </w:rPr>
              <w:t>锅炉非正常工况即指运行过程中低氮燃烧设施故障时，按</w:t>
            </w:r>
            <w:r>
              <w:rPr>
                <w:rFonts w:hint="eastAsia" w:ascii="Times New Roman" w:hAnsi="Times New Roman" w:eastAsia="宋体" w:cs="Times New Roman"/>
                <w:color w:val="auto"/>
                <w:kern w:val="44"/>
                <w:sz w:val="24"/>
                <w:szCs w:val="44"/>
                <w:highlight w:val="none"/>
                <w:lang w:val="en-US" w:eastAsia="zh-CN"/>
              </w:rPr>
              <w:t>低氮燃烧效率为20%考虑</w:t>
            </w:r>
            <w:r>
              <w:rPr>
                <w:rFonts w:hint="default" w:ascii="Times New Roman" w:hAnsi="Times New Roman" w:eastAsia="宋体" w:cs="Times New Roman"/>
                <w:color w:val="auto"/>
                <w:kern w:val="44"/>
                <w:sz w:val="24"/>
                <w:szCs w:val="44"/>
                <w:highlight w:val="none"/>
                <w:lang w:val="en-US" w:eastAsia="zh-CN"/>
              </w:rPr>
              <w:t>。</w:t>
            </w:r>
            <w:r>
              <w:rPr>
                <w:rFonts w:hint="default" w:ascii="Times New Roman" w:hAnsi="Times New Roman" w:cs="Times New Roman"/>
                <w:b w:val="0"/>
                <w:bCs w:val="0"/>
                <w:color w:val="auto"/>
                <w:sz w:val="24"/>
                <w:szCs w:val="24"/>
                <w:highlight w:val="none"/>
              </w:rPr>
              <w:t>废气非正常工况源强情况见下表</w:t>
            </w:r>
            <w:r>
              <w:rPr>
                <w:rFonts w:hint="default" w:ascii="Times New Roman" w:hAnsi="Times New Roman" w:cs="Times New Roman"/>
                <w:b w:val="0"/>
                <w:bCs w:val="0"/>
                <w:color w:val="auto"/>
                <w:sz w:val="24"/>
                <w:szCs w:val="24"/>
                <w:highlight w:val="none"/>
                <w:lang w:eastAsia="zh-CN"/>
              </w:rPr>
              <w:t>：</w:t>
            </w:r>
          </w:p>
          <w:p w14:paraId="42659603">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表</w:t>
            </w:r>
            <w:r>
              <w:rPr>
                <w:rFonts w:hint="default" w:ascii="Times New Roman" w:hAnsi="Times New Roman" w:cs="Times New Roman"/>
                <w:b/>
                <w:bCs/>
                <w:color w:val="auto"/>
                <w:sz w:val="21"/>
                <w:szCs w:val="21"/>
                <w:highlight w:val="none"/>
                <w:lang w:val="en-US" w:eastAsia="zh-CN"/>
              </w:rPr>
              <w:t xml:space="preserve">4-7 </w:t>
            </w:r>
            <w:r>
              <w:rPr>
                <w:rFonts w:hint="default" w:ascii="Times New Roman" w:hAnsi="Times New Roman" w:cs="Times New Roman"/>
                <w:b/>
                <w:bCs/>
                <w:color w:val="auto"/>
                <w:sz w:val="21"/>
                <w:szCs w:val="21"/>
                <w:highlight w:val="none"/>
              </w:rPr>
              <w:t>废气非正常工况排放量核算表</w:t>
            </w:r>
          </w:p>
          <w:tbl>
            <w:tblPr>
              <w:tblStyle w:val="34"/>
              <w:tblW w:w="9156" w:type="dxa"/>
              <w:tblInd w:w="-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
              <w:gridCol w:w="855"/>
              <w:gridCol w:w="1080"/>
              <w:gridCol w:w="1320"/>
              <w:gridCol w:w="1305"/>
              <w:gridCol w:w="915"/>
              <w:gridCol w:w="1065"/>
              <w:gridCol w:w="870"/>
              <w:gridCol w:w="882"/>
            </w:tblGrid>
            <w:tr w14:paraId="18400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864" w:type="dxa"/>
                  <w:noWrap w:val="0"/>
                  <w:vAlign w:val="center"/>
                </w:tcPr>
                <w:p w14:paraId="6EC93D0F">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排气口名称</w:t>
                  </w:r>
                </w:p>
              </w:tc>
              <w:tc>
                <w:tcPr>
                  <w:tcW w:w="855" w:type="dxa"/>
                  <w:noWrap w:val="0"/>
                  <w:vAlign w:val="center"/>
                </w:tcPr>
                <w:p w14:paraId="55A5FE3A">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非正常工况</w:t>
                  </w:r>
                </w:p>
              </w:tc>
              <w:tc>
                <w:tcPr>
                  <w:tcW w:w="1080" w:type="dxa"/>
                  <w:noWrap w:val="0"/>
                  <w:vAlign w:val="center"/>
                </w:tcPr>
                <w:p w14:paraId="108CBE56">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污染物</w:t>
                  </w:r>
                </w:p>
              </w:tc>
              <w:tc>
                <w:tcPr>
                  <w:tcW w:w="1320" w:type="dxa"/>
                  <w:noWrap w:val="0"/>
                  <w:vAlign w:val="center"/>
                </w:tcPr>
                <w:p w14:paraId="74EB0E52">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非正常排放浓度mg/m</w:t>
                  </w:r>
                  <w:r>
                    <w:rPr>
                      <w:rFonts w:hint="default" w:ascii="Times New Roman" w:hAnsi="Times New Roman" w:cs="Times New Roman"/>
                      <w:b/>
                      <w:bCs/>
                      <w:color w:val="auto"/>
                      <w:sz w:val="21"/>
                      <w:szCs w:val="21"/>
                      <w:highlight w:val="none"/>
                      <w:vertAlign w:val="superscript"/>
                    </w:rPr>
                    <w:t>3</w:t>
                  </w:r>
                </w:p>
              </w:tc>
              <w:tc>
                <w:tcPr>
                  <w:tcW w:w="1305" w:type="dxa"/>
                  <w:noWrap w:val="0"/>
                  <w:vAlign w:val="center"/>
                </w:tcPr>
                <w:p w14:paraId="2474C1AF">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非正常排放速率kg/h</w:t>
                  </w:r>
                </w:p>
              </w:tc>
              <w:tc>
                <w:tcPr>
                  <w:tcW w:w="915" w:type="dxa"/>
                  <w:noWrap w:val="0"/>
                  <w:vAlign w:val="center"/>
                </w:tcPr>
                <w:p w14:paraId="02AC225A">
                  <w:pPr>
                    <w:adjustRightInd w:val="0"/>
                    <w:snapToGrid w:val="0"/>
                    <w:jc w:val="center"/>
                    <w:rPr>
                      <w:rFonts w:hint="default" w:ascii="Times New Roman" w:hAnsi="Times New Roman" w:cs="Times New Roman" w:eastAsiaTheme="minorEastAsia"/>
                      <w:b/>
                      <w:bCs/>
                      <w:color w:val="auto"/>
                      <w:sz w:val="21"/>
                      <w:szCs w:val="21"/>
                      <w:highlight w:val="none"/>
                      <w:lang w:val="en-US" w:eastAsia="zh-CN"/>
                    </w:rPr>
                  </w:pPr>
                  <w:r>
                    <w:rPr>
                      <w:rFonts w:hint="default" w:ascii="Times New Roman" w:hAnsi="Times New Roman" w:cs="Times New Roman"/>
                      <w:b/>
                      <w:bCs/>
                      <w:color w:val="auto"/>
                      <w:sz w:val="21"/>
                      <w:szCs w:val="21"/>
                      <w:highlight w:val="none"/>
                    </w:rPr>
                    <w:t>年发生频次</w:t>
                  </w:r>
                  <w:r>
                    <w:rPr>
                      <w:rFonts w:hint="default" w:ascii="Times New Roman" w:hAnsi="Times New Roman" w:cs="Times New Roman"/>
                      <w:b/>
                      <w:bCs/>
                      <w:color w:val="auto"/>
                      <w:sz w:val="21"/>
                      <w:szCs w:val="21"/>
                      <w:highlight w:val="none"/>
                      <w:lang w:val="en-US" w:eastAsia="zh-CN"/>
                    </w:rPr>
                    <w:t>/次</w:t>
                  </w:r>
                </w:p>
              </w:tc>
              <w:tc>
                <w:tcPr>
                  <w:tcW w:w="1065" w:type="dxa"/>
                  <w:noWrap w:val="0"/>
                  <w:vAlign w:val="center"/>
                </w:tcPr>
                <w:p w14:paraId="06E4AB7A">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lang w:val="en-US" w:eastAsia="zh-CN"/>
                    </w:rPr>
                    <w:t>年总</w:t>
                  </w:r>
                  <w:r>
                    <w:rPr>
                      <w:rFonts w:hint="default" w:ascii="Times New Roman" w:hAnsi="Times New Roman" w:cs="Times New Roman"/>
                      <w:b/>
                      <w:bCs/>
                      <w:color w:val="auto"/>
                      <w:sz w:val="21"/>
                      <w:szCs w:val="21"/>
                      <w:highlight w:val="none"/>
                    </w:rPr>
                    <w:t>持续时间</w:t>
                  </w:r>
                  <w:r>
                    <w:rPr>
                      <w:rFonts w:hint="default" w:ascii="Times New Roman" w:hAnsi="Times New Roman" w:cs="Times New Roman"/>
                      <w:b/>
                      <w:bCs/>
                      <w:color w:val="auto"/>
                      <w:sz w:val="21"/>
                      <w:szCs w:val="21"/>
                      <w:highlight w:val="none"/>
                      <w:lang w:val="en-US" w:eastAsia="zh-CN"/>
                    </w:rPr>
                    <w:t>/</w:t>
                  </w:r>
                  <w:r>
                    <w:rPr>
                      <w:rFonts w:hint="default" w:ascii="Times New Roman" w:hAnsi="Times New Roman" w:cs="Times New Roman"/>
                      <w:b/>
                      <w:bCs/>
                      <w:color w:val="auto"/>
                      <w:sz w:val="21"/>
                      <w:szCs w:val="21"/>
                      <w:highlight w:val="none"/>
                    </w:rPr>
                    <w:t>h</w:t>
                  </w:r>
                </w:p>
              </w:tc>
              <w:tc>
                <w:tcPr>
                  <w:tcW w:w="870" w:type="dxa"/>
                  <w:noWrap w:val="0"/>
                  <w:vAlign w:val="center"/>
                </w:tcPr>
                <w:p w14:paraId="2FD47B47">
                  <w:pPr>
                    <w:adjustRightInd w:val="0"/>
                    <w:snapToGrid w:val="0"/>
                    <w:jc w:val="center"/>
                    <w:rPr>
                      <w:rFonts w:hint="default" w:ascii="Times New Roman" w:hAnsi="Times New Roman" w:cs="Times New Roman" w:eastAsiaTheme="minorEastAsia"/>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年排放量kg/a</w:t>
                  </w:r>
                </w:p>
              </w:tc>
              <w:tc>
                <w:tcPr>
                  <w:tcW w:w="882" w:type="dxa"/>
                  <w:noWrap w:val="0"/>
                  <w:vAlign w:val="center"/>
                </w:tcPr>
                <w:p w14:paraId="106979D1">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应对措施</w:t>
                  </w:r>
                </w:p>
              </w:tc>
            </w:tr>
            <w:tr w14:paraId="0E0F1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864" w:type="dxa"/>
                  <w:vMerge w:val="restart"/>
                  <w:noWrap w:val="0"/>
                  <w:vAlign w:val="center"/>
                </w:tcPr>
                <w:p w14:paraId="47386C50">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锅炉废气排气筒</w:t>
                  </w:r>
                </w:p>
              </w:tc>
              <w:tc>
                <w:tcPr>
                  <w:tcW w:w="855" w:type="dxa"/>
                  <w:vMerge w:val="restart"/>
                  <w:noWrap w:val="0"/>
                  <w:vAlign w:val="center"/>
                </w:tcPr>
                <w:p w14:paraId="025857EA">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kern w:val="2"/>
                      <w:sz w:val="21"/>
                      <w:szCs w:val="21"/>
                      <w:highlight w:val="none"/>
                      <w:lang w:val="en-US" w:eastAsia="zh-CN"/>
                    </w:rPr>
                    <w:t>低氮燃烧设施故障</w:t>
                  </w:r>
                </w:p>
              </w:tc>
              <w:tc>
                <w:tcPr>
                  <w:tcW w:w="1080" w:type="dxa"/>
                  <w:noWrap w:val="0"/>
                  <w:vAlign w:val="center"/>
                </w:tcPr>
                <w:p w14:paraId="1B5AE16E">
                  <w:pPr>
                    <w:adjustRightInd w:val="0"/>
                    <w:snapToGrid w:val="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rPr>
                    <w:t>颗粒物</w:t>
                  </w:r>
                </w:p>
              </w:tc>
              <w:tc>
                <w:tcPr>
                  <w:tcW w:w="1320" w:type="dxa"/>
                  <w:noWrap w:val="0"/>
                  <w:vAlign w:val="center"/>
                </w:tcPr>
                <w:p w14:paraId="150A8083">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1.88</w:t>
                  </w:r>
                </w:p>
              </w:tc>
              <w:tc>
                <w:tcPr>
                  <w:tcW w:w="1305" w:type="dxa"/>
                  <w:noWrap w:val="0"/>
                  <w:vAlign w:val="center"/>
                </w:tcPr>
                <w:p w14:paraId="4F45C28A">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0.002 </w:t>
                  </w:r>
                </w:p>
              </w:tc>
              <w:tc>
                <w:tcPr>
                  <w:tcW w:w="915" w:type="dxa"/>
                  <w:noWrap w:val="0"/>
                  <w:vAlign w:val="center"/>
                </w:tcPr>
                <w:p w14:paraId="6C493CC1">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2</w:t>
                  </w:r>
                </w:p>
              </w:tc>
              <w:tc>
                <w:tcPr>
                  <w:tcW w:w="1065" w:type="dxa"/>
                  <w:noWrap w:val="0"/>
                  <w:vAlign w:val="center"/>
                </w:tcPr>
                <w:p w14:paraId="4B77D25D">
                  <w:pPr>
                    <w:adjustRightInd w:val="0"/>
                    <w:snapToGrid w:val="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rPr>
                    <w:t>1</w:t>
                  </w:r>
                </w:p>
              </w:tc>
              <w:tc>
                <w:tcPr>
                  <w:tcW w:w="870" w:type="dxa"/>
                  <w:noWrap w:val="0"/>
                  <w:vAlign w:val="center"/>
                </w:tcPr>
                <w:p w14:paraId="07165408">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0.002 </w:t>
                  </w:r>
                </w:p>
              </w:tc>
              <w:tc>
                <w:tcPr>
                  <w:tcW w:w="882" w:type="dxa"/>
                  <w:vMerge w:val="restart"/>
                  <w:noWrap w:val="0"/>
                  <w:vAlign w:val="center"/>
                </w:tcPr>
                <w:p w14:paraId="38301009">
                  <w:pPr>
                    <w:adjustRightInd w:val="0"/>
                    <w:snapToGrid w:val="0"/>
                    <w:jc w:val="center"/>
                    <w:rPr>
                      <w:rFonts w:hint="default" w:ascii="Times New Roman" w:hAnsi="Times New Roman" w:cs="Times New Roman"/>
                      <w:color w:val="auto"/>
                      <w:sz w:val="21"/>
                      <w:szCs w:val="21"/>
                      <w:highlight w:val="none"/>
                    </w:rPr>
                  </w:pPr>
                  <w:r>
                    <w:rPr>
                      <w:rFonts w:ascii="Times New Roman" w:hAnsi="Times New Roman" w:cs="Times New Roman"/>
                      <w:color w:val="auto"/>
                      <w:szCs w:val="21"/>
                      <w:highlight w:val="none"/>
                    </w:rPr>
                    <w:t>立即停止生产，及时维修</w:t>
                  </w:r>
                </w:p>
              </w:tc>
            </w:tr>
            <w:tr w14:paraId="7420B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4" w:type="dxa"/>
                  <w:vMerge w:val="continue"/>
                  <w:noWrap w:val="0"/>
                  <w:vAlign w:val="center"/>
                </w:tcPr>
                <w:p w14:paraId="53BD1287">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rPr>
                  </w:pPr>
                </w:p>
              </w:tc>
              <w:tc>
                <w:tcPr>
                  <w:tcW w:w="855" w:type="dxa"/>
                  <w:vMerge w:val="continue"/>
                  <w:noWrap w:val="0"/>
                  <w:vAlign w:val="center"/>
                </w:tcPr>
                <w:p w14:paraId="07F4FA20">
                  <w:pPr>
                    <w:adjustRightInd w:val="0"/>
                    <w:snapToGrid w:val="0"/>
                    <w:jc w:val="center"/>
                    <w:rPr>
                      <w:rFonts w:hint="default" w:ascii="Times New Roman" w:hAnsi="Times New Roman" w:cs="Times New Roman"/>
                      <w:color w:val="auto"/>
                      <w:sz w:val="21"/>
                      <w:szCs w:val="21"/>
                      <w:highlight w:val="none"/>
                    </w:rPr>
                  </w:pPr>
                </w:p>
              </w:tc>
              <w:tc>
                <w:tcPr>
                  <w:tcW w:w="1080" w:type="dxa"/>
                  <w:noWrap w:val="0"/>
                  <w:vAlign w:val="center"/>
                </w:tcPr>
                <w:p w14:paraId="64E7543E">
                  <w:pPr>
                    <w:adjustRightInd w:val="0"/>
                    <w:snapToGrid w:val="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val="en-US" w:eastAsia="zh-CN"/>
                    </w:rPr>
                    <w:t>氮氧化物</w:t>
                  </w:r>
                </w:p>
              </w:tc>
              <w:tc>
                <w:tcPr>
                  <w:tcW w:w="1320" w:type="dxa"/>
                  <w:noWrap w:val="0"/>
                  <w:vAlign w:val="center"/>
                </w:tcPr>
                <w:p w14:paraId="4E0D9122">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5.63</w:t>
                  </w:r>
                </w:p>
              </w:tc>
              <w:tc>
                <w:tcPr>
                  <w:tcW w:w="1305" w:type="dxa"/>
                  <w:noWrap w:val="0"/>
                  <w:vAlign w:val="center"/>
                </w:tcPr>
                <w:p w14:paraId="019A2F78">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0.005 </w:t>
                  </w:r>
                </w:p>
              </w:tc>
              <w:tc>
                <w:tcPr>
                  <w:tcW w:w="915" w:type="dxa"/>
                  <w:noWrap w:val="0"/>
                  <w:vAlign w:val="center"/>
                </w:tcPr>
                <w:p w14:paraId="62DEB6F5">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2</w:t>
                  </w:r>
                </w:p>
              </w:tc>
              <w:tc>
                <w:tcPr>
                  <w:tcW w:w="1065" w:type="dxa"/>
                  <w:noWrap w:val="0"/>
                  <w:vAlign w:val="center"/>
                </w:tcPr>
                <w:p w14:paraId="56D13EBA">
                  <w:pPr>
                    <w:adjustRightInd w:val="0"/>
                    <w:snapToGrid w:val="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rPr>
                    <w:t>1</w:t>
                  </w:r>
                </w:p>
              </w:tc>
              <w:tc>
                <w:tcPr>
                  <w:tcW w:w="870" w:type="dxa"/>
                  <w:noWrap w:val="0"/>
                  <w:vAlign w:val="center"/>
                </w:tcPr>
                <w:p w14:paraId="59A15C21">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0.005 </w:t>
                  </w:r>
                </w:p>
              </w:tc>
              <w:tc>
                <w:tcPr>
                  <w:tcW w:w="882" w:type="dxa"/>
                  <w:vMerge w:val="continue"/>
                  <w:noWrap w:val="0"/>
                  <w:vAlign w:val="center"/>
                </w:tcPr>
                <w:p w14:paraId="3B705734">
                  <w:pPr>
                    <w:adjustRightInd w:val="0"/>
                    <w:snapToGrid w:val="0"/>
                    <w:jc w:val="center"/>
                    <w:rPr>
                      <w:rFonts w:hint="default" w:ascii="Times New Roman" w:hAnsi="Times New Roman" w:cs="Times New Roman"/>
                      <w:color w:val="auto"/>
                      <w:sz w:val="21"/>
                      <w:szCs w:val="21"/>
                      <w:highlight w:val="none"/>
                    </w:rPr>
                  </w:pPr>
                </w:p>
              </w:tc>
            </w:tr>
            <w:tr w14:paraId="61C05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864" w:type="dxa"/>
                  <w:vMerge w:val="continue"/>
                  <w:noWrap w:val="0"/>
                  <w:vAlign w:val="center"/>
                </w:tcPr>
                <w:p w14:paraId="73B6012A">
                  <w:pPr>
                    <w:pStyle w:val="5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rPr>
                  </w:pPr>
                </w:p>
              </w:tc>
              <w:tc>
                <w:tcPr>
                  <w:tcW w:w="855" w:type="dxa"/>
                  <w:vMerge w:val="continue"/>
                  <w:noWrap w:val="0"/>
                  <w:vAlign w:val="center"/>
                </w:tcPr>
                <w:p w14:paraId="2C896890">
                  <w:pPr>
                    <w:adjustRightInd w:val="0"/>
                    <w:snapToGrid w:val="0"/>
                    <w:jc w:val="center"/>
                    <w:rPr>
                      <w:rFonts w:hint="default" w:ascii="Times New Roman" w:hAnsi="Times New Roman" w:cs="Times New Roman"/>
                      <w:color w:val="auto"/>
                      <w:sz w:val="21"/>
                      <w:szCs w:val="21"/>
                      <w:highlight w:val="none"/>
                    </w:rPr>
                  </w:pPr>
                </w:p>
              </w:tc>
              <w:tc>
                <w:tcPr>
                  <w:tcW w:w="1080" w:type="dxa"/>
                  <w:noWrap w:val="0"/>
                  <w:vAlign w:val="center"/>
                </w:tcPr>
                <w:p w14:paraId="3C2444E7">
                  <w:pPr>
                    <w:adjustRightInd w:val="0"/>
                    <w:snapToGrid w:val="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二氧化硫</w:t>
                  </w:r>
                </w:p>
              </w:tc>
              <w:tc>
                <w:tcPr>
                  <w:tcW w:w="1320" w:type="dxa"/>
                  <w:noWrap w:val="0"/>
                  <w:vAlign w:val="center"/>
                </w:tcPr>
                <w:p w14:paraId="5ED8949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0.75</w:t>
                  </w:r>
                </w:p>
              </w:tc>
              <w:tc>
                <w:tcPr>
                  <w:tcW w:w="1305" w:type="dxa"/>
                  <w:noWrap w:val="0"/>
                  <w:vAlign w:val="center"/>
                </w:tcPr>
                <w:p w14:paraId="196FDFD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0.0006 </w:t>
                  </w:r>
                </w:p>
              </w:tc>
              <w:tc>
                <w:tcPr>
                  <w:tcW w:w="915" w:type="dxa"/>
                  <w:noWrap w:val="0"/>
                  <w:vAlign w:val="center"/>
                </w:tcPr>
                <w:p w14:paraId="418A17F5">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2</w:t>
                  </w:r>
                </w:p>
              </w:tc>
              <w:tc>
                <w:tcPr>
                  <w:tcW w:w="1065" w:type="dxa"/>
                  <w:noWrap w:val="0"/>
                  <w:vAlign w:val="center"/>
                </w:tcPr>
                <w:p w14:paraId="693DD2D4">
                  <w:pPr>
                    <w:adjustRightInd w:val="0"/>
                    <w:snapToGrid w:val="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rPr>
                    <w:t>1</w:t>
                  </w:r>
                </w:p>
              </w:tc>
              <w:tc>
                <w:tcPr>
                  <w:tcW w:w="870" w:type="dxa"/>
                  <w:noWrap w:val="0"/>
                  <w:vAlign w:val="center"/>
                </w:tcPr>
                <w:p w14:paraId="4B31358D">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0.0006 </w:t>
                  </w:r>
                </w:p>
              </w:tc>
              <w:tc>
                <w:tcPr>
                  <w:tcW w:w="882" w:type="dxa"/>
                  <w:vMerge w:val="continue"/>
                  <w:noWrap w:val="0"/>
                  <w:vAlign w:val="center"/>
                </w:tcPr>
                <w:p w14:paraId="0862DA62">
                  <w:pPr>
                    <w:adjustRightInd w:val="0"/>
                    <w:snapToGrid w:val="0"/>
                    <w:jc w:val="center"/>
                    <w:rPr>
                      <w:rFonts w:hint="default" w:ascii="Times New Roman" w:hAnsi="Times New Roman" w:cs="Times New Roman"/>
                      <w:color w:val="auto"/>
                      <w:sz w:val="21"/>
                      <w:szCs w:val="21"/>
                      <w:highlight w:val="none"/>
                    </w:rPr>
                  </w:pPr>
                </w:p>
              </w:tc>
            </w:tr>
          </w:tbl>
          <w:p w14:paraId="05CDEF12">
            <w:pPr>
              <w:adjustRightInd w:val="0"/>
              <w:snapToGrid w:val="0"/>
              <w:spacing w:line="360" w:lineRule="auto"/>
              <w:ind w:firstLine="482" w:firstLineChars="200"/>
              <w:rPr>
                <w:rFonts w:hint="default" w:ascii="Times New Roman" w:hAnsi="Times New Roman" w:cs="Times New Roman"/>
                <w:b/>
                <w:bCs/>
                <w:color w:val="auto"/>
                <w:sz w:val="24"/>
                <w:szCs w:val="24"/>
                <w:highlight w:val="none"/>
              </w:rPr>
            </w:pPr>
            <w:r>
              <w:rPr>
                <w:rFonts w:hint="default" w:ascii="Times New Roman" w:hAnsi="Times New Roman" w:cs="Times New Roman"/>
                <w:b/>
                <w:bCs/>
                <w:color w:val="auto"/>
                <w:sz w:val="24"/>
                <w:szCs w:val="24"/>
                <w:highlight w:val="none"/>
              </w:rPr>
              <w:t>1.</w:t>
            </w:r>
            <w:r>
              <w:rPr>
                <w:rFonts w:hint="default" w:ascii="Times New Roman" w:hAnsi="Times New Roman" w:cs="Times New Roman"/>
                <w:b/>
                <w:bCs/>
                <w:color w:val="auto"/>
                <w:sz w:val="24"/>
                <w:szCs w:val="24"/>
                <w:highlight w:val="none"/>
                <w:lang w:val="en-US" w:eastAsia="zh-CN"/>
              </w:rPr>
              <w:t>6</w:t>
            </w:r>
            <w:r>
              <w:rPr>
                <w:rFonts w:hint="default" w:ascii="Times New Roman" w:hAnsi="Times New Roman" w:cs="Times New Roman"/>
                <w:b/>
                <w:bCs/>
                <w:color w:val="auto"/>
                <w:sz w:val="24"/>
                <w:szCs w:val="24"/>
                <w:highlight w:val="none"/>
              </w:rPr>
              <w:t>废气污染防治技术可行性分析</w:t>
            </w:r>
          </w:p>
          <w:p w14:paraId="007DDD61">
            <w:pPr>
              <w:adjustRightInd w:val="0"/>
              <w:snapToGrid w:val="0"/>
              <w:spacing w:line="360" w:lineRule="auto"/>
              <w:ind w:firstLine="480" w:firstLineChars="200"/>
              <w:rPr>
                <w:rFonts w:hint="default" w:ascii="Times New Roman" w:hAnsi="Times New Roman" w:cs="Times New Roman"/>
                <w:color w:val="auto"/>
                <w:kern w:val="0"/>
                <w:sz w:val="24"/>
                <w:szCs w:val="24"/>
                <w:highlight w:val="none"/>
                <w:lang w:bidi="ar"/>
              </w:rPr>
            </w:pPr>
            <w:r>
              <w:rPr>
                <w:rFonts w:hint="default" w:ascii="Times New Roman" w:hAnsi="Times New Roman" w:cs="Times New Roman"/>
                <w:color w:val="auto"/>
                <w:kern w:val="0"/>
                <w:sz w:val="24"/>
                <w:szCs w:val="24"/>
                <w:highlight w:val="none"/>
                <w:lang w:eastAsia="zh-CN" w:bidi="ar"/>
              </w:rPr>
              <w:t>参考《排污许可证申请与核发技术规范 水泥工业》（HJ847-2017），</w:t>
            </w:r>
            <w:r>
              <w:rPr>
                <w:rFonts w:hint="default" w:ascii="Times New Roman" w:hAnsi="Times New Roman" w:cs="Times New Roman"/>
                <w:color w:val="auto"/>
                <w:kern w:val="0"/>
                <w:sz w:val="24"/>
                <w:szCs w:val="24"/>
                <w:highlight w:val="none"/>
                <w:lang w:val="en-US" w:eastAsia="zh-CN" w:bidi="ar"/>
              </w:rPr>
              <w:t>本</w:t>
            </w:r>
            <w:r>
              <w:rPr>
                <w:rFonts w:hint="default" w:ascii="Times New Roman" w:hAnsi="Times New Roman" w:cs="Times New Roman"/>
                <w:color w:val="auto"/>
                <w:kern w:val="0"/>
                <w:sz w:val="24"/>
                <w:szCs w:val="24"/>
                <w:highlight w:val="none"/>
                <w:lang w:eastAsia="zh-CN" w:bidi="ar"/>
              </w:rPr>
              <w:t>项目筒仓和搅拌机采用脉冲袋式除尘器去除颗粒物属于可行技术，</w:t>
            </w:r>
            <w:r>
              <w:rPr>
                <w:rFonts w:hint="default" w:ascii="Times New Roman" w:hAnsi="Times New Roman" w:eastAsia="宋体" w:cs="Times New Roman"/>
                <w:color w:val="auto"/>
                <w:kern w:val="0"/>
                <w:sz w:val="24"/>
                <w:szCs w:val="24"/>
                <w:highlight w:val="none"/>
                <w:lang w:eastAsia="zh-CN" w:bidi="ar"/>
              </w:rPr>
              <w:t>根据《水泥工业大气污染物排放标准》（GB 4915-2013）无组织排放控制要求4.2.1水泥工业企业的物料处理、输送、装卸、储存过程应当封闭，对块石、粘湿物料、浆料以及车船装卸料过程也可采取其它有效抑尘措施，控制颗粒物无组织排放。本项目采用厂区道路硬底化、道路清洁、设置雾炮机和洒水车定期洒水降尘降低无组织颗粒物排放，属于可行技术；</w:t>
            </w:r>
            <w:r>
              <w:rPr>
                <w:rFonts w:hint="default" w:ascii="Times New Roman" w:hAnsi="Times New Roman" w:cs="Times New Roman"/>
                <w:color w:val="auto"/>
                <w:kern w:val="0"/>
                <w:sz w:val="24"/>
                <w:szCs w:val="24"/>
                <w:highlight w:val="none"/>
                <w:lang w:eastAsia="zh-CN" w:bidi="ar"/>
              </w:rPr>
              <w:t>根据《焊接烟尘净化器通用技术条件》（AQ4237-2014），项目焊接工序采用移动式焊烟净化器去除</w:t>
            </w:r>
            <w:r>
              <w:rPr>
                <w:rFonts w:hint="default" w:ascii="Times New Roman" w:hAnsi="Times New Roman" w:cs="Times New Roman"/>
                <w:color w:val="auto"/>
                <w:kern w:val="0"/>
                <w:sz w:val="24"/>
                <w:szCs w:val="24"/>
                <w:highlight w:val="none"/>
                <w:lang w:val="en-US" w:eastAsia="zh-CN" w:bidi="ar"/>
              </w:rPr>
              <w:t>焊接烟尘</w:t>
            </w:r>
            <w:r>
              <w:rPr>
                <w:rFonts w:hint="default" w:ascii="Times New Roman" w:hAnsi="Times New Roman" w:cs="Times New Roman"/>
                <w:color w:val="auto"/>
                <w:kern w:val="0"/>
                <w:sz w:val="24"/>
                <w:szCs w:val="24"/>
                <w:highlight w:val="none"/>
                <w:lang w:eastAsia="zh-CN" w:bidi="ar"/>
              </w:rPr>
              <w:t>属于可行技术。</w:t>
            </w:r>
          </w:p>
          <w:p w14:paraId="2B98279E">
            <w:pPr>
              <w:adjustRightInd w:val="0"/>
              <w:snapToGrid w:val="0"/>
              <w:spacing w:line="360" w:lineRule="auto"/>
              <w:ind w:firstLine="482" w:firstLineChars="200"/>
              <w:rPr>
                <w:rFonts w:hint="default" w:ascii="Times New Roman" w:hAnsi="Times New Roman" w:cs="Times New Roman"/>
                <w:b/>
                <w:bCs/>
                <w:color w:val="auto"/>
                <w:sz w:val="24"/>
                <w:szCs w:val="24"/>
                <w:highlight w:val="none"/>
              </w:rPr>
            </w:pPr>
            <w:r>
              <w:rPr>
                <w:rFonts w:hint="default" w:ascii="Times New Roman" w:hAnsi="Times New Roman" w:cs="Times New Roman"/>
                <w:b/>
                <w:bCs/>
                <w:color w:val="auto"/>
                <w:sz w:val="24"/>
                <w:szCs w:val="24"/>
                <w:highlight w:val="none"/>
              </w:rPr>
              <w:t>1.</w:t>
            </w:r>
            <w:r>
              <w:rPr>
                <w:rFonts w:hint="default" w:ascii="Times New Roman" w:hAnsi="Times New Roman" w:cs="Times New Roman"/>
                <w:b/>
                <w:bCs/>
                <w:color w:val="auto"/>
                <w:sz w:val="24"/>
                <w:szCs w:val="24"/>
                <w:highlight w:val="none"/>
                <w:lang w:val="en-US" w:eastAsia="zh-CN"/>
              </w:rPr>
              <w:t>7</w:t>
            </w:r>
            <w:r>
              <w:rPr>
                <w:rFonts w:hint="default" w:ascii="Times New Roman" w:hAnsi="Times New Roman" w:cs="Times New Roman"/>
                <w:b/>
                <w:bCs/>
                <w:color w:val="auto"/>
                <w:sz w:val="24"/>
                <w:szCs w:val="24"/>
                <w:highlight w:val="none"/>
              </w:rPr>
              <w:t>卫生防护距离</w:t>
            </w:r>
          </w:p>
          <w:p w14:paraId="72B7702A">
            <w:pPr>
              <w:adjustRightInd w:val="0"/>
              <w:snapToGrid w:val="0"/>
              <w:spacing w:line="348"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根据《大气有害物质无组织排放卫生防护距离推导技术导则》（GB/T39499-2020），为了防控通过无组织排放的大气污染物的健康危害，产生大气有害物质的生产单元（生产车间或作业场所）的边界至敏感区边界的最小距离。</w:t>
            </w:r>
          </w:p>
          <w:p w14:paraId="7A9AA574">
            <w:pPr>
              <w:pStyle w:val="2"/>
              <w:spacing w:before="0" w:after="0" w:line="360" w:lineRule="auto"/>
              <w:ind w:left="0" w:firstLine="480" w:firstLineChars="200"/>
              <w:outlineLvl w:val="0"/>
              <w:rPr>
                <w:rFonts w:hint="default" w:ascii="Times New Roman" w:hAnsi="Times New Roman" w:cs="Times New Roman"/>
                <w:b w:val="0"/>
                <w:color w:val="auto"/>
                <w:kern w:val="2"/>
                <w:sz w:val="24"/>
                <w:szCs w:val="24"/>
                <w:highlight w:val="none"/>
                <w:lang w:val="en-US" w:eastAsia="zh-CN" w:bidi="ar-SA"/>
              </w:rPr>
            </w:pPr>
            <w:r>
              <w:rPr>
                <w:rFonts w:hint="default" w:ascii="Times New Roman" w:hAnsi="Times New Roman" w:cs="Times New Roman" w:eastAsiaTheme="minorEastAsia"/>
                <w:b w:val="0"/>
                <w:color w:val="auto"/>
                <w:kern w:val="2"/>
                <w:sz w:val="24"/>
                <w:szCs w:val="24"/>
                <w:highlight w:val="none"/>
                <w:lang w:val="en-US" w:eastAsia="zh-CN" w:bidi="ar-SA"/>
              </w:rPr>
              <w:t>等标排放量：单一大气污染物的单位时间无组织排放量与污染物环境空气质量标准限值的比值。根据项目的产品产量及其原辅材料、工艺特征、中间产物、产排污特点等具体情况，本项目无组织排放的废气为筒仓呼吸、搅拌、料仓及钢筋加工区产生的颗粒物。</w:t>
            </w:r>
            <w:r>
              <w:rPr>
                <w:rFonts w:hint="default" w:ascii="Times New Roman" w:hAnsi="Times New Roman" w:cs="Times New Roman"/>
                <w:b w:val="0"/>
                <w:color w:val="auto"/>
                <w:kern w:val="2"/>
                <w:sz w:val="24"/>
                <w:szCs w:val="24"/>
                <w:highlight w:val="none"/>
                <w:lang w:val="en-US" w:eastAsia="zh-CN" w:bidi="ar-SA"/>
              </w:rPr>
              <w:t>由于搅拌筒仓区、钢筋加工区及砂石料仓区均为单独独立的面源，且产污为单一因子，故分别进行等标排放量的核算。</w:t>
            </w:r>
          </w:p>
          <w:p w14:paraId="61EEABDB">
            <w:pPr>
              <w:pStyle w:val="2"/>
              <w:spacing w:before="0" w:after="0" w:line="360" w:lineRule="auto"/>
              <w:ind w:left="0" w:firstLine="480" w:firstLineChars="200"/>
              <w:outlineLvl w:val="0"/>
              <w:rPr>
                <w:rFonts w:hint="default" w:ascii="Times New Roman" w:hAnsi="Times New Roman" w:eastAsia="宋体" w:cs="Times New Roman"/>
                <w:color w:val="auto"/>
                <w:kern w:val="2"/>
                <w:sz w:val="24"/>
                <w:szCs w:val="24"/>
                <w:highlight w:val="none"/>
              </w:rPr>
            </w:pPr>
            <w:r>
              <w:rPr>
                <w:rFonts w:hint="default" w:ascii="Times New Roman" w:hAnsi="Times New Roman" w:cs="Times New Roman" w:eastAsiaTheme="minorEastAsia"/>
                <w:b w:val="0"/>
                <w:color w:val="auto"/>
                <w:kern w:val="2"/>
                <w:sz w:val="24"/>
                <w:szCs w:val="24"/>
                <w:highlight w:val="none"/>
                <w:lang w:val="en-US" w:eastAsia="zh-CN" w:bidi="ar-SA"/>
              </w:rPr>
              <w:t>卫</w:t>
            </w:r>
            <w:r>
              <w:rPr>
                <w:rFonts w:hint="default" w:ascii="Times New Roman" w:hAnsi="Times New Roman" w:eastAsia="宋体" w:cs="Times New Roman"/>
                <w:b w:val="0"/>
                <w:bCs w:val="0"/>
                <w:color w:val="auto"/>
                <w:kern w:val="2"/>
                <w:sz w:val="24"/>
                <w:szCs w:val="24"/>
                <w:highlight w:val="none"/>
              </w:rPr>
              <w:t>生防护距离初值计算：</w:t>
            </w:r>
          </w:p>
          <w:p w14:paraId="29C36D5B">
            <w:pPr>
              <w:adjustRightInd w:val="0"/>
              <w:snapToGrid w:val="0"/>
              <w:ind w:firstLine="480" w:firstLineChars="200"/>
              <w:jc w:val="center"/>
              <w:rPr>
                <w:rFonts w:hint="default" w:ascii="Times New Roman" w:hAnsi="Times New Roman" w:cs="Times New Roman"/>
                <w:b/>
                <w:bCs/>
                <w:color w:val="auto"/>
                <w:sz w:val="24"/>
                <w:szCs w:val="24"/>
                <w:highlight w:val="none"/>
              </w:rPr>
            </w:pPr>
            <w:r>
              <w:rPr>
                <w:rFonts w:hint="default" w:ascii="Times New Roman" w:hAnsi="Times New Roman" w:cs="Times New Roman"/>
                <w:color w:val="auto"/>
                <w:sz w:val="24"/>
                <w:szCs w:val="24"/>
                <w:highlight w:val="none"/>
              </w:rPr>
              <w:drawing>
                <wp:inline distT="0" distB="0" distL="114300" distR="114300">
                  <wp:extent cx="1866900" cy="466725"/>
                  <wp:effectExtent l="0" t="0" r="0" b="8890"/>
                  <wp:docPr id="119"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23"/>
                          <pic:cNvPicPr>
                            <a:picLocks noChangeAspect="1"/>
                          </pic:cNvPicPr>
                        </pic:nvPicPr>
                        <pic:blipFill>
                          <a:blip r:embed="rId24"/>
                          <a:stretch>
                            <a:fillRect/>
                          </a:stretch>
                        </pic:blipFill>
                        <pic:spPr>
                          <a:xfrm>
                            <a:off x="0" y="0"/>
                            <a:ext cx="1866900" cy="466725"/>
                          </a:xfrm>
                          <a:prstGeom prst="rect">
                            <a:avLst/>
                          </a:prstGeom>
                          <a:noFill/>
                          <a:ln>
                            <a:noFill/>
                          </a:ln>
                        </pic:spPr>
                      </pic:pic>
                    </a:graphicData>
                  </a:graphic>
                </wp:inline>
              </w:drawing>
            </w:r>
          </w:p>
          <w:p w14:paraId="59F39BE6">
            <w:pPr>
              <w:adjustRightInd w:val="0"/>
              <w:snapToGrid w:val="0"/>
              <w:spacing w:line="348" w:lineRule="auto"/>
              <w:ind w:firstLine="424" w:firstLineChars="177"/>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式中：</w:t>
            </w:r>
          </w:p>
          <w:p w14:paraId="61B30943">
            <w:pPr>
              <w:adjustRightInd w:val="0"/>
              <w:snapToGrid w:val="0"/>
              <w:spacing w:line="348" w:lineRule="auto"/>
              <w:ind w:firstLine="424" w:firstLineChars="177"/>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Cm</w:t>
            </w:r>
            <w:r>
              <w:rPr>
                <w:rFonts w:hint="default" w:ascii="Times New Roman" w:hAnsi="Times New Roman" w:cs="Times New Roman"/>
                <w:color w:val="auto"/>
                <w:sz w:val="24"/>
                <w:szCs w:val="24"/>
                <w:highlight w:val="none"/>
              </w:rPr>
              <w:sym w:font="Symbol" w:char="F0BE"/>
            </w:r>
            <w:r>
              <w:rPr>
                <w:rFonts w:hint="default" w:ascii="Times New Roman" w:hAnsi="Times New Roman" w:cs="Times New Roman"/>
                <w:color w:val="auto"/>
                <w:sz w:val="24"/>
                <w:szCs w:val="24"/>
                <w:highlight w:val="none"/>
              </w:rPr>
              <w:sym w:font="Symbol" w:char="F0BE"/>
            </w:r>
            <w:r>
              <w:rPr>
                <w:rFonts w:hint="default" w:ascii="Times New Roman" w:hAnsi="Times New Roman" w:cs="Times New Roman"/>
                <w:color w:val="auto"/>
                <w:sz w:val="24"/>
                <w:szCs w:val="24"/>
                <w:highlight w:val="none"/>
              </w:rPr>
              <w:t>大气有害物质环境空气质量的标准限值，单位为毫克每立方米(mg/m</w:t>
            </w:r>
            <w:r>
              <w:rPr>
                <w:rFonts w:hint="default" w:ascii="Times New Roman" w:hAnsi="Times New Roman" w:cs="Times New Roman"/>
                <w:color w:val="auto"/>
                <w:sz w:val="24"/>
                <w:szCs w:val="24"/>
                <w:highlight w:val="none"/>
                <w:vertAlign w:val="superscript"/>
              </w:rPr>
              <w:t>3</w:t>
            </w:r>
            <w:r>
              <w:rPr>
                <w:rFonts w:hint="default" w:ascii="Times New Roman" w:hAnsi="Times New Roman" w:cs="Times New Roman"/>
                <w:color w:val="auto"/>
                <w:sz w:val="24"/>
                <w:szCs w:val="24"/>
                <w:highlight w:val="none"/>
              </w:rPr>
              <w:t>)；</w:t>
            </w:r>
          </w:p>
          <w:p w14:paraId="52B3A62D">
            <w:pPr>
              <w:adjustRightInd w:val="0"/>
              <w:snapToGrid w:val="0"/>
              <w:spacing w:line="348" w:lineRule="auto"/>
              <w:ind w:firstLine="424" w:firstLineChars="177"/>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Qc</w:t>
            </w:r>
            <w:r>
              <w:rPr>
                <w:rFonts w:hint="default" w:ascii="Times New Roman" w:hAnsi="Times New Roman" w:cs="Times New Roman"/>
                <w:color w:val="auto"/>
                <w:sz w:val="24"/>
                <w:szCs w:val="24"/>
                <w:highlight w:val="none"/>
              </w:rPr>
              <w:sym w:font="Symbol" w:char="F0BE"/>
            </w:r>
            <w:r>
              <w:rPr>
                <w:rFonts w:hint="default" w:ascii="Times New Roman" w:hAnsi="Times New Roman" w:cs="Times New Roman"/>
                <w:color w:val="auto"/>
                <w:sz w:val="24"/>
                <w:szCs w:val="24"/>
                <w:highlight w:val="none"/>
              </w:rPr>
              <w:sym w:font="Symbol" w:char="F0BE"/>
            </w:r>
            <w:r>
              <w:rPr>
                <w:rFonts w:hint="default" w:ascii="Times New Roman" w:hAnsi="Times New Roman" w:cs="Times New Roman"/>
                <w:color w:val="auto"/>
                <w:sz w:val="24"/>
                <w:szCs w:val="24"/>
                <w:highlight w:val="none"/>
              </w:rPr>
              <w:t>大气有害物质的无组织排放量，单位为千克每小时（kg/h）；</w:t>
            </w:r>
          </w:p>
          <w:p w14:paraId="60F5FA52">
            <w:pPr>
              <w:adjustRightInd w:val="0"/>
              <w:snapToGrid w:val="0"/>
              <w:spacing w:line="348" w:lineRule="auto"/>
              <w:ind w:firstLine="424" w:firstLineChars="177"/>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L</w:t>
            </w:r>
            <w:r>
              <w:rPr>
                <w:rFonts w:hint="default" w:ascii="Times New Roman" w:hAnsi="Times New Roman" w:cs="Times New Roman"/>
                <w:color w:val="auto"/>
                <w:sz w:val="24"/>
                <w:szCs w:val="24"/>
                <w:highlight w:val="none"/>
              </w:rPr>
              <w:sym w:font="Symbol" w:char="F0BE"/>
            </w:r>
            <w:r>
              <w:rPr>
                <w:rFonts w:hint="default" w:ascii="Times New Roman" w:hAnsi="Times New Roman" w:cs="Times New Roman"/>
                <w:color w:val="auto"/>
                <w:sz w:val="24"/>
                <w:szCs w:val="24"/>
                <w:highlight w:val="none"/>
              </w:rPr>
              <w:sym w:font="Symbol" w:char="F0BE"/>
            </w:r>
            <w:r>
              <w:rPr>
                <w:rFonts w:hint="default" w:ascii="Times New Roman" w:hAnsi="Times New Roman" w:cs="Times New Roman"/>
                <w:color w:val="auto"/>
                <w:sz w:val="24"/>
                <w:szCs w:val="24"/>
                <w:highlight w:val="none"/>
              </w:rPr>
              <w:t>大气有害物质卫生防护距离初值，单位为米（m）；</w:t>
            </w:r>
          </w:p>
          <w:p w14:paraId="601D62E9">
            <w:pPr>
              <w:adjustRightInd w:val="0"/>
              <w:snapToGrid w:val="0"/>
              <w:spacing w:line="348" w:lineRule="auto"/>
              <w:ind w:firstLine="48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r</w:t>
            </w:r>
            <w:r>
              <w:rPr>
                <w:rFonts w:hint="default" w:ascii="Times New Roman" w:hAnsi="Times New Roman" w:cs="Times New Roman"/>
                <w:color w:val="auto"/>
                <w:sz w:val="24"/>
                <w:szCs w:val="24"/>
                <w:highlight w:val="none"/>
              </w:rPr>
              <w:sym w:font="Symbol" w:char="F0BE"/>
            </w:r>
            <w:r>
              <w:rPr>
                <w:rFonts w:hint="default" w:ascii="Times New Roman" w:hAnsi="Times New Roman" w:cs="Times New Roman"/>
                <w:color w:val="auto"/>
                <w:sz w:val="24"/>
                <w:szCs w:val="24"/>
                <w:highlight w:val="none"/>
              </w:rPr>
              <w:sym w:font="Symbol" w:char="F0BE"/>
            </w:r>
            <w:r>
              <w:rPr>
                <w:rFonts w:hint="default" w:ascii="Times New Roman" w:hAnsi="Times New Roman" w:cs="Times New Roman"/>
                <w:color w:val="auto"/>
                <w:sz w:val="24"/>
                <w:szCs w:val="24"/>
                <w:highlight w:val="none"/>
              </w:rPr>
              <w:t>大气有害物质无组织排放源所在生产单元的等效半径，单位为米（m）；</w:t>
            </w:r>
          </w:p>
          <w:p w14:paraId="25AD666B">
            <w:pPr>
              <w:adjustRightInd w:val="0"/>
              <w:snapToGrid w:val="0"/>
              <w:spacing w:line="360" w:lineRule="auto"/>
              <w:ind w:firstLine="480" w:firstLineChars="200"/>
              <w:rPr>
                <w:rFonts w:hint="default" w:ascii="Times New Roman" w:hAnsi="Times New Roman" w:cs="Times New Roman"/>
                <w:b/>
                <w:bCs/>
                <w:color w:val="auto"/>
                <w:sz w:val="24"/>
                <w:szCs w:val="24"/>
                <w:highlight w:val="none"/>
              </w:rPr>
            </w:pPr>
            <w:r>
              <w:rPr>
                <w:rFonts w:hint="default" w:ascii="Times New Roman" w:hAnsi="Times New Roman" w:cs="Times New Roman"/>
                <w:color w:val="auto"/>
                <w:sz w:val="24"/>
                <w:szCs w:val="24"/>
                <w:highlight w:val="none"/>
              </w:rPr>
              <w:t>A、B、C、D</w:t>
            </w:r>
            <w:r>
              <w:rPr>
                <w:rFonts w:hint="default" w:ascii="Times New Roman" w:hAnsi="Times New Roman" w:cs="Times New Roman"/>
                <w:color w:val="auto"/>
                <w:sz w:val="24"/>
                <w:szCs w:val="24"/>
                <w:highlight w:val="none"/>
              </w:rPr>
              <w:sym w:font="Symbol" w:char="F0BE"/>
            </w:r>
            <w:r>
              <w:rPr>
                <w:rFonts w:hint="default" w:ascii="Times New Roman" w:hAnsi="Times New Roman" w:cs="Times New Roman"/>
                <w:color w:val="auto"/>
                <w:sz w:val="24"/>
                <w:szCs w:val="24"/>
                <w:highlight w:val="none"/>
              </w:rPr>
              <w:sym w:font="Symbol" w:char="F0BE"/>
            </w:r>
            <w:r>
              <w:rPr>
                <w:rFonts w:hint="default" w:ascii="Times New Roman" w:hAnsi="Times New Roman" w:cs="Times New Roman"/>
                <w:color w:val="auto"/>
                <w:sz w:val="24"/>
                <w:szCs w:val="24"/>
                <w:highlight w:val="none"/>
              </w:rPr>
              <w:t>卫生防护距离初值计算系数，无因次，根据工业企业所在地区近5年平均风速及大气污染源构成类别从下表查取。</w:t>
            </w:r>
          </w:p>
          <w:p w14:paraId="026A96B2">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表</w:t>
            </w:r>
            <w:r>
              <w:rPr>
                <w:rFonts w:hint="default" w:ascii="Times New Roman" w:hAnsi="Times New Roman" w:cs="Times New Roman"/>
                <w:b/>
                <w:bCs/>
                <w:color w:val="auto"/>
                <w:sz w:val="21"/>
                <w:szCs w:val="21"/>
                <w:highlight w:val="none"/>
                <w:lang w:val="en-US" w:eastAsia="zh-CN"/>
              </w:rPr>
              <w:t xml:space="preserve">4-8 </w:t>
            </w:r>
            <w:r>
              <w:rPr>
                <w:rFonts w:hint="default" w:ascii="Times New Roman" w:hAnsi="Times New Roman" w:cs="Times New Roman"/>
                <w:b/>
                <w:bCs/>
                <w:color w:val="auto"/>
                <w:sz w:val="21"/>
                <w:szCs w:val="21"/>
                <w:highlight w:val="none"/>
              </w:rPr>
              <w:t>卫生防护距离初值计算系数</w:t>
            </w:r>
          </w:p>
          <w:tbl>
            <w:tblPr>
              <w:tblStyle w:val="34"/>
              <w:tblW w:w="9189" w:type="dxa"/>
              <w:tblInd w:w="-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2"/>
              <w:gridCol w:w="1498"/>
              <w:gridCol w:w="916"/>
              <w:gridCol w:w="770"/>
              <w:gridCol w:w="830"/>
              <w:gridCol w:w="698"/>
              <w:gridCol w:w="627"/>
              <w:gridCol w:w="713"/>
              <w:gridCol w:w="672"/>
              <w:gridCol w:w="577"/>
              <w:gridCol w:w="606"/>
            </w:tblGrid>
            <w:tr w14:paraId="4CA8B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282" w:type="dxa"/>
                  <w:vMerge w:val="restart"/>
                  <w:noWrap w:val="0"/>
                  <w:vAlign w:val="center"/>
                </w:tcPr>
                <w:p w14:paraId="67299139">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卫生防护距离初值计算系数</w:t>
                  </w:r>
                </w:p>
              </w:tc>
              <w:tc>
                <w:tcPr>
                  <w:tcW w:w="1498" w:type="dxa"/>
                  <w:vMerge w:val="restart"/>
                  <w:noWrap w:val="0"/>
                  <w:vAlign w:val="center"/>
                </w:tcPr>
                <w:p w14:paraId="17D043CC">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工业企业所在地区近5年平均风速/（m/s）</w:t>
                  </w:r>
                </w:p>
              </w:tc>
              <w:tc>
                <w:tcPr>
                  <w:tcW w:w="6409" w:type="dxa"/>
                  <w:gridSpan w:val="9"/>
                  <w:noWrap w:val="0"/>
                  <w:vAlign w:val="center"/>
                </w:tcPr>
                <w:p w14:paraId="6AE3195F">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卫生防护距离L/m</w:t>
                  </w:r>
                </w:p>
              </w:tc>
            </w:tr>
            <w:tr w14:paraId="60213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282" w:type="dxa"/>
                  <w:vMerge w:val="continue"/>
                  <w:noWrap w:val="0"/>
                  <w:vAlign w:val="center"/>
                </w:tcPr>
                <w:p w14:paraId="1D547095">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p>
              </w:tc>
              <w:tc>
                <w:tcPr>
                  <w:tcW w:w="1498" w:type="dxa"/>
                  <w:vMerge w:val="continue"/>
                  <w:noWrap w:val="0"/>
                  <w:vAlign w:val="center"/>
                </w:tcPr>
                <w:p w14:paraId="163CD5D3">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p>
              </w:tc>
              <w:tc>
                <w:tcPr>
                  <w:tcW w:w="2516" w:type="dxa"/>
                  <w:gridSpan w:val="3"/>
                  <w:noWrap w:val="0"/>
                  <w:vAlign w:val="center"/>
                </w:tcPr>
                <w:p w14:paraId="41422E3D">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L≤1000</w:t>
                  </w:r>
                </w:p>
              </w:tc>
              <w:tc>
                <w:tcPr>
                  <w:tcW w:w="2038" w:type="dxa"/>
                  <w:gridSpan w:val="3"/>
                  <w:noWrap w:val="0"/>
                  <w:vAlign w:val="center"/>
                </w:tcPr>
                <w:p w14:paraId="032F8515">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1000＜L≤2000</w:t>
                  </w:r>
                </w:p>
              </w:tc>
              <w:tc>
                <w:tcPr>
                  <w:tcW w:w="1855" w:type="dxa"/>
                  <w:gridSpan w:val="3"/>
                  <w:noWrap w:val="0"/>
                  <w:vAlign w:val="center"/>
                </w:tcPr>
                <w:p w14:paraId="2441B8FD">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L＞2000</w:t>
                  </w:r>
                </w:p>
              </w:tc>
            </w:tr>
            <w:tr w14:paraId="040E7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282" w:type="dxa"/>
                  <w:vMerge w:val="continue"/>
                  <w:noWrap w:val="0"/>
                  <w:vAlign w:val="center"/>
                </w:tcPr>
                <w:p w14:paraId="46D5A520">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p>
              </w:tc>
              <w:tc>
                <w:tcPr>
                  <w:tcW w:w="1498" w:type="dxa"/>
                  <w:vMerge w:val="continue"/>
                  <w:noWrap w:val="0"/>
                  <w:vAlign w:val="center"/>
                </w:tcPr>
                <w:p w14:paraId="076F0E60">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p>
              </w:tc>
              <w:tc>
                <w:tcPr>
                  <w:tcW w:w="6409" w:type="dxa"/>
                  <w:gridSpan w:val="9"/>
                  <w:noWrap w:val="0"/>
                  <w:vAlign w:val="center"/>
                </w:tcPr>
                <w:p w14:paraId="1CA5A263">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工业企业大气污染源构成类型</w:t>
                  </w:r>
                </w:p>
              </w:tc>
            </w:tr>
            <w:tr w14:paraId="7FAE3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282" w:type="dxa"/>
                  <w:vMerge w:val="continue"/>
                  <w:noWrap w:val="0"/>
                  <w:vAlign w:val="center"/>
                </w:tcPr>
                <w:p w14:paraId="141D819F">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p>
              </w:tc>
              <w:tc>
                <w:tcPr>
                  <w:tcW w:w="1498" w:type="dxa"/>
                  <w:vMerge w:val="continue"/>
                  <w:noWrap w:val="0"/>
                  <w:vAlign w:val="center"/>
                </w:tcPr>
                <w:p w14:paraId="47F8DCBC">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p>
              </w:tc>
              <w:tc>
                <w:tcPr>
                  <w:tcW w:w="916" w:type="dxa"/>
                  <w:noWrap w:val="0"/>
                  <w:vAlign w:val="center"/>
                </w:tcPr>
                <w:p w14:paraId="5826B3D1">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Ⅰ</w:t>
                  </w:r>
                </w:p>
              </w:tc>
              <w:tc>
                <w:tcPr>
                  <w:tcW w:w="770" w:type="dxa"/>
                  <w:noWrap w:val="0"/>
                  <w:vAlign w:val="center"/>
                </w:tcPr>
                <w:p w14:paraId="396B34D7">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Ⅱ</w:t>
                  </w:r>
                </w:p>
              </w:tc>
              <w:tc>
                <w:tcPr>
                  <w:tcW w:w="830" w:type="dxa"/>
                  <w:noWrap w:val="0"/>
                  <w:vAlign w:val="center"/>
                </w:tcPr>
                <w:p w14:paraId="720434A6">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Ⅲ</w:t>
                  </w:r>
                </w:p>
              </w:tc>
              <w:tc>
                <w:tcPr>
                  <w:tcW w:w="698" w:type="dxa"/>
                  <w:noWrap w:val="0"/>
                  <w:vAlign w:val="center"/>
                </w:tcPr>
                <w:p w14:paraId="75CB2C5E">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Ⅰ</w:t>
                  </w:r>
                </w:p>
              </w:tc>
              <w:tc>
                <w:tcPr>
                  <w:tcW w:w="627" w:type="dxa"/>
                  <w:noWrap w:val="0"/>
                  <w:vAlign w:val="center"/>
                </w:tcPr>
                <w:p w14:paraId="2B252800">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Ⅱ</w:t>
                  </w:r>
                </w:p>
              </w:tc>
              <w:tc>
                <w:tcPr>
                  <w:tcW w:w="713" w:type="dxa"/>
                  <w:noWrap w:val="0"/>
                  <w:vAlign w:val="center"/>
                </w:tcPr>
                <w:p w14:paraId="4E96F899">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Ⅲ</w:t>
                  </w:r>
                </w:p>
              </w:tc>
              <w:tc>
                <w:tcPr>
                  <w:tcW w:w="672" w:type="dxa"/>
                  <w:noWrap w:val="0"/>
                  <w:vAlign w:val="center"/>
                </w:tcPr>
                <w:p w14:paraId="2681F025">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Ⅰ</w:t>
                  </w:r>
                </w:p>
              </w:tc>
              <w:tc>
                <w:tcPr>
                  <w:tcW w:w="577" w:type="dxa"/>
                  <w:noWrap w:val="0"/>
                  <w:vAlign w:val="center"/>
                </w:tcPr>
                <w:p w14:paraId="5077B7A1">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Ⅱ</w:t>
                  </w:r>
                </w:p>
              </w:tc>
              <w:tc>
                <w:tcPr>
                  <w:tcW w:w="606" w:type="dxa"/>
                  <w:noWrap w:val="0"/>
                  <w:vAlign w:val="center"/>
                </w:tcPr>
                <w:p w14:paraId="6E3D1115">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Ⅲ</w:t>
                  </w:r>
                </w:p>
              </w:tc>
            </w:tr>
            <w:tr w14:paraId="78818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282" w:type="dxa"/>
                  <w:vMerge w:val="restart"/>
                  <w:noWrap w:val="0"/>
                  <w:vAlign w:val="center"/>
                </w:tcPr>
                <w:p w14:paraId="56DCB33D">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A</w:t>
                  </w:r>
                </w:p>
              </w:tc>
              <w:tc>
                <w:tcPr>
                  <w:tcW w:w="1498" w:type="dxa"/>
                  <w:noWrap w:val="0"/>
                  <w:vAlign w:val="center"/>
                </w:tcPr>
                <w:p w14:paraId="32AC4DC0">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&lt;2</w:t>
                  </w:r>
                </w:p>
              </w:tc>
              <w:tc>
                <w:tcPr>
                  <w:tcW w:w="916" w:type="dxa"/>
                  <w:noWrap w:val="0"/>
                  <w:vAlign w:val="center"/>
                </w:tcPr>
                <w:p w14:paraId="39C42D56">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400</w:t>
                  </w:r>
                </w:p>
              </w:tc>
              <w:tc>
                <w:tcPr>
                  <w:tcW w:w="770" w:type="dxa"/>
                  <w:noWrap w:val="0"/>
                  <w:vAlign w:val="center"/>
                </w:tcPr>
                <w:p w14:paraId="50A83472">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400</w:t>
                  </w:r>
                </w:p>
              </w:tc>
              <w:tc>
                <w:tcPr>
                  <w:tcW w:w="830" w:type="dxa"/>
                  <w:noWrap w:val="0"/>
                  <w:vAlign w:val="center"/>
                </w:tcPr>
                <w:p w14:paraId="2430A822">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400</w:t>
                  </w:r>
                </w:p>
              </w:tc>
              <w:tc>
                <w:tcPr>
                  <w:tcW w:w="698" w:type="dxa"/>
                  <w:noWrap w:val="0"/>
                  <w:vAlign w:val="center"/>
                </w:tcPr>
                <w:p w14:paraId="7134759D">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400</w:t>
                  </w:r>
                </w:p>
              </w:tc>
              <w:tc>
                <w:tcPr>
                  <w:tcW w:w="627" w:type="dxa"/>
                  <w:noWrap w:val="0"/>
                  <w:vAlign w:val="center"/>
                </w:tcPr>
                <w:p w14:paraId="0E701BBA">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400</w:t>
                  </w:r>
                </w:p>
              </w:tc>
              <w:tc>
                <w:tcPr>
                  <w:tcW w:w="713" w:type="dxa"/>
                  <w:noWrap w:val="0"/>
                  <w:vAlign w:val="center"/>
                </w:tcPr>
                <w:p w14:paraId="77FD007B">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400</w:t>
                  </w:r>
                </w:p>
              </w:tc>
              <w:tc>
                <w:tcPr>
                  <w:tcW w:w="672" w:type="dxa"/>
                  <w:noWrap w:val="0"/>
                  <w:vAlign w:val="center"/>
                </w:tcPr>
                <w:p w14:paraId="4167DD96">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80</w:t>
                  </w:r>
                </w:p>
              </w:tc>
              <w:tc>
                <w:tcPr>
                  <w:tcW w:w="577" w:type="dxa"/>
                  <w:noWrap w:val="0"/>
                  <w:vAlign w:val="center"/>
                </w:tcPr>
                <w:p w14:paraId="4CD48474">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80</w:t>
                  </w:r>
                </w:p>
              </w:tc>
              <w:tc>
                <w:tcPr>
                  <w:tcW w:w="606" w:type="dxa"/>
                  <w:noWrap w:val="0"/>
                  <w:vAlign w:val="center"/>
                </w:tcPr>
                <w:p w14:paraId="389055A4">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80</w:t>
                  </w:r>
                </w:p>
              </w:tc>
            </w:tr>
            <w:tr w14:paraId="1EAE8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282" w:type="dxa"/>
                  <w:vMerge w:val="continue"/>
                  <w:noWrap w:val="0"/>
                  <w:vAlign w:val="center"/>
                </w:tcPr>
                <w:p w14:paraId="1EC4D40C">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p>
              </w:tc>
              <w:tc>
                <w:tcPr>
                  <w:tcW w:w="1498" w:type="dxa"/>
                  <w:noWrap w:val="0"/>
                  <w:vAlign w:val="center"/>
                </w:tcPr>
                <w:p w14:paraId="49D21306">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2～4</w:t>
                  </w:r>
                </w:p>
              </w:tc>
              <w:tc>
                <w:tcPr>
                  <w:tcW w:w="916" w:type="dxa"/>
                  <w:noWrap w:val="0"/>
                  <w:vAlign w:val="center"/>
                </w:tcPr>
                <w:p w14:paraId="03A03BE7">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700</w:t>
                  </w:r>
                </w:p>
              </w:tc>
              <w:tc>
                <w:tcPr>
                  <w:tcW w:w="770" w:type="dxa"/>
                  <w:noWrap w:val="0"/>
                  <w:vAlign w:val="center"/>
                </w:tcPr>
                <w:p w14:paraId="39521465">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470</w:t>
                  </w:r>
                </w:p>
              </w:tc>
              <w:tc>
                <w:tcPr>
                  <w:tcW w:w="830" w:type="dxa"/>
                  <w:noWrap w:val="0"/>
                  <w:vAlign w:val="center"/>
                </w:tcPr>
                <w:p w14:paraId="068A73A5">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350</w:t>
                  </w:r>
                </w:p>
              </w:tc>
              <w:tc>
                <w:tcPr>
                  <w:tcW w:w="698" w:type="dxa"/>
                  <w:noWrap w:val="0"/>
                  <w:vAlign w:val="center"/>
                </w:tcPr>
                <w:p w14:paraId="37F9D7F3">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700</w:t>
                  </w:r>
                </w:p>
              </w:tc>
              <w:tc>
                <w:tcPr>
                  <w:tcW w:w="627" w:type="dxa"/>
                  <w:noWrap w:val="0"/>
                  <w:vAlign w:val="center"/>
                </w:tcPr>
                <w:p w14:paraId="2EFAAD75">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470</w:t>
                  </w:r>
                </w:p>
              </w:tc>
              <w:tc>
                <w:tcPr>
                  <w:tcW w:w="713" w:type="dxa"/>
                  <w:noWrap w:val="0"/>
                  <w:vAlign w:val="center"/>
                </w:tcPr>
                <w:p w14:paraId="663E266B">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350</w:t>
                  </w:r>
                </w:p>
              </w:tc>
              <w:tc>
                <w:tcPr>
                  <w:tcW w:w="672" w:type="dxa"/>
                  <w:noWrap w:val="0"/>
                  <w:vAlign w:val="center"/>
                </w:tcPr>
                <w:p w14:paraId="10F136CB">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380</w:t>
                  </w:r>
                </w:p>
              </w:tc>
              <w:tc>
                <w:tcPr>
                  <w:tcW w:w="577" w:type="dxa"/>
                  <w:noWrap w:val="0"/>
                  <w:vAlign w:val="center"/>
                </w:tcPr>
                <w:p w14:paraId="457EA95F">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250</w:t>
                  </w:r>
                </w:p>
              </w:tc>
              <w:tc>
                <w:tcPr>
                  <w:tcW w:w="606" w:type="dxa"/>
                  <w:noWrap w:val="0"/>
                  <w:vAlign w:val="center"/>
                </w:tcPr>
                <w:p w14:paraId="081DDA28">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190</w:t>
                  </w:r>
                </w:p>
              </w:tc>
            </w:tr>
            <w:tr w14:paraId="27913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282" w:type="dxa"/>
                  <w:vMerge w:val="continue"/>
                  <w:noWrap w:val="0"/>
                  <w:vAlign w:val="center"/>
                </w:tcPr>
                <w:p w14:paraId="4E4EE398">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p>
              </w:tc>
              <w:tc>
                <w:tcPr>
                  <w:tcW w:w="1498" w:type="dxa"/>
                  <w:noWrap w:val="0"/>
                  <w:vAlign w:val="center"/>
                </w:tcPr>
                <w:p w14:paraId="14AC1BCA">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&gt;4</w:t>
                  </w:r>
                </w:p>
              </w:tc>
              <w:tc>
                <w:tcPr>
                  <w:tcW w:w="916" w:type="dxa"/>
                  <w:noWrap w:val="0"/>
                  <w:vAlign w:val="center"/>
                </w:tcPr>
                <w:p w14:paraId="72C0670B">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530</w:t>
                  </w:r>
                </w:p>
              </w:tc>
              <w:tc>
                <w:tcPr>
                  <w:tcW w:w="770" w:type="dxa"/>
                  <w:noWrap w:val="0"/>
                  <w:vAlign w:val="center"/>
                </w:tcPr>
                <w:p w14:paraId="4B6326FE">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350</w:t>
                  </w:r>
                </w:p>
              </w:tc>
              <w:tc>
                <w:tcPr>
                  <w:tcW w:w="830" w:type="dxa"/>
                  <w:noWrap w:val="0"/>
                  <w:vAlign w:val="center"/>
                </w:tcPr>
                <w:p w14:paraId="4287454C">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260</w:t>
                  </w:r>
                </w:p>
              </w:tc>
              <w:tc>
                <w:tcPr>
                  <w:tcW w:w="698" w:type="dxa"/>
                  <w:noWrap w:val="0"/>
                  <w:vAlign w:val="center"/>
                </w:tcPr>
                <w:p w14:paraId="39EB7936">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530</w:t>
                  </w:r>
                </w:p>
              </w:tc>
              <w:tc>
                <w:tcPr>
                  <w:tcW w:w="627" w:type="dxa"/>
                  <w:noWrap w:val="0"/>
                  <w:vAlign w:val="center"/>
                </w:tcPr>
                <w:p w14:paraId="7F91C94A">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350</w:t>
                  </w:r>
                </w:p>
              </w:tc>
              <w:tc>
                <w:tcPr>
                  <w:tcW w:w="713" w:type="dxa"/>
                  <w:noWrap w:val="0"/>
                  <w:vAlign w:val="center"/>
                </w:tcPr>
                <w:p w14:paraId="06470F1F">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260</w:t>
                  </w:r>
                </w:p>
              </w:tc>
              <w:tc>
                <w:tcPr>
                  <w:tcW w:w="672" w:type="dxa"/>
                  <w:noWrap w:val="0"/>
                  <w:vAlign w:val="center"/>
                </w:tcPr>
                <w:p w14:paraId="08E747F6">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290</w:t>
                  </w:r>
                </w:p>
              </w:tc>
              <w:tc>
                <w:tcPr>
                  <w:tcW w:w="577" w:type="dxa"/>
                  <w:noWrap w:val="0"/>
                  <w:vAlign w:val="center"/>
                </w:tcPr>
                <w:p w14:paraId="5BC9A7DA">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190</w:t>
                  </w:r>
                </w:p>
              </w:tc>
              <w:tc>
                <w:tcPr>
                  <w:tcW w:w="606" w:type="dxa"/>
                  <w:noWrap w:val="0"/>
                  <w:vAlign w:val="center"/>
                </w:tcPr>
                <w:p w14:paraId="0673EF65">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140</w:t>
                  </w:r>
                </w:p>
              </w:tc>
            </w:tr>
            <w:tr w14:paraId="1E15B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282" w:type="dxa"/>
                  <w:vMerge w:val="restart"/>
                  <w:noWrap w:val="0"/>
                  <w:vAlign w:val="center"/>
                </w:tcPr>
                <w:p w14:paraId="3ED00F68">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B</w:t>
                  </w:r>
                </w:p>
              </w:tc>
              <w:tc>
                <w:tcPr>
                  <w:tcW w:w="1498" w:type="dxa"/>
                  <w:noWrap w:val="0"/>
                  <w:vAlign w:val="center"/>
                </w:tcPr>
                <w:p w14:paraId="1BBCEA82">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&lt;2</w:t>
                  </w:r>
                </w:p>
              </w:tc>
              <w:tc>
                <w:tcPr>
                  <w:tcW w:w="2516" w:type="dxa"/>
                  <w:gridSpan w:val="3"/>
                  <w:noWrap w:val="0"/>
                  <w:vAlign w:val="center"/>
                </w:tcPr>
                <w:p w14:paraId="2F0350EC">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0.01</w:t>
                  </w:r>
                </w:p>
              </w:tc>
              <w:tc>
                <w:tcPr>
                  <w:tcW w:w="2038" w:type="dxa"/>
                  <w:gridSpan w:val="3"/>
                  <w:noWrap w:val="0"/>
                  <w:vAlign w:val="center"/>
                </w:tcPr>
                <w:p w14:paraId="00BF455F">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0.015</w:t>
                  </w:r>
                </w:p>
              </w:tc>
              <w:tc>
                <w:tcPr>
                  <w:tcW w:w="1855" w:type="dxa"/>
                  <w:gridSpan w:val="3"/>
                  <w:noWrap w:val="0"/>
                  <w:vAlign w:val="center"/>
                </w:tcPr>
                <w:p w14:paraId="7D515E4F">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0.015</w:t>
                  </w:r>
                </w:p>
              </w:tc>
            </w:tr>
            <w:tr w14:paraId="26329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282" w:type="dxa"/>
                  <w:vMerge w:val="continue"/>
                  <w:noWrap w:val="0"/>
                  <w:vAlign w:val="center"/>
                </w:tcPr>
                <w:p w14:paraId="372474C2">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p>
              </w:tc>
              <w:tc>
                <w:tcPr>
                  <w:tcW w:w="1498" w:type="dxa"/>
                  <w:noWrap w:val="0"/>
                  <w:vAlign w:val="center"/>
                </w:tcPr>
                <w:p w14:paraId="1B71FC5A">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&gt;2</w:t>
                  </w:r>
                </w:p>
              </w:tc>
              <w:tc>
                <w:tcPr>
                  <w:tcW w:w="2516" w:type="dxa"/>
                  <w:gridSpan w:val="3"/>
                  <w:noWrap w:val="0"/>
                  <w:vAlign w:val="center"/>
                </w:tcPr>
                <w:p w14:paraId="62001C42">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0.021</w:t>
                  </w:r>
                </w:p>
              </w:tc>
              <w:tc>
                <w:tcPr>
                  <w:tcW w:w="2038" w:type="dxa"/>
                  <w:gridSpan w:val="3"/>
                  <w:noWrap w:val="0"/>
                  <w:vAlign w:val="center"/>
                </w:tcPr>
                <w:p w14:paraId="3B6DBB9C">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0.036</w:t>
                  </w:r>
                </w:p>
              </w:tc>
              <w:tc>
                <w:tcPr>
                  <w:tcW w:w="1855" w:type="dxa"/>
                  <w:gridSpan w:val="3"/>
                  <w:noWrap w:val="0"/>
                  <w:vAlign w:val="center"/>
                </w:tcPr>
                <w:p w14:paraId="09631094">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0.036</w:t>
                  </w:r>
                </w:p>
              </w:tc>
            </w:tr>
            <w:tr w14:paraId="5C923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282" w:type="dxa"/>
                  <w:vMerge w:val="restart"/>
                  <w:noWrap w:val="0"/>
                  <w:vAlign w:val="center"/>
                </w:tcPr>
                <w:p w14:paraId="6B9F2C43">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C</w:t>
                  </w:r>
                </w:p>
              </w:tc>
              <w:tc>
                <w:tcPr>
                  <w:tcW w:w="1498" w:type="dxa"/>
                  <w:noWrap w:val="0"/>
                  <w:vAlign w:val="center"/>
                </w:tcPr>
                <w:p w14:paraId="0DFCDC93">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&gt;2</w:t>
                  </w:r>
                </w:p>
              </w:tc>
              <w:tc>
                <w:tcPr>
                  <w:tcW w:w="2516" w:type="dxa"/>
                  <w:gridSpan w:val="3"/>
                  <w:noWrap w:val="0"/>
                  <w:vAlign w:val="center"/>
                </w:tcPr>
                <w:p w14:paraId="1AB4C546">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1.85</w:t>
                  </w:r>
                </w:p>
              </w:tc>
              <w:tc>
                <w:tcPr>
                  <w:tcW w:w="2038" w:type="dxa"/>
                  <w:gridSpan w:val="3"/>
                  <w:noWrap w:val="0"/>
                  <w:vAlign w:val="center"/>
                </w:tcPr>
                <w:p w14:paraId="6F514CE7">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1.79</w:t>
                  </w:r>
                </w:p>
              </w:tc>
              <w:tc>
                <w:tcPr>
                  <w:tcW w:w="1855" w:type="dxa"/>
                  <w:gridSpan w:val="3"/>
                  <w:noWrap w:val="0"/>
                  <w:vAlign w:val="center"/>
                </w:tcPr>
                <w:p w14:paraId="0EB68DED">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1.79</w:t>
                  </w:r>
                </w:p>
              </w:tc>
            </w:tr>
            <w:tr w14:paraId="27FDF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282" w:type="dxa"/>
                  <w:vMerge w:val="continue"/>
                  <w:noWrap w:val="0"/>
                  <w:vAlign w:val="center"/>
                </w:tcPr>
                <w:p w14:paraId="5ECD5756">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p>
              </w:tc>
              <w:tc>
                <w:tcPr>
                  <w:tcW w:w="1498" w:type="dxa"/>
                  <w:noWrap w:val="0"/>
                  <w:vAlign w:val="center"/>
                </w:tcPr>
                <w:p w14:paraId="376D9531">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&lt;2</w:t>
                  </w:r>
                </w:p>
              </w:tc>
              <w:tc>
                <w:tcPr>
                  <w:tcW w:w="2516" w:type="dxa"/>
                  <w:gridSpan w:val="3"/>
                  <w:noWrap w:val="0"/>
                  <w:vAlign w:val="center"/>
                </w:tcPr>
                <w:p w14:paraId="1B1372D4">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1.85</w:t>
                  </w:r>
                </w:p>
              </w:tc>
              <w:tc>
                <w:tcPr>
                  <w:tcW w:w="2038" w:type="dxa"/>
                  <w:gridSpan w:val="3"/>
                  <w:noWrap w:val="0"/>
                  <w:vAlign w:val="center"/>
                </w:tcPr>
                <w:p w14:paraId="42E19905">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1.77</w:t>
                  </w:r>
                </w:p>
              </w:tc>
              <w:tc>
                <w:tcPr>
                  <w:tcW w:w="1855" w:type="dxa"/>
                  <w:gridSpan w:val="3"/>
                  <w:noWrap w:val="0"/>
                  <w:vAlign w:val="center"/>
                </w:tcPr>
                <w:p w14:paraId="43840212">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1.77</w:t>
                  </w:r>
                </w:p>
              </w:tc>
            </w:tr>
            <w:tr w14:paraId="5267E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282" w:type="dxa"/>
                  <w:vMerge w:val="restart"/>
                  <w:noWrap w:val="0"/>
                  <w:vAlign w:val="center"/>
                </w:tcPr>
                <w:p w14:paraId="66074106">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D</w:t>
                  </w:r>
                </w:p>
              </w:tc>
              <w:tc>
                <w:tcPr>
                  <w:tcW w:w="1498" w:type="dxa"/>
                  <w:noWrap w:val="0"/>
                  <w:vAlign w:val="center"/>
                </w:tcPr>
                <w:p w14:paraId="49195921">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&lt;2</w:t>
                  </w:r>
                </w:p>
              </w:tc>
              <w:tc>
                <w:tcPr>
                  <w:tcW w:w="2516" w:type="dxa"/>
                  <w:gridSpan w:val="3"/>
                  <w:noWrap w:val="0"/>
                  <w:vAlign w:val="center"/>
                </w:tcPr>
                <w:p w14:paraId="581D15C1">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0.78</w:t>
                  </w:r>
                </w:p>
              </w:tc>
              <w:tc>
                <w:tcPr>
                  <w:tcW w:w="2038" w:type="dxa"/>
                  <w:gridSpan w:val="3"/>
                  <w:noWrap w:val="0"/>
                  <w:vAlign w:val="center"/>
                </w:tcPr>
                <w:p w14:paraId="16D7AE83">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0.78</w:t>
                  </w:r>
                </w:p>
              </w:tc>
              <w:tc>
                <w:tcPr>
                  <w:tcW w:w="1855" w:type="dxa"/>
                  <w:gridSpan w:val="3"/>
                  <w:noWrap w:val="0"/>
                  <w:vAlign w:val="center"/>
                </w:tcPr>
                <w:p w14:paraId="604584DA">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0.57</w:t>
                  </w:r>
                </w:p>
              </w:tc>
            </w:tr>
            <w:tr w14:paraId="31ECB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1282" w:type="dxa"/>
                  <w:vMerge w:val="continue"/>
                  <w:noWrap w:val="0"/>
                  <w:vAlign w:val="top"/>
                </w:tcPr>
                <w:p w14:paraId="2232CFA3">
                  <w:pPr>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ascii="Times New Roman" w:hAnsi="Times New Roman" w:cs="Times New Roman"/>
                      <w:b/>
                      <w:bCs/>
                      <w:color w:val="auto"/>
                      <w:sz w:val="21"/>
                      <w:szCs w:val="21"/>
                      <w:highlight w:val="none"/>
                    </w:rPr>
                  </w:pPr>
                </w:p>
              </w:tc>
              <w:tc>
                <w:tcPr>
                  <w:tcW w:w="1498" w:type="dxa"/>
                  <w:noWrap w:val="0"/>
                  <w:vAlign w:val="center"/>
                </w:tcPr>
                <w:p w14:paraId="7A9FEA5D">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&gt;2</w:t>
                  </w:r>
                </w:p>
              </w:tc>
              <w:tc>
                <w:tcPr>
                  <w:tcW w:w="2516" w:type="dxa"/>
                  <w:gridSpan w:val="3"/>
                  <w:noWrap w:val="0"/>
                  <w:vAlign w:val="center"/>
                </w:tcPr>
                <w:p w14:paraId="63221671">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0.84</w:t>
                  </w:r>
                </w:p>
              </w:tc>
              <w:tc>
                <w:tcPr>
                  <w:tcW w:w="2038" w:type="dxa"/>
                  <w:gridSpan w:val="3"/>
                  <w:noWrap w:val="0"/>
                  <w:vAlign w:val="center"/>
                </w:tcPr>
                <w:p w14:paraId="18EB7942">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0.84</w:t>
                  </w:r>
                </w:p>
              </w:tc>
              <w:tc>
                <w:tcPr>
                  <w:tcW w:w="1855" w:type="dxa"/>
                  <w:gridSpan w:val="3"/>
                  <w:noWrap w:val="0"/>
                  <w:vAlign w:val="center"/>
                </w:tcPr>
                <w:p w14:paraId="0A9A613B">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0.76</w:t>
                  </w:r>
                </w:p>
              </w:tc>
            </w:tr>
          </w:tbl>
          <w:p w14:paraId="5BC2E11A">
            <w:pPr>
              <w:adjustRightInd w:val="0"/>
              <w:snapToGrid w:val="0"/>
              <w:spacing w:line="348"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注：</w:t>
            </w:r>
          </w:p>
          <w:p w14:paraId="428BB99D">
            <w:pPr>
              <w:adjustRightInd w:val="0"/>
              <w:snapToGrid w:val="0"/>
              <w:spacing w:line="348" w:lineRule="auto"/>
              <w:ind w:firstLine="662" w:firstLineChars="276"/>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Ⅰ类：与无组织排放源共存的排放同种有害气体的排气筒的排放量，大于或等于标准规定的允许排放量的1/3者。</w:t>
            </w:r>
          </w:p>
          <w:p w14:paraId="58F8B1C2">
            <w:pPr>
              <w:adjustRightInd w:val="0"/>
              <w:snapToGrid w:val="0"/>
              <w:spacing w:line="348" w:lineRule="auto"/>
              <w:ind w:firstLine="662" w:firstLineChars="276"/>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Ⅱ类：与无组织排放源共存的排放同种有害气体的排气筒的排放量，小于标准规定的允许排放量的1/3，或虽无排放同种大气污染物之排气筒共存，但无组织排放的有害物质的容许浓度指标是按急性反应指标确定者。</w:t>
            </w:r>
          </w:p>
          <w:p w14:paraId="6210A8A0">
            <w:pPr>
              <w:adjustRightInd w:val="0"/>
              <w:snapToGrid w:val="0"/>
              <w:spacing w:line="348" w:lineRule="auto"/>
              <w:ind w:firstLine="662" w:firstLineChars="276"/>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Ⅲ类：无排放同种有害物质的排气筒与无组织排放源共存，但无组织排放的有害物质的容许浓度是按慢性反应指标确定者。</w:t>
            </w:r>
          </w:p>
          <w:p w14:paraId="3C55CB1E">
            <w:pPr>
              <w:adjustRightInd w:val="0"/>
              <w:snapToGrid w:val="0"/>
              <w:spacing w:line="348" w:lineRule="auto"/>
              <w:ind w:firstLine="662" w:firstLineChars="276"/>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等效半径根据下式计算。</w:t>
            </w:r>
          </w:p>
          <w:p w14:paraId="06588AAE">
            <w:pPr>
              <w:adjustRightInd w:val="0"/>
              <w:snapToGrid w:val="0"/>
              <w:spacing w:line="348" w:lineRule="auto"/>
              <w:ind w:firstLine="424" w:firstLineChars="177"/>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val="en-US" w:eastAsia="zh-CN"/>
              </w:rPr>
              <w:t xml:space="preserve">  </w:t>
            </w:r>
            <w:r>
              <w:rPr>
                <w:rFonts w:hint="default" w:ascii="Times New Roman" w:hAnsi="Times New Roman" w:cs="Times New Roman"/>
                <w:color w:val="auto"/>
                <w:sz w:val="24"/>
                <w:szCs w:val="24"/>
                <w:highlight w:val="none"/>
              </w:rPr>
              <w:drawing>
                <wp:inline distT="0" distB="0" distL="114300" distR="114300">
                  <wp:extent cx="1447800" cy="400050"/>
                  <wp:effectExtent l="0" t="0" r="0" b="0"/>
                  <wp:docPr id="121" name="图片 24" descr="16204436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24" descr="1620443620(1)"/>
                          <pic:cNvPicPr>
                            <a:picLocks noChangeAspect="1"/>
                          </pic:cNvPicPr>
                        </pic:nvPicPr>
                        <pic:blipFill>
                          <a:blip r:embed="rId25"/>
                          <a:stretch>
                            <a:fillRect/>
                          </a:stretch>
                        </pic:blipFill>
                        <pic:spPr>
                          <a:xfrm>
                            <a:off x="0" y="0"/>
                            <a:ext cx="1447800" cy="400050"/>
                          </a:xfrm>
                          <a:prstGeom prst="rect">
                            <a:avLst/>
                          </a:prstGeom>
                          <a:noFill/>
                          <a:ln>
                            <a:noFill/>
                          </a:ln>
                        </pic:spPr>
                      </pic:pic>
                    </a:graphicData>
                  </a:graphic>
                </wp:inline>
              </w:drawing>
            </w:r>
          </w:p>
          <w:p w14:paraId="697582D2">
            <w:pPr>
              <w:pStyle w:val="2"/>
              <w:spacing w:before="0" w:after="0" w:line="360" w:lineRule="auto"/>
              <w:ind w:left="0" w:firstLine="480" w:firstLineChars="200"/>
              <w:outlineLvl w:val="0"/>
              <w:rPr>
                <w:rFonts w:hint="default" w:ascii="Times New Roman" w:hAnsi="Times New Roman" w:cs="Times New Roman" w:eastAsiaTheme="minorEastAsia"/>
                <w:b w:val="0"/>
                <w:bCs/>
                <w:color w:val="auto"/>
                <w:kern w:val="2"/>
                <w:sz w:val="24"/>
                <w:szCs w:val="24"/>
                <w:highlight w:val="none"/>
                <w:lang w:val="en-US" w:eastAsia="zh-CN" w:bidi="ar-SA"/>
              </w:rPr>
            </w:pPr>
            <w:r>
              <w:rPr>
                <w:rFonts w:hint="default" w:ascii="Times New Roman" w:hAnsi="Times New Roman" w:cs="Times New Roman"/>
                <w:b w:val="0"/>
                <w:bCs/>
                <w:color w:val="auto"/>
                <w:sz w:val="24"/>
                <w:szCs w:val="24"/>
                <w:highlight w:val="none"/>
                <w:lang w:eastAsia="zh-CN"/>
              </w:rPr>
              <w:t>本项目</w:t>
            </w:r>
            <w:r>
              <w:rPr>
                <w:rFonts w:hint="default" w:ascii="Times New Roman" w:hAnsi="Times New Roman" w:cs="Times New Roman"/>
                <w:b w:val="0"/>
                <w:bCs/>
                <w:color w:val="auto"/>
                <w:sz w:val="24"/>
                <w:szCs w:val="24"/>
                <w:highlight w:val="none"/>
                <w:lang w:val="en-US" w:eastAsia="zh-CN"/>
              </w:rPr>
              <w:t>搅拌筒仓区占地面积1200</w:t>
            </w:r>
            <w:r>
              <w:rPr>
                <w:rFonts w:hint="default" w:ascii="Times New Roman" w:hAnsi="Times New Roman" w:cs="Times New Roman"/>
                <w:b w:val="0"/>
                <w:bCs/>
                <w:color w:val="auto"/>
                <w:sz w:val="24"/>
                <w:szCs w:val="24"/>
                <w:highlight w:val="none"/>
              </w:rPr>
              <w:t>m</w:t>
            </w:r>
            <w:r>
              <w:rPr>
                <w:rFonts w:hint="default" w:ascii="Times New Roman" w:hAnsi="Times New Roman" w:cs="Times New Roman"/>
                <w:b w:val="0"/>
                <w:bCs/>
                <w:color w:val="auto"/>
                <w:sz w:val="24"/>
                <w:szCs w:val="24"/>
                <w:highlight w:val="none"/>
                <w:vertAlign w:val="superscript"/>
              </w:rPr>
              <w:t>2</w:t>
            </w:r>
            <w:r>
              <w:rPr>
                <w:rFonts w:hint="default" w:ascii="Times New Roman" w:hAnsi="Times New Roman" w:cs="Times New Roman"/>
                <w:b w:val="0"/>
                <w:bCs/>
                <w:color w:val="auto"/>
                <w:sz w:val="24"/>
                <w:szCs w:val="24"/>
                <w:highlight w:val="none"/>
              </w:rPr>
              <w:t>，计算得出等效半径</w:t>
            </w:r>
            <w:r>
              <w:rPr>
                <w:rFonts w:hint="default" w:ascii="Times New Roman" w:hAnsi="Times New Roman" w:cs="Times New Roman"/>
                <w:b w:val="0"/>
                <w:bCs/>
                <w:color w:val="auto"/>
                <w:sz w:val="24"/>
                <w:szCs w:val="24"/>
                <w:highlight w:val="none"/>
                <w:lang w:val="en-US" w:eastAsia="zh-CN"/>
              </w:rPr>
              <w:t>19.54</w:t>
            </w:r>
            <w:r>
              <w:rPr>
                <w:rFonts w:hint="default" w:ascii="Times New Roman" w:hAnsi="Times New Roman" w:cs="Times New Roman"/>
                <w:b w:val="0"/>
                <w:bCs/>
                <w:color w:val="auto"/>
                <w:sz w:val="24"/>
                <w:szCs w:val="24"/>
                <w:highlight w:val="none"/>
              </w:rPr>
              <w:t>m</w:t>
            </w:r>
            <w:r>
              <w:rPr>
                <w:rFonts w:hint="default" w:ascii="Times New Roman" w:hAnsi="Times New Roman" w:cs="Times New Roman"/>
                <w:b w:val="0"/>
                <w:bCs/>
                <w:color w:val="auto"/>
                <w:sz w:val="24"/>
                <w:szCs w:val="24"/>
                <w:highlight w:val="none"/>
                <w:lang w:eastAsia="zh-CN"/>
              </w:rPr>
              <w:t>，</w:t>
            </w:r>
            <w:r>
              <w:rPr>
                <w:rFonts w:hint="default" w:ascii="Times New Roman" w:hAnsi="Times New Roman" w:cs="Times New Roman"/>
                <w:b w:val="0"/>
                <w:bCs/>
                <w:color w:val="auto"/>
                <w:sz w:val="24"/>
                <w:szCs w:val="24"/>
                <w:highlight w:val="none"/>
                <w:lang w:val="en-US" w:eastAsia="zh-CN"/>
              </w:rPr>
              <w:t>无组织排放速率为</w:t>
            </w:r>
            <w:r>
              <w:rPr>
                <w:rFonts w:hint="eastAsia" w:ascii="Times New Roman" w:hAnsi="Times New Roman" w:cs="Times New Roman"/>
                <w:b w:val="0"/>
                <w:bCs/>
                <w:color w:val="auto"/>
                <w:sz w:val="24"/>
                <w:szCs w:val="24"/>
                <w:highlight w:val="none"/>
                <w:vertAlign w:val="baseline"/>
                <w:lang w:val="en-US" w:eastAsia="zh-CN"/>
              </w:rPr>
              <w:t>1.2918</w:t>
            </w:r>
            <w:r>
              <w:rPr>
                <w:rFonts w:hint="default" w:ascii="Times New Roman" w:hAnsi="Times New Roman" w:cs="Times New Roman"/>
                <w:b w:val="0"/>
                <w:bCs/>
                <w:color w:val="auto"/>
                <w:sz w:val="24"/>
                <w:szCs w:val="24"/>
                <w:highlight w:val="none"/>
              </w:rPr>
              <w:t>kg/h</w:t>
            </w:r>
            <w:r>
              <w:rPr>
                <w:rFonts w:hint="default" w:ascii="Times New Roman" w:hAnsi="Times New Roman" w:cs="Times New Roman"/>
                <w:b w:val="0"/>
                <w:bCs/>
                <w:color w:val="auto"/>
                <w:sz w:val="24"/>
                <w:szCs w:val="24"/>
                <w:highlight w:val="none"/>
                <w:lang w:eastAsia="zh-CN"/>
              </w:rPr>
              <w:t>。</w:t>
            </w:r>
            <w:r>
              <w:rPr>
                <w:rFonts w:hint="default" w:ascii="Times New Roman" w:hAnsi="Times New Roman" w:cs="Times New Roman"/>
                <w:b w:val="0"/>
                <w:bCs/>
                <w:color w:val="auto"/>
                <w:sz w:val="24"/>
                <w:szCs w:val="24"/>
                <w:highlight w:val="none"/>
                <w:lang w:val="en-US" w:eastAsia="zh-CN"/>
              </w:rPr>
              <w:t>钢筋加工区占地面积1000</w:t>
            </w:r>
            <w:r>
              <w:rPr>
                <w:rFonts w:hint="default" w:ascii="Times New Roman" w:hAnsi="Times New Roman" w:cs="Times New Roman"/>
                <w:b w:val="0"/>
                <w:bCs/>
                <w:color w:val="auto"/>
                <w:sz w:val="24"/>
                <w:szCs w:val="24"/>
                <w:highlight w:val="none"/>
              </w:rPr>
              <w:t>m</w:t>
            </w:r>
            <w:r>
              <w:rPr>
                <w:rFonts w:hint="default" w:ascii="Times New Roman" w:hAnsi="Times New Roman" w:cs="Times New Roman"/>
                <w:b w:val="0"/>
                <w:bCs/>
                <w:color w:val="auto"/>
                <w:sz w:val="24"/>
                <w:szCs w:val="24"/>
                <w:highlight w:val="none"/>
                <w:vertAlign w:val="superscript"/>
              </w:rPr>
              <w:t>2</w:t>
            </w:r>
            <w:r>
              <w:rPr>
                <w:rFonts w:hint="default" w:ascii="Times New Roman" w:hAnsi="Times New Roman" w:cs="Times New Roman"/>
                <w:b w:val="0"/>
                <w:bCs/>
                <w:color w:val="auto"/>
                <w:sz w:val="24"/>
                <w:szCs w:val="24"/>
                <w:highlight w:val="none"/>
              </w:rPr>
              <w:t>，计算得出等效半径</w:t>
            </w:r>
            <w:r>
              <w:rPr>
                <w:rFonts w:hint="default" w:ascii="Times New Roman" w:hAnsi="Times New Roman" w:cs="Times New Roman"/>
                <w:b w:val="0"/>
                <w:bCs/>
                <w:color w:val="auto"/>
                <w:sz w:val="24"/>
                <w:szCs w:val="24"/>
                <w:highlight w:val="none"/>
                <w:lang w:val="en-US" w:eastAsia="zh-CN"/>
              </w:rPr>
              <w:t>17.85</w:t>
            </w:r>
            <w:r>
              <w:rPr>
                <w:rFonts w:hint="default" w:ascii="Times New Roman" w:hAnsi="Times New Roman" w:cs="Times New Roman"/>
                <w:b w:val="0"/>
                <w:bCs/>
                <w:color w:val="auto"/>
                <w:sz w:val="24"/>
                <w:szCs w:val="24"/>
                <w:highlight w:val="none"/>
              </w:rPr>
              <w:t>m</w:t>
            </w:r>
            <w:r>
              <w:rPr>
                <w:rFonts w:hint="default" w:ascii="Times New Roman" w:hAnsi="Times New Roman" w:cs="Times New Roman"/>
                <w:b w:val="0"/>
                <w:bCs/>
                <w:color w:val="auto"/>
                <w:sz w:val="24"/>
                <w:szCs w:val="24"/>
                <w:highlight w:val="none"/>
                <w:lang w:eastAsia="zh-CN"/>
              </w:rPr>
              <w:t>，</w:t>
            </w:r>
            <w:r>
              <w:rPr>
                <w:rFonts w:hint="default" w:ascii="Times New Roman" w:hAnsi="Times New Roman" w:cs="Times New Roman"/>
                <w:b w:val="0"/>
                <w:bCs/>
                <w:color w:val="auto"/>
                <w:sz w:val="24"/>
                <w:szCs w:val="24"/>
                <w:highlight w:val="none"/>
                <w:lang w:val="en-US" w:eastAsia="zh-CN"/>
              </w:rPr>
              <w:t>无组织排放速率</w:t>
            </w:r>
            <w:r>
              <w:rPr>
                <w:rFonts w:hint="default" w:ascii="Times New Roman" w:hAnsi="Times New Roman" w:eastAsia="宋体" w:cs="Times New Roman"/>
                <w:b w:val="0"/>
                <w:bCs/>
                <w:i w:val="0"/>
                <w:iCs w:val="0"/>
                <w:color w:val="auto"/>
                <w:kern w:val="0"/>
                <w:sz w:val="24"/>
                <w:szCs w:val="24"/>
                <w:highlight w:val="none"/>
                <w:u w:val="none"/>
                <w:lang w:val="en-US" w:eastAsia="zh-CN" w:bidi="ar"/>
              </w:rPr>
              <w:t>0.0</w:t>
            </w:r>
            <w:r>
              <w:rPr>
                <w:rFonts w:hint="eastAsia" w:ascii="Times New Roman" w:hAnsi="Times New Roman" w:eastAsia="宋体" w:cs="Times New Roman"/>
                <w:b w:val="0"/>
                <w:bCs/>
                <w:i w:val="0"/>
                <w:iCs w:val="0"/>
                <w:color w:val="auto"/>
                <w:kern w:val="0"/>
                <w:sz w:val="24"/>
                <w:szCs w:val="24"/>
                <w:highlight w:val="none"/>
                <w:u w:val="none"/>
                <w:lang w:val="en-US" w:eastAsia="zh-CN" w:bidi="ar"/>
              </w:rPr>
              <w:t>123</w:t>
            </w:r>
            <w:r>
              <w:rPr>
                <w:rFonts w:hint="default" w:ascii="Times New Roman" w:hAnsi="Times New Roman" w:cs="Times New Roman"/>
                <w:b w:val="0"/>
                <w:bCs/>
                <w:color w:val="auto"/>
                <w:sz w:val="24"/>
                <w:szCs w:val="24"/>
                <w:highlight w:val="none"/>
              </w:rPr>
              <w:t>kg/h</w:t>
            </w:r>
            <w:r>
              <w:rPr>
                <w:rFonts w:hint="default" w:ascii="Times New Roman" w:hAnsi="Times New Roman" w:cs="Times New Roman"/>
                <w:b w:val="0"/>
                <w:bCs/>
                <w:color w:val="auto"/>
                <w:sz w:val="24"/>
                <w:szCs w:val="24"/>
                <w:highlight w:val="none"/>
                <w:lang w:eastAsia="zh-CN"/>
              </w:rPr>
              <w:t>。</w:t>
            </w:r>
            <w:r>
              <w:rPr>
                <w:rFonts w:hint="default" w:ascii="Times New Roman" w:hAnsi="Times New Roman" w:cs="Times New Roman"/>
                <w:b w:val="0"/>
                <w:bCs/>
                <w:color w:val="auto"/>
                <w:sz w:val="24"/>
                <w:szCs w:val="24"/>
                <w:highlight w:val="none"/>
                <w:lang w:val="en-US" w:eastAsia="zh-CN"/>
              </w:rPr>
              <w:t>砂石料仓占地面积3000</w:t>
            </w:r>
            <w:r>
              <w:rPr>
                <w:rFonts w:hint="default" w:ascii="Times New Roman" w:hAnsi="Times New Roman" w:cs="Times New Roman"/>
                <w:b w:val="0"/>
                <w:bCs/>
                <w:color w:val="auto"/>
                <w:sz w:val="24"/>
                <w:szCs w:val="24"/>
                <w:highlight w:val="none"/>
              </w:rPr>
              <w:t>m</w:t>
            </w:r>
            <w:r>
              <w:rPr>
                <w:rFonts w:hint="default" w:ascii="Times New Roman" w:hAnsi="Times New Roman" w:cs="Times New Roman"/>
                <w:b w:val="0"/>
                <w:bCs/>
                <w:color w:val="auto"/>
                <w:sz w:val="24"/>
                <w:szCs w:val="24"/>
                <w:highlight w:val="none"/>
                <w:vertAlign w:val="superscript"/>
              </w:rPr>
              <w:t>2</w:t>
            </w:r>
            <w:r>
              <w:rPr>
                <w:rFonts w:hint="default" w:ascii="Times New Roman" w:hAnsi="Times New Roman" w:cs="Times New Roman"/>
                <w:b w:val="0"/>
                <w:bCs/>
                <w:color w:val="auto"/>
                <w:sz w:val="24"/>
                <w:szCs w:val="24"/>
                <w:highlight w:val="none"/>
              </w:rPr>
              <w:t>，计算得出等效半径</w:t>
            </w:r>
            <w:r>
              <w:rPr>
                <w:rFonts w:hint="default" w:ascii="Times New Roman" w:hAnsi="Times New Roman" w:cs="Times New Roman"/>
                <w:b w:val="0"/>
                <w:bCs/>
                <w:color w:val="auto"/>
                <w:sz w:val="24"/>
                <w:szCs w:val="24"/>
                <w:highlight w:val="none"/>
                <w:lang w:val="en-US" w:eastAsia="zh-CN"/>
              </w:rPr>
              <w:t>30.91</w:t>
            </w:r>
            <w:r>
              <w:rPr>
                <w:rFonts w:hint="default" w:ascii="Times New Roman" w:hAnsi="Times New Roman" w:cs="Times New Roman"/>
                <w:b w:val="0"/>
                <w:bCs/>
                <w:color w:val="auto"/>
                <w:sz w:val="24"/>
                <w:szCs w:val="24"/>
                <w:highlight w:val="none"/>
              </w:rPr>
              <w:t>m</w:t>
            </w:r>
            <w:r>
              <w:rPr>
                <w:rFonts w:hint="default" w:ascii="Times New Roman" w:hAnsi="Times New Roman" w:cs="Times New Roman"/>
                <w:b w:val="0"/>
                <w:bCs/>
                <w:color w:val="auto"/>
                <w:sz w:val="24"/>
                <w:szCs w:val="24"/>
                <w:highlight w:val="none"/>
                <w:lang w:eastAsia="zh-CN"/>
              </w:rPr>
              <w:t>，</w:t>
            </w:r>
            <w:r>
              <w:rPr>
                <w:rFonts w:hint="default" w:ascii="Times New Roman" w:hAnsi="Times New Roman" w:cs="Times New Roman"/>
                <w:b w:val="0"/>
                <w:bCs/>
                <w:color w:val="auto"/>
                <w:sz w:val="24"/>
                <w:szCs w:val="24"/>
                <w:highlight w:val="none"/>
                <w:lang w:val="en-US" w:eastAsia="zh-CN"/>
              </w:rPr>
              <w:t>无组织排放速率（含砂石卸料、砂石输送及料仓扬尘）为</w:t>
            </w:r>
            <w:r>
              <w:rPr>
                <w:rFonts w:hint="default" w:ascii="Times New Roman" w:hAnsi="Times New Roman" w:cs="Times New Roman"/>
                <w:b w:val="0"/>
                <w:bCs/>
                <w:color w:val="auto"/>
                <w:sz w:val="24"/>
                <w:szCs w:val="24"/>
                <w:highlight w:val="none"/>
                <w:vertAlign w:val="baseline"/>
                <w:lang w:val="en-US" w:eastAsia="zh-CN"/>
              </w:rPr>
              <w:t>0.097</w:t>
            </w:r>
            <w:r>
              <w:rPr>
                <w:rFonts w:hint="default" w:ascii="Times New Roman" w:hAnsi="Times New Roman" w:cs="Times New Roman"/>
                <w:b w:val="0"/>
                <w:bCs/>
                <w:color w:val="auto"/>
                <w:sz w:val="24"/>
                <w:szCs w:val="24"/>
                <w:highlight w:val="none"/>
              </w:rPr>
              <w:t>kg/h</w:t>
            </w:r>
            <w:r>
              <w:rPr>
                <w:rFonts w:hint="default" w:ascii="Times New Roman" w:hAnsi="Times New Roman" w:cs="Times New Roman"/>
                <w:b w:val="0"/>
                <w:bCs/>
                <w:color w:val="auto"/>
                <w:sz w:val="24"/>
                <w:szCs w:val="24"/>
                <w:highlight w:val="none"/>
                <w:lang w:eastAsia="zh-CN"/>
              </w:rPr>
              <w:t>。</w:t>
            </w:r>
            <w:r>
              <w:rPr>
                <w:rFonts w:hint="default" w:ascii="Times New Roman" w:hAnsi="Times New Roman" w:cs="Times New Roman"/>
                <w:b w:val="0"/>
                <w:bCs/>
                <w:color w:val="auto"/>
                <w:sz w:val="24"/>
                <w:szCs w:val="24"/>
                <w:highlight w:val="none"/>
                <w:lang w:val="en-US" w:eastAsia="zh-CN"/>
              </w:rPr>
              <w:t>TSP</w:t>
            </w:r>
            <w:r>
              <w:rPr>
                <w:rFonts w:hint="default" w:ascii="Times New Roman" w:hAnsi="Times New Roman" w:cs="Times New Roman"/>
                <w:b w:val="0"/>
                <w:bCs/>
                <w:color w:val="auto"/>
                <w:sz w:val="24"/>
                <w:szCs w:val="24"/>
                <w:highlight w:val="none"/>
                <w:lang w:eastAsia="zh-CN"/>
              </w:rPr>
              <w:t>的环境空气质量标准限值为</w:t>
            </w:r>
            <w:r>
              <w:rPr>
                <w:rFonts w:hint="default" w:ascii="Times New Roman" w:hAnsi="Times New Roman" w:cs="Times New Roman"/>
                <w:b w:val="0"/>
                <w:bCs/>
                <w:color w:val="auto"/>
                <w:sz w:val="24"/>
                <w:szCs w:val="25"/>
                <w:highlight w:val="none"/>
              </w:rPr>
              <w:t>0.3mg/m</w:t>
            </w:r>
            <w:r>
              <w:rPr>
                <w:rFonts w:hint="default" w:ascii="Times New Roman" w:hAnsi="Times New Roman" w:cs="Times New Roman"/>
                <w:b w:val="0"/>
                <w:bCs/>
                <w:color w:val="auto"/>
                <w:sz w:val="24"/>
                <w:szCs w:val="25"/>
                <w:highlight w:val="none"/>
                <w:vertAlign w:val="superscript"/>
              </w:rPr>
              <w:t>3</w:t>
            </w:r>
            <w:r>
              <w:rPr>
                <w:rFonts w:hint="default" w:ascii="Times New Roman" w:hAnsi="Times New Roman" w:cs="Times New Roman"/>
                <w:b w:val="0"/>
                <w:bCs/>
                <w:color w:val="auto"/>
                <w:sz w:val="24"/>
                <w:szCs w:val="25"/>
                <w:highlight w:val="none"/>
              </w:rPr>
              <w:t>（日均值折算小时均值为0.9mg/m</w:t>
            </w:r>
            <w:r>
              <w:rPr>
                <w:rFonts w:hint="default" w:ascii="Times New Roman" w:hAnsi="Times New Roman" w:cs="Times New Roman"/>
                <w:b w:val="0"/>
                <w:bCs/>
                <w:color w:val="auto"/>
                <w:sz w:val="24"/>
                <w:szCs w:val="25"/>
                <w:highlight w:val="none"/>
                <w:vertAlign w:val="superscript"/>
              </w:rPr>
              <w:t>3</w:t>
            </w:r>
            <w:r>
              <w:rPr>
                <w:rFonts w:hint="default" w:ascii="Times New Roman" w:hAnsi="Times New Roman" w:cs="Times New Roman"/>
                <w:b w:val="0"/>
                <w:bCs/>
                <w:color w:val="auto"/>
                <w:sz w:val="24"/>
                <w:szCs w:val="25"/>
                <w:highlight w:val="none"/>
              </w:rPr>
              <w:t>）</w:t>
            </w:r>
            <w:r>
              <w:rPr>
                <w:rFonts w:hint="default" w:ascii="Times New Roman" w:hAnsi="Times New Roman" w:cs="Times New Roman"/>
                <w:b w:val="0"/>
                <w:bCs/>
                <w:color w:val="auto"/>
                <w:sz w:val="24"/>
                <w:szCs w:val="25"/>
                <w:highlight w:val="none"/>
                <w:lang w:eastAsia="zh-CN"/>
              </w:rPr>
              <w:t>。</w:t>
            </w:r>
          </w:p>
          <w:p w14:paraId="2A50988F">
            <w:pPr>
              <w:adjustRightInd w:val="0"/>
              <w:snapToGrid w:val="0"/>
              <w:spacing w:line="348" w:lineRule="auto"/>
              <w:ind w:firstLine="424" w:firstLineChars="177"/>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eastAsia="zh-CN"/>
              </w:rPr>
              <w:t>本项目</w:t>
            </w:r>
            <w:r>
              <w:rPr>
                <w:rFonts w:hint="default" w:ascii="Times New Roman" w:hAnsi="Times New Roman" w:cs="Times New Roman"/>
                <w:color w:val="auto"/>
                <w:sz w:val="24"/>
                <w:szCs w:val="24"/>
                <w:highlight w:val="none"/>
              </w:rPr>
              <w:t>所在地区近5年平均风速为</w:t>
            </w:r>
            <w:r>
              <w:rPr>
                <w:rFonts w:hint="eastAsia" w:ascii="Times New Roman" w:hAnsi="Times New Roman" w:cs="Times New Roman"/>
                <w:color w:val="auto"/>
                <w:sz w:val="24"/>
                <w:szCs w:val="24"/>
                <w:highlight w:val="none"/>
                <w:lang w:val="en-US" w:eastAsia="zh-CN"/>
              </w:rPr>
              <w:t>1.8</w:t>
            </w:r>
            <w:r>
              <w:rPr>
                <w:rFonts w:hint="default" w:ascii="Times New Roman" w:hAnsi="Times New Roman" w:cs="Times New Roman"/>
                <w:color w:val="auto"/>
                <w:sz w:val="24"/>
                <w:szCs w:val="24"/>
                <w:highlight w:val="none"/>
              </w:rPr>
              <w:t>m/s，且大气污染源属于Ⅲ类，项目卫生防护距离初值计算详见下表：</w:t>
            </w:r>
          </w:p>
          <w:p w14:paraId="2C7FC1BA">
            <w:pPr>
              <w:keepNext w:val="0"/>
              <w:keepLines w:val="0"/>
              <w:pageBreakBefore w:val="0"/>
              <w:widowControl w:val="0"/>
              <w:kinsoku/>
              <w:wordWrap/>
              <w:overflowPunct/>
              <w:topLinePunct w:val="0"/>
              <w:bidi w:val="0"/>
              <w:adjustRightInd w:val="0"/>
              <w:snapToGrid w:val="0"/>
              <w:ind w:firstLine="0" w:firstLineChars="0"/>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rPr>
              <w:t>表</w:t>
            </w:r>
            <w:r>
              <w:rPr>
                <w:rFonts w:hint="default" w:ascii="Times New Roman" w:hAnsi="Times New Roman" w:eastAsia="宋体" w:cs="Times New Roman"/>
                <w:b/>
                <w:bCs/>
                <w:color w:val="auto"/>
                <w:sz w:val="21"/>
                <w:szCs w:val="21"/>
                <w:highlight w:val="none"/>
                <w:lang w:val="en-US" w:eastAsia="zh-CN"/>
              </w:rPr>
              <w:t xml:space="preserve">4-9 </w:t>
            </w:r>
            <w:r>
              <w:rPr>
                <w:rFonts w:hint="default" w:ascii="Times New Roman" w:hAnsi="Times New Roman" w:eastAsia="宋体" w:cs="Times New Roman"/>
                <w:b/>
                <w:bCs/>
                <w:color w:val="auto"/>
                <w:sz w:val="21"/>
                <w:szCs w:val="21"/>
                <w:highlight w:val="none"/>
              </w:rPr>
              <w:t>卫生防护距离</w:t>
            </w:r>
            <w:r>
              <w:rPr>
                <w:rFonts w:hint="default" w:ascii="Times New Roman" w:hAnsi="Times New Roman" w:eastAsia="宋体" w:cs="Times New Roman"/>
                <w:b/>
                <w:bCs/>
                <w:color w:val="auto"/>
                <w:sz w:val="21"/>
                <w:szCs w:val="21"/>
                <w:highlight w:val="none"/>
                <w:lang w:eastAsia="zh-CN"/>
              </w:rPr>
              <w:t>初值计算</w:t>
            </w:r>
          </w:p>
          <w:tbl>
            <w:tblPr>
              <w:tblStyle w:val="35"/>
              <w:tblW w:w="9176" w:type="dxa"/>
              <w:tblInd w:w="-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9"/>
              <w:gridCol w:w="1214"/>
              <w:gridCol w:w="1214"/>
              <w:gridCol w:w="619"/>
              <w:gridCol w:w="786"/>
              <w:gridCol w:w="687"/>
              <w:gridCol w:w="642"/>
              <w:gridCol w:w="2565"/>
            </w:tblGrid>
            <w:tr w14:paraId="020CC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1449" w:type="dxa"/>
                  <w:noWrap w:val="0"/>
                  <w:vAlign w:val="center"/>
                </w:tcPr>
                <w:p w14:paraId="03D8BD71">
                  <w:pPr>
                    <w:pStyle w:val="43"/>
                    <w:keepNext w:val="0"/>
                    <w:keepLines w:val="0"/>
                    <w:pageBreakBefore w:val="0"/>
                    <w:widowControl w:val="0"/>
                    <w:kinsoku/>
                    <w:wordWrap/>
                    <w:overflowPunct/>
                    <w:topLinePunct w:val="0"/>
                    <w:bidi w:val="0"/>
                    <w:adjustRightInd w:val="0"/>
                    <w:snapToGrid w:val="0"/>
                    <w:ind w:firstLine="0" w:firstLineChars="0"/>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eastAsia="zh-CN"/>
                    </w:rPr>
                    <w:t>污染</w:t>
                  </w:r>
                  <w:r>
                    <w:rPr>
                      <w:rFonts w:hint="default" w:ascii="Times New Roman" w:hAnsi="Times New Roman" w:cs="Times New Roman"/>
                      <w:b/>
                      <w:bCs/>
                      <w:color w:val="auto"/>
                      <w:sz w:val="21"/>
                      <w:szCs w:val="21"/>
                      <w:highlight w:val="none"/>
                      <w:vertAlign w:val="baseline"/>
                      <w:lang w:val="en-US" w:eastAsia="zh-CN"/>
                    </w:rPr>
                    <w:t>源</w:t>
                  </w:r>
                </w:p>
              </w:tc>
              <w:tc>
                <w:tcPr>
                  <w:tcW w:w="1214" w:type="dxa"/>
                  <w:noWrap w:val="0"/>
                  <w:vAlign w:val="center"/>
                </w:tcPr>
                <w:p w14:paraId="04EC56A1">
                  <w:pPr>
                    <w:pStyle w:val="43"/>
                    <w:keepNext w:val="0"/>
                    <w:keepLines w:val="0"/>
                    <w:pageBreakBefore w:val="0"/>
                    <w:widowControl w:val="0"/>
                    <w:kinsoku/>
                    <w:wordWrap/>
                    <w:overflowPunct/>
                    <w:topLinePunct w:val="0"/>
                    <w:bidi w:val="0"/>
                    <w:adjustRightInd w:val="0"/>
                    <w:snapToGrid w:val="0"/>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cs="Times New Roman"/>
                      <w:b/>
                      <w:bCs/>
                      <w:color w:val="auto"/>
                      <w:sz w:val="21"/>
                      <w:szCs w:val="21"/>
                      <w:highlight w:val="none"/>
                      <w:vertAlign w:val="baseline"/>
                      <w:lang w:eastAsia="zh-CN"/>
                    </w:rPr>
                    <w:t>污染物</w:t>
                  </w:r>
                </w:p>
              </w:tc>
              <w:tc>
                <w:tcPr>
                  <w:tcW w:w="1214" w:type="dxa"/>
                  <w:noWrap w:val="0"/>
                  <w:vAlign w:val="center"/>
                </w:tcPr>
                <w:p w14:paraId="2168B13B">
                  <w:pPr>
                    <w:pStyle w:val="43"/>
                    <w:keepNext w:val="0"/>
                    <w:keepLines w:val="0"/>
                    <w:pageBreakBefore w:val="0"/>
                    <w:widowControl w:val="0"/>
                    <w:kinsoku/>
                    <w:wordWrap/>
                    <w:overflowPunct/>
                    <w:topLinePunct w:val="0"/>
                    <w:bidi w:val="0"/>
                    <w:adjustRightInd w:val="0"/>
                    <w:snapToGrid w:val="0"/>
                    <w:ind w:firstLine="0" w:firstLineChars="0"/>
                    <w:jc w:val="center"/>
                    <w:rPr>
                      <w:rFonts w:hint="default" w:ascii="Times New Roman" w:hAnsi="Times New Roman" w:eastAsia="宋体" w:cs="Times New Roman"/>
                      <w:b/>
                      <w:bCs/>
                      <w:color w:val="auto"/>
                      <w:sz w:val="21"/>
                      <w:szCs w:val="21"/>
                      <w:highlight w:val="none"/>
                      <w:vertAlign w:val="baseline"/>
                    </w:rPr>
                  </w:pPr>
                  <w:r>
                    <w:rPr>
                      <w:rFonts w:hint="default" w:ascii="Times New Roman" w:hAnsi="Times New Roman" w:eastAsia="宋体" w:cs="Times New Roman"/>
                      <w:b/>
                      <w:bCs/>
                      <w:color w:val="auto"/>
                      <w:sz w:val="21"/>
                      <w:szCs w:val="21"/>
                      <w:highlight w:val="none"/>
                    </w:rPr>
                    <w:t>等效半径r</w:t>
                  </w:r>
                </w:p>
              </w:tc>
              <w:tc>
                <w:tcPr>
                  <w:tcW w:w="619" w:type="dxa"/>
                  <w:noWrap w:val="0"/>
                  <w:vAlign w:val="center"/>
                </w:tcPr>
                <w:p w14:paraId="6F63F898">
                  <w:pPr>
                    <w:keepNext w:val="0"/>
                    <w:keepLines w:val="0"/>
                    <w:pageBreakBefore w:val="0"/>
                    <w:widowControl w:val="0"/>
                    <w:kinsoku/>
                    <w:wordWrap/>
                    <w:overflowPunct/>
                    <w:topLinePunct w:val="0"/>
                    <w:bidi w:val="0"/>
                    <w:adjustRightInd w:val="0"/>
                    <w:snapToGrid w:val="0"/>
                    <w:ind w:firstLine="0" w:firstLineChars="0"/>
                    <w:jc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b/>
                      <w:bCs/>
                      <w:color w:val="auto"/>
                      <w:sz w:val="21"/>
                      <w:szCs w:val="21"/>
                      <w:highlight w:val="none"/>
                    </w:rPr>
                    <w:t>A</w:t>
                  </w:r>
                </w:p>
              </w:tc>
              <w:tc>
                <w:tcPr>
                  <w:tcW w:w="786" w:type="dxa"/>
                  <w:noWrap w:val="0"/>
                  <w:vAlign w:val="center"/>
                </w:tcPr>
                <w:p w14:paraId="6B4698E0">
                  <w:pPr>
                    <w:keepNext w:val="0"/>
                    <w:keepLines w:val="0"/>
                    <w:pageBreakBefore w:val="0"/>
                    <w:widowControl w:val="0"/>
                    <w:kinsoku/>
                    <w:wordWrap/>
                    <w:overflowPunct/>
                    <w:topLinePunct w:val="0"/>
                    <w:bidi w:val="0"/>
                    <w:adjustRightInd w:val="0"/>
                    <w:snapToGrid w:val="0"/>
                    <w:ind w:firstLine="0" w:firstLineChars="0"/>
                    <w:jc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b/>
                      <w:bCs/>
                      <w:color w:val="auto"/>
                      <w:sz w:val="21"/>
                      <w:szCs w:val="21"/>
                      <w:highlight w:val="none"/>
                    </w:rPr>
                    <w:t>B</w:t>
                  </w:r>
                </w:p>
              </w:tc>
              <w:tc>
                <w:tcPr>
                  <w:tcW w:w="687" w:type="dxa"/>
                  <w:noWrap w:val="0"/>
                  <w:vAlign w:val="center"/>
                </w:tcPr>
                <w:p w14:paraId="123D45C0">
                  <w:pPr>
                    <w:keepNext w:val="0"/>
                    <w:keepLines w:val="0"/>
                    <w:pageBreakBefore w:val="0"/>
                    <w:widowControl w:val="0"/>
                    <w:kinsoku/>
                    <w:wordWrap/>
                    <w:overflowPunct/>
                    <w:topLinePunct w:val="0"/>
                    <w:bidi w:val="0"/>
                    <w:adjustRightInd w:val="0"/>
                    <w:snapToGrid w:val="0"/>
                    <w:ind w:firstLine="0" w:firstLineChars="0"/>
                    <w:jc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b/>
                      <w:bCs/>
                      <w:color w:val="auto"/>
                      <w:sz w:val="21"/>
                      <w:szCs w:val="21"/>
                      <w:highlight w:val="none"/>
                    </w:rPr>
                    <w:t>C</w:t>
                  </w:r>
                </w:p>
              </w:tc>
              <w:tc>
                <w:tcPr>
                  <w:tcW w:w="642" w:type="dxa"/>
                  <w:noWrap w:val="0"/>
                  <w:vAlign w:val="center"/>
                </w:tcPr>
                <w:p w14:paraId="50EB5947">
                  <w:pPr>
                    <w:keepNext w:val="0"/>
                    <w:keepLines w:val="0"/>
                    <w:pageBreakBefore w:val="0"/>
                    <w:widowControl w:val="0"/>
                    <w:kinsoku/>
                    <w:wordWrap/>
                    <w:overflowPunct/>
                    <w:topLinePunct w:val="0"/>
                    <w:bidi w:val="0"/>
                    <w:adjustRightInd w:val="0"/>
                    <w:snapToGrid w:val="0"/>
                    <w:ind w:firstLine="0" w:firstLineChars="0"/>
                    <w:jc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b/>
                      <w:bCs/>
                      <w:color w:val="auto"/>
                      <w:sz w:val="21"/>
                      <w:szCs w:val="21"/>
                      <w:highlight w:val="none"/>
                    </w:rPr>
                    <w:t>D</w:t>
                  </w:r>
                </w:p>
              </w:tc>
              <w:tc>
                <w:tcPr>
                  <w:tcW w:w="2565" w:type="dxa"/>
                  <w:noWrap w:val="0"/>
                  <w:vAlign w:val="center"/>
                </w:tcPr>
                <w:p w14:paraId="6C625885">
                  <w:pPr>
                    <w:keepNext w:val="0"/>
                    <w:keepLines w:val="0"/>
                    <w:pageBreakBefore w:val="0"/>
                    <w:widowControl w:val="0"/>
                    <w:kinsoku/>
                    <w:wordWrap/>
                    <w:overflowPunct/>
                    <w:topLinePunct w:val="0"/>
                    <w:bidi w:val="0"/>
                    <w:adjustRightInd w:val="0"/>
                    <w:snapToGrid w:val="0"/>
                    <w:ind w:firstLine="0" w:firstLineChars="0"/>
                    <w:jc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b/>
                      <w:bCs/>
                      <w:color w:val="auto"/>
                      <w:sz w:val="21"/>
                      <w:szCs w:val="21"/>
                      <w:highlight w:val="none"/>
                    </w:rPr>
                    <w:t>卫生防护距离初值计算值</w:t>
                  </w:r>
                </w:p>
              </w:tc>
            </w:tr>
            <w:tr w14:paraId="26631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449" w:type="dxa"/>
                  <w:noWrap w:val="0"/>
                  <w:vAlign w:val="center"/>
                </w:tcPr>
                <w:p w14:paraId="2CDF80C5">
                  <w:pPr>
                    <w:keepNext w:val="0"/>
                    <w:keepLines w:val="0"/>
                    <w:pageBreakBefore w:val="0"/>
                    <w:widowControl w:val="0"/>
                    <w:kinsoku/>
                    <w:wordWrap/>
                    <w:overflowPunct/>
                    <w:topLinePunct w:val="0"/>
                    <w:bidi w:val="0"/>
                    <w:adjustRightInd w:val="0"/>
                    <w:snapToGrid w:val="0"/>
                    <w:ind w:firstLine="0" w:firstLineChars="0"/>
                    <w:jc w:val="center"/>
                    <w:rPr>
                      <w:rFonts w:hint="default" w:ascii="Times New Roman" w:hAnsi="Times New Roman" w:eastAsia="宋体" w:cs="Times New Roman"/>
                      <w:color w:val="auto"/>
                      <w:sz w:val="21"/>
                      <w:szCs w:val="21"/>
                      <w:highlight w:val="none"/>
                      <w:vertAlign w:val="baseline"/>
                      <w:lang w:val="en-US"/>
                    </w:rPr>
                  </w:pPr>
                  <w:r>
                    <w:rPr>
                      <w:rFonts w:hint="default" w:ascii="Times New Roman" w:hAnsi="Times New Roman" w:cs="Times New Roman"/>
                      <w:b/>
                      <w:bCs/>
                      <w:color w:val="auto"/>
                      <w:sz w:val="21"/>
                      <w:szCs w:val="21"/>
                      <w:highlight w:val="none"/>
                      <w:lang w:val="en-US" w:eastAsia="zh-CN"/>
                    </w:rPr>
                    <w:t>搅拌筒仓区</w:t>
                  </w:r>
                </w:p>
              </w:tc>
              <w:tc>
                <w:tcPr>
                  <w:tcW w:w="1214" w:type="dxa"/>
                  <w:noWrap w:val="0"/>
                  <w:vAlign w:val="center"/>
                </w:tcPr>
                <w:p w14:paraId="7952F8FC">
                  <w:pPr>
                    <w:keepNext w:val="0"/>
                    <w:keepLines w:val="0"/>
                    <w:pageBreakBefore w:val="0"/>
                    <w:widowControl w:val="0"/>
                    <w:kinsoku/>
                    <w:wordWrap/>
                    <w:overflowPunct/>
                    <w:topLinePunct w:val="0"/>
                    <w:bidi w:val="0"/>
                    <w:adjustRightInd w:val="0"/>
                    <w:snapToGrid w:val="0"/>
                    <w:ind w:firstLine="0" w:firstLine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颗粒物</w:t>
                  </w:r>
                </w:p>
              </w:tc>
              <w:tc>
                <w:tcPr>
                  <w:tcW w:w="1214" w:type="dxa"/>
                  <w:noWrap w:val="0"/>
                  <w:vAlign w:val="center"/>
                </w:tcPr>
                <w:p w14:paraId="74CBA384">
                  <w:pPr>
                    <w:keepNext w:val="0"/>
                    <w:keepLines w:val="0"/>
                    <w:pageBreakBefore w:val="0"/>
                    <w:widowControl w:val="0"/>
                    <w:kinsoku/>
                    <w:wordWrap/>
                    <w:overflowPunct/>
                    <w:topLinePunct w:val="0"/>
                    <w:bidi w:val="0"/>
                    <w:adjustRightInd w:val="0"/>
                    <w:snapToGrid w:val="0"/>
                    <w:ind w:firstLine="0" w:firstLineChars="0"/>
                    <w:jc w:val="center"/>
                    <w:rPr>
                      <w:rFonts w:hint="default" w:ascii="Times New Roman" w:hAnsi="Times New Roman" w:eastAsia="宋体" w:cs="Times New Roman"/>
                      <w:color w:val="auto"/>
                      <w:sz w:val="21"/>
                      <w:szCs w:val="21"/>
                      <w:highlight w:val="none"/>
                      <w:vertAlign w:val="baseline"/>
                      <w:lang w:val="en-US"/>
                    </w:rPr>
                  </w:pPr>
                  <w:r>
                    <w:rPr>
                      <w:rFonts w:hint="default" w:ascii="Times New Roman" w:hAnsi="Times New Roman" w:cs="Times New Roman"/>
                      <w:color w:val="auto"/>
                      <w:sz w:val="21"/>
                      <w:szCs w:val="21"/>
                      <w:highlight w:val="none"/>
                      <w:lang w:val="en-US" w:eastAsia="zh-CN"/>
                    </w:rPr>
                    <w:t>19.54</w:t>
                  </w:r>
                </w:p>
              </w:tc>
              <w:tc>
                <w:tcPr>
                  <w:tcW w:w="619" w:type="dxa"/>
                  <w:noWrap w:val="0"/>
                  <w:vAlign w:val="center"/>
                </w:tcPr>
                <w:p w14:paraId="3B1F9D0A">
                  <w:pPr>
                    <w:keepNext w:val="0"/>
                    <w:keepLines w:val="0"/>
                    <w:pageBreakBefore w:val="0"/>
                    <w:widowControl w:val="0"/>
                    <w:kinsoku/>
                    <w:wordWrap/>
                    <w:overflowPunct/>
                    <w:topLinePunct w:val="0"/>
                    <w:bidi w:val="0"/>
                    <w:adjustRightInd w:val="0"/>
                    <w:snapToGrid w:val="0"/>
                    <w:ind w:firstLine="0" w:firstLineChars="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rPr>
                    <w:t>400</w:t>
                  </w:r>
                </w:p>
              </w:tc>
              <w:tc>
                <w:tcPr>
                  <w:tcW w:w="786" w:type="dxa"/>
                  <w:noWrap w:val="0"/>
                  <w:vAlign w:val="center"/>
                </w:tcPr>
                <w:p w14:paraId="6E589054">
                  <w:pPr>
                    <w:keepNext w:val="0"/>
                    <w:keepLines w:val="0"/>
                    <w:pageBreakBefore w:val="0"/>
                    <w:widowControl w:val="0"/>
                    <w:kinsoku/>
                    <w:wordWrap/>
                    <w:overflowPunct/>
                    <w:topLinePunct w:val="0"/>
                    <w:bidi w:val="0"/>
                    <w:adjustRightInd w:val="0"/>
                    <w:snapToGrid w:val="0"/>
                    <w:ind w:firstLine="0" w:firstLineChars="0"/>
                    <w:jc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cs="Times New Roman"/>
                      <w:color w:val="auto"/>
                      <w:sz w:val="21"/>
                      <w:szCs w:val="21"/>
                      <w:highlight w:val="none"/>
                    </w:rPr>
                    <w:t>0.01</w:t>
                  </w:r>
                </w:p>
              </w:tc>
              <w:tc>
                <w:tcPr>
                  <w:tcW w:w="687" w:type="dxa"/>
                  <w:noWrap w:val="0"/>
                  <w:vAlign w:val="center"/>
                </w:tcPr>
                <w:p w14:paraId="599DEEEC">
                  <w:pPr>
                    <w:keepNext w:val="0"/>
                    <w:keepLines w:val="0"/>
                    <w:pageBreakBefore w:val="0"/>
                    <w:widowControl w:val="0"/>
                    <w:kinsoku/>
                    <w:wordWrap/>
                    <w:overflowPunct/>
                    <w:topLinePunct w:val="0"/>
                    <w:bidi w:val="0"/>
                    <w:adjustRightInd w:val="0"/>
                    <w:snapToGrid w:val="0"/>
                    <w:ind w:firstLine="0" w:firstLineChars="0"/>
                    <w:jc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cs="Times New Roman"/>
                      <w:color w:val="auto"/>
                      <w:sz w:val="21"/>
                      <w:szCs w:val="21"/>
                      <w:highlight w:val="none"/>
                    </w:rPr>
                    <w:t>1.85</w:t>
                  </w:r>
                </w:p>
              </w:tc>
              <w:tc>
                <w:tcPr>
                  <w:tcW w:w="642" w:type="dxa"/>
                  <w:noWrap w:val="0"/>
                  <w:vAlign w:val="center"/>
                </w:tcPr>
                <w:p w14:paraId="08F6A0D5">
                  <w:pPr>
                    <w:keepNext w:val="0"/>
                    <w:keepLines w:val="0"/>
                    <w:pageBreakBefore w:val="0"/>
                    <w:widowControl w:val="0"/>
                    <w:kinsoku/>
                    <w:wordWrap/>
                    <w:overflowPunct/>
                    <w:topLinePunct w:val="0"/>
                    <w:bidi w:val="0"/>
                    <w:adjustRightInd w:val="0"/>
                    <w:snapToGrid w:val="0"/>
                    <w:ind w:firstLine="0" w:firstLineChars="0"/>
                    <w:jc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cs="Times New Roman"/>
                      <w:color w:val="auto"/>
                      <w:sz w:val="21"/>
                      <w:szCs w:val="21"/>
                      <w:highlight w:val="none"/>
                    </w:rPr>
                    <w:t>0.78</w:t>
                  </w:r>
                </w:p>
              </w:tc>
              <w:tc>
                <w:tcPr>
                  <w:tcW w:w="2565" w:type="dxa"/>
                  <w:noWrap w:val="0"/>
                  <w:vAlign w:val="center"/>
                </w:tcPr>
                <w:p w14:paraId="5A31D9BC">
                  <w:pPr>
                    <w:keepNext w:val="0"/>
                    <w:keepLines w:val="0"/>
                    <w:pageBreakBefore w:val="0"/>
                    <w:widowControl w:val="0"/>
                    <w:kinsoku/>
                    <w:wordWrap/>
                    <w:overflowPunct/>
                    <w:topLinePunct w:val="0"/>
                    <w:bidi w:val="0"/>
                    <w:adjustRightInd w:val="0"/>
                    <w:snapToGrid w:val="0"/>
                    <w:ind w:firstLine="0" w:firstLineChars="0"/>
                    <w:jc w:val="center"/>
                    <w:rPr>
                      <w:rFonts w:hint="default" w:ascii="Times New Roman" w:hAnsi="Times New Roman" w:eastAsia="宋体" w:cs="Times New Roman"/>
                      <w:color w:val="auto"/>
                      <w:sz w:val="21"/>
                      <w:szCs w:val="21"/>
                      <w:highlight w:val="none"/>
                      <w:vertAlign w:val="baseline"/>
                      <w:lang w:val="en-US"/>
                    </w:rPr>
                  </w:pPr>
                  <w:r>
                    <w:rPr>
                      <w:rFonts w:hint="eastAsia" w:ascii="Times New Roman" w:hAnsi="Times New Roman" w:cs="Times New Roman"/>
                      <w:color w:val="auto"/>
                      <w:sz w:val="21"/>
                      <w:szCs w:val="21"/>
                      <w:highlight w:val="none"/>
                      <w:lang w:val="en-US" w:eastAsia="zh-CN"/>
                    </w:rPr>
                    <w:t>99.60</w:t>
                  </w:r>
                  <w:r>
                    <w:rPr>
                      <w:rFonts w:hint="default" w:ascii="Times New Roman" w:hAnsi="Times New Roman" w:cs="Times New Roman"/>
                      <w:color w:val="auto"/>
                      <w:sz w:val="21"/>
                      <w:szCs w:val="21"/>
                      <w:highlight w:val="none"/>
                      <w:lang w:val="en-US" w:eastAsia="zh-CN"/>
                    </w:rPr>
                    <w:t>m</w:t>
                  </w:r>
                </w:p>
              </w:tc>
            </w:tr>
            <w:tr w14:paraId="1849B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449" w:type="dxa"/>
                  <w:noWrap w:val="0"/>
                  <w:vAlign w:val="center"/>
                </w:tcPr>
                <w:p w14:paraId="10119ACC">
                  <w:pPr>
                    <w:keepNext w:val="0"/>
                    <w:keepLines w:val="0"/>
                    <w:pageBreakBefore w:val="0"/>
                    <w:widowControl w:val="0"/>
                    <w:kinsoku/>
                    <w:wordWrap/>
                    <w:overflowPunct/>
                    <w:topLinePunct w:val="0"/>
                    <w:bidi w:val="0"/>
                    <w:adjustRightInd w:val="0"/>
                    <w:snapToGrid w:val="0"/>
                    <w:ind w:firstLine="0" w:firstLineChars="0"/>
                    <w:jc w:val="center"/>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钢筋加工区</w:t>
                  </w:r>
                </w:p>
              </w:tc>
              <w:tc>
                <w:tcPr>
                  <w:tcW w:w="1214" w:type="dxa"/>
                  <w:noWrap w:val="0"/>
                  <w:vAlign w:val="center"/>
                </w:tcPr>
                <w:p w14:paraId="2A66DE1B">
                  <w:pPr>
                    <w:keepNext w:val="0"/>
                    <w:keepLines w:val="0"/>
                    <w:pageBreakBefore w:val="0"/>
                    <w:widowControl w:val="0"/>
                    <w:kinsoku/>
                    <w:wordWrap/>
                    <w:overflowPunct/>
                    <w:topLinePunct w:val="0"/>
                    <w:bidi w:val="0"/>
                    <w:adjustRightInd w:val="0"/>
                    <w:snapToGrid w:val="0"/>
                    <w:ind w:firstLine="0" w:firstLine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颗粒物</w:t>
                  </w:r>
                </w:p>
              </w:tc>
              <w:tc>
                <w:tcPr>
                  <w:tcW w:w="1214" w:type="dxa"/>
                  <w:noWrap w:val="0"/>
                  <w:vAlign w:val="center"/>
                </w:tcPr>
                <w:p w14:paraId="5C05214D">
                  <w:pPr>
                    <w:keepNext w:val="0"/>
                    <w:keepLines w:val="0"/>
                    <w:pageBreakBefore w:val="0"/>
                    <w:widowControl w:val="0"/>
                    <w:kinsoku/>
                    <w:wordWrap/>
                    <w:overflowPunct/>
                    <w:topLinePunct w:val="0"/>
                    <w:bidi w:val="0"/>
                    <w:adjustRightInd w:val="0"/>
                    <w:snapToGrid w:val="0"/>
                    <w:ind w:firstLine="0" w:firstLine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17.85</w:t>
                  </w:r>
                </w:p>
              </w:tc>
              <w:tc>
                <w:tcPr>
                  <w:tcW w:w="619" w:type="dxa"/>
                  <w:noWrap w:val="0"/>
                  <w:vAlign w:val="center"/>
                </w:tcPr>
                <w:p w14:paraId="09BC44EE">
                  <w:pPr>
                    <w:keepNext w:val="0"/>
                    <w:keepLines w:val="0"/>
                    <w:pageBreakBefore w:val="0"/>
                    <w:widowControl w:val="0"/>
                    <w:kinsoku/>
                    <w:wordWrap/>
                    <w:overflowPunct/>
                    <w:topLinePunct w:val="0"/>
                    <w:bidi w:val="0"/>
                    <w:adjustRightInd w:val="0"/>
                    <w:snapToGrid w:val="0"/>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rPr>
                    <w:t>400</w:t>
                  </w:r>
                </w:p>
              </w:tc>
              <w:tc>
                <w:tcPr>
                  <w:tcW w:w="786" w:type="dxa"/>
                  <w:noWrap w:val="0"/>
                  <w:vAlign w:val="center"/>
                </w:tcPr>
                <w:p w14:paraId="6FAF50B5">
                  <w:pPr>
                    <w:keepNext w:val="0"/>
                    <w:keepLines w:val="0"/>
                    <w:pageBreakBefore w:val="0"/>
                    <w:widowControl w:val="0"/>
                    <w:kinsoku/>
                    <w:wordWrap/>
                    <w:overflowPunct/>
                    <w:topLinePunct w:val="0"/>
                    <w:bidi w:val="0"/>
                    <w:adjustRightInd w:val="0"/>
                    <w:snapToGrid w:val="0"/>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0.01</w:t>
                  </w:r>
                </w:p>
              </w:tc>
              <w:tc>
                <w:tcPr>
                  <w:tcW w:w="687" w:type="dxa"/>
                  <w:noWrap w:val="0"/>
                  <w:vAlign w:val="center"/>
                </w:tcPr>
                <w:p w14:paraId="5D6FE31C">
                  <w:pPr>
                    <w:keepNext w:val="0"/>
                    <w:keepLines w:val="0"/>
                    <w:pageBreakBefore w:val="0"/>
                    <w:widowControl w:val="0"/>
                    <w:kinsoku/>
                    <w:wordWrap/>
                    <w:overflowPunct/>
                    <w:topLinePunct w:val="0"/>
                    <w:bidi w:val="0"/>
                    <w:adjustRightInd w:val="0"/>
                    <w:snapToGrid w:val="0"/>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1.85</w:t>
                  </w:r>
                </w:p>
              </w:tc>
              <w:tc>
                <w:tcPr>
                  <w:tcW w:w="642" w:type="dxa"/>
                  <w:noWrap w:val="0"/>
                  <w:vAlign w:val="center"/>
                </w:tcPr>
                <w:p w14:paraId="514B7657">
                  <w:pPr>
                    <w:keepNext w:val="0"/>
                    <w:keepLines w:val="0"/>
                    <w:pageBreakBefore w:val="0"/>
                    <w:widowControl w:val="0"/>
                    <w:kinsoku/>
                    <w:wordWrap/>
                    <w:overflowPunct/>
                    <w:topLinePunct w:val="0"/>
                    <w:bidi w:val="0"/>
                    <w:adjustRightInd w:val="0"/>
                    <w:snapToGrid w:val="0"/>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0.78</w:t>
                  </w:r>
                </w:p>
              </w:tc>
              <w:tc>
                <w:tcPr>
                  <w:tcW w:w="2565" w:type="dxa"/>
                  <w:noWrap w:val="0"/>
                  <w:vAlign w:val="center"/>
                </w:tcPr>
                <w:p w14:paraId="1C3F4644">
                  <w:pPr>
                    <w:keepNext w:val="0"/>
                    <w:keepLines w:val="0"/>
                    <w:pageBreakBefore w:val="0"/>
                    <w:widowControl w:val="0"/>
                    <w:kinsoku/>
                    <w:wordWrap/>
                    <w:overflowPunct/>
                    <w:topLinePunct w:val="0"/>
                    <w:bidi w:val="0"/>
                    <w:adjustRightInd w:val="0"/>
                    <w:snapToGrid w:val="0"/>
                    <w:ind w:firstLine="0" w:firstLine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0.68</w:t>
                  </w:r>
                  <w:r>
                    <w:rPr>
                      <w:rFonts w:hint="default" w:ascii="Times New Roman" w:hAnsi="Times New Roman" w:cs="Times New Roman"/>
                      <w:color w:val="auto"/>
                      <w:sz w:val="21"/>
                      <w:szCs w:val="21"/>
                      <w:highlight w:val="none"/>
                      <w:lang w:val="en-US" w:eastAsia="zh-CN"/>
                    </w:rPr>
                    <w:t>m</w:t>
                  </w:r>
                </w:p>
              </w:tc>
            </w:tr>
            <w:tr w14:paraId="3BE51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1449" w:type="dxa"/>
                  <w:noWrap w:val="0"/>
                  <w:vAlign w:val="center"/>
                </w:tcPr>
                <w:p w14:paraId="07AFFE19">
                  <w:pPr>
                    <w:keepNext w:val="0"/>
                    <w:keepLines w:val="0"/>
                    <w:pageBreakBefore w:val="0"/>
                    <w:widowControl w:val="0"/>
                    <w:kinsoku/>
                    <w:wordWrap/>
                    <w:overflowPunct/>
                    <w:topLinePunct w:val="0"/>
                    <w:bidi w:val="0"/>
                    <w:adjustRightInd w:val="0"/>
                    <w:snapToGrid w:val="0"/>
                    <w:ind w:firstLine="0" w:firstLineChars="0"/>
                    <w:jc w:val="center"/>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砂石料仓</w:t>
                  </w:r>
                </w:p>
              </w:tc>
              <w:tc>
                <w:tcPr>
                  <w:tcW w:w="1214" w:type="dxa"/>
                  <w:noWrap w:val="0"/>
                  <w:vAlign w:val="center"/>
                </w:tcPr>
                <w:p w14:paraId="33DBD7AC">
                  <w:pPr>
                    <w:keepNext w:val="0"/>
                    <w:keepLines w:val="0"/>
                    <w:pageBreakBefore w:val="0"/>
                    <w:widowControl w:val="0"/>
                    <w:kinsoku/>
                    <w:wordWrap/>
                    <w:overflowPunct/>
                    <w:topLinePunct w:val="0"/>
                    <w:bidi w:val="0"/>
                    <w:adjustRightInd w:val="0"/>
                    <w:snapToGrid w:val="0"/>
                    <w:ind w:firstLine="0" w:firstLine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颗粒物</w:t>
                  </w:r>
                </w:p>
              </w:tc>
              <w:tc>
                <w:tcPr>
                  <w:tcW w:w="1214" w:type="dxa"/>
                  <w:noWrap w:val="0"/>
                  <w:vAlign w:val="center"/>
                </w:tcPr>
                <w:p w14:paraId="7E2BA68D">
                  <w:pPr>
                    <w:keepNext w:val="0"/>
                    <w:keepLines w:val="0"/>
                    <w:pageBreakBefore w:val="0"/>
                    <w:widowControl w:val="0"/>
                    <w:kinsoku/>
                    <w:wordWrap/>
                    <w:overflowPunct/>
                    <w:topLinePunct w:val="0"/>
                    <w:bidi w:val="0"/>
                    <w:adjustRightInd w:val="0"/>
                    <w:snapToGrid w:val="0"/>
                    <w:ind w:firstLine="0" w:firstLine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30.91</w:t>
                  </w:r>
                </w:p>
              </w:tc>
              <w:tc>
                <w:tcPr>
                  <w:tcW w:w="619" w:type="dxa"/>
                  <w:noWrap w:val="0"/>
                  <w:vAlign w:val="center"/>
                </w:tcPr>
                <w:p w14:paraId="2B324D8E">
                  <w:pPr>
                    <w:keepNext w:val="0"/>
                    <w:keepLines w:val="0"/>
                    <w:pageBreakBefore w:val="0"/>
                    <w:widowControl w:val="0"/>
                    <w:kinsoku/>
                    <w:wordWrap/>
                    <w:overflowPunct/>
                    <w:topLinePunct w:val="0"/>
                    <w:bidi w:val="0"/>
                    <w:adjustRightInd w:val="0"/>
                    <w:snapToGrid w:val="0"/>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rPr>
                    <w:t>400</w:t>
                  </w:r>
                </w:p>
              </w:tc>
              <w:tc>
                <w:tcPr>
                  <w:tcW w:w="786" w:type="dxa"/>
                  <w:noWrap w:val="0"/>
                  <w:vAlign w:val="center"/>
                </w:tcPr>
                <w:p w14:paraId="36E9B202">
                  <w:pPr>
                    <w:keepNext w:val="0"/>
                    <w:keepLines w:val="0"/>
                    <w:pageBreakBefore w:val="0"/>
                    <w:widowControl w:val="0"/>
                    <w:kinsoku/>
                    <w:wordWrap/>
                    <w:overflowPunct/>
                    <w:topLinePunct w:val="0"/>
                    <w:bidi w:val="0"/>
                    <w:adjustRightInd w:val="0"/>
                    <w:snapToGrid w:val="0"/>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0.01</w:t>
                  </w:r>
                </w:p>
              </w:tc>
              <w:tc>
                <w:tcPr>
                  <w:tcW w:w="687" w:type="dxa"/>
                  <w:noWrap w:val="0"/>
                  <w:vAlign w:val="center"/>
                </w:tcPr>
                <w:p w14:paraId="6D6C8C44">
                  <w:pPr>
                    <w:keepNext w:val="0"/>
                    <w:keepLines w:val="0"/>
                    <w:pageBreakBefore w:val="0"/>
                    <w:widowControl w:val="0"/>
                    <w:kinsoku/>
                    <w:wordWrap/>
                    <w:overflowPunct/>
                    <w:topLinePunct w:val="0"/>
                    <w:bidi w:val="0"/>
                    <w:adjustRightInd w:val="0"/>
                    <w:snapToGrid w:val="0"/>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1.85</w:t>
                  </w:r>
                </w:p>
              </w:tc>
              <w:tc>
                <w:tcPr>
                  <w:tcW w:w="642" w:type="dxa"/>
                  <w:noWrap w:val="0"/>
                  <w:vAlign w:val="center"/>
                </w:tcPr>
                <w:p w14:paraId="7BDDD758">
                  <w:pPr>
                    <w:keepNext w:val="0"/>
                    <w:keepLines w:val="0"/>
                    <w:pageBreakBefore w:val="0"/>
                    <w:widowControl w:val="0"/>
                    <w:kinsoku/>
                    <w:wordWrap/>
                    <w:overflowPunct/>
                    <w:topLinePunct w:val="0"/>
                    <w:bidi w:val="0"/>
                    <w:adjustRightInd w:val="0"/>
                    <w:snapToGrid w:val="0"/>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0.78</w:t>
                  </w:r>
                </w:p>
              </w:tc>
              <w:tc>
                <w:tcPr>
                  <w:tcW w:w="2565" w:type="dxa"/>
                  <w:noWrap w:val="0"/>
                  <w:vAlign w:val="center"/>
                </w:tcPr>
                <w:p w14:paraId="2FF00A1D">
                  <w:pPr>
                    <w:keepNext w:val="0"/>
                    <w:keepLines w:val="0"/>
                    <w:pageBreakBefore w:val="0"/>
                    <w:widowControl w:val="0"/>
                    <w:kinsoku/>
                    <w:wordWrap/>
                    <w:overflowPunct/>
                    <w:topLinePunct w:val="0"/>
                    <w:bidi w:val="0"/>
                    <w:adjustRightInd w:val="0"/>
                    <w:snapToGrid w:val="0"/>
                    <w:ind w:firstLine="0" w:firstLine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4.11m</w:t>
                  </w:r>
                </w:p>
              </w:tc>
            </w:tr>
          </w:tbl>
          <w:p w14:paraId="0CF0BE69">
            <w:pP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卫生防护距离终值的确定：</w:t>
            </w:r>
          </w:p>
          <w:p w14:paraId="375C968E">
            <w:pPr>
              <w:adjustRightInd w:val="0"/>
              <w:snapToGrid w:val="0"/>
              <w:ind w:firstLine="422" w:firstLineChars="20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表</w:t>
            </w:r>
            <w:r>
              <w:rPr>
                <w:rFonts w:hint="default" w:ascii="Times New Roman" w:hAnsi="Times New Roman" w:cs="Times New Roman"/>
                <w:b/>
                <w:bCs/>
                <w:color w:val="auto"/>
                <w:sz w:val="21"/>
                <w:szCs w:val="21"/>
                <w:highlight w:val="none"/>
                <w:lang w:val="en-US" w:eastAsia="zh-CN"/>
              </w:rPr>
              <w:t>4-10</w:t>
            </w:r>
            <w:r>
              <w:rPr>
                <w:rFonts w:hint="default" w:ascii="Times New Roman" w:hAnsi="Times New Roman" w:cs="Times New Roman"/>
                <w:b/>
                <w:bCs/>
                <w:color w:val="auto"/>
                <w:sz w:val="21"/>
                <w:szCs w:val="21"/>
                <w:highlight w:val="none"/>
              </w:rPr>
              <w:t>卫生防护距离终值级差范围表</w:t>
            </w:r>
          </w:p>
          <w:tbl>
            <w:tblPr>
              <w:tblStyle w:val="34"/>
              <w:tblW w:w="9179" w:type="dxa"/>
              <w:tblInd w:w="-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22"/>
              <w:gridCol w:w="4357"/>
            </w:tblGrid>
            <w:tr w14:paraId="4879F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4822" w:type="dxa"/>
                  <w:noWrap w:val="0"/>
                  <w:vAlign w:val="center"/>
                </w:tcPr>
                <w:p w14:paraId="47556A35">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卫生防护距离计算初值L/m</w:t>
                  </w:r>
                </w:p>
              </w:tc>
              <w:tc>
                <w:tcPr>
                  <w:tcW w:w="4357" w:type="dxa"/>
                  <w:noWrap w:val="0"/>
                  <w:vAlign w:val="center"/>
                </w:tcPr>
                <w:p w14:paraId="48B483EB">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级差/m</w:t>
                  </w:r>
                </w:p>
              </w:tc>
            </w:tr>
            <w:tr w14:paraId="63D68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4822" w:type="dxa"/>
                  <w:noWrap w:val="0"/>
                  <w:vAlign w:val="center"/>
                </w:tcPr>
                <w:p w14:paraId="6CA8F971">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0≤L&lt;50</w:t>
                  </w:r>
                </w:p>
              </w:tc>
              <w:tc>
                <w:tcPr>
                  <w:tcW w:w="4357" w:type="dxa"/>
                  <w:noWrap w:val="0"/>
                  <w:vAlign w:val="center"/>
                </w:tcPr>
                <w:p w14:paraId="554C181E">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50</w:t>
                  </w:r>
                </w:p>
              </w:tc>
            </w:tr>
            <w:tr w14:paraId="18CD6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4822" w:type="dxa"/>
                  <w:noWrap w:val="0"/>
                  <w:vAlign w:val="center"/>
                </w:tcPr>
                <w:p w14:paraId="3A1EF71A">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50≤L&lt;100</w:t>
                  </w:r>
                </w:p>
              </w:tc>
              <w:tc>
                <w:tcPr>
                  <w:tcW w:w="4357" w:type="dxa"/>
                  <w:noWrap w:val="0"/>
                  <w:vAlign w:val="center"/>
                </w:tcPr>
                <w:p w14:paraId="504667FA">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50</w:t>
                  </w:r>
                </w:p>
              </w:tc>
            </w:tr>
            <w:tr w14:paraId="0866A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4822" w:type="dxa"/>
                  <w:noWrap w:val="0"/>
                  <w:vAlign w:val="center"/>
                </w:tcPr>
                <w:p w14:paraId="082133B2">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100≤L&lt;1000</w:t>
                  </w:r>
                </w:p>
              </w:tc>
              <w:tc>
                <w:tcPr>
                  <w:tcW w:w="4357" w:type="dxa"/>
                  <w:noWrap w:val="0"/>
                  <w:vAlign w:val="center"/>
                </w:tcPr>
                <w:p w14:paraId="14244A94">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100</w:t>
                  </w:r>
                </w:p>
              </w:tc>
            </w:tr>
            <w:tr w14:paraId="706B2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4822" w:type="dxa"/>
                  <w:noWrap w:val="0"/>
                  <w:vAlign w:val="center"/>
                </w:tcPr>
                <w:p w14:paraId="2C33758B">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L&gt;1000</w:t>
                  </w:r>
                </w:p>
              </w:tc>
              <w:tc>
                <w:tcPr>
                  <w:tcW w:w="4357" w:type="dxa"/>
                  <w:noWrap w:val="0"/>
                  <w:vAlign w:val="center"/>
                </w:tcPr>
                <w:p w14:paraId="4F702CD7">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200</w:t>
                  </w:r>
                </w:p>
              </w:tc>
            </w:tr>
          </w:tbl>
          <w:p w14:paraId="30BC594E">
            <w:pPr>
              <w:adjustRightInd w:val="0"/>
              <w:snapToGrid w:val="0"/>
              <w:spacing w:line="360" w:lineRule="auto"/>
              <w:ind w:firstLine="480" w:firstLineChars="200"/>
              <w:rPr>
                <w:rFonts w:hint="default" w:ascii="Times New Roman" w:hAnsi="Times New Roman" w:cs="Times New Roman"/>
                <w:bCs/>
                <w:color w:val="auto"/>
                <w:sz w:val="24"/>
                <w:highlight w:val="none"/>
              </w:rPr>
            </w:pPr>
            <w:r>
              <w:rPr>
                <w:rFonts w:hint="default" w:ascii="Times New Roman" w:hAnsi="Times New Roman" w:cs="Times New Roman"/>
                <w:color w:val="auto"/>
                <w:sz w:val="24"/>
                <w:szCs w:val="24"/>
                <w:highlight w:val="none"/>
              </w:rPr>
              <w:t>因此，确定</w:t>
            </w:r>
            <w:r>
              <w:rPr>
                <w:rFonts w:hint="default" w:ascii="Times New Roman" w:hAnsi="Times New Roman" w:cs="Times New Roman"/>
                <w:color w:val="auto"/>
                <w:sz w:val="24"/>
                <w:szCs w:val="24"/>
                <w:highlight w:val="none"/>
                <w:lang w:val="en-US" w:eastAsia="zh-CN"/>
              </w:rPr>
              <w:t>本项目</w:t>
            </w:r>
            <w:r>
              <w:rPr>
                <w:rFonts w:hint="eastAsia" w:ascii="Times New Roman" w:hAnsi="Times New Roman" w:cs="Times New Roman"/>
                <w:color w:val="auto"/>
                <w:sz w:val="24"/>
                <w:szCs w:val="24"/>
                <w:highlight w:val="none"/>
                <w:lang w:val="en-US" w:eastAsia="zh-CN"/>
              </w:rPr>
              <w:t>搅拌筒仓区卫生防护距离初值为99.6m，级差为50m，则搅拌筒仓区</w:t>
            </w:r>
            <w:r>
              <w:rPr>
                <w:rFonts w:hint="default" w:ascii="Times New Roman" w:hAnsi="Times New Roman" w:cs="Times New Roman"/>
                <w:color w:val="auto"/>
                <w:sz w:val="24"/>
                <w:szCs w:val="24"/>
                <w:highlight w:val="none"/>
              </w:rPr>
              <w:t>卫生防护距离终值为</w:t>
            </w:r>
            <w:r>
              <w:rPr>
                <w:rFonts w:hint="eastAsia" w:ascii="Times New Roman" w:hAnsi="Times New Roman" w:cs="Times New Roman"/>
                <w:color w:val="auto"/>
                <w:sz w:val="24"/>
                <w:szCs w:val="24"/>
                <w:highlight w:val="none"/>
                <w:lang w:val="en-US" w:eastAsia="zh-CN"/>
              </w:rPr>
              <w:t>100</w:t>
            </w:r>
            <w:r>
              <w:rPr>
                <w:rFonts w:hint="default" w:ascii="Times New Roman" w:hAnsi="Times New Roman" w:cs="Times New Roman"/>
                <w:color w:val="auto"/>
                <w:sz w:val="24"/>
                <w:szCs w:val="24"/>
                <w:highlight w:val="none"/>
              </w:rPr>
              <w:t>米</w:t>
            </w: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钢筋加工区及砂石料仓区卫生防护距离为50m</w:t>
            </w:r>
            <w:r>
              <w:rPr>
                <w:rFonts w:hint="default" w:ascii="Times New Roman" w:hAnsi="Times New Roman" w:cs="Times New Roman"/>
                <w:bCs/>
                <w:color w:val="auto"/>
                <w:sz w:val="24"/>
                <w:szCs w:val="24"/>
                <w:highlight w:val="none"/>
              </w:rPr>
              <w:t>。</w:t>
            </w:r>
            <w:r>
              <w:rPr>
                <w:rFonts w:hint="default" w:ascii="Times New Roman" w:hAnsi="Times New Roman" w:cs="Times New Roman"/>
                <w:color w:val="auto"/>
                <w:sz w:val="24"/>
                <w:szCs w:val="24"/>
                <w:highlight w:val="none"/>
              </w:rPr>
              <w:t>根据现场踏勘，</w:t>
            </w:r>
            <w:r>
              <w:rPr>
                <w:rFonts w:hint="default" w:ascii="Times New Roman" w:hAnsi="Times New Roman" w:cs="Times New Roman"/>
                <w:color w:val="auto"/>
                <w:sz w:val="24"/>
                <w:szCs w:val="24"/>
                <w:highlight w:val="none"/>
                <w:lang w:eastAsia="zh-CN"/>
              </w:rPr>
              <w:t>本项目</w:t>
            </w:r>
            <w:r>
              <w:rPr>
                <w:rFonts w:hint="default" w:ascii="Times New Roman" w:hAnsi="Times New Roman" w:cs="Times New Roman"/>
                <w:color w:val="auto"/>
                <w:sz w:val="24"/>
                <w:szCs w:val="24"/>
                <w:highlight w:val="none"/>
                <w:lang w:val="en-US" w:eastAsia="zh-CN"/>
              </w:rPr>
              <w:t>分别以钢筋加工区及砂石料仓区边界为源点</w:t>
            </w:r>
            <w:r>
              <w:rPr>
                <w:rFonts w:hint="default" w:ascii="Times New Roman" w:hAnsi="Times New Roman" w:cs="Times New Roman"/>
                <w:bCs/>
                <w:color w:val="auto"/>
                <w:sz w:val="24"/>
                <w:szCs w:val="24"/>
                <w:highlight w:val="none"/>
              </w:rPr>
              <w:t>设置</w:t>
            </w:r>
            <w:r>
              <w:rPr>
                <w:rFonts w:hint="default" w:ascii="Times New Roman" w:hAnsi="Times New Roman" w:cs="Times New Roman"/>
                <w:color w:val="auto"/>
                <w:sz w:val="24"/>
                <w:szCs w:val="24"/>
                <w:highlight w:val="none"/>
              </w:rPr>
              <w:t>50米卫生防护</w:t>
            </w:r>
            <w:r>
              <w:rPr>
                <w:rFonts w:hint="default" w:ascii="Times New Roman" w:hAnsi="Times New Roman" w:cs="Times New Roman"/>
                <w:bCs/>
                <w:color w:val="auto"/>
                <w:sz w:val="24"/>
                <w:szCs w:val="24"/>
                <w:highlight w:val="none"/>
              </w:rPr>
              <w:t>距离</w:t>
            </w:r>
            <w:r>
              <w:rPr>
                <w:rFonts w:hint="eastAsia" w:ascii="Times New Roman" w:hAnsi="Times New Roman" w:cs="Times New Roman"/>
                <w:bCs/>
                <w:color w:val="auto"/>
                <w:sz w:val="24"/>
                <w:szCs w:val="24"/>
                <w:highlight w:val="none"/>
                <w:lang w:eastAsia="zh-CN"/>
              </w:rPr>
              <w:t>，</w:t>
            </w:r>
            <w:r>
              <w:rPr>
                <w:rFonts w:hint="eastAsia" w:ascii="Times New Roman" w:hAnsi="Times New Roman" w:cs="Times New Roman"/>
                <w:bCs/>
                <w:color w:val="auto"/>
                <w:sz w:val="24"/>
                <w:szCs w:val="24"/>
                <w:highlight w:val="none"/>
                <w:lang w:val="en-US" w:eastAsia="zh-CN"/>
              </w:rPr>
              <w:t>以筒仓搅拌区设置100m卫生防护距离</w:t>
            </w:r>
            <w:r>
              <w:rPr>
                <w:rFonts w:hint="default" w:ascii="Times New Roman" w:hAnsi="Times New Roman" w:cs="Times New Roman"/>
                <w:bCs/>
                <w:color w:val="auto"/>
                <w:sz w:val="24"/>
                <w:szCs w:val="24"/>
                <w:highlight w:val="none"/>
                <w:lang w:eastAsia="zh-CN"/>
              </w:rPr>
              <w:t>，</w:t>
            </w:r>
            <w:r>
              <w:rPr>
                <w:rFonts w:hint="default" w:ascii="Times New Roman" w:hAnsi="Times New Roman" w:cs="Times New Roman"/>
                <w:color w:val="auto"/>
                <w:sz w:val="24"/>
                <w:szCs w:val="24"/>
                <w:highlight w:val="none"/>
              </w:rPr>
              <w:t>防护</w:t>
            </w:r>
            <w:r>
              <w:rPr>
                <w:rFonts w:hint="default" w:ascii="Times New Roman" w:hAnsi="Times New Roman" w:cs="Times New Roman"/>
                <w:bCs/>
                <w:color w:val="auto"/>
                <w:sz w:val="24"/>
                <w:szCs w:val="24"/>
                <w:highlight w:val="none"/>
              </w:rPr>
              <w:t>距离</w:t>
            </w:r>
            <w:r>
              <w:rPr>
                <w:rFonts w:hint="default" w:ascii="Times New Roman" w:hAnsi="Times New Roman" w:cs="Times New Roman"/>
                <w:bCs/>
                <w:color w:val="auto"/>
                <w:sz w:val="24"/>
                <w:szCs w:val="24"/>
                <w:highlight w:val="none"/>
                <w:lang w:val="en-US" w:eastAsia="zh-CN"/>
              </w:rPr>
              <w:t>范围</w:t>
            </w:r>
            <w:r>
              <w:rPr>
                <w:rFonts w:hint="default" w:ascii="Times New Roman" w:hAnsi="Times New Roman" w:cs="Times New Roman"/>
                <w:color w:val="auto"/>
                <w:sz w:val="24"/>
                <w:szCs w:val="24"/>
                <w:highlight w:val="none"/>
              </w:rPr>
              <w:t>内</w:t>
            </w:r>
            <w:r>
              <w:rPr>
                <w:rFonts w:hint="default" w:ascii="Times New Roman" w:hAnsi="Times New Roman" w:cs="Times New Roman"/>
                <w:color w:val="auto"/>
                <w:sz w:val="24"/>
                <w:szCs w:val="24"/>
                <w:highlight w:val="none"/>
                <w:lang w:eastAsia="zh-CN"/>
              </w:rPr>
              <w:t>均</w:t>
            </w:r>
            <w:r>
              <w:rPr>
                <w:rFonts w:hint="default" w:ascii="Times New Roman" w:hAnsi="Times New Roman" w:cs="Times New Roman"/>
                <w:color w:val="auto"/>
                <w:sz w:val="24"/>
                <w:szCs w:val="24"/>
                <w:highlight w:val="none"/>
              </w:rPr>
              <w:t>没有敏感点，符合卫生防护距离要求</w:t>
            </w:r>
            <w:r>
              <w:rPr>
                <w:rFonts w:hint="default" w:ascii="Times New Roman" w:hAnsi="Times New Roman" w:cs="Times New Roman"/>
                <w:bCs/>
                <w:color w:val="auto"/>
                <w:sz w:val="24"/>
                <w:szCs w:val="24"/>
                <w:highlight w:val="none"/>
              </w:rPr>
              <w:t>。</w:t>
            </w:r>
            <w:r>
              <w:rPr>
                <w:rFonts w:hint="eastAsia" w:ascii="Times New Roman" w:hAnsi="Times New Roman" w:cs="Times New Roman"/>
                <w:bCs/>
                <w:color w:val="auto"/>
                <w:sz w:val="24"/>
                <w:szCs w:val="24"/>
                <w:highlight w:val="none"/>
                <w:lang w:val="en-US" w:eastAsia="zh-CN"/>
              </w:rPr>
              <w:t>距离项目最近的敏感点为西北面距离厂界86m，产污车间176m，筒仓搅拌区边界205m的新屋村散户。</w:t>
            </w:r>
            <w:r>
              <w:rPr>
                <w:rFonts w:hint="default" w:ascii="Times New Roman" w:hAnsi="Times New Roman" w:cs="Times New Roman"/>
                <w:bCs/>
                <w:color w:val="auto"/>
                <w:sz w:val="24"/>
                <w:highlight w:val="none"/>
              </w:rPr>
              <w:t>建议严禁在项目卫生防护距离范围内新建医院、学校、集中居民区等环境敏感建筑。</w:t>
            </w:r>
          </w:p>
          <w:p w14:paraId="6E1B6F2E">
            <w:pPr>
              <w:adjustRightInd w:val="0"/>
              <w:snapToGrid w:val="0"/>
              <w:spacing w:line="360" w:lineRule="auto"/>
              <w:ind w:firstLine="482" w:firstLineChars="200"/>
              <w:rPr>
                <w:rFonts w:hint="default" w:ascii="Times New Roman" w:hAnsi="Times New Roman" w:cs="Times New Roman"/>
                <w:b/>
                <w:bCs w:val="0"/>
                <w:color w:val="auto"/>
                <w:sz w:val="24"/>
                <w:szCs w:val="24"/>
                <w:highlight w:val="none"/>
                <w:lang w:val="en-US" w:eastAsia="zh-CN"/>
              </w:rPr>
            </w:pPr>
            <w:r>
              <w:rPr>
                <w:rFonts w:hint="default" w:ascii="Times New Roman" w:hAnsi="Times New Roman" w:cs="Times New Roman"/>
                <w:b/>
                <w:bCs w:val="0"/>
                <w:color w:val="auto"/>
                <w:sz w:val="24"/>
                <w:szCs w:val="24"/>
                <w:highlight w:val="none"/>
                <w:lang w:val="en-US" w:eastAsia="zh-CN"/>
              </w:rPr>
              <w:t>1.8大气环境影响评价结论</w:t>
            </w:r>
          </w:p>
          <w:p w14:paraId="4D9A9221">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cs="Times New Roman"/>
                <w:color w:val="auto"/>
                <w:sz w:val="24"/>
                <w:szCs w:val="24"/>
                <w:highlight w:val="none"/>
                <w:lang w:eastAsia="zh-CN"/>
              </w:rPr>
            </w:pPr>
            <w:r>
              <w:rPr>
                <w:rFonts w:hint="default" w:ascii="Times New Roman" w:hAnsi="Times New Roman" w:cs="Times New Roman"/>
                <w:bCs/>
                <w:color w:val="auto"/>
                <w:sz w:val="24"/>
                <w:szCs w:val="24"/>
                <w:highlight w:val="none"/>
                <w:lang w:val="en-US" w:eastAsia="zh-CN"/>
              </w:rPr>
              <w:t>本项目位于二类环境空气质量功能区，根据《2023年惠州市生态环境状况公报》资料显示，项目所在地环境质量各因子可达到《环境空气质量标准》（GB3095-2012）及其修改单中的二级标准浓度限值，博罗县环境空气质量保持稳定达标。根据监测结果，TSP可满足《环境空气质量标准》（GB3095-2012）二级标准及其修改单的要求，项目所在区域环境质量现状良好。本项目</w:t>
            </w:r>
            <w:r>
              <w:rPr>
                <w:rFonts w:hint="default" w:ascii="Times New Roman" w:hAnsi="Times New Roman" w:eastAsia="宋体" w:cs="Times New Roman"/>
                <w:color w:val="auto"/>
                <w:kern w:val="2"/>
                <w:sz w:val="24"/>
                <w:szCs w:val="24"/>
                <w:highlight w:val="none"/>
                <w:lang w:eastAsia="zh-CN"/>
              </w:rPr>
              <w:t>泥、粉煤灰筒仓粉尘、</w:t>
            </w:r>
            <w:r>
              <w:rPr>
                <w:rFonts w:hint="default" w:ascii="Times New Roman" w:hAnsi="Times New Roman" w:eastAsia="宋体" w:cs="Times New Roman"/>
                <w:color w:val="auto"/>
                <w:kern w:val="2"/>
                <w:sz w:val="24"/>
                <w:szCs w:val="24"/>
                <w:highlight w:val="none"/>
                <w:lang w:val="en-US" w:eastAsia="zh-CN"/>
              </w:rPr>
              <w:t>投料</w:t>
            </w:r>
            <w:r>
              <w:rPr>
                <w:rFonts w:hint="default" w:ascii="Times New Roman" w:hAnsi="Times New Roman" w:eastAsia="宋体" w:cs="Times New Roman"/>
                <w:color w:val="auto"/>
                <w:kern w:val="2"/>
                <w:sz w:val="24"/>
                <w:szCs w:val="24"/>
                <w:highlight w:val="none"/>
                <w:lang w:eastAsia="zh-CN"/>
              </w:rPr>
              <w:t>搅拌粉尘</w:t>
            </w:r>
            <w:r>
              <w:rPr>
                <w:rFonts w:hint="default" w:ascii="Times New Roman" w:hAnsi="Times New Roman" w:eastAsia="宋体" w:cs="Times New Roman"/>
                <w:color w:val="auto"/>
                <w:kern w:val="2"/>
                <w:sz w:val="24"/>
                <w:szCs w:val="24"/>
                <w:highlight w:val="none"/>
                <w:lang w:val="en-US" w:eastAsia="zh-CN"/>
              </w:rPr>
              <w:t>经设备自带布袋除尘器处理后无组织排放粉尘及料仓扬尘、车辆运输扬尘、卸料粉尘、物料输送粉无组织排放均</w:t>
            </w:r>
            <w:r>
              <w:rPr>
                <w:rFonts w:hint="default" w:ascii="Times New Roman" w:hAnsi="Times New Roman" w:eastAsia="宋体" w:cs="Times New Roman"/>
                <w:bCs/>
                <w:color w:val="auto"/>
                <w:sz w:val="24"/>
                <w:szCs w:val="24"/>
                <w:highlight w:val="none"/>
                <w:lang w:val="en-US" w:eastAsia="zh-CN"/>
              </w:rPr>
              <w:t>可满足</w:t>
            </w:r>
            <w:r>
              <w:rPr>
                <w:rFonts w:hint="default" w:ascii="Times New Roman" w:hAnsi="Times New Roman" w:eastAsia="宋体" w:cs="Times New Roman"/>
                <w:color w:val="auto"/>
                <w:kern w:val="2"/>
                <w:sz w:val="24"/>
                <w:szCs w:val="24"/>
                <w:highlight w:val="none"/>
              </w:rPr>
              <w:t>《水泥工业大气污染物排放标准》（GB4915-2013）中表3大气污染物无组织排放限值</w:t>
            </w:r>
            <w:r>
              <w:rPr>
                <w:rFonts w:hint="default" w:ascii="Times New Roman" w:hAnsi="Times New Roman" w:cs="Times New Roman"/>
                <w:color w:val="auto"/>
                <w:sz w:val="24"/>
                <w:szCs w:val="24"/>
                <w:highlight w:val="none"/>
                <w:lang w:eastAsia="zh-CN"/>
              </w:rPr>
              <w:t>；</w:t>
            </w:r>
          </w:p>
          <w:p w14:paraId="6FDD8989">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eastAsia="宋体" w:cs="Times New Roman"/>
                <w:color w:val="auto"/>
                <w:kern w:val="2"/>
                <w:sz w:val="24"/>
                <w:szCs w:val="24"/>
                <w:highlight w:val="none"/>
                <w:lang w:val="en-US" w:eastAsia="zh-CN"/>
              </w:rPr>
              <w:t>项目运营期运输车辆尾气无组织排放可满足《大气污染物排放限值》（DB44/27-2001）第二时段无组织排放监控浓度限值；</w:t>
            </w:r>
          </w:p>
          <w:p w14:paraId="63FB4359">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eastAsia="宋体" w:cs="Times New Roman"/>
                <w:color w:val="auto"/>
                <w:kern w:val="2"/>
                <w:sz w:val="24"/>
                <w:szCs w:val="24"/>
                <w:highlight w:val="none"/>
                <w:lang w:val="en-US" w:eastAsia="zh-CN"/>
              </w:rPr>
              <w:t>焊接工序产生的焊接烟尘经移动式烟尘净化器处理后无组织排放可满足广东省《大气污染物排放限值》（DB44/27-2001）第二时段无组织排放监控浓度限值；</w:t>
            </w:r>
          </w:p>
          <w:p w14:paraId="29F1BEAF">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cs="Times New Roman"/>
                <w:bCs/>
                <w:color w:val="auto"/>
                <w:sz w:val="24"/>
                <w:szCs w:val="24"/>
                <w:highlight w:val="none"/>
                <w:lang w:val="en-US" w:eastAsia="zh-CN"/>
              </w:rPr>
            </w:pPr>
            <w:r>
              <w:rPr>
                <w:rFonts w:hint="default" w:ascii="Times New Roman" w:hAnsi="Times New Roman" w:eastAsia="宋体" w:cs="Times New Roman"/>
                <w:color w:val="auto"/>
                <w:kern w:val="2"/>
                <w:sz w:val="24"/>
                <w:szCs w:val="24"/>
                <w:highlight w:val="none"/>
                <w:lang w:val="en-US" w:eastAsia="zh-CN"/>
              </w:rPr>
              <w:t>项目锅炉</w:t>
            </w:r>
            <w:r>
              <w:rPr>
                <w:rFonts w:hint="default" w:ascii="Times New Roman" w:hAnsi="Times New Roman" w:cs="Times New Roman"/>
                <w:color w:val="auto"/>
                <w:sz w:val="24"/>
                <w:highlight w:val="none"/>
                <w:lang w:val="en-US" w:eastAsia="zh-CN"/>
              </w:rPr>
              <w:t>天然气燃烧废气经低氮燃烧装置处理后有组织排放执行《锅炉大气污染物排放标准》（DB44/765-2019）表3特别排放限值</w:t>
            </w:r>
            <w:r>
              <w:rPr>
                <w:rFonts w:hint="default" w:ascii="Times New Roman" w:hAnsi="Times New Roman" w:cs="Times New Roman"/>
                <w:bCs/>
                <w:color w:val="auto"/>
                <w:sz w:val="24"/>
                <w:szCs w:val="24"/>
                <w:highlight w:val="none"/>
                <w:lang w:val="en-US" w:eastAsia="zh-CN"/>
              </w:rPr>
              <w:t>。</w:t>
            </w:r>
          </w:p>
          <w:p w14:paraId="604B49F4">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cs="Times New Roman"/>
                <w:bCs/>
                <w:color w:val="auto"/>
                <w:sz w:val="24"/>
                <w:szCs w:val="24"/>
                <w:highlight w:val="none"/>
                <w:lang w:val="en-US" w:eastAsia="zh-CN"/>
              </w:rPr>
            </w:pPr>
            <w:r>
              <w:rPr>
                <w:rFonts w:hint="default" w:ascii="Times New Roman" w:hAnsi="Times New Roman" w:cs="Times New Roman"/>
                <w:bCs/>
                <w:color w:val="auto"/>
                <w:sz w:val="24"/>
                <w:szCs w:val="24"/>
                <w:highlight w:val="none"/>
                <w:lang w:val="en-US" w:eastAsia="zh-CN"/>
              </w:rPr>
              <w:t>因此，项目运营期对周边大气环境影响可接受。</w:t>
            </w:r>
          </w:p>
          <w:p w14:paraId="196F8473">
            <w:pPr>
              <w:numPr>
                <w:ilvl w:val="0"/>
                <w:numId w:val="0"/>
              </w:numPr>
              <w:adjustRightInd w:val="0"/>
              <w:snapToGrid w:val="0"/>
              <w:spacing w:line="360" w:lineRule="auto"/>
              <w:ind w:leftChars="200"/>
              <w:rPr>
                <w:rFonts w:hint="default" w:ascii="Times New Roman" w:hAnsi="Times New Roman" w:cs="Times New Roman"/>
                <w:b/>
                <w:bCs/>
                <w:color w:val="auto"/>
                <w:sz w:val="24"/>
                <w:szCs w:val="24"/>
                <w:highlight w:val="none"/>
              </w:rPr>
            </w:pPr>
            <w:r>
              <w:rPr>
                <w:rFonts w:hint="default" w:ascii="Times New Roman" w:hAnsi="Times New Roman" w:cs="Times New Roman"/>
                <w:b/>
                <w:bCs/>
                <w:color w:val="auto"/>
                <w:sz w:val="24"/>
                <w:szCs w:val="24"/>
                <w:highlight w:val="none"/>
                <w:lang w:val="en-US" w:eastAsia="zh-CN"/>
              </w:rPr>
              <w:t>2</w:t>
            </w:r>
            <w:r>
              <w:rPr>
                <w:rFonts w:hint="default" w:ascii="Times New Roman" w:hAnsi="Times New Roman" w:cs="Times New Roman"/>
                <w:b/>
                <w:bCs/>
                <w:color w:val="auto"/>
                <w:sz w:val="24"/>
                <w:szCs w:val="24"/>
                <w:highlight w:val="none"/>
              </w:rPr>
              <w:t>废水</w:t>
            </w:r>
          </w:p>
          <w:p w14:paraId="5D497BB2">
            <w:pPr>
              <w:pStyle w:val="43"/>
              <w:numPr>
                <w:ilvl w:val="0"/>
                <w:numId w:val="0"/>
              </w:numPr>
              <w:ind w:leftChars="200" w:right="0" w:rightChars="0"/>
              <w:rPr>
                <w:rFonts w:hint="default" w:ascii="Times New Roman" w:hAnsi="Times New Roman"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2.1废水源强</w:t>
            </w:r>
          </w:p>
          <w:p w14:paraId="5227E1C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表</w:t>
            </w:r>
            <w:r>
              <w:rPr>
                <w:rFonts w:hint="default" w:ascii="Times New Roman" w:hAnsi="Times New Roman" w:cs="Times New Roman"/>
                <w:b/>
                <w:bCs/>
                <w:color w:val="auto"/>
                <w:sz w:val="21"/>
                <w:szCs w:val="21"/>
                <w:highlight w:val="none"/>
                <w:lang w:val="en-US" w:eastAsia="zh-CN"/>
              </w:rPr>
              <w:t xml:space="preserve">4-11 </w:t>
            </w:r>
            <w:r>
              <w:rPr>
                <w:rFonts w:hint="default" w:ascii="Times New Roman" w:hAnsi="Times New Roman" w:cs="Times New Roman"/>
                <w:b/>
                <w:bCs/>
                <w:color w:val="auto"/>
                <w:sz w:val="21"/>
                <w:szCs w:val="21"/>
                <w:highlight w:val="none"/>
              </w:rPr>
              <w:t>废项目水体污染物产排情况汇总情况</w:t>
            </w:r>
            <w:r>
              <w:rPr>
                <w:rFonts w:hint="default" w:ascii="Times New Roman" w:hAnsi="Times New Roman" w:cs="Times New Roman"/>
                <w:b/>
                <w:color w:val="auto"/>
                <w:sz w:val="21"/>
                <w:szCs w:val="21"/>
                <w:highlight w:val="none"/>
              </w:rPr>
              <w:t>一览表</w:t>
            </w:r>
          </w:p>
          <w:tbl>
            <w:tblPr>
              <w:tblStyle w:val="34"/>
              <w:tblW w:w="9135" w:type="dxa"/>
              <w:tblInd w:w="-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9"/>
              <w:gridCol w:w="866"/>
              <w:gridCol w:w="807"/>
              <w:gridCol w:w="837"/>
              <w:gridCol w:w="699"/>
              <w:gridCol w:w="645"/>
              <w:gridCol w:w="688"/>
              <w:gridCol w:w="687"/>
              <w:gridCol w:w="851"/>
              <w:gridCol w:w="745"/>
              <w:gridCol w:w="1239"/>
              <w:gridCol w:w="672"/>
            </w:tblGrid>
            <w:tr w14:paraId="2E01D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218" w:type="pct"/>
                  <w:vMerge w:val="restart"/>
                  <w:noWrap w:val="0"/>
                  <w:vAlign w:val="center"/>
                </w:tcPr>
                <w:p w14:paraId="6518F390">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产污环节</w:t>
                  </w:r>
                </w:p>
              </w:tc>
              <w:tc>
                <w:tcPr>
                  <w:tcW w:w="474" w:type="pct"/>
                  <w:vMerge w:val="restart"/>
                  <w:noWrap w:val="0"/>
                  <w:vAlign w:val="center"/>
                </w:tcPr>
                <w:p w14:paraId="61DCEEF5">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污染物种类</w:t>
                  </w:r>
                </w:p>
              </w:tc>
              <w:tc>
                <w:tcPr>
                  <w:tcW w:w="899" w:type="pct"/>
                  <w:gridSpan w:val="2"/>
                  <w:noWrap w:val="0"/>
                  <w:vAlign w:val="center"/>
                </w:tcPr>
                <w:p w14:paraId="416A7164">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污染物产生</w:t>
                  </w:r>
                </w:p>
              </w:tc>
              <w:tc>
                <w:tcPr>
                  <w:tcW w:w="1112" w:type="pct"/>
                  <w:gridSpan w:val="3"/>
                  <w:noWrap w:val="0"/>
                  <w:vAlign w:val="center"/>
                </w:tcPr>
                <w:p w14:paraId="37C89C6E">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治理措施</w:t>
                  </w:r>
                </w:p>
              </w:tc>
              <w:tc>
                <w:tcPr>
                  <w:tcW w:w="376" w:type="pct"/>
                  <w:vMerge w:val="restart"/>
                  <w:noWrap w:val="0"/>
                  <w:vAlign w:val="center"/>
                </w:tcPr>
                <w:p w14:paraId="291F0EAE">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废水排放量t/a</w:t>
                  </w:r>
                </w:p>
              </w:tc>
              <w:tc>
                <w:tcPr>
                  <w:tcW w:w="873" w:type="pct"/>
                  <w:gridSpan w:val="2"/>
                  <w:noWrap w:val="0"/>
                  <w:vAlign w:val="center"/>
                </w:tcPr>
                <w:p w14:paraId="388C0477">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污染物排放</w:t>
                  </w:r>
                </w:p>
              </w:tc>
              <w:tc>
                <w:tcPr>
                  <w:tcW w:w="678" w:type="pct"/>
                  <w:vMerge w:val="restart"/>
                  <w:noWrap w:val="0"/>
                  <w:vAlign w:val="center"/>
                </w:tcPr>
                <w:p w14:paraId="20142B72">
                  <w:pPr>
                    <w:adjustRightInd w:val="0"/>
                    <w:snapToGrid w:val="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rPr>
                    <w:t>排放</w:t>
                  </w:r>
                  <w:r>
                    <w:rPr>
                      <w:rFonts w:hint="default" w:ascii="Times New Roman" w:hAnsi="Times New Roman" w:cs="Times New Roman"/>
                      <w:b/>
                      <w:bCs/>
                      <w:color w:val="auto"/>
                      <w:sz w:val="21"/>
                      <w:szCs w:val="21"/>
                      <w:highlight w:val="none"/>
                      <w:lang w:val="en-US" w:eastAsia="zh-CN"/>
                    </w:rPr>
                    <w:t>规律</w:t>
                  </w:r>
                </w:p>
              </w:tc>
              <w:tc>
                <w:tcPr>
                  <w:tcW w:w="367" w:type="pct"/>
                  <w:vMerge w:val="restart"/>
                  <w:noWrap w:val="0"/>
                  <w:vAlign w:val="center"/>
                </w:tcPr>
                <w:p w14:paraId="02D39F8B">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排放</w:t>
                  </w:r>
                </w:p>
                <w:p w14:paraId="32F55053">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去向</w:t>
                  </w:r>
                </w:p>
              </w:tc>
            </w:tr>
            <w:tr w14:paraId="7F895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trPr>
              <w:tc>
                <w:tcPr>
                  <w:tcW w:w="218" w:type="pct"/>
                  <w:vMerge w:val="continue"/>
                  <w:noWrap w:val="0"/>
                  <w:vAlign w:val="center"/>
                </w:tcPr>
                <w:p w14:paraId="680724F7">
                  <w:pPr>
                    <w:adjustRightInd w:val="0"/>
                    <w:snapToGrid w:val="0"/>
                    <w:jc w:val="center"/>
                    <w:rPr>
                      <w:rFonts w:hint="default" w:ascii="Times New Roman" w:hAnsi="Times New Roman" w:cs="Times New Roman"/>
                      <w:b/>
                      <w:bCs/>
                      <w:color w:val="auto"/>
                      <w:sz w:val="21"/>
                      <w:szCs w:val="21"/>
                      <w:highlight w:val="none"/>
                    </w:rPr>
                  </w:pPr>
                </w:p>
              </w:tc>
              <w:tc>
                <w:tcPr>
                  <w:tcW w:w="474" w:type="pct"/>
                  <w:vMerge w:val="continue"/>
                  <w:noWrap w:val="0"/>
                  <w:vAlign w:val="center"/>
                </w:tcPr>
                <w:p w14:paraId="4354E3BC">
                  <w:pPr>
                    <w:adjustRightInd w:val="0"/>
                    <w:snapToGrid w:val="0"/>
                    <w:jc w:val="center"/>
                    <w:rPr>
                      <w:rFonts w:hint="default" w:ascii="Times New Roman" w:hAnsi="Times New Roman" w:cs="Times New Roman"/>
                      <w:b/>
                      <w:bCs/>
                      <w:color w:val="auto"/>
                      <w:sz w:val="21"/>
                      <w:szCs w:val="21"/>
                      <w:highlight w:val="none"/>
                    </w:rPr>
                  </w:pPr>
                </w:p>
              </w:tc>
              <w:tc>
                <w:tcPr>
                  <w:tcW w:w="441" w:type="pct"/>
                  <w:noWrap w:val="0"/>
                  <w:vAlign w:val="center"/>
                </w:tcPr>
                <w:p w14:paraId="2EFA20F8">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产生量t/a</w:t>
                  </w:r>
                </w:p>
              </w:tc>
              <w:tc>
                <w:tcPr>
                  <w:tcW w:w="458" w:type="pct"/>
                  <w:noWrap w:val="0"/>
                  <w:vAlign w:val="center"/>
                </w:tcPr>
                <w:p w14:paraId="6D1685E7">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产生浓度mg/L</w:t>
                  </w:r>
                </w:p>
              </w:tc>
              <w:tc>
                <w:tcPr>
                  <w:tcW w:w="382" w:type="pct"/>
                  <w:noWrap w:val="0"/>
                  <w:vAlign w:val="center"/>
                </w:tcPr>
                <w:p w14:paraId="08C622B0">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工艺</w:t>
                  </w:r>
                </w:p>
              </w:tc>
              <w:tc>
                <w:tcPr>
                  <w:tcW w:w="353" w:type="pct"/>
                  <w:noWrap w:val="0"/>
                  <w:vAlign w:val="center"/>
                </w:tcPr>
                <w:p w14:paraId="65A319EA">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治理效率%</w:t>
                  </w:r>
                </w:p>
              </w:tc>
              <w:tc>
                <w:tcPr>
                  <w:tcW w:w="376" w:type="pct"/>
                  <w:noWrap w:val="0"/>
                  <w:vAlign w:val="center"/>
                </w:tcPr>
                <w:p w14:paraId="56B50F28">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是否可行技术</w:t>
                  </w:r>
                </w:p>
              </w:tc>
              <w:tc>
                <w:tcPr>
                  <w:tcW w:w="376" w:type="pct"/>
                  <w:vMerge w:val="continue"/>
                  <w:noWrap w:val="0"/>
                  <w:vAlign w:val="center"/>
                </w:tcPr>
                <w:p w14:paraId="67FED45D">
                  <w:pPr>
                    <w:adjustRightInd w:val="0"/>
                    <w:snapToGrid w:val="0"/>
                    <w:jc w:val="center"/>
                    <w:rPr>
                      <w:rFonts w:hint="default" w:ascii="Times New Roman" w:hAnsi="Times New Roman" w:cs="Times New Roman"/>
                      <w:b/>
                      <w:bCs/>
                      <w:color w:val="auto"/>
                      <w:sz w:val="21"/>
                      <w:szCs w:val="21"/>
                      <w:highlight w:val="none"/>
                    </w:rPr>
                  </w:pPr>
                </w:p>
              </w:tc>
              <w:tc>
                <w:tcPr>
                  <w:tcW w:w="465" w:type="pct"/>
                  <w:noWrap w:val="0"/>
                  <w:vAlign w:val="center"/>
                </w:tcPr>
                <w:p w14:paraId="1C878359">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排放量t/a</w:t>
                  </w:r>
                </w:p>
              </w:tc>
              <w:tc>
                <w:tcPr>
                  <w:tcW w:w="407" w:type="pct"/>
                  <w:noWrap w:val="0"/>
                  <w:vAlign w:val="center"/>
                </w:tcPr>
                <w:p w14:paraId="04255FFC">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排放浓度mg/L</w:t>
                  </w:r>
                </w:p>
              </w:tc>
              <w:tc>
                <w:tcPr>
                  <w:tcW w:w="678" w:type="pct"/>
                  <w:vMerge w:val="continue"/>
                  <w:noWrap w:val="0"/>
                  <w:vAlign w:val="center"/>
                </w:tcPr>
                <w:p w14:paraId="50DD0E42">
                  <w:pPr>
                    <w:adjustRightInd w:val="0"/>
                    <w:snapToGrid w:val="0"/>
                    <w:jc w:val="center"/>
                    <w:rPr>
                      <w:rFonts w:hint="default" w:ascii="Times New Roman" w:hAnsi="Times New Roman" w:cs="Times New Roman"/>
                      <w:b/>
                      <w:bCs/>
                      <w:color w:val="auto"/>
                      <w:sz w:val="21"/>
                      <w:szCs w:val="21"/>
                      <w:highlight w:val="none"/>
                    </w:rPr>
                  </w:pPr>
                </w:p>
              </w:tc>
              <w:tc>
                <w:tcPr>
                  <w:tcW w:w="367" w:type="pct"/>
                  <w:vMerge w:val="continue"/>
                  <w:noWrap w:val="0"/>
                  <w:vAlign w:val="center"/>
                </w:tcPr>
                <w:p w14:paraId="75716232">
                  <w:pPr>
                    <w:adjustRightInd w:val="0"/>
                    <w:snapToGrid w:val="0"/>
                    <w:jc w:val="center"/>
                    <w:rPr>
                      <w:rFonts w:hint="default" w:ascii="Times New Roman" w:hAnsi="Times New Roman" w:cs="Times New Roman"/>
                      <w:b/>
                      <w:bCs/>
                      <w:color w:val="auto"/>
                      <w:sz w:val="21"/>
                      <w:szCs w:val="21"/>
                      <w:highlight w:val="none"/>
                    </w:rPr>
                  </w:pPr>
                </w:p>
              </w:tc>
            </w:tr>
            <w:tr w14:paraId="4064A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18" w:type="pct"/>
                  <w:vMerge w:val="restart"/>
                  <w:noWrap w:val="0"/>
                  <w:vAlign w:val="center"/>
                </w:tcPr>
                <w:p w14:paraId="00BA78F8">
                  <w:pPr>
                    <w:adjustRightInd w:val="0"/>
                    <w:snapToGrid w:val="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生活污水</w:t>
                  </w:r>
                </w:p>
              </w:tc>
              <w:tc>
                <w:tcPr>
                  <w:tcW w:w="474" w:type="pct"/>
                  <w:noWrap w:val="0"/>
                  <w:vAlign w:val="center"/>
                </w:tcPr>
                <w:p w14:paraId="02EF1AD9">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CODcr</w:t>
                  </w:r>
                </w:p>
              </w:tc>
              <w:tc>
                <w:tcPr>
                  <w:tcW w:w="807" w:type="dxa"/>
                  <w:noWrap w:val="0"/>
                  <w:vAlign w:val="center"/>
                </w:tcPr>
                <w:p w14:paraId="2F0E8791">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0.154 </w:t>
                  </w:r>
                </w:p>
              </w:tc>
              <w:tc>
                <w:tcPr>
                  <w:tcW w:w="458" w:type="pct"/>
                  <w:noWrap w:val="0"/>
                  <w:vAlign w:val="center"/>
                </w:tcPr>
                <w:p w14:paraId="46AADE0D">
                  <w:pPr>
                    <w:keepNext w:val="0"/>
                    <w:keepLines w:val="0"/>
                    <w:widowControl/>
                    <w:suppressLineNumbers w:val="0"/>
                    <w:jc w:val="center"/>
                    <w:textAlignment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285</w:t>
                  </w:r>
                </w:p>
              </w:tc>
              <w:tc>
                <w:tcPr>
                  <w:tcW w:w="382" w:type="pct"/>
                  <w:vMerge w:val="restart"/>
                  <w:noWrap w:val="0"/>
                  <w:vAlign w:val="center"/>
                </w:tcPr>
                <w:p w14:paraId="49B6B2F3">
                  <w:pPr>
                    <w:adjustRightInd w:val="0"/>
                    <w:snapToGrid w:val="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预处理+污水处理厂</w:t>
                  </w:r>
                </w:p>
              </w:tc>
              <w:tc>
                <w:tcPr>
                  <w:tcW w:w="353" w:type="pct"/>
                  <w:noWrap w:val="0"/>
                  <w:vAlign w:val="center"/>
                </w:tcPr>
                <w:p w14:paraId="37BD1D66">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82.5</w:t>
                  </w:r>
                </w:p>
              </w:tc>
              <w:tc>
                <w:tcPr>
                  <w:tcW w:w="376" w:type="pct"/>
                  <w:vMerge w:val="restart"/>
                  <w:noWrap w:val="0"/>
                  <w:vAlign w:val="center"/>
                </w:tcPr>
                <w:p w14:paraId="68922253">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是</w:t>
                  </w:r>
                </w:p>
              </w:tc>
              <w:tc>
                <w:tcPr>
                  <w:tcW w:w="376" w:type="pct"/>
                  <w:vMerge w:val="restart"/>
                  <w:noWrap w:val="0"/>
                  <w:vAlign w:val="center"/>
                </w:tcPr>
                <w:p w14:paraId="71448396">
                  <w:pPr>
                    <w:adjustRightInd w:val="0"/>
                    <w:snapToGrid w:val="0"/>
                    <w:jc w:val="center"/>
                    <w:rPr>
                      <w:rFonts w:hint="default" w:ascii="Times New Roman" w:hAnsi="Times New Roman" w:cs="Times New Roman"/>
                      <w:b/>
                      <w:bCs/>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540</w:t>
                  </w:r>
                </w:p>
              </w:tc>
              <w:tc>
                <w:tcPr>
                  <w:tcW w:w="851" w:type="dxa"/>
                  <w:noWrap w:val="0"/>
                  <w:vAlign w:val="center"/>
                </w:tcPr>
                <w:p w14:paraId="384CF316">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w:t>
                  </w:r>
                  <w:r>
                    <w:rPr>
                      <w:rFonts w:hint="eastAsia" w:ascii="Times New Roman" w:hAnsi="Times New Roman" w:eastAsia="宋体" w:cs="Times New Roman"/>
                      <w:color w:val="auto"/>
                      <w:sz w:val="21"/>
                      <w:szCs w:val="21"/>
                      <w:highlight w:val="none"/>
                      <w:lang w:val="en-US" w:eastAsia="zh-CN"/>
                    </w:rPr>
                    <w:t>16</w:t>
                  </w:r>
                  <w:r>
                    <w:rPr>
                      <w:rFonts w:hint="default" w:ascii="Times New Roman" w:hAnsi="Times New Roman" w:eastAsia="宋体" w:cs="Times New Roman"/>
                      <w:color w:val="auto"/>
                      <w:sz w:val="21"/>
                      <w:szCs w:val="21"/>
                      <w:highlight w:val="none"/>
                      <w:lang w:val="en-US" w:eastAsia="zh-CN"/>
                    </w:rPr>
                    <w:t xml:space="preserve"> </w:t>
                  </w:r>
                </w:p>
              </w:tc>
              <w:tc>
                <w:tcPr>
                  <w:tcW w:w="407" w:type="pct"/>
                  <w:noWrap w:val="0"/>
                  <w:vAlign w:val="center"/>
                </w:tcPr>
                <w:p w14:paraId="425371D7">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30</w:t>
                  </w:r>
                </w:p>
              </w:tc>
              <w:tc>
                <w:tcPr>
                  <w:tcW w:w="678" w:type="pct"/>
                  <w:vMerge w:val="restart"/>
                  <w:noWrap w:val="0"/>
                  <w:vAlign w:val="center"/>
                </w:tcPr>
                <w:p w14:paraId="03D5DEC6">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间断排放，排放期间流量不稳定且无规律，但不属于冲击型排放</w:t>
                  </w:r>
                </w:p>
              </w:tc>
              <w:tc>
                <w:tcPr>
                  <w:tcW w:w="367" w:type="pct"/>
                  <w:vMerge w:val="restart"/>
                  <w:noWrap w:val="0"/>
                  <w:vAlign w:val="center"/>
                </w:tcPr>
                <w:p w14:paraId="3D14F79C">
                  <w:pPr>
                    <w:adjustRightInd w:val="0"/>
                    <w:snapToGrid w:val="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博罗县罗阳街道小金生活污水处理厂</w:t>
                  </w:r>
                </w:p>
              </w:tc>
            </w:tr>
            <w:tr w14:paraId="258AD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218" w:type="pct"/>
                  <w:vMerge w:val="continue"/>
                  <w:noWrap w:val="0"/>
                  <w:vAlign w:val="center"/>
                </w:tcPr>
                <w:p w14:paraId="03B807C0">
                  <w:pPr>
                    <w:adjustRightInd w:val="0"/>
                    <w:snapToGrid w:val="0"/>
                    <w:jc w:val="center"/>
                    <w:rPr>
                      <w:rFonts w:hint="default" w:ascii="Times New Roman" w:hAnsi="Times New Roman" w:cs="Times New Roman"/>
                      <w:color w:val="auto"/>
                      <w:sz w:val="21"/>
                      <w:szCs w:val="21"/>
                      <w:highlight w:val="none"/>
                    </w:rPr>
                  </w:pPr>
                </w:p>
              </w:tc>
              <w:tc>
                <w:tcPr>
                  <w:tcW w:w="474" w:type="pct"/>
                  <w:noWrap w:val="0"/>
                  <w:vAlign w:val="center"/>
                </w:tcPr>
                <w:p w14:paraId="14800E8A">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BOD</w:t>
                  </w:r>
                  <w:r>
                    <w:rPr>
                      <w:rFonts w:hint="default" w:ascii="Times New Roman" w:hAnsi="Times New Roman" w:cs="Times New Roman"/>
                      <w:color w:val="auto"/>
                      <w:sz w:val="21"/>
                      <w:szCs w:val="21"/>
                      <w:highlight w:val="none"/>
                      <w:vertAlign w:val="subscript"/>
                    </w:rPr>
                    <w:t>5</w:t>
                  </w:r>
                </w:p>
              </w:tc>
              <w:tc>
                <w:tcPr>
                  <w:tcW w:w="807" w:type="dxa"/>
                  <w:noWrap w:val="0"/>
                  <w:vAlign w:val="center"/>
                </w:tcPr>
                <w:p w14:paraId="48CCEED5">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0.108 </w:t>
                  </w:r>
                </w:p>
              </w:tc>
              <w:tc>
                <w:tcPr>
                  <w:tcW w:w="458" w:type="pct"/>
                  <w:noWrap w:val="0"/>
                  <w:vAlign w:val="center"/>
                </w:tcPr>
                <w:p w14:paraId="4A5C29BD">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200</w:t>
                  </w:r>
                </w:p>
              </w:tc>
              <w:tc>
                <w:tcPr>
                  <w:tcW w:w="382" w:type="pct"/>
                  <w:vMerge w:val="continue"/>
                  <w:noWrap w:val="0"/>
                  <w:vAlign w:val="center"/>
                </w:tcPr>
                <w:p w14:paraId="1B2B8749">
                  <w:pPr>
                    <w:adjustRightInd w:val="0"/>
                    <w:snapToGrid w:val="0"/>
                    <w:jc w:val="center"/>
                    <w:rPr>
                      <w:rFonts w:hint="default" w:ascii="Times New Roman" w:hAnsi="Times New Roman" w:cs="Times New Roman"/>
                      <w:b/>
                      <w:bCs/>
                      <w:color w:val="auto"/>
                      <w:sz w:val="21"/>
                      <w:szCs w:val="21"/>
                      <w:highlight w:val="none"/>
                    </w:rPr>
                  </w:pPr>
                </w:p>
              </w:tc>
              <w:tc>
                <w:tcPr>
                  <w:tcW w:w="353" w:type="pct"/>
                  <w:noWrap w:val="0"/>
                  <w:vAlign w:val="center"/>
                </w:tcPr>
                <w:p w14:paraId="1B4876D3">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95.0 </w:t>
                  </w:r>
                </w:p>
              </w:tc>
              <w:tc>
                <w:tcPr>
                  <w:tcW w:w="376" w:type="pct"/>
                  <w:vMerge w:val="continue"/>
                  <w:noWrap w:val="0"/>
                  <w:vAlign w:val="center"/>
                </w:tcPr>
                <w:p w14:paraId="45E7725B">
                  <w:pPr>
                    <w:adjustRightInd w:val="0"/>
                    <w:snapToGrid w:val="0"/>
                    <w:jc w:val="center"/>
                    <w:rPr>
                      <w:rFonts w:hint="default" w:ascii="Times New Roman" w:hAnsi="Times New Roman" w:cs="Times New Roman"/>
                      <w:b/>
                      <w:bCs/>
                      <w:color w:val="auto"/>
                      <w:sz w:val="21"/>
                      <w:szCs w:val="21"/>
                      <w:highlight w:val="none"/>
                    </w:rPr>
                  </w:pPr>
                </w:p>
              </w:tc>
              <w:tc>
                <w:tcPr>
                  <w:tcW w:w="376" w:type="pct"/>
                  <w:vMerge w:val="continue"/>
                  <w:noWrap w:val="0"/>
                  <w:vAlign w:val="center"/>
                </w:tcPr>
                <w:p w14:paraId="400D0D0E">
                  <w:pPr>
                    <w:adjustRightInd w:val="0"/>
                    <w:snapToGrid w:val="0"/>
                    <w:jc w:val="center"/>
                    <w:rPr>
                      <w:rFonts w:hint="default" w:ascii="Times New Roman" w:hAnsi="Times New Roman" w:cs="Times New Roman"/>
                      <w:b/>
                      <w:bCs/>
                      <w:color w:val="auto"/>
                      <w:sz w:val="21"/>
                      <w:szCs w:val="21"/>
                      <w:highlight w:val="none"/>
                    </w:rPr>
                  </w:pPr>
                </w:p>
              </w:tc>
              <w:tc>
                <w:tcPr>
                  <w:tcW w:w="851" w:type="dxa"/>
                  <w:noWrap w:val="0"/>
                  <w:vAlign w:val="center"/>
                </w:tcPr>
                <w:p w14:paraId="58817C2C">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0.005 </w:t>
                  </w:r>
                </w:p>
              </w:tc>
              <w:tc>
                <w:tcPr>
                  <w:tcW w:w="407" w:type="pct"/>
                  <w:noWrap w:val="0"/>
                  <w:vAlign w:val="center"/>
                </w:tcPr>
                <w:p w14:paraId="3A22CC04">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10</w:t>
                  </w:r>
                </w:p>
              </w:tc>
              <w:tc>
                <w:tcPr>
                  <w:tcW w:w="678" w:type="pct"/>
                  <w:vMerge w:val="continue"/>
                  <w:noWrap w:val="0"/>
                  <w:vAlign w:val="center"/>
                </w:tcPr>
                <w:p w14:paraId="6F45CE7D">
                  <w:pPr>
                    <w:adjustRightInd w:val="0"/>
                    <w:snapToGrid w:val="0"/>
                    <w:jc w:val="center"/>
                    <w:rPr>
                      <w:rFonts w:hint="default" w:ascii="Times New Roman" w:hAnsi="Times New Roman" w:cs="Times New Roman"/>
                      <w:b/>
                      <w:bCs/>
                      <w:color w:val="auto"/>
                      <w:sz w:val="21"/>
                      <w:szCs w:val="21"/>
                      <w:highlight w:val="none"/>
                    </w:rPr>
                  </w:pPr>
                </w:p>
              </w:tc>
              <w:tc>
                <w:tcPr>
                  <w:tcW w:w="367" w:type="pct"/>
                  <w:vMerge w:val="continue"/>
                  <w:noWrap w:val="0"/>
                  <w:vAlign w:val="center"/>
                </w:tcPr>
                <w:p w14:paraId="1CDA0EDB">
                  <w:pPr>
                    <w:adjustRightInd w:val="0"/>
                    <w:snapToGrid w:val="0"/>
                    <w:jc w:val="center"/>
                    <w:rPr>
                      <w:rFonts w:hint="default" w:ascii="Times New Roman" w:hAnsi="Times New Roman" w:cs="Times New Roman"/>
                      <w:b/>
                      <w:bCs/>
                      <w:color w:val="auto"/>
                      <w:sz w:val="21"/>
                      <w:szCs w:val="21"/>
                      <w:highlight w:val="none"/>
                    </w:rPr>
                  </w:pPr>
                </w:p>
              </w:tc>
            </w:tr>
            <w:tr w14:paraId="51203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218" w:type="pct"/>
                  <w:vMerge w:val="continue"/>
                  <w:noWrap w:val="0"/>
                  <w:vAlign w:val="center"/>
                </w:tcPr>
                <w:p w14:paraId="111B7EAD">
                  <w:pPr>
                    <w:adjustRightInd w:val="0"/>
                    <w:snapToGrid w:val="0"/>
                    <w:jc w:val="center"/>
                    <w:rPr>
                      <w:rFonts w:hint="default" w:ascii="Times New Roman" w:hAnsi="Times New Roman" w:cs="Times New Roman"/>
                      <w:color w:val="auto"/>
                      <w:sz w:val="21"/>
                      <w:szCs w:val="21"/>
                      <w:highlight w:val="none"/>
                    </w:rPr>
                  </w:pPr>
                </w:p>
              </w:tc>
              <w:tc>
                <w:tcPr>
                  <w:tcW w:w="474" w:type="pct"/>
                  <w:noWrap w:val="0"/>
                  <w:vAlign w:val="center"/>
                </w:tcPr>
                <w:p w14:paraId="06B344D1">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SS</w:t>
                  </w:r>
                </w:p>
              </w:tc>
              <w:tc>
                <w:tcPr>
                  <w:tcW w:w="807" w:type="dxa"/>
                  <w:noWrap w:val="0"/>
                  <w:vAlign w:val="center"/>
                </w:tcPr>
                <w:p w14:paraId="685896E3">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0.119 </w:t>
                  </w:r>
                </w:p>
              </w:tc>
              <w:tc>
                <w:tcPr>
                  <w:tcW w:w="458" w:type="pct"/>
                  <w:noWrap w:val="0"/>
                  <w:vAlign w:val="center"/>
                </w:tcPr>
                <w:p w14:paraId="69061A11">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220</w:t>
                  </w:r>
                </w:p>
              </w:tc>
              <w:tc>
                <w:tcPr>
                  <w:tcW w:w="382" w:type="pct"/>
                  <w:vMerge w:val="continue"/>
                  <w:noWrap w:val="0"/>
                  <w:vAlign w:val="center"/>
                </w:tcPr>
                <w:p w14:paraId="6F2D69F7">
                  <w:pPr>
                    <w:adjustRightInd w:val="0"/>
                    <w:snapToGrid w:val="0"/>
                    <w:jc w:val="center"/>
                    <w:rPr>
                      <w:rFonts w:hint="default" w:ascii="Times New Roman" w:hAnsi="Times New Roman" w:cs="Times New Roman"/>
                      <w:b/>
                      <w:bCs/>
                      <w:color w:val="auto"/>
                      <w:sz w:val="21"/>
                      <w:szCs w:val="21"/>
                      <w:highlight w:val="none"/>
                    </w:rPr>
                  </w:pPr>
                </w:p>
              </w:tc>
              <w:tc>
                <w:tcPr>
                  <w:tcW w:w="353" w:type="pct"/>
                  <w:noWrap w:val="0"/>
                  <w:vAlign w:val="center"/>
                </w:tcPr>
                <w:p w14:paraId="2C44E8E0">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95.5 </w:t>
                  </w:r>
                </w:p>
              </w:tc>
              <w:tc>
                <w:tcPr>
                  <w:tcW w:w="376" w:type="pct"/>
                  <w:vMerge w:val="continue"/>
                  <w:noWrap w:val="0"/>
                  <w:vAlign w:val="center"/>
                </w:tcPr>
                <w:p w14:paraId="0AC58DB7">
                  <w:pPr>
                    <w:adjustRightInd w:val="0"/>
                    <w:snapToGrid w:val="0"/>
                    <w:jc w:val="center"/>
                    <w:rPr>
                      <w:rFonts w:hint="default" w:ascii="Times New Roman" w:hAnsi="Times New Roman" w:cs="Times New Roman"/>
                      <w:b/>
                      <w:bCs/>
                      <w:color w:val="auto"/>
                      <w:sz w:val="21"/>
                      <w:szCs w:val="21"/>
                      <w:highlight w:val="none"/>
                    </w:rPr>
                  </w:pPr>
                </w:p>
              </w:tc>
              <w:tc>
                <w:tcPr>
                  <w:tcW w:w="376" w:type="pct"/>
                  <w:vMerge w:val="continue"/>
                  <w:noWrap w:val="0"/>
                  <w:vAlign w:val="center"/>
                </w:tcPr>
                <w:p w14:paraId="19C0DBF5">
                  <w:pPr>
                    <w:adjustRightInd w:val="0"/>
                    <w:snapToGrid w:val="0"/>
                    <w:jc w:val="center"/>
                    <w:rPr>
                      <w:rFonts w:hint="default" w:ascii="Times New Roman" w:hAnsi="Times New Roman" w:cs="Times New Roman"/>
                      <w:b/>
                      <w:bCs/>
                      <w:color w:val="auto"/>
                      <w:sz w:val="21"/>
                      <w:szCs w:val="21"/>
                      <w:highlight w:val="none"/>
                    </w:rPr>
                  </w:pPr>
                </w:p>
              </w:tc>
              <w:tc>
                <w:tcPr>
                  <w:tcW w:w="851" w:type="dxa"/>
                  <w:noWrap w:val="0"/>
                  <w:vAlign w:val="center"/>
                </w:tcPr>
                <w:p w14:paraId="65BB0222">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0.005 </w:t>
                  </w:r>
                </w:p>
              </w:tc>
              <w:tc>
                <w:tcPr>
                  <w:tcW w:w="407" w:type="pct"/>
                  <w:noWrap w:val="0"/>
                  <w:vAlign w:val="center"/>
                </w:tcPr>
                <w:p w14:paraId="520D7002">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10</w:t>
                  </w:r>
                </w:p>
              </w:tc>
              <w:tc>
                <w:tcPr>
                  <w:tcW w:w="678" w:type="pct"/>
                  <w:vMerge w:val="continue"/>
                  <w:noWrap w:val="0"/>
                  <w:vAlign w:val="center"/>
                </w:tcPr>
                <w:p w14:paraId="7CBF2FA5">
                  <w:pPr>
                    <w:adjustRightInd w:val="0"/>
                    <w:snapToGrid w:val="0"/>
                    <w:jc w:val="center"/>
                    <w:rPr>
                      <w:rFonts w:hint="default" w:ascii="Times New Roman" w:hAnsi="Times New Roman" w:cs="Times New Roman"/>
                      <w:b/>
                      <w:bCs/>
                      <w:color w:val="auto"/>
                      <w:sz w:val="21"/>
                      <w:szCs w:val="21"/>
                      <w:highlight w:val="none"/>
                    </w:rPr>
                  </w:pPr>
                </w:p>
              </w:tc>
              <w:tc>
                <w:tcPr>
                  <w:tcW w:w="367" w:type="pct"/>
                  <w:vMerge w:val="continue"/>
                  <w:noWrap w:val="0"/>
                  <w:vAlign w:val="center"/>
                </w:tcPr>
                <w:p w14:paraId="6B57CF33">
                  <w:pPr>
                    <w:adjustRightInd w:val="0"/>
                    <w:snapToGrid w:val="0"/>
                    <w:jc w:val="center"/>
                    <w:rPr>
                      <w:rFonts w:hint="default" w:ascii="Times New Roman" w:hAnsi="Times New Roman" w:cs="Times New Roman"/>
                      <w:b/>
                      <w:bCs/>
                      <w:color w:val="auto"/>
                      <w:sz w:val="21"/>
                      <w:szCs w:val="21"/>
                      <w:highlight w:val="none"/>
                    </w:rPr>
                  </w:pPr>
                </w:p>
              </w:tc>
            </w:tr>
            <w:tr w14:paraId="2292A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218" w:type="pct"/>
                  <w:vMerge w:val="continue"/>
                  <w:noWrap w:val="0"/>
                  <w:vAlign w:val="center"/>
                </w:tcPr>
                <w:p w14:paraId="672F3659">
                  <w:pPr>
                    <w:adjustRightInd w:val="0"/>
                    <w:snapToGrid w:val="0"/>
                    <w:jc w:val="center"/>
                    <w:rPr>
                      <w:rFonts w:hint="default" w:ascii="Times New Roman" w:hAnsi="Times New Roman" w:cs="Times New Roman"/>
                      <w:color w:val="auto"/>
                      <w:sz w:val="21"/>
                      <w:szCs w:val="21"/>
                      <w:highlight w:val="none"/>
                    </w:rPr>
                  </w:pPr>
                </w:p>
              </w:tc>
              <w:tc>
                <w:tcPr>
                  <w:tcW w:w="474" w:type="pct"/>
                  <w:noWrap w:val="0"/>
                  <w:vAlign w:val="center"/>
                </w:tcPr>
                <w:p w14:paraId="66A326B0">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NH</w:t>
                  </w:r>
                  <w:r>
                    <w:rPr>
                      <w:rFonts w:hint="default" w:ascii="Times New Roman" w:hAnsi="Times New Roman" w:cs="Times New Roman"/>
                      <w:color w:val="auto"/>
                      <w:sz w:val="21"/>
                      <w:szCs w:val="21"/>
                      <w:highlight w:val="none"/>
                      <w:vertAlign w:val="subscript"/>
                    </w:rPr>
                    <w:t>3</w:t>
                  </w:r>
                  <w:r>
                    <w:rPr>
                      <w:rFonts w:hint="default" w:ascii="Times New Roman" w:hAnsi="Times New Roman" w:cs="Times New Roman"/>
                      <w:color w:val="auto"/>
                      <w:sz w:val="21"/>
                      <w:szCs w:val="21"/>
                      <w:highlight w:val="none"/>
                    </w:rPr>
                    <w:t>-N</w:t>
                  </w:r>
                </w:p>
              </w:tc>
              <w:tc>
                <w:tcPr>
                  <w:tcW w:w="807" w:type="dxa"/>
                  <w:noWrap w:val="0"/>
                  <w:vAlign w:val="center"/>
                </w:tcPr>
                <w:p w14:paraId="3810A7F1">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0.015 </w:t>
                  </w:r>
                </w:p>
              </w:tc>
              <w:tc>
                <w:tcPr>
                  <w:tcW w:w="458" w:type="pct"/>
                  <w:noWrap w:val="0"/>
                  <w:vAlign w:val="center"/>
                </w:tcPr>
                <w:p w14:paraId="2A535527">
                  <w:pPr>
                    <w:keepNext w:val="0"/>
                    <w:keepLines w:val="0"/>
                    <w:widowControl/>
                    <w:suppressLineNumbers w:val="0"/>
                    <w:jc w:val="center"/>
                    <w:textAlignment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28.3</w:t>
                  </w:r>
                </w:p>
              </w:tc>
              <w:tc>
                <w:tcPr>
                  <w:tcW w:w="382" w:type="pct"/>
                  <w:vMerge w:val="continue"/>
                  <w:noWrap w:val="0"/>
                  <w:vAlign w:val="center"/>
                </w:tcPr>
                <w:p w14:paraId="6F5CB832">
                  <w:pPr>
                    <w:adjustRightInd w:val="0"/>
                    <w:snapToGrid w:val="0"/>
                    <w:jc w:val="center"/>
                    <w:rPr>
                      <w:rFonts w:hint="default" w:ascii="Times New Roman" w:hAnsi="Times New Roman" w:cs="Times New Roman"/>
                      <w:b/>
                      <w:bCs/>
                      <w:color w:val="auto"/>
                      <w:sz w:val="21"/>
                      <w:szCs w:val="21"/>
                      <w:highlight w:val="none"/>
                    </w:rPr>
                  </w:pPr>
                </w:p>
              </w:tc>
              <w:tc>
                <w:tcPr>
                  <w:tcW w:w="353" w:type="pct"/>
                  <w:noWrap w:val="0"/>
                  <w:vAlign w:val="center"/>
                </w:tcPr>
                <w:p w14:paraId="21D6A6D7">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82.3</w:t>
                  </w:r>
                </w:p>
              </w:tc>
              <w:tc>
                <w:tcPr>
                  <w:tcW w:w="376" w:type="pct"/>
                  <w:vMerge w:val="continue"/>
                  <w:noWrap w:val="0"/>
                  <w:vAlign w:val="center"/>
                </w:tcPr>
                <w:p w14:paraId="1BE85F9C">
                  <w:pPr>
                    <w:adjustRightInd w:val="0"/>
                    <w:snapToGrid w:val="0"/>
                    <w:jc w:val="center"/>
                    <w:rPr>
                      <w:rFonts w:hint="default" w:ascii="Times New Roman" w:hAnsi="Times New Roman" w:cs="Times New Roman"/>
                      <w:b/>
                      <w:bCs/>
                      <w:color w:val="auto"/>
                      <w:sz w:val="21"/>
                      <w:szCs w:val="21"/>
                      <w:highlight w:val="none"/>
                    </w:rPr>
                  </w:pPr>
                </w:p>
              </w:tc>
              <w:tc>
                <w:tcPr>
                  <w:tcW w:w="376" w:type="pct"/>
                  <w:vMerge w:val="continue"/>
                  <w:noWrap w:val="0"/>
                  <w:vAlign w:val="center"/>
                </w:tcPr>
                <w:p w14:paraId="1221241F">
                  <w:pPr>
                    <w:adjustRightInd w:val="0"/>
                    <w:snapToGrid w:val="0"/>
                    <w:jc w:val="center"/>
                    <w:rPr>
                      <w:rFonts w:hint="default" w:ascii="Times New Roman" w:hAnsi="Times New Roman" w:cs="Times New Roman"/>
                      <w:b/>
                      <w:bCs/>
                      <w:color w:val="auto"/>
                      <w:sz w:val="21"/>
                      <w:szCs w:val="21"/>
                      <w:highlight w:val="none"/>
                    </w:rPr>
                  </w:pPr>
                </w:p>
              </w:tc>
              <w:tc>
                <w:tcPr>
                  <w:tcW w:w="851" w:type="dxa"/>
                  <w:noWrap w:val="0"/>
                  <w:vAlign w:val="center"/>
                </w:tcPr>
                <w:p w14:paraId="16FAD683">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0.00</w:t>
                  </w:r>
                  <w:r>
                    <w:rPr>
                      <w:rFonts w:hint="eastAsia" w:ascii="Times New Roman" w:hAnsi="Times New Roman" w:eastAsia="宋体" w:cs="Times New Roman"/>
                      <w:color w:val="auto"/>
                      <w:sz w:val="21"/>
                      <w:szCs w:val="21"/>
                      <w:highlight w:val="none"/>
                      <w:lang w:val="en-US" w:eastAsia="zh-CN"/>
                    </w:rPr>
                    <w:t>1</w:t>
                  </w:r>
                </w:p>
              </w:tc>
              <w:tc>
                <w:tcPr>
                  <w:tcW w:w="407" w:type="pct"/>
                  <w:noWrap w:val="0"/>
                  <w:vAlign w:val="center"/>
                </w:tcPr>
                <w:p w14:paraId="03D5DE6C">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1.5</w:t>
                  </w:r>
                </w:p>
              </w:tc>
              <w:tc>
                <w:tcPr>
                  <w:tcW w:w="678" w:type="pct"/>
                  <w:vMerge w:val="continue"/>
                  <w:noWrap w:val="0"/>
                  <w:vAlign w:val="center"/>
                </w:tcPr>
                <w:p w14:paraId="4198E740">
                  <w:pPr>
                    <w:adjustRightInd w:val="0"/>
                    <w:snapToGrid w:val="0"/>
                    <w:jc w:val="center"/>
                    <w:rPr>
                      <w:rFonts w:hint="default" w:ascii="Times New Roman" w:hAnsi="Times New Roman" w:cs="Times New Roman"/>
                      <w:b/>
                      <w:bCs/>
                      <w:color w:val="auto"/>
                      <w:sz w:val="21"/>
                      <w:szCs w:val="21"/>
                      <w:highlight w:val="none"/>
                    </w:rPr>
                  </w:pPr>
                </w:p>
              </w:tc>
              <w:tc>
                <w:tcPr>
                  <w:tcW w:w="367" w:type="pct"/>
                  <w:vMerge w:val="continue"/>
                  <w:noWrap w:val="0"/>
                  <w:vAlign w:val="center"/>
                </w:tcPr>
                <w:p w14:paraId="0904AD32">
                  <w:pPr>
                    <w:adjustRightInd w:val="0"/>
                    <w:snapToGrid w:val="0"/>
                    <w:jc w:val="center"/>
                    <w:rPr>
                      <w:rFonts w:hint="default" w:ascii="Times New Roman" w:hAnsi="Times New Roman" w:cs="Times New Roman"/>
                      <w:b/>
                      <w:bCs/>
                      <w:color w:val="auto"/>
                      <w:sz w:val="21"/>
                      <w:szCs w:val="21"/>
                      <w:highlight w:val="none"/>
                    </w:rPr>
                  </w:pPr>
                </w:p>
              </w:tc>
            </w:tr>
            <w:tr w14:paraId="43EF6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218" w:type="pct"/>
                  <w:vMerge w:val="continue"/>
                  <w:noWrap w:val="0"/>
                  <w:vAlign w:val="center"/>
                </w:tcPr>
                <w:p w14:paraId="0B43A3D3">
                  <w:pPr>
                    <w:adjustRightInd w:val="0"/>
                    <w:snapToGrid w:val="0"/>
                    <w:jc w:val="center"/>
                    <w:rPr>
                      <w:rFonts w:hint="default" w:ascii="Times New Roman" w:hAnsi="Times New Roman" w:cs="Times New Roman"/>
                      <w:color w:val="auto"/>
                      <w:sz w:val="21"/>
                      <w:szCs w:val="21"/>
                      <w:highlight w:val="none"/>
                    </w:rPr>
                  </w:pPr>
                </w:p>
              </w:tc>
              <w:tc>
                <w:tcPr>
                  <w:tcW w:w="474" w:type="pct"/>
                  <w:noWrap w:val="0"/>
                  <w:vAlign w:val="center"/>
                </w:tcPr>
                <w:p w14:paraId="04803924">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总磷</w:t>
                  </w:r>
                </w:p>
              </w:tc>
              <w:tc>
                <w:tcPr>
                  <w:tcW w:w="807" w:type="dxa"/>
                  <w:noWrap w:val="0"/>
                  <w:vAlign w:val="center"/>
                </w:tcPr>
                <w:p w14:paraId="1AD435B5">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0.002 </w:t>
                  </w:r>
                </w:p>
              </w:tc>
              <w:tc>
                <w:tcPr>
                  <w:tcW w:w="458" w:type="pct"/>
                  <w:noWrap w:val="0"/>
                  <w:vAlign w:val="center"/>
                </w:tcPr>
                <w:p w14:paraId="7A32F6D5">
                  <w:pPr>
                    <w:keepNext w:val="0"/>
                    <w:keepLines w:val="0"/>
                    <w:widowControl/>
                    <w:suppressLineNumbers w:val="0"/>
                    <w:jc w:val="center"/>
                    <w:textAlignment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4.1</w:t>
                  </w:r>
                </w:p>
              </w:tc>
              <w:tc>
                <w:tcPr>
                  <w:tcW w:w="382" w:type="pct"/>
                  <w:vMerge w:val="continue"/>
                  <w:noWrap w:val="0"/>
                  <w:vAlign w:val="center"/>
                </w:tcPr>
                <w:p w14:paraId="16EE13CF">
                  <w:pPr>
                    <w:adjustRightInd w:val="0"/>
                    <w:snapToGrid w:val="0"/>
                    <w:jc w:val="center"/>
                    <w:rPr>
                      <w:rFonts w:hint="default" w:ascii="Times New Roman" w:hAnsi="Times New Roman" w:cs="Times New Roman"/>
                      <w:b/>
                      <w:bCs/>
                      <w:color w:val="auto"/>
                      <w:sz w:val="21"/>
                      <w:szCs w:val="21"/>
                      <w:highlight w:val="none"/>
                    </w:rPr>
                  </w:pPr>
                </w:p>
              </w:tc>
              <w:tc>
                <w:tcPr>
                  <w:tcW w:w="353" w:type="pct"/>
                  <w:noWrap w:val="0"/>
                  <w:vAlign w:val="center"/>
                </w:tcPr>
                <w:p w14:paraId="6A210374">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87.8 </w:t>
                  </w:r>
                </w:p>
              </w:tc>
              <w:tc>
                <w:tcPr>
                  <w:tcW w:w="376" w:type="pct"/>
                  <w:vMerge w:val="continue"/>
                  <w:noWrap w:val="0"/>
                  <w:vAlign w:val="center"/>
                </w:tcPr>
                <w:p w14:paraId="3C54D5D7">
                  <w:pPr>
                    <w:adjustRightInd w:val="0"/>
                    <w:snapToGrid w:val="0"/>
                    <w:jc w:val="center"/>
                    <w:rPr>
                      <w:rFonts w:hint="default" w:ascii="Times New Roman" w:hAnsi="Times New Roman" w:cs="Times New Roman"/>
                      <w:b/>
                      <w:bCs/>
                      <w:color w:val="auto"/>
                      <w:sz w:val="21"/>
                      <w:szCs w:val="21"/>
                      <w:highlight w:val="none"/>
                    </w:rPr>
                  </w:pPr>
                </w:p>
              </w:tc>
              <w:tc>
                <w:tcPr>
                  <w:tcW w:w="376" w:type="pct"/>
                  <w:vMerge w:val="continue"/>
                  <w:noWrap w:val="0"/>
                  <w:vAlign w:val="center"/>
                </w:tcPr>
                <w:p w14:paraId="576BF457">
                  <w:pPr>
                    <w:adjustRightInd w:val="0"/>
                    <w:snapToGrid w:val="0"/>
                    <w:jc w:val="center"/>
                    <w:rPr>
                      <w:rFonts w:hint="default" w:ascii="Times New Roman" w:hAnsi="Times New Roman" w:cs="Times New Roman"/>
                      <w:b/>
                      <w:bCs/>
                      <w:color w:val="auto"/>
                      <w:sz w:val="21"/>
                      <w:szCs w:val="21"/>
                      <w:highlight w:val="none"/>
                    </w:rPr>
                  </w:pPr>
                </w:p>
              </w:tc>
              <w:tc>
                <w:tcPr>
                  <w:tcW w:w="851" w:type="dxa"/>
                  <w:noWrap w:val="0"/>
                  <w:vAlign w:val="center"/>
                </w:tcPr>
                <w:p w14:paraId="115A90BC">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0.000</w:t>
                  </w:r>
                  <w:r>
                    <w:rPr>
                      <w:rFonts w:hint="eastAsia" w:ascii="Times New Roman" w:hAnsi="Times New Roman" w:eastAsia="宋体"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lang w:val="en-US" w:eastAsia="zh-CN"/>
                    </w:rPr>
                    <w:t xml:space="preserve"> </w:t>
                  </w:r>
                </w:p>
              </w:tc>
              <w:tc>
                <w:tcPr>
                  <w:tcW w:w="407" w:type="pct"/>
                  <w:noWrap w:val="0"/>
                  <w:vAlign w:val="center"/>
                </w:tcPr>
                <w:p w14:paraId="445F4583">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0.3</w:t>
                  </w:r>
                </w:p>
              </w:tc>
              <w:tc>
                <w:tcPr>
                  <w:tcW w:w="678" w:type="pct"/>
                  <w:vMerge w:val="continue"/>
                  <w:noWrap w:val="0"/>
                  <w:vAlign w:val="center"/>
                </w:tcPr>
                <w:p w14:paraId="6B6884EF">
                  <w:pPr>
                    <w:adjustRightInd w:val="0"/>
                    <w:snapToGrid w:val="0"/>
                    <w:jc w:val="center"/>
                    <w:rPr>
                      <w:rFonts w:hint="default" w:ascii="Times New Roman" w:hAnsi="Times New Roman" w:cs="Times New Roman"/>
                      <w:b/>
                      <w:bCs/>
                      <w:color w:val="auto"/>
                      <w:sz w:val="21"/>
                      <w:szCs w:val="21"/>
                      <w:highlight w:val="none"/>
                    </w:rPr>
                  </w:pPr>
                </w:p>
              </w:tc>
              <w:tc>
                <w:tcPr>
                  <w:tcW w:w="367" w:type="pct"/>
                  <w:vMerge w:val="continue"/>
                  <w:noWrap w:val="0"/>
                  <w:vAlign w:val="center"/>
                </w:tcPr>
                <w:p w14:paraId="0A074A14">
                  <w:pPr>
                    <w:adjustRightInd w:val="0"/>
                    <w:snapToGrid w:val="0"/>
                    <w:jc w:val="center"/>
                    <w:rPr>
                      <w:rFonts w:hint="default" w:ascii="Times New Roman" w:hAnsi="Times New Roman" w:cs="Times New Roman"/>
                      <w:b/>
                      <w:bCs/>
                      <w:color w:val="auto"/>
                      <w:sz w:val="21"/>
                      <w:szCs w:val="21"/>
                      <w:highlight w:val="none"/>
                    </w:rPr>
                  </w:pPr>
                </w:p>
              </w:tc>
            </w:tr>
            <w:tr w14:paraId="2EC5C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218" w:type="pct"/>
                  <w:vMerge w:val="continue"/>
                  <w:noWrap w:val="0"/>
                  <w:vAlign w:val="center"/>
                </w:tcPr>
                <w:p w14:paraId="5B375F07">
                  <w:pPr>
                    <w:adjustRightInd w:val="0"/>
                    <w:snapToGrid w:val="0"/>
                    <w:jc w:val="center"/>
                    <w:rPr>
                      <w:rFonts w:hint="default" w:ascii="Times New Roman" w:hAnsi="Times New Roman" w:cs="Times New Roman"/>
                      <w:color w:val="auto"/>
                      <w:sz w:val="21"/>
                      <w:szCs w:val="21"/>
                      <w:highlight w:val="none"/>
                    </w:rPr>
                  </w:pPr>
                </w:p>
              </w:tc>
              <w:tc>
                <w:tcPr>
                  <w:tcW w:w="474" w:type="pct"/>
                  <w:noWrap w:val="0"/>
                  <w:vAlign w:val="center"/>
                </w:tcPr>
                <w:p w14:paraId="48FA2E50">
                  <w:pPr>
                    <w:adjustRightInd w:val="0"/>
                    <w:snapToGrid w:val="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总氮</w:t>
                  </w:r>
                </w:p>
              </w:tc>
              <w:tc>
                <w:tcPr>
                  <w:tcW w:w="807" w:type="dxa"/>
                  <w:noWrap w:val="0"/>
                  <w:vAlign w:val="center"/>
                </w:tcPr>
                <w:p w14:paraId="310295F0">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0.021 </w:t>
                  </w:r>
                </w:p>
              </w:tc>
              <w:tc>
                <w:tcPr>
                  <w:tcW w:w="458" w:type="pct"/>
                  <w:noWrap w:val="0"/>
                  <w:vAlign w:val="center"/>
                </w:tcPr>
                <w:p w14:paraId="4E4BAABD">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39.4</w:t>
                  </w:r>
                </w:p>
              </w:tc>
              <w:tc>
                <w:tcPr>
                  <w:tcW w:w="382" w:type="pct"/>
                  <w:vMerge w:val="continue"/>
                  <w:noWrap w:val="0"/>
                  <w:vAlign w:val="center"/>
                </w:tcPr>
                <w:p w14:paraId="53FD1FB7">
                  <w:pPr>
                    <w:adjustRightInd w:val="0"/>
                    <w:snapToGrid w:val="0"/>
                    <w:jc w:val="center"/>
                    <w:rPr>
                      <w:rFonts w:hint="default" w:ascii="Times New Roman" w:hAnsi="Times New Roman" w:cs="Times New Roman"/>
                      <w:b/>
                      <w:bCs/>
                      <w:color w:val="auto"/>
                      <w:sz w:val="21"/>
                      <w:szCs w:val="21"/>
                      <w:highlight w:val="none"/>
                    </w:rPr>
                  </w:pPr>
                </w:p>
              </w:tc>
              <w:tc>
                <w:tcPr>
                  <w:tcW w:w="353" w:type="pct"/>
                  <w:noWrap w:val="0"/>
                  <w:vAlign w:val="center"/>
                </w:tcPr>
                <w:p w14:paraId="29D16A6E">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61.9 </w:t>
                  </w:r>
                </w:p>
              </w:tc>
              <w:tc>
                <w:tcPr>
                  <w:tcW w:w="376" w:type="pct"/>
                  <w:vMerge w:val="continue"/>
                  <w:noWrap w:val="0"/>
                  <w:vAlign w:val="center"/>
                </w:tcPr>
                <w:p w14:paraId="79148F2B">
                  <w:pPr>
                    <w:adjustRightInd w:val="0"/>
                    <w:snapToGrid w:val="0"/>
                    <w:jc w:val="center"/>
                    <w:rPr>
                      <w:rFonts w:hint="default" w:ascii="Times New Roman" w:hAnsi="Times New Roman" w:cs="Times New Roman"/>
                      <w:b/>
                      <w:bCs/>
                      <w:color w:val="auto"/>
                      <w:sz w:val="21"/>
                      <w:szCs w:val="21"/>
                      <w:highlight w:val="none"/>
                    </w:rPr>
                  </w:pPr>
                </w:p>
              </w:tc>
              <w:tc>
                <w:tcPr>
                  <w:tcW w:w="376" w:type="pct"/>
                  <w:vMerge w:val="continue"/>
                  <w:noWrap w:val="0"/>
                  <w:vAlign w:val="center"/>
                </w:tcPr>
                <w:p w14:paraId="2F9F116A">
                  <w:pPr>
                    <w:adjustRightInd w:val="0"/>
                    <w:snapToGrid w:val="0"/>
                    <w:jc w:val="center"/>
                    <w:rPr>
                      <w:rFonts w:hint="default" w:ascii="Times New Roman" w:hAnsi="Times New Roman" w:cs="Times New Roman"/>
                      <w:b/>
                      <w:bCs/>
                      <w:color w:val="auto"/>
                      <w:sz w:val="21"/>
                      <w:szCs w:val="21"/>
                      <w:highlight w:val="none"/>
                    </w:rPr>
                  </w:pPr>
                </w:p>
              </w:tc>
              <w:tc>
                <w:tcPr>
                  <w:tcW w:w="851" w:type="dxa"/>
                  <w:noWrap w:val="0"/>
                  <w:vAlign w:val="center"/>
                </w:tcPr>
                <w:p w14:paraId="3C4ED0D8">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0.008 </w:t>
                  </w:r>
                </w:p>
              </w:tc>
              <w:tc>
                <w:tcPr>
                  <w:tcW w:w="407" w:type="pct"/>
                  <w:noWrap w:val="0"/>
                  <w:vAlign w:val="center"/>
                </w:tcPr>
                <w:p w14:paraId="3137CA42">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15</w:t>
                  </w:r>
                </w:p>
              </w:tc>
              <w:tc>
                <w:tcPr>
                  <w:tcW w:w="678" w:type="pct"/>
                  <w:vMerge w:val="continue"/>
                  <w:noWrap w:val="0"/>
                  <w:vAlign w:val="center"/>
                </w:tcPr>
                <w:p w14:paraId="4378B506">
                  <w:pPr>
                    <w:adjustRightInd w:val="0"/>
                    <w:snapToGrid w:val="0"/>
                    <w:jc w:val="center"/>
                    <w:rPr>
                      <w:rFonts w:hint="default" w:ascii="Times New Roman" w:hAnsi="Times New Roman" w:cs="Times New Roman"/>
                      <w:b/>
                      <w:bCs/>
                      <w:color w:val="auto"/>
                      <w:sz w:val="21"/>
                      <w:szCs w:val="21"/>
                      <w:highlight w:val="none"/>
                    </w:rPr>
                  </w:pPr>
                </w:p>
              </w:tc>
              <w:tc>
                <w:tcPr>
                  <w:tcW w:w="367" w:type="pct"/>
                  <w:vMerge w:val="continue"/>
                  <w:noWrap w:val="0"/>
                  <w:vAlign w:val="center"/>
                </w:tcPr>
                <w:p w14:paraId="4BD47C5C">
                  <w:pPr>
                    <w:adjustRightInd w:val="0"/>
                    <w:snapToGrid w:val="0"/>
                    <w:jc w:val="center"/>
                    <w:rPr>
                      <w:rFonts w:hint="default" w:ascii="Times New Roman" w:hAnsi="Times New Roman" w:cs="Times New Roman"/>
                      <w:b/>
                      <w:bCs/>
                      <w:color w:val="auto"/>
                      <w:sz w:val="21"/>
                      <w:szCs w:val="21"/>
                      <w:highlight w:val="none"/>
                    </w:rPr>
                  </w:pPr>
                </w:p>
              </w:tc>
            </w:tr>
          </w:tbl>
          <w:p w14:paraId="34AB6B6A">
            <w:pPr>
              <w:adjustRightInd w:val="0"/>
              <w:snapToGrid w:val="0"/>
              <w:spacing w:line="360" w:lineRule="auto"/>
              <w:ind w:firstLine="482" w:firstLineChars="200"/>
              <w:rPr>
                <w:rFonts w:hint="default" w:ascii="Times New Roman" w:hAnsi="Times New Roman"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2.1.1生活污水</w:t>
            </w:r>
          </w:p>
          <w:p w14:paraId="637B44B8">
            <w:pPr>
              <w:pStyle w:val="15"/>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auto"/>
                <w:sz w:val="24"/>
                <w:szCs w:val="24"/>
                <w:highlight w:val="none"/>
              </w:rPr>
            </w:pPr>
            <w:r>
              <w:rPr>
                <w:rFonts w:hint="default" w:ascii="Times New Roman" w:hAnsi="Times New Roman" w:cs="Times New Roman"/>
                <w:b w:val="0"/>
                <w:bCs w:val="0"/>
                <w:color w:val="auto"/>
                <w:sz w:val="24"/>
                <w:szCs w:val="24"/>
                <w:highlight w:val="none"/>
              </w:rPr>
              <w:t>根据业主提供的资料，项目员工</w:t>
            </w:r>
            <w:r>
              <w:rPr>
                <w:rFonts w:hint="default" w:ascii="Times New Roman" w:hAnsi="Times New Roman" w:cs="Times New Roman"/>
                <w:b w:val="0"/>
                <w:bCs w:val="0"/>
                <w:color w:val="auto"/>
                <w:sz w:val="24"/>
                <w:szCs w:val="24"/>
                <w:highlight w:val="none"/>
                <w:lang w:val="en-US" w:eastAsia="zh-CN"/>
              </w:rPr>
              <w:t>60</w:t>
            </w:r>
            <w:r>
              <w:rPr>
                <w:rFonts w:hint="default" w:ascii="Times New Roman" w:hAnsi="Times New Roman" w:cs="Times New Roman"/>
                <w:b w:val="0"/>
                <w:bCs w:val="0"/>
                <w:color w:val="auto"/>
                <w:sz w:val="24"/>
                <w:szCs w:val="24"/>
                <w:highlight w:val="none"/>
              </w:rPr>
              <w:t>人，年工作天数3</w:t>
            </w:r>
            <w:r>
              <w:rPr>
                <w:rFonts w:hint="default" w:ascii="Times New Roman" w:hAnsi="Times New Roman" w:cs="Times New Roman"/>
                <w:b w:val="0"/>
                <w:bCs w:val="0"/>
                <w:color w:val="auto"/>
                <w:sz w:val="24"/>
                <w:szCs w:val="24"/>
                <w:highlight w:val="none"/>
                <w:lang w:val="en-US" w:eastAsia="zh-CN"/>
              </w:rPr>
              <w:t>00</w:t>
            </w:r>
            <w:r>
              <w:rPr>
                <w:rFonts w:hint="default" w:ascii="Times New Roman" w:hAnsi="Times New Roman" w:cs="Times New Roman"/>
                <w:b w:val="0"/>
                <w:bCs w:val="0"/>
                <w:color w:val="auto"/>
                <w:sz w:val="24"/>
                <w:szCs w:val="24"/>
                <w:highlight w:val="none"/>
              </w:rPr>
              <w:t>天，员工均</w:t>
            </w:r>
            <w:r>
              <w:rPr>
                <w:rFonts w:hint="default" w:ascii="Times New Roman" w:hAnsi="Times New Roman" w:cs="Times New Roman"/>
                <w:b w:val="0"/>
                <w:bCs w:val="0"/>
                <w:color w:val="auto"/>
                <w:sz w:val="24"/>
                <w:szCs w:val="24"/>
                <w:highlight w:val="none"/>
                <w:lang w:val="en-US" w:eastAsia="zh-CN"/>
              </w:rPr>
              <w:t>不</w:t>
            </w:r>
            <w:r>
              <w:rPr>
                <w:rFonts w:hint="default" w:ascii="Times New Roman" w:hAnsi="Times New Roman" w:cs="Times New Roman"/>
                <w:b w:val="0"/>
                <w:bCs w:val="0"/>
                <w:color w:val="auto"/>
                <w:sz w:val="24"/>
                <w:szCs w:val="24"/>
                <w:highlight w:val="none"/>
              </w:rPr>
              <w:t>在项目内食宿</w:t>
            </w:r>
            <w:r>
              <w:rPr>
                <w:rFonts w:hint="default" w:ascii="Times New Roman" w:hAnsi="Times New Roman" w:cs="Times New Roman"/>
                <w:b w:val="0"/>
                <w:bCs w:val="0"/>
                <w:color w:val="auto"/>
                <w:sz w:val="24"/>
                <w:szCs w:val="24"/>
                <w:highlight w:val="none"/>
                <w:lang w:eastAsia="zh-CN"/>
              </w:rPr>
              <w:t>，</w:t>
            </w:r>
            <w:r>
              <w:rPr>
                <w:rFonts w:hint="default" w:ascii="Times New Roman" w:hAnsi="Times New Roman" w:eastAsia="宋体" w:cs="Times New Roman"/>
                <w:color w:val="auto"/>
                <w:sz w:val="24"/>
                <w:highlight w:val="none"/>
              </w:rPr>
              <w:t>根据</w:t>
            </w:r>
            <w:r>
              <w:rPr>
                <w:rFonts w:hint="default" w:ascii="Times New Roman" w:hAnsi="Times New Roman" w:eastAsia="宋体" w:cs="Times New Roman"/>
                <w:color w:val="auto"/>
                <w:sz w:val="24"/>
                <w:highlight w:val="none"/>
                <w:lang w:val="en-US" w:eastAsia="zh-CN"/>
              </w:rPr>
              <w:t>前文水平衡分析可知员工</w:t>
            </w:r>
            <w:r>
              <w:rPr>
                <w:rFonts w:hint="default" w:ascii="Times New Roman" w:hAnsi="Times New Roman" w:cs="Times New Roman"/>
                <w:b w:val="0"/>
                <w:bCs w:val="0"/>
                <w:color w:val="auto"/>
                <w:sz w:val="24"/>
                <w:highlight w:val="none"/>
                <w:lang w:val="en-US" w:eastAsia="zh-CN"/>
              </w:rPr>
              <w:t>生活污水产生</w:t>
            </w:r>
            <w:r>
              <w:rPr>
                <w:rFonts w:hint="default" w:ascii="Times New Roman" w:hAnsi="Times New Roman" w:cs="Times New Roman"/>
                <w:b w:val="0"/>
                <w:bCs w:val="0"/>
                <w:color w:val="auto"/>
                <w:sz w:val="24"/>
                <w:highlight w:val="none"/>
              </w:rPr>
              <w:t>量为</w:t>
            </w:r>
            <w:r>
              <w:rPr>
                <w:rFonts w:hint="default" w:ascii="Times New Roman" w:hAnsi="Times New Roman" w:cs="Times New Roman"/>
                <w:b w:val="0"/>
                <w:bCs w:val="0"/>
                <w:color w:val="auto"/>
                <w:sz w:val="24"/>
                <w:highlight w:val="none"/>
                <w:lang w:val="en-US" w:eastAsia="zh-CN"/>
              </w:rPr>
              <w:t>540</w:t>
            </w:r>
            <w:r>
              <w:rPr>
                <w:rFonts w:hint="default" w:ascii="Times New Roman" w:hAnsi="Times New Roman" w:cs="Times New Roman"/>
                <w:b w:val="0"/>
                <w:bCs w:val="0"/>
                <w:color w:val="auto"/>
                <w:sz w:val="24"/>
                <w:highlight w:val="none"/>
              </w:rPr>
              <w:t>t/a</w:t>
            </w:r>
            <w:r>
              <w:rPr>
                <w:rFonts w:hint="default" w:ascii="Times New Roman" w:hAnsi="Times New Roman" w:cs="Times New Roman"/>
                <w:b w:val="0"/>
                <w:bCs w:val="0"/>
                <w:color w:val="auto"/>
                <w:sz w:val="24"/>
                <w:highlight w:val="none"/>
                <w:lang w:eastAsia="zh-CN"/>
              </w:rPr>
              <w:t>（</w:t>
            </w:r>
            <w:r>
              <w:rPr>
                <w:rFonts w:hint="default" w:ascii="Times New Roman" w:hAnsi="Times New Roman" w:cs="Times New Roman"/>
                <w:b w:val="0"/>
                <w:bCs w:val="0"/>
                <w:color w:val="auto"/>
                <w:sz w:val="24"/>
                <w:highlight w:val="none"/>
                <w:lang w:val="en-US" w:eastAsia="zh-CN"/>
              </w:rPr>
              <w:t>1.8t/d</w:t>
            </w:r>
            <w:r>
              <w:rPr>
                <w:rFonts w:hint="default" w:ascii="Times New Roman" w:hAnsi="Times New Roman" w:cs="Times New Roman"/>
                <w:b w:val="0"/>
                <w:bCs w:val="0"/>
                <w:color w:val="auto"/>
                <w:sz w:val="24"/>
                <w:highlight w:val="none"/>
                <w:lang w:eastAsia="zh-CN"/>
              </w:rPr>
              <w:t>）</w:t>
            </w:r>
            <w:r>
              <w:rPr>
                <w:rFonts w:hint="default" w:ascii="Times New Roman" w:hAnsi="Times New Roman" w:eastAsia="宋体" w:cs="Times New Roman"/>
                <w:color w:val="auto"/>
                <w:sz w:val="24"/>
                <w:highlight w:val="none"/>
              </w:rPr>
              <w:t>。</w:t>
            </w:r>
            <w:r>
              <w:rPr>
                <w:rFonts w:hint="default" w:ascii="Times New Roman" w:hAnsi="Times New Roman" w:cs="Times New Roman"/>
                <w:b w:val="0"/>
                <w:bCs w:val="0"/>
                <w:color w:val="auto"/>
                <w:sz w:val="24"/>
                <w:szCs w:val="24"/>
                <w:highlight w:val="none"/>
              </w:rPr>
              <w:t>主要污染物为CODcr、BOD</w:t>
            </w:r>
            <w:r>
              <w:rPr>
                <w:rFonts w:hint="default" w:ascii="Times New Roman" w:hAnsi="Times New Roman" w:cs="Times New Roman"/>
                <w:b w:val="0"/>
                <w:bCs w:val="0"/>
                <w:color w:val="auto"/>
                <w:sz w:val="24"/>
                <w:szCs w:val="24"/>
                <w:highlight w:val="none"/>
                <w:vertAlign w:val="subscript"/>
              </w:rPr>
              <w:t>5</w:t>
            </w:r>
            <w:r>
              <w:rPr>
                <w:rFonts w:hint="default" w:ascii="Times New Roman" w:hAnsi="Times New Roman" w:cs="Times New Roman"/>
                <w:b w:val="0"/>
                <w:bCs w:val="0"/>
                <w:color w:val="auto"/>
                <w:sz w:val="24"/>
                <w:szCs w:val="24"/>
                <w:highlight w:val="none"/>
                <w:lang w:val="en-US" w:eastAsia="zh-CN"/>
              </w:rPr>
              <w:t>等，各因子浓度参照《排放源统计调查产排污核算方法和系数手册》中生活污染源产排污系数手册“表1-1城镇生活源水污染物产生系数-五区”，</w:t>
            </w:r>
            <w:r>
              <w:rPr>
                <w:rFonts w:hint="default" w:ascii="Times New Roman" w:hAnsi="Times New Roman" w:cs="Times New Roman"/>
                <w:color w:val="auto"/>
                <w:sz w:val="24"/>
                <w:szCs w:val="24"/>
                <w:highlight w:val="none"/>
              </w:rPr>
              <w:t>CODcr产生浓度为285mg/L，氨氮产生浓度为28.3mg/L，总磷产生浓度为4.1mg/L，总氮产生浓度为39.4mg/L。BOD</w:t>
            </w:r>
            <w:r>
              <w:rPr>
                <w:rFonts w:hint="default" w:ascii="Times New Roman" w:hAnsi="Times New Roman" w:cs="Times New Roman"/>
                <w:color w:val="auto"/>
                <w:sz w:val="24"/>
                <w:szCs w:val="24"/>
                <w:highlight w:val="none"/>
                <w:vertAlign w:val="subscript"/>
              </w:rPr>
              <w:t>5</w:t>
            </w:r>
            <w:r>
              <w:rPr>
                <w:rFonts w:hint="default" w:ascii="Times New Roman" w:hAnsi="Times New Roman" w:cs="Times New Roman"/>
                <w:color w:val="auto"/>
                <w:sz w:val="24"/>
                <w:szCs w:val="24"/>
                <w:highlight w:val="none"/>
              </w:rPr>
              <w:t>、SS产生浓度参考《排水工程》（第四版下册）中“典型生活污水水质”中“中常浓度”水质参数：BOD</w:t>
            </w:r>
            <w:r>
              <w:rPr>
                <w:rFonts w:hint="default" w:ascii="Times New Roman" w:hAnsi="Times New Roman" w:cs="Times New Roman"/>
                <w:color w:val="auto"/>
                <w:sz w:val="24"/>
                <w:szCs w:val="24"/>
                <w:highlight w:val="none"/>
                <w:vertAlign w:val="subscript"/>
              </w:rPr>
              <w:t>5</w:t>
            </w:r>
            <w:r>
              <w:rPr>
                <w:rFonts w:hint="default" w:ascii="Times New Roman" w:hAnsi="Times New Roman" w:cs="Times New Roman"/>
                <w:color w:val="auto"/>
                <w:sz w:val="24"/>
                <w:szCs w:val="24"/>
                <w:highlight w:val="none"/>
              </w:rPr>
              <w:t>产生浓度为200mg/L、SS产生浓度为220mg/L。</w:t>
            </w:r>
          </w:p>
          <w:p w14:paraId="22795DC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具体取值参数如下表所示：</w:t>
            </w:r>
          </w:p>
          <w:p w14:paraId="3B41E333">
            <w:pPr>
              <w:pStyle w:val="96"/>
              <w:pageBreakBefore w:val="0"/>
              <w:numPr>
                <w:ilvl w:val="0"/>
                <w:numId w:val="0"/>
              </w:numPr>
              <w:tabs>
                <w:tab w:val="left" w:pos="0"/>
              </w:tabs>
              <w:kinsoku/>
              <w:wordWrap/>
              <w:overflowPunct/>
              <w:bidi w:val="0"/>
              <w:adjustRightInd/>
              <w:spacing w:beforeLines="0" w:afterLines="0" w:line="240" w:lineRule="auto"/>
              <w:ind w:leftChars="0" w:firstLine="2741" w:firstLineChars="1300"/>
              <w:jc w:val="both"/>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 xml:space="preserve">表4-12 </w:t>
            </w:r>
            <w:r>
              <w:rPr>
                <w:rFonts w:hint="default" w:ascii="Times New Roman" w:hAnsi="Times New Roman" w:eastAsia="宋体" w:cs="Times New Roman"/>
                <w:color w:val="auto"/>
                <w:sz w:val="21"/>
                <w:szCs w:val="21"/>
                <w:highlight w:val="none"/>
                <w:lang w:val="en-US" w:eastAsia="zh-CN"/>
              </w:rPr>
              <w:t>废水污染物产污系数一览表</w:t>
            </w:r>
          </w:p>
          <w:tbl>
            <w:tblPr>
              <w:tblStyle w:val="35"/>
              <w:tblW w:w="9159" w:type="dxa"/>
              <w:tblInd w:w="-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9"/>
              <w:gridCol w:w="3048"/>
              <w:gridCol w:w="4322"/>
            </w:tblGrid>
            <w:tr w14:paraId="0AA65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6" w:type="pct"/>
                  <w:noWrap w:val="0"/>
                  <w:vAlign w:val="center"/>
                </w:tcPr>
                <w:p w14:paraId="18351984">
                  <w:pPr>
                    <w:pStyle w:val="16"/>
                    <w:keepNext w:val="0"/>
                    <w:keepLines w:val="0"/>
                    <w:pageBreakBefore w:val="0"/>
                    <w:widowControl/>
                    <w:kinsoku/>
                    <w:wordWrap/>
                    <w:overflowPunct/>
                    <w:topLinePunct w:val="0"/>
                    <w:autoSpaceDE/>
                    <w:autoSpaceDN/>
                    <w:bidi w:val="0"/>
                    <w:adjustRightInd/>
                    <w:snapToGrid w:val="0"/>
                    <w:spacing w:before="0" w:after="0" w:line="240" w:lineRule="auto"/>
                    <w:ind w:right="0"/>
                    <w:jc w:val="center"/>
                    <w:textAlignment w:val="auto"/>
                    <w:rPr>
                      <w:rFonts w:hint="default" w:ascii="Times New Roman" w:hAnsi="Times New Roman" w:eastAsia="宋体" w:cs="Times New Roman"/>
                      <w:b/>
                      <w:bCs/>
                      <w:snapToGrid w:val="0"/>
                      <w:color w:val="auto"/>
                      <w:kern w:val="0"/>
                      <w:sz w:val="21"/>
                      <w:szCs w:val="21"/>
                      <w:highlight w:val="none"/>
                      <w:vertAlign w:val="baseline"/>
                      <w:lang w:val="en-US" w:eastAsia="zh-CN" w:bidi="ar-SA"/>
                    </w:rPr>
                  </w:pPr>
                  <w:r>
                    <w:rPr>
                      <w:rFonts w:hint="default" w:ascii="Times New Roman" w:hAnsi="Times New Roman" w:eastAsia="宋体" w:cs="Times New Roman"/>
                      <w:b/>
                      <w:bCs/>
                      <w:snapToGrid w:val="0"/>
                      <w:color w:val="auto"/>
                      <w:kern w:val="0"/>
                      <w:sz w:val="21"/>
                      <w:szCs w:val="21"/>
                      <w:highlight w:val="none"/>
                      <w:vertAlign w:val="baseline"/>
                      <w:lang w:val="en-US" w:eastAsia="zh-CN" w:bidi="ar-SA"/>
                    </w:rPr>
                    <w:t>地区分类</w:t>
                  </w:r>
                </w:p>
              </w:tc>
              <w:tc>
                <w:tcPr>
                  <w:tcW w:w="1663" w:type="pct"/>
                  <w:noWrap w:val="0"/>
                  <w:vAlign w:val="center"/>
                </w:tcPr>
                <w:p w14:paraId="6D15A0DE">
                  <w:pPr>
                    <w:pStyle w:val="16"/>
                    <w:keepNext w:val="0"/>
                    <w:keepLines w:val="0"/>
                    <w:pageBreakBefore w:val="0"/>
                    <w:widowControl/>
                    <w:kinsoku/>
                    <w:wordWrap/>
                    <w:overflowPunct/>
                    <w:topLinePunct w:val="0"/>
                    <w:autoSpaceDE/>
                    <w:autoSpaceDN/>
                    <w:bidi w:val="0"/>
                    <w:adjustRightInd/>
                    <w:snapToGrid w:val="0"/>
                    <w:spacing w:before="0" w:after="0" w:line="240" w:lineRule="auto"/>
                    <w:ind w:right="0"/>
                    <w:jc w:val="center"/>
                    <w:textAlignment w:val="auto"/>
                    <w:rPr>
                      <w:rFonts w:hint="default" w:ascii="Times New Roman" w:hAnsi="Times New Roman" w:eastAsia="宋体" w:cs="Times New Roman"/>
                      <w:b/>
                      <w:bCs/>
                      <w:snapToGrid w:val="0"/>
                      <w:color w:val="auto"/>
                      <w:kern w:val="0"/>
                      <w:sz w:val="21"/>
                      <w:szCs w:val="21"/>
                      <w:highlight w:val="none"/>
                      <w:vertAlign w:val="baseline"/>
                      <w:lang w:val="en-US" w:eastAsia="zh-CN" w:bidi="ar-SA"/>
                    </w:rPr>
                  </w:pPr>
                  <w:r>
                    <w:rPr>
                      <w:rFonts w:hint="default" w:ascii="Times New Roman" w:hAnsi="Times New Roman" w:eastAsia="宋体" w:cs="Times New Roman"/>
                      <w:b/>
                      <w:bCs/>
                      <w:snapToGrid w:val="0"/>
                      <w:color w:val="auto"/>
                      <w:kern w:val="0"/>
                      <w:sz w:val="21"/>
                      <w:szCs w:val="21"/>
                      <w:highlight w:val="none"/>
                      <w:vertAlign w:val="baseline"/>
                      <w:lang w:val="en-US" w:eastAsia="zh-CN" w:bidi="ar-SA"/>
                    </w:rPr>
                    <w:t>指标名称</w:t>
                  </w:r>
                </w:p>
              </w:tc>
              <w:tc>
                <w:tcPr>
                  <w:tcW w:w="2359" w:type="pct"/>
                  <w:noWrap w:val="0"/>
                  <w:vAlign w:val="center"/>
                </w:tcPr>
                <w:p w14:paraId="65875102">
                  <w:pPr>
                    <w:pStyle w:val="16"/>
                    <w:keepNext w:val="0"/>
                    <w:keepLines w:val="0"/>
                    <w:pageBreakBefore w:val="0"/>
                    <w:widowControl/>
                    <w:kinsoku/>
                    <w:wordWrap/>
                    <w:overflowPunct/>
                    <w:topLinePunct w:val="0"/>
                    <w:autoSpaceDE/>
                    <w:autoSpaceDN/>
                    <w:bidi w:val="0"/>
                    <w:adjustRightInd/>
                    <w:snapToGrid w:val="0"/>
                    <w:spacing w:before="0" w:after="0" w:line="240" w:lineRule="auto"/>
                    <w:ind w:right="0"/>
                    <w:jc w:val="center"/>
                    <w:textAlignment w:val="auto"/>
                    <w:rPr>
                      <w:rFonts w:hint="default" w:ascii="Times New Roman" w:hAnsi="Times New Roman" w:eastAsia="宋体" w:cs="Times New Roman"/>
                      <w:b/>
                      <w:bCs/>
                      <w:snapToGrid w:val="0"/>
                      <w:color w:val="auto"/>
                      <w:kern w:val="0"/>
                      <w:sz w:val="21"/>
                      <w:szCs w:val="21"/>
                      <w:highlight w:val="none"/>
                      <w:vertAlign w:val="baseline"/>
                      <w:lang w:val="en-US" w:eastAsia="zh-CN" w:bidi="ar-SA"/>
                    </w:rPr>
                  </w:pPr>
                  <w:r>
                    <w:rPr>
                      <w:rFonts w:hint="default" w:ascii="Times New Roman" w:hAnsi="Times New Roman" w:eastAsia="宋体" w:cs="Times New Roman"/>
                      <w:b/>
                      <w:bCs/>
                      <w:snapToGrid w:val="0"/>
                      <w:color w:val="auto"/>
                      <w:kern w:val="0"/>
                      <w:sz w:val="21"/>
                      <w:szCs w:val="21"/>
                      <w:highlight w:val="none"/>
                      <w:vertAlign w:val="baseline"/>
                      <w:lang w:val="en-US" w:eastAsia="zh-CN" w:bidi="ar-SA"/>
                    </w:rPr>
                    <w:t>产排污系数平均值（mg/L）</w:t>
                  </w:r>
                </w:p>
              </w:tc>
            </w:tr>
            <w:tr w14:paraId="759A8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76" w:type="pct"/>
                  <w:vMerge w:val="restart"/>
                  <w:noWrap w:val="0"/>
                  <w:vAlign w:val="center"/>
                </w:tcPr>
                <w:p w14:paraId="7AA726BE">
                  <w:pPr>
                    <w:pStyle w:val="16"/>
                    <w:keepNext w:val="0"/>
                    <w:keepLines w:val="0"/>
                    <w:pageBreakBefore w:val="0"/>
                    <w:widowControl/>
                    <w:kinsoku/>
                    <w:wordWrap/>
                    <w:overflowPunct/>
                    <w:topLinePunct w:val="0"/>
                    <w:autoSpaceDE/>
                    <w:autoSpaceDN/>
                    <w:bidi w:val="0"/>
                    <w:adjustRightInd/>
                    <w:snapToGrid w:val="0"/>
                    <w:spacing w:before="0" w:after="0" w:line="240" w:lineRule="auto"/>
                    <w:ind w:right="0"/>
                    <w:jc w:val="center"/>
                    <w:textAlignment w:val="auto"/>
                    <w:rPr>
                      <w:rFonts w:hint="default" w:ascii="Times New Roman" w:hAnsi="Times New Roman" w:eastAsia="宋体" w:cs="Times New Roman"/>
                      <w:b/>
                      <w:bCs/>
                      <w:snapToGrid w:val="0"/>
                      <w:color w:val="auto"/>
                      <w:kern w:val="0"/>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0"/>
                      <w:sz w:val="21"/>
                      <w:szCs w:val="21"/>
                      <w:highlight w:val="none"/>
                      <w:vertAlign w:val="baseline"/>
                      <w:lang w:val="en-US" w:eastAsia="zh-CN" w:bidi="ar-SA"/>
                    </w:rPr>
                    <w:t>五区</w:t>
                  </w:r>
                </w:p>
              </w:tc>
              <w:tc>
                <w:tcPr>
                  <w:tcW w:w="1663" w:type="pct"/>
                  <w:noWrap w:val="0"/>
                  <w:vAlign w:val="center"/>
                </w:tcPr>
                <w:p w14:paraId="7CCB64EB">
                  <w:pPr>
                    <w:pStyle w:val="16"/>
                    <w:keepNext w:val="0"/>
                    <w:keepLines w:val="0"/>
                    <w:pageBreakBefore w:val="0"/>
                    <w:widowControl/>
                    <w:kinsoku/>
                    <w:wordWrap/>
                    <w:overflowPunct/>
                    <w:topLinePunct w:val="0"/>
                    <w:autoSpaceDE/>
                    <w:autoSpaceDN/>
                    <w:bidi w:val="0"/>
                    <w:adjustRightInd/>
                    <w:snapToGrid w:val="0"/>
                    <w:spacing w:before="0" w:after="0" w:line="240" w:lineRule="auto"/>
                    <w:ind w:right="0" w:rightChars="0"/>
                    <w:jc w:val="center"/>
                    <w:textAlignment w:val="auto"/>
                    <w:rPr>
                      <w:rFonts w:hint="default" w:ascii="Times New Roman" w:hAnsi="Times New Roman" w:eastAsia="宋体" w:cs="Times New Roman"/>
                      <w:b w:val="0"/>
                      <w:bCs w:val="0"/>
                      <w:snapToGrid w:val="0"/>
                      <w:color w:val="auto"/>
                      <w:kern w:val="0"/>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0"/>
                      <w:sz w:val="21"/>
                      <w:szCs w:val="21"/>
                      <w:highlight w:val="none"/>
                      <w:vertAlign w:val="baseline"/>
                      <w:lang w:val="en-US" w:eastAsia="zh-CN" w:bidi="ar-SA"/>
                    </w:rPr>
                    <w:t>COD</w:t>
                  </w:r>
                  <w:r>
                    <w:rPr>
                      <w:rFonts w:hint="default" w:ascii="Times New Roman" w:hAnsi="Times New Roman" w:eastAsia="宋体" w:cs="Times New Roman"/>
                      <w:b w:val="0"/>
                      <w:bCs w:val="0"/>
                      <w:snapToGrid w:val="0"/>
                      <w:color w:val="auto"/>
                      <w:kern w:val="0"/>
                      <w:sz w:val="21"/>
                      <w:szCs w:val="21"/>
                      <w:highlight w:val="none"/>
                      <w:vertAlign w:val="subscript"/>
                      <w:lang w:val="en-US" w:eastAsia="zh-CN" w:bidi="ar-SA"/>
                    </w:rPr>
                    <w:t>Cr</w:t>
                  </w:r>
                </w:p>
              </w:tc>
              <w:tc>
                <w:tcPr>
                  <w:tcW w:w="2359" w:type="pct"/>
                  <w:noWrap w:val="0"/>
                  <w:vAlign w:val="center"/>
                </w:tcPr>
                <w:p w14:paraId="73675D63">
                  <w:pPr>
                    <w:pStyle w:val="16"/>
                    <w:keepNext w:val="0"/>
                    <w:keepLines w:val="0"/>
                    <w:pageBreakBefore w:val="0"/>
                    <w:widowControl/>
                    <w:kinsoku/>
                    <w:wordWrap/>
                    <w:overflowPunct/>
                    <w:topLinePunct w:val="0"/>
                    <w:autoSpaceDE/>
                    <w:autoSpaceDN/>
                    <w:bidi w:val="0"/>
                    <w:adjustRightInd/>
                    <w:snapToGrid w:val="0"/>
                    <w:spacing w:before="0" w:after="0" w:line="240" w:lineRule="auto"/>
                    <w:ind w:right="0" w:rightChars="0"/>
                    <w:jc w:val="center"/>
                    <w:textAlignment w:val="auto"/>
                    <w:rPr>
                      <w:rFonts w:hint="default" w:ascii="Times New Roman" w:hAnsi="Times New Roman" w:eastAsia="宋体" w:cs="Times New Roman"/>
                      <w:b w:val="0"/>
                      <w:bCs w:val="0"/>
                      <w:snapToGrid w:val="0"/>
                      <w:color w:val="auto"/>
                      <w:kern w:val="0"/>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0"/>
                      <w:sz w:val="21"/>
                      <w:szCs w:val="21"/>
                      <w:highlight w:val="none"/>
                      <w:vertAlign w:val="baseline"/>
                      <w:lang w:val="en-US" w:eastAsia="zh-CN" w:bidi="ar-SA"/>
                    </w:rPr>
                    <w:t>285</w:t>
                  </w:r>
                </w:p>
              </w:tc>
            </w:tr>
            <w:tr w14:paraId="473EA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6" w:type="pct"/>
                  <w:vMerge w:val="continue"/>
                  <w:noWrap w:val="0"/>
                  <w:vAlign w:val="center"/>
                </w:tcPr>
                <w:p w14:paraId="6B8807EF">
                  <w:pPr>
                    <w:pStyle w:val="16"/>
                    <w:keepNext w:val="0"/>
                    <w:keepLines w:val="0"/>
                    <w:pageBreakBefore w:val="0"/>
                    <w:widowControl/>
                    <w:kinsoku/>
                    <w:wordWrap/>
                    <w:overflowPunct/>
                    <w:topLinePunct w:val="0"/>
                    <w:autoSpaceDE/>
                    <w:autoSpaceDN/>
                    <w:bidi w:val="0"/>
                    <w:adjustRightInd/>
                    <w:snapToGrid w:val="0"/>
                    <w:spacing w:before="0" w:after="0" w:line="240" w:lineRule="auto"/>
                    <w:ind w:right="0"/>
                    <w:jc w:val="center"/>
                    <w:textAlignment w:val="auto"/>
                    <w:rPr>
                      <w:rFonts w:hint="default" w:ascii="Times New Roman" w:hAnsi="Times New Roman" w:eastAsia="宋体" w:cs="Times New Roman"/>
                      <w:b/>
                      <w:bCs/>
                      <w:snapToGrid w:val="0"/>
                      <w:color w:val="auto"/>
                      <w:kern w:val="0"/>
                      <w:sz w:val="21"/>
                      <w:szCs w:val="21"/>
                      <w:highlight w:val="none"/>
                      <w:vertAlign w:val="baseline"/>
                      <w:lang w:val="en-US" w:eastAsia="zh-CN" w:bidi="ar-SA"/>
                    </w:rPr>
                  </w:pPr>
                </w:p>
              </w:tc>
              <w:tc>
                <w:tcPr>
                  <w:tcW w:w="1663" w:type="pct"/>
                  <w:noWrap w:val="0"/>
                  <w:vAlign w:val="center"/>
                </w:tcPr>
                <w:p w14:paraId="331C34E0">
                  <w:pPr>
                    <w:pStyle w:val="16"/>
                    <w:keepNext w:val="0"/>
                    <w:keepLines w:val="0"/>
                    <w:pageBreakBefore w:val="0"/>
                    <w:widowControl/>
                    <w:kinsoku/>
                    <w:wordWrap/>
                    <w:overflowPunct/>
                    <w:topLinePunct w:val="0"/>
                    <w:autoSpaceDE/>
                    <w:autoSpaceDN/>
                    <w:bidi w:val="0"/>
                    <w:adjustRightInd/>
                    <w:snapToGrid w:val="0"/>
                    <w:spacing w:before="0" w:after="0" w:line="240" w:lineRule="auto"/>
                    <w:ind w:right="0" w:rightChars="0"/>
                    <w:jc w:val="center"/>
                    <w:textAlignment w:val="auto"/>
                    <w:rPr>
                      <w:rFonts w:hint="default" w:ascii="Times New Roman" w:hAnsi="Times New Roman" w:eastAsia="宋体" w:cs="Times New Roman"/>
                      <w:b w:val="0"/>
                      <w:bCs w:val="0"/>
                      <w:snapToGrid w:val="0"/>
                      <w:color w:val="auto"/>
                      <w:kern w:val="0"/>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0"/>
                      <w:sz w:val="21"/>
                      <w:szCs w:val="21"/>
                      <w:highlight w:val="none"/>
                      <w:vertAlign w:val="baseline"/>
                      <w:lang w:val="en-US" w:eastAsia="zh-CN" w:bidi="ar-SA"/>
                    </w:rPr>
                    <w:t>BOD</w:t>
                  </w:r>
                  <w:r>
                    <w:rPr>
                      <w:rFonts w:hint="default" w:ascii="Times New Roman" w:hAnsi="Times New Roman" w:eastAsia="宋体" w:cs="Times New Roman"/>
                      <w:b w:val="0"/>
                      <w:bCs w:val="0"/>
                      <w:snapToGrid w:val="0"/>
                      <w:color w:val="auto"/>
                      <w:kern w:val="0"/>
                      <w:sz w:val="21"/>
                      <w:szCs w:val="21"/>
                      <w:highlight w:val="none"/>
                      <w:vertAlign w:val="subscript"/>
                      <w:lang w:val="en-US" w:eastAsia="zh-CN" w:bidi="ar-SA"/>
                    </w:rPr>
                    <w:t>5</w:t>
                  </w:r>
                  <w:r>
                    <w:rPr>
                      <w:rFonts w:hint="default" w:ascii="Times New Roman" w:hAnsi="Times New Roman" w:eastAsia="宋体" w:cs="Times New Roman"/>
                      <w:b w:val="0"/>
                      <w:bCs w:val="0"/>
                      <w:snapToGrid w:val="0"/>
                      <w:color w:val="auto"/>
                      <w:kern w:val="0"/>
                      <w:sz w:val="21"/>
                      <w:szCs w:val="21"/>
                      <w:highlight w:val="none"/>
                      <w:vertAlign w:val="baseline"/>
                      <w:lang w:val="en-US" w:eastAsia="zh-CN" w:bidi="ar-SA"/>
                    </w:rPr>
                    <w:t xml:space="preserve"> </w:t>
                  </w:r>
                </w:p>
              </w:tc>
              <w:tc>
                <w:tcPr>
                  <w:tcW w:w="2359" w:type="pct"/>
                  <w:noWrap w:val="0"/>
                  <w:vAlign w:val="center"/>
                </w:tcPr>
                <w:p w14:paraId="377ECD5F">
                  <w:pPr>
                    <w:pStyle w:val="16"/>
                    <w:keepNext w:val="0"/>
                    <w:keepLines w:val="0"/>
                    <w:pageBreakBefore w:val="0"/>
                    <w:widowControl/>
                    <w:kinsoku/>
                    <w:wordWrap/>
                    <w:overflowPunct/>
                    <w:topLinePunct w:val="0"/>
                    <w:autoSpaceDE/>
                    <w:autoSpaceDN/>
                    <w:bidi w:val="0"/>
                    <w:adjustRightInd/>
                    <w:snapToGrid w:val="0"/>
                    <w:spacing w:before="0" w:after="0" w:line="240" w:lineRule="auto"/>
                    <w:ind w:right="0" w:rightChars="0"/>
                    <w:jc w:val="center"/>
                    <w:textAlignment w:val="auto"/>
                    <w:rPr>
                      <w:rFonts w:hint="default" w:ascii="Times New Roman" w:hAnsi="Times New Roman" w:eastAsia="宋体" w:cs="Times New Roman"/>
                      <w:b w:val="0"/>
                      <w:bCs w:val="0"/>
                      <w:snapToGrid w:val="0"/>
                      <w:color w:val="auto"/>
                      <w:kern w:val="0"/>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0"/>
                      <w:sz w:val="21"/>
                      <w:szCs w:val="21"/>
                      <w:highlight w:val="none"/>
                      <w:vertAlign w:val="baseline"/>
                      <w:lang w:val="en-US" w:eastAsia="zh-CN" w:bidi="ar-SA"/>
                    </w:rPr>
                    <w:t>200</w:t>
                  </w:r>
                </w:p>
              </w:tc>
            </w:tr>
            <w:tr w14:paraId="078A7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976" w:type="pct"/>
                  <w:vMerge w:val="continue"/>
                  <w:noWrap w:val="0"/>
                  <w:vAlign w:val="center"/>
                </w:tcPr>
                <w:p w14:paraId="0E2B1CA7">
                  <w:pPr>
                    <w:pStyle w:val="16"/>
                    <w:keepNext w:val="0"/>
                    <w:keepLines w:val="0"/>
                    <w:pageBreakBefore w:val="0"/>
                    <w:widowControl/>
                    <w:kinsoku/>
                    <w:wordWrap/>
                    <w:overflowPunct/>
                    <w:topLinePunct w:val="0"/>
                    <w:autoSpaceDE/>
                    <w:autoSpaceDN/>
                    <w:bidi w:val="0"/>
                    <w:adjustRightInd/>
                    <w:snapToGrid w:val="0"/>
                    <w:spacing w:before="0" w:after="0" w:line="240" w:lineRule="auto"/>
                    <w:ind w:right="0"/>
                    <w:jc w:val="center"/>
                    <w:textAlignment w:val="auto"/>
                    <w:rPr>
                      <w:rFonts w:hint="default" w:ascii="Times New Roman" w:hAnsi="Times New Roman" w:eastAsia="宋体" w:cs="Times New Roman"/>
                      <w:b/>
                      <w:bCs/>
                      <w:snapToGrid w:val="0"/>
                      <w:color w:val="auto"/>
                      <w:kern w:val="0"/>
                      <w:sz w:val="21"/>
                      <w:szCs w:val="21"/>
                      <w:highlight w:val="none"/>
                      <w:vertAlign w:val="baseline"/>
                      <w:lang w:val="en-US" w:eastAsia="zh-CN" w:bidi="ar-SA"/>
                    </w:rPr>
                  </w:pPr>
                </w:p>
              </w:tc>
              <w:tc>
                <w:tcPr>
                  <w:tcW w:w="1663" w:type="pct"/>
                  <w:noWrap w:val="0"/>
                  <w:vAlign w:val="center"/>
                </w:tcPr>
                <w:p w14:paraId="4671A370">
                  <w:pPr>
                    <w:pStyle w:val="16"/>
                    <w:keepNext w:val="0"/>
                    <w:keepLines w:val="0"/>
                    <w:pageBreakBefore w:val="0"/>
                    <w:widowControl/>
                    <w:kinsoku/>
                    <w:wordWrap/>
                    <w:overflowPunct/>
                    <w:topLinePunct w:val="0"/>
                    <w:autoSpaceDE/>
                    <w:autoSpaceDN/>
                    <w:bidi w:val="0"/>
                    <w:adjustRightInd/>
                    <w:snapToGrid w:val="0"/>
                    <w:spacing w:before="0" w:after="0" w:line="240" w:lineRule="auto"/>
                    <w:ind w:right="0" w:rightChars="0"/>
                    <w:jc w:val="center"/>
                    <w:textAlignment w:val="auto"/>
                    <w:rPr>
                      <w:rFonts w:hint="default" w:ascii="Times New Roman" w:hAnsi="Times New Roman" w:eastAsia="宋体" w:cs="Times New Roman"/>
                      <w:b w:val="0"/>
                      <w:bCs w:val="0"/>
                      <w:snapToGrid w:val="0"/>
                      <w:color w:val="auto"/>
                      <w:kern w:val="0"/>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0"/>
                      <w:sz w:val="21"/>
                      <w:szCs w:val="21"/>
                      <w:highlight w:val="none"/>
                      <w:vertAlign w:val="baseline"/>
                      <w:lang w:val="en-US" w:eastAsia="zh-CN" w:bidi="ar-SA"/>
                    </w:rPr>
                    <w:t>SS</w:t>
                  </w:r>
                </w:p>
              </w:tc>
              <w:tc>
                <w:tcPr>
                  <w:tcW w:w="2359" w:type="pct"/>
                  <w:noWrap w:val="0"/>
                  <w:vAlign w:val="center"/>
                </w:tcPr>
                <w:p w14:paraId="2F57C8C7">
                  <w:pPr>
                    <w:pStyle w:val="16"/>
                    <w:keepNext w:val="0"/>
                    <w:keepLines w:val="0"/>
                    <w:pageBreakBefore w:val="0"/>
                    <w:widowControl/>
                    <w:kinsoku/>
                    <w:wordWrap/>
                    <w:overflowPunct/>
                    <w:topLinePunct w:val="0"/>
                    <w:autoSpaceDE/>
                    <w:autoSpaceDN/>
                    <w:bidi w:val="0"/>
                    <w:adjustRightInd/>
                    <w:snapToGrid w:val="0"/>
                    <w:spacing w:before="0" w:after="0" w:line="240" w:lineRule="auto"/>
                    <w:ind w:right="0" w:rightChars="0"/>
                    <w:jc w:val="center"/>
                    <w:textAlignment w:val="auto"/>
                    <w:rPr>
                      <w:rFonts w:hint="default" w:ascii="Times New Roman" w:hAnsi="Times New Roman" w:eastAsia="宋体" w:cs="Times New Roman"/>
                      <w:b w:val="0"/>
                      <w:bCs w:val="0"/>
                      <w:snapToGrid w:val="0"/>
                      <w:color w:val="auto"/>
                      <w:kern w:val="0"/>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0"/>
                      <w:sz w:val="21"/>
                      <w:szCs w:val="21"/>
                      <w:highlight w:val="none"/>
                      <w:vertAlign w:val="baseline"/>
                      <w:lang w:val="en-US" w:eastAsia="zh-CN" w:bidi="ar-SA"/>
                    </w:rPr>
                    <w:t>220</w:t>
                  </w:r>
                </w:p>
              </w:tc>
            </w:tr>
            <w:tr w14:paraId="50C13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976" w:type="pct"/>
                  <w:vMerge w:val="continue"/>
                  <w:noWrap w:val="0"/>
                  <w:vAlign w:val="center"/>
                </w:tcPr>
                <w:p w14:paraId="7DC11C7D">
                  <w:pPr>
                    <w:pStyle w:val="16"/>
                    <w:keepNext w:val="0"/>
                    <w:keepLines w:val="0"/>
                    <w:pageBreakBefore w:val="0"/>
                    <w:widowControl/>
                    <w:kinsoku/>
                    <w:wordWrap/>
                    <w:overflowPunct/>
                    <w:topLinePunct w:val="0"/>
                    <w:autoSpaceDE/>
                    <w:autoSpaceDN/>
                    <w:bidi w:val="0"/>
                    <w:adjustRightInd/>
                    <w:snapToGrid w:val="0"/>
                    <w:spacing w:before="0" w:after="0" w:line="240" w:lineRule="auto"/>
                    <w:ind w:right="0" w:rightChars="0"/>
                    <w:jc w:val="center"/>
                    <w:textAlignment w:val="auto"/>
                    <w:rPr>
                      <w:rFonts w:hint="default" w:ascii="Times New Roman" w:hAnsi="Times New Roman" w:eastAsia="宋体" w:cs="Times New Roman"/>
                      <w:b/>
                      <w:bCs/>
                      <w:snapToGrid w:val="0"/>
                      <w:color w:val="auto"/>
                      <w:kern w:val="0"/>
                      <w:sz w:val="21"/>
                      <w:szCs w:val="21"/>
                      <w:highlight w:val="none"/>
                      <w:vertAlign w:val="baseline"/>
                      <w:lang w:val="en-US" w:eastAsia="zh-CN" w:bidi="ar-SA"/>
                    </w:rPr>
                  </w:pPr>
                </w:p>
              </w:tc>
              <w:tc>
                <w:tcPr>
                  <w:tcW w:w="1663" w:type="pct"/>
                  <w:noWrap w:val="0"/>
                  <w:vAlign w:val="center"/>
                </w:tcPr>
                <w:p w14:paraId="7242F5BB">
                  <w:pPr>
                    <w:pStyle w:val="16"/>
                    <w:keepNext w:val="0"/>
                    <w:keepLines w:val="0"/>
                    <w:pageBreakBefore w:val="0"/>
                    <w:widowControl/>
                    <w:kinsoku/>
                    <w:wordWrap/>
                    <w:overflowPunct/>
                    <w:topLinePunct w:val="0"/>
                    <w:autoSpaceDE/>
                    <w:autoSpaceDN/>
                    <w:bidi w:val="0"/>
                    <w:adjustRightInd/>
                    <w:snapToGrid w:val="0"/>
                    <w:spacing w:before="0" w:after="0" w:line="240" w:lineRule="auto"/>
                    <w:ind w:right="0" w:rightChars="0"/>
                    <w:jc w:val="center"/>
                    <w:textAlignment w:val="auto"/>
                    <w:rPr>
                      <w:rFonts w:hint="default" w:ascii="Times New Roman" w:hAnsi="Times New Roman" w:eastAsia="宋体" w:cs="Times New Roman"/>
                      <w:b w:val="0"/>
                      <w:bCs w:val="0"/>
                      <w:snapToGrid w:val="0"/>
                      <w:color w:val="auto"/>
                      <w:kern w:val="0"/>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0"/>
                      <w:sz w:val="21"/>
                      <w:szCs w:val="21"/>
                      <w:highlight w:val="none"/>
                      <w:vertAlign w:val="baseline"/>
                      <w:lang w:val="en-US" w:eastAsia="zh-CN" w:bidi="ar-SA"/>
                    </w:rPr>
                    <w:t>NH</w:t>
                  </w:r>
                  <w:r>
                    <w:rPr>
                      <w:rFonts w:hint="default" w:ascii="Times New Roman" w:hAnsi="Times New Roman" w:eastAsia="宋体" w:cs="Times New Roman"/>
                      <w:b w:val="0"/>
                      <w:bCs w:val="0"/>
                      <w:snapToGrid w:val="0"/>
                      <w:color w:val="auto"/>
                      <w:kern w:val="0"/>
                      <w:sz w:val="21"/>
                      <w:szCs w:val="21"/>
                      <w:highlight w:val="none"/>
                      <w:vertAlign w:val="subscript"/>
                      <w:lang w:val="en-US" w:eastAsia="zh-CN" w:bidi="ar-SA"/>
                    </w:rPr>
                    <w:t>3</w:t>
                  </w:r>
                  <w:r>
                    <w:rPr>
                      <w:rFonts w:hint="default" w:ascii="Times New Roman" w:hAnsi="Times New Roman" w:eastAsia="宋体" w:cs="Times New Roman"/>
                      <w:b w:val="0"/>
                      <w:bCs w:val="0"/>
                      <w:snapToGrid w:val="0"/>
                      <w:color w:val="auto"/>
                      <w:kern w:val="0"/>
                      <w:sz w:val="21"/>
                      <w:szCs w:val="21"/>
                      <w:highlight w:val="none"/>
                      <w:vertAlign w:val="baseline"/>
                      <w:lang w:val="en-US" w:eastAsia="zh-CN" w:bidi="ar-SA"/>
                    </w:rPr>
                    <w:t>-N</w:t>
                  </w:r>
                </w:p>
              </w:tc>
              <w:tc>
                <w:tcPr>
                  <w:tcW w:w="2359" w:type="pct"/>
                  <w:noWrap w:val="0"/>
                  <w:vAlign w:val="center"/>
                </w:tcPr>
                <w:p w14:paraId="1A93A9F7">
                  <w:pPr>
                    <w:pStyle w:val="16"/>
                    <w:keepNext w:val="0"/>
                    <w:keepLines w:val="0"/>
                    <w:pageBreakBefore w:val="0"/>
                    <w:widowControl/>
                    <w:kinsoku/>
                    <w:wordWrap/>
                    <w:overflowPunct/>
                    <w:topLinePunct w:val="0"/>
                    <w:autoSpaceDE/>
                    <w:autoSpaceDN/>
                    <w:bidi w:val="0"/>
                    <w:adjustRightInd/>
                    <w:snapToGrid w:val="0"/>
                    <w:spacing w:before="0" w:after="0" w:line="240" w:lineRule="auto"/>
                    <w:ind w:right="0" w:rightChars="0"/>
                    <w:jc w:val="center"/>
                    <w:textAlignment w:val="auto"/>
                    <w:rPr>
                      <w:rFonts w:hint="default" w:ascii="Times New Roman" w:hAnsi="Times New Roman" w:eastAsia="宋体" w:cs="Times New Roman"/>
                      <w:b w:val="0"/>
                      <w:bCs w:val="0"/>
                      <w:snapToGrid w:val="0"/>
                      <w:color w:val="auto"/>
                      <w:kern w:val="0"/>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0"/>
                      <w:sz w:val="21"/>
                      <w:szCs w:val="21"/>
                      <w:highlight w:val="none"/>
                      <w:vertAlign w:val="baseline"/>
                      <w:lang w:val="en-US" w:eastAsia="zh-CN" w:bidi="ar-SA"/>
                    </w:rPr>
                    <w:t>28.3</w:t>
                  </w:r>
                </w:p>
              </w:tc>
            </w:tr>
            <w:tr w14:paraId="61A49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976" w:type="pct"/>
                  <w:vMerge w:val="continue"/>
                  <w:noWrap w:val="0"/>
                  <w:vAlign w:val="center"/>
                </w:tcPr>
                <w:p w14:paraId="37DAD2E2">
                  <w:pPr>
                    <w:pStyle w:val="16"/>
                    <w:keepNext w:val="0"/>
                    <w:keepLines w:val="0"/>
                    <w:pageBreakBefore w:val="0"/>
                    <w:widowControl/>
                    <w:kinsoku/>
                    <w:wordWrap/>
                    <w:overflowPunct/>
                    <w:topLinePunct w:val="0"/>
                    <w:autoSpaceDE/>
                    <w:autoSpaceDN/>
                    <w:bidi w:val="0"/>
                    <w:adjustRightInd/>
                    <w:snapToGrid w:val="0"/>
                    <w:spacing w:before="0" w:after="0" w:line="240" w:lineRule="auto"/>
                    <w:ind w:right="0" w:rightChars="0"/>
                    <w:jc w:val="center"/>
                    <w:textAlignment w:val="auto"/>
                    <w:rPr>
                      <w:rFonts w:hint="default" w:ascii="Times New Roman" w:hAnsi="Times New Roman" w:eastAsia="宋体" w:cs="Times New Roman"/>
                      <w:b/>
                      <w:bCs/>
                      <w:snapToGrid w:val="0"/>
                      <w:color w:val="auto"/>
                      <w:kern w:val="0"/>
                      <w:sz w:val="21"/>
                      <w:szCs w:val="21"/>
                      <w:highlight w:val="none"/>
                      <w:vertAlign w:val="baseline"/>
                      <w:lang w:val="en-US" w:eastAsia="zh-CN" w:bidi="ar-SA"/>
                    </w:rPr>
                  </w:pPr>
                </w:p>
              </w:tc>
              <w:tc>
                <w:tcPr>
                  <w:tcW w:w="1663" w:type="pct"/>
                  <w:noWrap w:val="0"/>
                  <w:vAlign w:val="center"/>
                </w:tcPr>
                <w:p w14:paraId="28E1BF9E">
                  <w:pPr>
                    <w:pStyle w:val="16"/>
                    <w:keepNext w:val="0"/>
                    <w:keepLines w:val="0"/>
                    <w:pageBreakBefore w:val="0"/>
                    <w:widowControl/>
                    <w:kinsoku/>
                    <w:wordWrap/>
                    <w:overflowPunct/>
                    <w:topLinePunct w:val="0"/>
                    <w:autoSpaceDE/>
                    <w:autoSpaceDN/>
                    <w:bidi w:val="0"/>
                    <w:adjustRightInd/>
                    <w:snapToGrid w:val="0"/>
                    <w:spacing w:before="0" w:after="0" w:line="240" w:lineRule="auto"/>
                    <w:ind w:right="0" w:rightChars="0"/>
                    <w:jc w:val="center"/>
                    <w:textAlignment w:val="auto"/>
                    <w:rPr>
                      <w:rFonts w:hint="default" w:ascii="Times New Roman" w:hAnsi="Times New Roman" w:eastAsia="宋体" w:cs="Times New Roman"/>
                      <w:b w:val="0"/>
                      <w:bCs w:val="0"/>
                      <w:snapToGrid w:val="0"/>
                      <w:color w:val="auto"/>
                      <w:kern w:val="0"/>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0"/>
                      <w:sz w:val="21"/>
                      <w:szCs w:val="21"/>
                      <w:highlight w:val="none"/>
                      <w:vertAlign w:val="baseline"/>
                      <w:lang w:val="en-US" w:eastAsia="zh-CN" w:bidi="ar-SA"/>
                    </w:rPr>
                    <w:t>TP</w:t>
                  </w:r>
                </w:p>
              </w:tc>
              <w:tc>
                <w:tcPr>
                  <w:tcW w:w="2359" w:type="pct"/>
                  <w:noWrap w:val="0"/>
                  <w:vAlign w:val="center"/>
                </w:tcPr>
                <w:p w14:paraId="2A233297">
                  <w:pPr>
                    <w:pStyle w:val="16"/>
                    <w:keepNext w:val="0"/>
                    <w:keepLines w:val="0"/>
                    <w:pageBreakBefore w:val="0"/>
                    <w:widowControl/>
                    <w:kinsoku/>
                    <w:wordWrap/>
                    <w:overflowPunct/>
                    <w:topLinePunct w:val="0"/>
                    <w:autoSpaceDE/>
                    <w:autoSpaceDN/>
                    <w:bidi w:val="0"/>
                    <w:adjustRightInd/>
                    <w:snapToGrid w:val="0"/>
                    <w:spacing w:before="0" w:after="0" w:line="240" w:lineRule="auto"/>
                    <w:ind w:right="0" w:rightChars="0"/>
                    <w:jc w:val="center"/>
                    <w:textAlignment w:val="auto"/>
                    <w:rPr>
                      <w:rFonts w:hint="default" w:ascii="Times New Roman" w:hAnsi="Times New Roman" w:eastAsia="宋体" w:cs="Times New Roman"/>
                      <w:b w:val="0"/>
                      <w:bCs w:val="0"/>
                      <w:snapToGrid w:val="0"/>
                      <w:color w:val="auto"/>
                      <w:kern w:val="0"/>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0"/>
                      <w:sz w:val="21"/>
                      <w:szCs w:val="21"/>
                      <w:highlight w:val="none"/>
                      <w:vertAlign w:val="baseline"/>
                      <w:lang w:val="en-US" w:eastAsia="zh-CN" w:bidi="ar-SA"/>
                    </w:rPr>
                    <w:t>4.1</w:t>
                  </w:r>
                </w:p>
              </w:tc>
            </w:tr>
            <w:tr w14:paraId="1026F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976" w:type="pct"/>
                  <w:vMerge w:val="continue"/>
                  <w:noWrap w:val="0"/>
                  <w:vAlign w:val="center"/>
                </w:tcPr>
                <w:p w14:paraId="035301B7">
                  <w:pPr>
                    <w:pStyle w:val="16"/>
                    <w:keepNext w:val="0"/>
                    <w:keepLines w:val="0"/>
                    <w:pageBreakBefore w:val="0"/>
                    <w:widowControl/>
                    <w:kinsoku/>
                    <w:wordWrap/>
                    <w:overflowPunct/>
                    <w:topLinePunct w:val="0"/>
                    <w:autoSpaceDE/>
                    <w:autoSpaceDN/>
                    <w:bidi w:val="0"/>
                    <w:adjustRightInd/>
                    <w:snapToGrid w:val="0"/>
                    <w:spacing w:before="0" w:after="0" w:line="240" w:lineRule="auto"/>
                    <w:ind w:right="0" w:rightChars="0"/>
                    <w:jc w:val="center"/>
                    <w:textAlignment w:val="auto"/>
                    <w:rPr>
                      <w:rFonts w:hint="default" w:ascii="Times New Roman" w:hAnsi="Times New Roman" w:eastAsia="宋体" w:cs="Times New Roman"/>
                      <w:b/>
                      <w:bCs/>
                      <w:snapToGrid w:val="0"/>
                      <w:color w:val="auto"/>
                      <w:kern w:val="0"/>
                      <w:sz w:val="21"/>
                      <w:szCs w:val="21"/>
                      <w:highlight w:val="none"/>
                      <w:vertAlign w:val="baseline"/>
                      <w:lang w:val="en-US" w:eastAsia="zh-CN" w:bidi="ar-SA"/>
                    </w:rPr>
                  </w:pPr>
                </w:p>
              </w:tc>
              <w:tc>
                <w:tcPr>
                  <w:tcW w:w="1663" w:type="pct"/>
                  <w:noWrap w:val="0"/>
                  <w:vAlign w:val="center"/>
                </w:tcPr>
                <w:p w14:paraId="7A195BB5">
                  <w:pPr>
                    <w:pStyle w:val="16"/>
                    <w:keepNext w:val="0"/>
                    <w:keepLines w:val="0"/>
                    <w:pageBreakBefore w:val="0"/>
                    <w:widowControl/>
                    <w:kinsoku/>
                    <w:wordWrap/>
                    <w:overflowPunct/>
                    <w:topLinePunct w:val="0"/>
                    <w:autoSpaceDE/>
                    <w:autoSpaceDN/>
                    <w:bidi w:val="0"/>
                    <w:adjustRightInd/>
                    <w:snapToGrid w:val="0"/>
                    <w:spacing w:before="0" w:after="0" w:line="240" w:lineRule="auto"/>
                    <w:ind w:right="0" w:rightChars="0"/>
                    <w:jc w:val="center"/>
                    <w:textAlignment w:val="auto"/>
                    <w:rPr>
                      <w:rFonts w:hint="default" w:ascii="Times New Roman" w:hAnsi="Times New Roman" w:eastAsia="宋体" w:cs="Times New Roman"/>
                      <w:b w:val="0"/>
                      <w:bCs w:val="0"/>
                      <w:snapToGrid w:val="0"/>
                      <w:color w:val="auto"/>
                      <w:kern w:val="0"/>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0"/>
                      <w:sz w:val="21"/>
                      <w:szCs w:val="21"/>
                      <w:highlight w:val="none"/>
                      <w:vertAlign w:val="baseline"/>
                      <w:lang w:val="en-US" w:eastAsia="zh-CN" w:bidi="ar-SA"/>
                    </w:rPr>
                    <w:t>TN</w:t>
                  </w:r>
                </w:p>
              </w:tc>
              <w:tc>
                <w:tcPr>
                  <w:tcW w:w="2359" w:type="pct"/>
                  <w:noWrap w:val="0"/>
                  <w:vAlign w:val="center"/>
                </w:tcPr>
                <w:p w14:paraId="41D351AC">
                  <w:pPr>
                    <w:pStyle w:val="16"/>
                    <w:keepNext w:val="0"/>
                    <w:keepLines w:val="0"/>
                    <w:pageBreakBefore w:val="0"/>
                    <w:widowControl/>
                    <w:kinsoku/>
                    <w:wordWrap/>
                    <w:overflowPunct/>
                    <w:topLinePunct w:val="0"/>
                    <w:autoSpaceDE/>
                    <w:autoSpaceDN/>
                    <w:bidi w:val="0"/>
                    <w:adjustRightInd/>
                    <w:snapToGrid w:val="0"/>
                    <w:spacing w:before="0" w:after="0" w:line="240" w:lineRule="auto"/>
                    <w:ind w:right="0" w:rightChars="0"/>
                    <w:jc w:val="center"/>
                    <w:textAlignment w:val="auto"/>
                    <w:rPr>
                      <w:rFonts w:hint="default" w:ascii="Times New Roman" w:hAnsi="Times New Roman" w:eastAsia="宋体" w:cs="Times New Roman"/>
                      <w:b w:val="0"/>
                      <w:bCs w:val="0"/>
                      <w:snapToGrid w:val="0"/>
                      <w:color w:val="auto"/>
                      <w:kern w:val="0"/>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0"/>
                      <w:sz w:val="21"/>
                      <w:szCs w:val="21"/>
                      <w:highlight w:val="none"/>
                      <w:vertAlign w:val="baseline"/>
                      <w:lang w:val="en-US" w:eastAsia="zh-CN" w:bidi="ar-SA"/>
                    </w:rPr>
                    <w:t>39.4</w:t>
                  </w:r>
                </w:p>
              </w:tc>
            </w:tr>
          </w:tbl>
          <w:p w14:paraId="5D7C6F15">
            <w:pPr>
              <w:adjustRightInd w:val="0"/>
              <w:snapToGrid w:val="0"/>
              <w:spacing w:line="360" w:lineRule="auto"/>
              <w:ind w:firstLine="482" w:firstLineChars="200"/>
              <w:rPr>
                <w:rFonts w:hint="default" w:ascii="Times New Roman" w:hAnsi="Times New Roman" w:eastAsia="宋体" w:cs="Times New Roman"/>
                <w:b/>
                <w:bCs/>
                <w:color w:val="auto"/>
                <w:kern w:val="2"/>
                <w:sz w:val="24"/>
                <w:szCs w:val="24"/>
                <w:highlight w:val="none"/>
                <w:lang w:val="en-US" w:eastAsia="zh-CN"/>
              </w:rPr>
            </w:pPr>
            <w:r>
              <w:rPr>
                <w:rFonts w:hint="default" w:ascii="Times New Roman" w:hAnsi="Times New Roman" w:eastAsia="宋体" w:cs="Times New Roman"/>
                <w:b/>
                <w:bCs/>
                <w:color w:val="auto"/>
                <w:kern w:val="2"/>
                <w:sz w:val="24"/>
                <w:szCs w:val="24"/>
                <w:highlight w:val="none"/>
                <w:lang w:val="en-US" w:eastAsia="zh-CN"/>
              </w:rPr>
              <w:t>2.1.2生产废水</w:t>
            </w:r>
          </w:p>
          <w:p w14:paraId="6A75AA74">
            <w:pPr>
              <w:adjustRightInd w:val="0"/>
              <w:snapToGrid w:val="0"/>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lang w:val="en-US" w:eastAsia="zh-CN"/>
              </w:rPr>
              <w:t>2.1.1</w:t>
            </w:r>
            <w:r>
              <w:rPr>
                <w:rFonts w:hint="default" w:ascii="Times New Roman" w:hAnsi="Times New Roman" w:cs="Times New Roman"/>
                <w:color w:val="auto"/>
                <w:sz w:val="24"/>
                <w:szCs w:val="22"/>
                <w:highlight w:val="none"/>
              </w:rPr>
              <w:t>生产废水</w:t>
            </w:r>
          </w:p>
          <w:p w14:paraId="71D19F27">
            <w:pPr>
              <w:adjustRightInd w:val="0"/>
              <w:snapToGrid w:val="0"/>
              <w:spacing w:line="360" w:lineRule="auto"/>
              <w:ind w:firstLine="480" w:firstLineChars="200"/>
              <w:rPr>
                <w:rFonts w:hint="default" w:ascii="Times New Roman" w:hAnsi="Times New Roman" w:cs="Times New Roman"/>
                <w:bCs/>
                <w:color w:val="auto"/>
                <w:spacing w:val="-2"/>
                <w:sz w:val="24"/>
                <w:highlight w:val="none"/>
              </w:rPr>
            </w:pPr>
            <w:r>
              <w:rPr>
                <w:rFonts w:hint="default" w:ascii="Times New Roman" w:hAnsi="Times New Roman" w:cs="Times New Roman"/>
                <w:color w:val="auto"/>
                <w:sz w:val="24"/>
                <w:szCs w:val="22"/>
                <w:highlight w:val="none"/>
              </w:rPr>
              <w:t>①搅拌机清洗废水：由</w:t>
            </w:r>
            <w:r>
              <w:rPr>
                <w:rFonts w:hint="default" w:ascii="Times New Roman" w:hAnsi="Times New Roman" w:cs="Times New Roman"/>
                <w:color w:val="auto"/>
                <w:sz w:val="24"/>
                <w:szCs w:val="22"/>
                <w:highlight w:val="none"/>
                <w:lang w:eastAsia="zh-CN"/>
              </w:rPr>
              <w:t>前文</w:t>
            </w:r>
            <w:r>
              <w:rPr>
                <w:rFonts w:hint="default" w:ascii="Times New Roman" w:hAnsi="Times New Roman" w:cs="Times New Roman"/>
                <w:color w:val="auto"/>
                <w:sz w:val="24"/>
                <w:szCs w:val="22"/>
                <w:highlight w:val="none"/>
                <w:lang w:val="en-US" w:eastAsia="zh-CN"/>
              </w:rPr>
              <w:t>给</w:t>
            </w:r>
            <w:r>
              <w:rPr>
                <w:rFonts w:hint="default" w:ascii="Times New Roman" w:hAnsi="Times New Roman" w:cs="Times New Roman"/>
                <w:color w:val="auto"/>
                <w:sz w:val="24"/>
                <w:szCs w:val="22"/>
                <w:highlight w:val="none"/>
              </w:rPr>
              <w:t>排水情况分析处可知，</w:t>
            </w:r>
            <w:r>
              <w:rPr>
                <w:rFonts w:hint="default" w:ascii="Times New Roman" w:hAnsi="Times New Roman" w:cs="Times New Roman"/>
                <w:color w:val="auto"/>
                <w:sz w:val="24"/>
                <w:szCs w:val="22"/>
                <w:highlight w:val="none"/>
                <w:lang w:eastAsia="zh-CN"/>
              </w:rPr>
              <w:t>本项目</w:t>
            </w:r>
            <w:r>
              <w:rPr>
                <w:rFonts w:hint="default" w:ascii="Times New Roman" w:hAnsi="Times New Roman" w:cs="Times New Roman"/>
                <w:color w:val="auto"/>
                <w:sz w:val="24"/>
                <w:highlight w:val="none"/>
              </w:rPr>
              <w:t>搅拌机清洗废水产生量为</w:t>
            </w:r>
            <w:r>
              <w:rPr>
                <w:rFonts w:hint="default" w:ascii="Times New Roman" w:hAnsi="Times New Roman" w:cs="Times New Roman"/>
                <w:color w:val="auto"/>
                <w:sz w:val="24"/>
                <w:szCs w:val="24"/>
                <w:highlight w:val="none"/>
                <w:lang w:val="en-US" w:eastAsia="zh-CN"/>
              </w:rPr>
              <w:t>1080</w:t>
            </w:r>
            <w:r>
              <w:rPr>
                <w:rFonts w:hint="default" w:ascii="Times New Roman" w:hAnsi="Times New Roman" w:cs="Times New Roman"/>
                <w:color w:val="auto"/>
                <w:sz w:val="24"/>
                <w:szCs w:val="24"/>
                <w:highlight w:val="none"/>
              </w:rPr>
              <w:t>m</w:t>
            </w:r>
            <w:r>
              <w:rPr>
                <w:rFonts w:hint="default" w:ascii="Times New Roman" w:hAnsi="Times New Roman" w:cs="Times New Roman"/>
                <w:color w:val="auto"/>
                <w:sz w:val="24"/>
                <w:szCs w:val="24"/>
                <w:highlight w:val="none"/>
                <w:vertAlign w:val="superscript"/>
              </w:rPr>
              <w:t>3</w:t>
            </w:r>
            <w:r>
              <w:rPr>
                <w:rFonts w:hint="default" w:ascii="Times New Roman" w:hAnsi="Times New Roman" w:cs="Times New Roman"/>
                <w:color w:val="auto"/>
                <w:sz w:val="24"/>
                <w:szCs w:val="24"/>
                <w:highlight w:val="none"/>
              </w:rPr>
              <w:t>/a（</w:t>
            </w:r>
            <w:r>
              <w:rPr>
                <w:rFonts w:hint="default" w:ascii="Times New Roman" w:hAnsi="Times New Roman" w:cs="Times New Roman"/>
                <w:color w:val="auto"/>
                <w:sz w:val="24"/>
                <w:szCs w:val="24"/>
                <w:highlight w:val="none"/>
                <w:lang w:val="en-US" w:eastAsia="zh-CN"/>
              </w:rPr>
              <w:t>3.6</w:t>
            </w:r>
            <w:r>
              <w:rPr>
                <w:rFonts w:hint="default" w:ascii="Times New Roman" w:hAnsi="Times New Roman" w:cs="Times New Roman"/>
                <w:color w:val="auto"/>
                <w:sz w:val="24"/>
                <w:szCs w:val="24"/>
                <w:highlight w:val="none"/>
              </w:rPr>
              <w:t>t/d），</w:t>
            </w:r>
            <w:r>
              <w:rPr>
                <w:rFonts w:hint="default" w:ascii="Times New Roman" w:hAnsi="Times New Roman" w:cs="Times New Roman"/>
                <w:color w:val="auto"/>
                <w:sz w:val="24"/>
                <w:szCs w:val="24"/>
                <w:highlight w:val="none"/>
                <w:lang w:val="en-US" w:eastAsia="zh-CN"/>
              </w:rPr>
              <w:t>经三级</w:t>
            </w:r>
            <w:r>
              <w:rPr>
                <w:rFonts w:hint="default" w:ascii="Times New Roman" w:hAnsi="Times New Roman" w:cs="Times New Roman"/>
                <w:color w:val="auto"/>
                <w:sz w:val="24"/>
                <w:szCs w:val="24"/>
                <w:highlight w:val="none"/>
              </w:rPr>
              <w:t>沉淀</w:t>
            </w:r>
            <w:r>
              <w:rPr>
                <w:rFonts w:hint="default" w:ascii="Times New Roman" w:hAnsi="Times New Roman" w:cs="Times New Roman"/>
                <w:color w:val="auto"/>
                <w:sz w:val="24"/>
                <w:szCs w:val="24"/>
                <w:highlight w:val="none"/>
                <w:lang w:val="en-US" w:eastAsia="zh-CN"/>
              </w:rPr>
              <w:t>后</w:t>
            </w:r>
            <w:r>
              <w:rPr>
                <w:rFonts w:hint="default" w:ascii="Times New Roman" w:hAnsi="Times New Roman" w:cs="Times New Roman"/>
                <w:color w:val="auto"/>
                <w:sz w:val="24"/>
                <w:szCs w:val="24"/>
                <w:highlight w:val="none"/>
              </w:rPr>
              <w:t>回用于</w:t>
            </w:r>
            <w:r>
              <w:rPr>
                <w:rFonts w:hint="default" w:ascii="Times New Roman" w:hAnsi="Times New Roman" w:eastAsia="宋体" w:cs="Times New Roman"/>
                <w:b w:val="0"/>
                <w:bCs/>
                <w:color w:val="auto"/>
                <w:sz w:val="24"/>
                <w:szCs w:val="24"/>
                <w:highlight w:val="none"/>
                <w:vertAlign w:val="baseline"/>
                <w:lang w:val="en-US" w:eastAsia="zh-CN"/>
              </w:rPr>
              <w:t>原料调配用水</w:t>
            </w:r>
            <w:r>
              <w:rPr>
                <w:rFonts w:hint="default" w:ascii="Times New Roman" w:hAnsi="Times New Roman" w:cs="Times New Roman"/>
                <w:color w:val="auto"/>
                <w:sz w:val="24"/>
                <w:szCs w:val="24"/>
                <w:highlight w:val="none"/>
                <w:lang w:val="en-US" w:eastAsia="zh-CN"/>
              </w:rPr>
              <w:t>，养护用水全部蒸发损耗，</w:t>
            </w:r>
            <w:r>
              <w:rPr>
                <w:rFonts w:hint="default" w:ascii="Times New Roman" w:hAnsi="Times New Roman" w:cs="Times New Roman"/>
                <w:color w:val="auto"/>
                <w:sz w:val="24"/>
                <w:highlight w:val="none"/>
              </w:rPr>
              <w:t>不排放；</w:t>
            </w:r>
          </w:p>
          <w:p w14:paraId="3FB47543">
            <w:pPr>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bCs/>
                <w:color w:val="auto"/>
                <w:spacing w:val="-2"/>
                <w:sz w:val="24"/>
                <w:highlight w:val="none"/>
              </w:rPr>
              <w:t>②运输原材料车辆</w:t>
            </w:r>
            <w:r>
              <w:rPr>
                <w:rFonts w:hint="default" w:ascii="Times New Roman" w:hAnsi="Times New Roman" w:cs="Times New Roman"/>
                <w:bCs/>
                <w:color w:val="auto"/>
                <w:spacing w:val="-2"/>
                <w:sz w:val="24"/>
                <w:highlight w:val="none"/>
                <w:lang w:eastAsia="zh-CN"/>
              </w:rPr>
              <w:t>清洗废水</w:t>
            </w:r>
            <w:r>
              <w:rPr>
                <w:rFonts w:hint="default" w:ascii="Times New Roman" w:hAnsi="Times New Roman" w:cs="Times New Roman"/>
                <w:bCs/>
                <w:color w:val="auto"/>
                <w:spacing w:val="-2"/>
                <w:sz w:val="24"/>
                <w:highlight w:val="none"/>
              </w:rPr>
              <w:t>：</w:t>
            </w:r>
            <w:r>
              <w:rPr>
                <w:rFonts w:hint="default" w:ascii="Times New Roman" w:hAnsi="Times New Roman" w:cs="Times New Roman"/>
                <w:bCs/>
                <w:color w:val="auto"/>
                <w:spacing w:val="-2"/>
                <w:sz w:val="24"/>
                <w:highlight w:val="none"/>
                <w:lang w:eastAsia="zh-CN"/>
              </w:rPr>
              <w:t>本项目</w:t>
            </w:r>
            <w:r>
              <w:rPr>
                <w:rFonts w:hint="default" w:ascii="Times New Roman" w:hAnsi="Times New Roman" w:cs="Times New Roman"/>
                <w:color w:val="auto"/>
                <w:sz w:val="24"/>
                <w:highlight w:val="none"/>
              </w:rPr>
              <w:t>运输车辆</w:t>
            </w:r>
            <w:r>
              <w:rPr>
                <w:rFonts w:hint="default" w:ascii="Times New Roman" w:hAnsi="Times New Roman" w:cs="Times New Roman"/>
                <w:color w:val="auto"/>
                <w:sz w:val="24"/>
                <w:highlight w:val="none"/>
                <w:lang w:eastAsia="zh-CN"/>
              </w:rPr>
              <w:t>清洗废水</w:t>
            </w:r>
            <w:r>
              <w:rPr>
                <w:rFonts w:hint="default" w:ascii="Times New Roman" w:hAnsi="Times New Roman" w:cs="Times New Roman"/>
                <w:color w:val="auto"/>
                <w:sz w:val="24"/>
                <w:highlight w:val="none"/>
              </w:rPr>
              <w:t>产生量为</w:t>
            </w:r>
            <w:r>
              <w:rPr>
                <w:rFonts w:hint="default" w:ascii="Times New Roman" w:hAnsi="Times New Roman" w:eastAsia="宋体" w:cs="Times New Roman"/>
                <w:color w:val="auto"/>
                <w:sz w:val="24"/>
                <w:szCs w:val="24"/>
                <w:highlight w:val="none"/>
                <w:lang w:val="en-US" w:eastAsia="zh-CN"/>
              </w:rPr>
              <w:t>1.254t/d（375.944t/a），</w:t>
            </w:r>
            <w:r>
              <w:rPr>
                <w:rFonts w:hint="default" w:ascii="Times New Roman" w:hAnsi="Times New Roman" w:cs="Times New Roman"/>
                <w:color w:val="auto"/>
                <w:sz w:val="24"/>
                <w:szCs w:val="24"/>
                <w:highlight w:val="none"/>
                <w:lang w:val="en-US" w:eastAsia="zh-CN"/>
              </w:rPr>
              <w:t>经三级</w:t>
            </w:r>
            <w:r>
              <w:rPr>
                <w:rFonts w:hint="default" w:ascii="Times New Roman" w:hAnsi="Times New Roman" w:cs="Times New Roman"/>
                <w:color w:val="auto"/>
                <w:sz w:val="24"/>
                <w:szCs w:val="24"/>
                <w:highlight w:val="none"/>
              </w:rPr>
              <w:t>沉淀回用于</w:t>
            </w:r>
            <w:r>
              <w:rPr>
                <w:rFonts w:hint="default" w:ascii="Times New Roman" w:hAnsi="Times New Roman" w:eastAsia="宋体" w:cs="Times New Roman"/>
                <w:b w:val="0"/>
                <w:bCs/>
                <w:color w:val="auto"/>
                <w:sz w:val="24"/>
                <w:szCs w:val="24"/>
                <w:highlight w:val="none"/>
                <w:vertAlign w:val="baseline"/>
                <w:lang w:val="en-US" w:eastAsia="zh-CN"/>
              </w:rPr>
              <w:t>原料调配用水</w:t>
            </w:r>
            <w:r>
              <w:rPr>
                <w:rFonts w:hint="default" w:ascii="Times New Roman" w:hAnsi="Times New Roman" w:cs="Times New Roman"/>
                <w:color w:val="auto"/>
                <w:sz w:val="24"/>
                <w:szCs w:val="24"/>
                <w:highlight w:val="none"/>
                <w:lang w:val="en-US" w:eastAsia="zh-CN"/>
              </w:rPr>
              <w:t>，</w:t>
            </w:r>
            <w:r>
              <w:rPr>
                <w:rFonts w:hint="default" w:ascii="Times New Roman" w:hAnsi="Times New Roman" w:cs="Times New Roman"/>
                <w:color w:val="auto"/>
                <w:sz w:val="24"/>
                <w:highlight w:val="none"/>
              </w:rPr>
              <w:t>不排放</w:t>
            </w:r>
            <w:r>
              <w:rPr>
                <w:rFonts w:hint="default" w:ascii="Times New Roman" w:hAnsi="Times New Roman" w:eastAsia="宋体" w:cs="Times New Roman"/>
                <w:color w:val="auto"/>
                <w:sz w:val="24"/>
                <w:szCs w:val="24"/>
                <w:highlight w:val="none"/>
                <w:lang w:val="en-US" w:eastAsia="zh-CN"/>
              </w:rPr>
              <w:t>。</w:t>
            </w:r>
          </w:p>
          <w:p w14:paraId="6ED7B1C9">
            <w:pPr>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bCs/>
                <w:color w:val="auto"/>
                <w:spacing w:val="-2"/>
                <w:sz w:val="24"/>
                <w:highlight w:val="none"/>
              </w:rPr>
              <w:t>③</w:t>
            </w:r>
            <w:r>
              <w:rPr>
                <w:rFonts w:hint="default" w:ascii="Times New Roman" w:hAnsi="Times New Roman" w:cs="Times New Roman"/>
                <w:color w:val="auto"/>
                <w:sz w:val="24"/>
                <w:highlight w:val="none"/>
                <w:lang w:val="en-US" w:eastAsia="zh-CN"/>
              </w:rPr>
              <w:t>搅拌区</w:t>
            </w:r>
            <w:r>
              <w:rPr>
                <w:rFonts w:hint="default" w:ascii="Times New Roman" w:hAnsi="Times New Roman" w:cs="Times New Roman"/>
                <w:color w:val="auto"/>
                <w:sz w:val="24"/>
                <w:highlight w:val="none"/>
              </w:rPr>
              <w:t>地面</w:t>
            </w:r>
            <w:r>
              <w:rPr>
                <w:rFonts w:hint="default" w:ascii="Times New Roman" w:hAnsi="Times New Roman" w:cs="Times New Roman"/>
                <w:color w:val="auto"/>
                <w:sz w:val="24"/>
                <w:highlight w:val="none"/>
                <w:lang w:val="en-US" w:eastAsia="zh-CN"/>
              </w:rPr>
              <w:t>清洗废水</w:t>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lang w:val="en-US" w:eastAsia="zh-CN"/>
              </w:rPr>
              <w:t>项目搅拌区地面需每天</w:t>
            </w:r>
            <w:r>
              <w:rPr>
                <w:rFonts w:hint="default" w:ascii="Times New Roman" w:hAnsi="Times New Roman" w:cs="Times New Roman"/>
                <w:color w:val="auto"/>
                <w:sz w:val="24"/>
                <w:szCs w:val="24"/>
                <w:highlight w:val="none"/>
                <w:lang w:val="en-US" w:eastAsia="zh-CN"/>
              </w:rPr>
              <w:t>清</w:t>
            </w:r>
            <w:r>
              <w:rPr>
                <w:rFonts w:hint="default" w:ascii="Times New Roman" w:hAnsi="Times New Roman" w:eastAsia="宋体" w:cs="Times New Roman"/>
                <w:i w:val="0"/>
                <w:iCs w:val="0"/>
                <w:color w:val="auto"/>
                <w:kern w:val="0"/>
                <w:sz w:val="24"/>
                <w:szCs w:val="24"/>
                <w:highlight w:val="none"/>
                <w:u w:val="none"/>
                <w:lang w:val="en-US" w:eastAsia="zh-CN" w:bidi="ar"/>
              </w:rPr>
              <w:t>洗</w:t>
            </w:r>
            <w:r>
              <w:rPr>
                <w:rFonts w:hint="default" w:ascii="Times New Roman" w:hAnsi="Times New Roman" w:cs="Times New Roman"/>
                <w:color w:val="auto"/>
                <w:sz w:val="24"/>
                <w:highlight w:val="none"/>
                <w:lang w:val="en-US" w:eastAsia="zh-CN"/>
              </w:rPr>
              <w:t>，其余区域无需</w:t>
            </w:r>
            <w:r>
              <w:rPr>
                <w:rFonts w:hint="default" w:ascii="Times New Roman" w:hAnsi="Times New Roman" w:cs="Times New Roman"/>
                <w:color w:val="auto"/>
                <w:sz w:val="24"/>
                <w:szCs w:val="24"/>
                <w:highlight w:val="none"/>
                <w:lang w:val="en-US" w:eastAsia="zh-CN"/>
              </w:rPr>
              <w:t>清</w:t>
            </w:r>
            <w:r>
              <w:rPr>
                <w:rFonts w:hint="default" w:ascii="Times New Roman" w:hAnsi="Times New Roman" w:eastAsia="宋体" w:cs="Times New Roman"/>
                <w:i w:val="0"/>
                <w:iCs w:val="0"/>
                <w:color w:val="auto"/>
                <w:kern w:val="0"/>
                <w:sz w:val="24"/>
                <w:szCs w:val="24"/>
                <w:highlight w:val="none"/>
                <w:u w:val="none"/>
                <w:lang w:val="en-US" w:eastAsia="zh-CN" w:bidi="ar"/>
              </w:rPr>
              <w:t>洗</w:t>
            </w:r>
            <w:r>
              <w:rPr>
                <w:rFonts w:hint="default" w:ascii="Times New Roman" w:hAnsi="Times New Roman" w:cs="Times New Roman"/>
                <w:color w:val="auto"/>
                <w:sz w:val="24"/>
                <w:highlight w:val="none"/>
                <w:lang w:val="en-US" w:eastAsia="zh-CN"/>
              </w:rPr>
              <w:t>，根据前文水平衡分析情况可知，搅拌区地面清洗废水产生量为1.62t/d（486t/a），</w:t>
            </w:r>
            <w:r>
              <w:rPr>
                <w:rFonts w:hint="default" w:ascii="Times New Roman" w:hAnsi="Times New Roman" w:cs="Times New Roman"/>
                <w:color w:val="auto"/>
                <w:sz w:val="24"/>
                <w:szCs w:val="24"/>
                <w:highlight w:val="none"/>
                <w:lang w:val="en-US" w:eastAsia="zh-CN"/>
              </w:rPr>
              <w:t>经三级</w:t>
            </w:r>
            <w:r>
              <w:rPr>
                <w:rFonts w:hint="default" w:ascii="Times New Roman" w:hAnsi="Times New Roman" w:cs="Times New Roman"/>
                <w:color w:val="auto"/>
                <w:sz w:val="24"/>
                <w:szCs w:val="24"/>
                <w:highlight w:val="none"/>
              </w:rPr>
              <w:t>沉淀回用于</w:t>
            </w:r>
            <w:r>
              <w:rPr>
                <w:rFonts w:hint="default" w:ascii="Times New Roman" w:hAnsi="Times New Roman" w:eastAsia="宋体" w:cs="Times New Roman"/>
                <w:b w:val="0"/>
                <w:bCs/>
                <w:color w:val="auto"/>
                <w:sz w:val="24"/>
                <w:szCs w:val="24"/>
                <w:highlight w:val="none"/>
                <w:vertAlign w:val="baseline"/>
                <w:lang w:val="en-US" w:eastAsia="zh-CN"/>
              </w:rPr>
              <w:t>原料调配用水</w:t>
            </w:r>
            <w:r>
              <w:rPr>
                <w:rFonts w:hint="default" w:ascii="Times New Roman" w:hAnsi="Times New Roman" w:cs="Times New Roman"/>
                <w:color w:val="auto"/>
                <w:sz w:val="24"/>
                <w:szCs w:val="24"/>
                <w:highlight w:val="none"/>
                <w:lang w:val="en-US" w:eastAsia="zh-CN"/>
              </w:rPr>
              <w:t>，</w:t>
            </w:r>
            <w:r>
              <w:rPr>
                <w:rFonts w:hint="default" w:ascii="Times New Roman" w:hAnsi="Times New Roman" w:cs="Times New Roman"/>
                <w:color w:val="auto"/>
                <w:sz w:val="24"/>
                <w:highlight w:val="none"/>
              </w:rPr>
              <w:t>不排放</w:t>
            </w:r>
            <w:r>
              <w:rPr>
                <w:rFonts w:hint="default" w:ascii="Times New Roman" w:hAnsi="Times New Roman" w:eastAsia="宋体" w:cs="Times New Roman"/>
                <w:color w:val="auto"/>
                <w:sz w:val="24"/>
                <w:szCs w:val="24"/>
                <w:highlight w:val="none"/>
                <w:lang w:val="en-US" w:eastAsia="zh-CN"/>
              </w:rPr>
              <w:t>。</w:t>
            </w:r>
          </w:p>
          <w:p w14:paraId="34278B24">
            <w:pPr>
              <w:autoSpaceDE w:val="0"/>
              <w:adjustRightInd w:val="0"/>
              <w:snapToGrid w:val="0"/>
              <w:spacing w:line="360" w:lineRule="auto"/>
              <w:ind w:firstLine="472" w:firstLineChars="200"/>
              <w:rPr>
                <w:rFonts w:hint="default" w:ascii="Times New Roman" w:hAnsi="Times New Roman" w:cs="Times New Roman"/>
                <w:bCs/>
                <w:color w:val="auto"/>
                <w:sz w:val="24"/>
                <w:szCs w:val="24"/>
                <w:highlight w:val="none"/>
              </w:rPr>
            </w:pPr>
            <w:r>
              <w:rPr>
                <w:rFonts w:hint="default" w:ascii="Times New Roman" w:hAnsi="Times New Roman" w:cs="Times New Roman"/>
                <w:bCs/>
                <w:color w:val="auto"/>
                <w:spacing w:val="-2"/>
                <w:sz w:val="24"/>
                <w:highlight w:val="none"/>
              </w:rPr>
              <w:t>④</w:t>
            </w:r>
            <w:r>
              <w:rPr>
                <w:rFonts w:hint="default" w:ascii="Times New Roman" w:hAnsi="Times New Roman" w:cs="Times New Roman"/>
                <w:b w:val="0"/>
                <w:bCs w:val="0"/>
                <w:color w:val="auto"/>
                <w:sz w:val="24"/>
                <w:szCs w:val="24"/>
                <w:highlight w:val="none"/>
              </w:rPr>
              <w:t>锅炉排污水及软化再生用水</w:t>
            </w:r>
            <w:r>
              <w:rPr>
                <w:rFonts w:hint="default" w:ascii="Times New Roman" w:hAnsi="Times New Roman" w:cs="Times New Roman"/>
                <w:b w:val="0"/>
                <w:bCs w:val="0"/>
                <w:color w:val="auto"/>
                <w:sz w:val="24"/>
                <w:szCs w:val="24"/>
                <w:highlight w:val="none"/>
                <w:lang w:val="en-US" w:eastAsia="zh-CN"/>
              </w:rPr>
              <w:t>给排水</w:t>
            </w:r>
            <w:r>
              <w:rPr>
                <w:rFonts w:hint="default" w:ascii="Times New Roman" w:hAnsi="Times New Roman" w:cs="Times New Roman"/>
                <w:b w:val="0"/>
                <w:bCs w:val="0"/>
                <w:color w:val="auto"/>
                <w:sz w:val="24"/>
                <w:szCs w:val="24"/>
                <w:highlight w:val="none"/>
              </w:rPr>
              <w:t>：</w:t>
            </w:r>
            <w:r>
              <w:rPr>
                <w:rFonts w:hint="default" w:ascii="Times New Roman" w:hAnsi="Times New Roman" w:cs="Times New Roman"/>
                <w:bCs/>
                <w:color w:val="auto"/>
                <w:sz w:val="24"/>
                <w:szCs w:val="24"/>
                <w:highlight w:val="none"/>
              </w:rPr>
              <w:t>项目设置2台</w:t>
            </w:r>
            <w:r>
              <w:rPr>
                <w:rFonts w:hint="default" w:ascii="Times New Roman" w:hAnsi="Times New Roman" w:cs="Times New Roman"/>
                <w:bCs/>
                <w:color w:val="auto"/>
                <w:sz w:val="24"/>
                <w:szCs w:val="24"/>
                <w:highlight w:val="none"/>
                <w:lang w:val="en-US" w:eastAsia="zh-CN"/>
              </w:rPr>
              <w:t>1</w:t>
            </w:r>
            <w:r>
              <w:rPr>
                <w:rFonts w:hint="default" w:ascii="Times New Roman" w:hAnsi="Times New Roman" w:cs="Times New Roman"/>
                <w:bCs/>
                <w:color w:val="auto"/>
                <w:sz w:val="24"/>
                <w:szCs w:val="24"/>
                <w:highlight w:val="none"/>
              </w:rPr>
              <w:t>t/h燃</w:t>
            </w:r>
            <w:r>
              <w:rPr>
                <w:rFonts w:hint="default" w:ascii="Times New Roman" w:hAnsi="Times New Roman" w:cs="Times New Roman"/>
                <w:bCs/>
                <w:color w:val="auto"/>
                <w:sz w:val="24"/>
                <w:szCs w:val="24"/>
                <w:highlight w:val="none"/>
                <w:lang w:val="en-US" w:eastAsia="zh-CN"/>
              </w:rPr>
              <w:t>天然气</w:t>
            </w:r>
            <w:r>
              <w:rPr>
                <w:rFonts w:hint="default" w:ascii="Times New Roman" w:hAnsi="Times New Roman" w:cs="Times New Roman"/>
                <w:bCs/>
                <w:color w:val="auto"/>
                <w:sz w:val="24"/>
                <w:szCs w:val="24"/>
                <w:highlight w:val="none"/>
              </w:rPr>
              <w:t>锅炉生产蒸汽用于</w:t>
            </w:r>
            <w:r>
              <w:rPr>
                <w:rFonts w:hint="default" w:ascii="Times New Roman" w:hAnsi="Times New Roman" w:cs="Times New Roman"/>
                <w:bCs/>
                <w:color w:val="auto"/>
                <w:sz w:val="24"/>
                <w:szCs w:val="24"/>
                <w:highlight w:val="none"/>
                <w:lang w:eastAsia="zh-CN"/>
              </w:rPr>
              <w:t>产品蒸养</w:t>
            </w:r>
            <w:r>
              <w:rPr>
                <w:rFonts w:hint="default" w:ascii="Times New Roman" w:hAnsi="Times New Roman" w:cs="Times New Roman"/>
                <w:bCs/>
                <w:color w:val="auto"/>
                <w:sz w:val="24"/>
                <w:szCs w:val="24"/>
                <w:highlight w:val="none"/>
                <w:lang w:val="en-US" w:eastAsia="zh-CN"/>
              </w:rPr>
              <w:t>根据前文给排水情况分析可知，</w:t>
            </w:r>
            <w:r>
              <w:rPr>
                <w:rFonts w:hint="default" w:ascii="Times New Roman" w:hAnsi="Times New Roman" w:eastAsia="宋体" w:cs="Times New Roman"/>
                <w:color w:val="auto"/>
                <w:kern w:val="2"/>
                <w:sz w:val="24"/>
                <w:szCs w:val="24"/>
                <w:highlight w:val="none"/>
                <w:lang w:val="en-US" w:eastAsia="zh-CN" w:bidi="ar-SA"/>
              </w:rPr>
              <w:t>则锅炉排污水及</w:t>
            </w:r>
            <w:r>
              <w:rPr>
                <w:rFonts w:hint="default" w:ascii="Times New Roman" w:hAnsi="Times New Roman" w:cs="Times New Roman"/>
                <w:color w:val="auto"/>
                <w:kern w:val="2"/>
                <w:sz w:val="24"/>
                <w:szCs w:val="24"/>
                <w:highlight w:val="none"/>
                <w:lang w:val="en-US" w:eastAsia="zh-CN" w:bidi="ar-SA"/>
              </w:rPr>
              <w:t>软水制备废水</w:t>
            </w:r>
            <w:r>
              <w:rPr>
                <w:rFonts w:hint="default" w:ascii="Times New Roman" w:hAnsi="Times New Roman" w:eastAsia="宋体" w:cs="Times New Roman"/>
                <w:color w:val="auto"/>
                <w:kern w:val="2"/>
                <w:sz w:val="24"/>
                <w:szCs w:val="24"/>
                <w:highlight w:val="none"/>
                <w:lang w:val="en-US" w:eastAsia="zh-CN" w:bidi="ar-SA"/>
              </w:rPr>
              <w:t>量为</w:t>
            </w:r>
            <w:r>
              <w:rPr>
                <w:rFonts w:hint="default" w:ascii="Times New Roman" w:hAnsi="Times New Roman" w:cs="Times New Roman"/>
                <w:color w:val="auto"/>
                <w:kern w:val="2"/>
                <w:sz w:val="24"/>
                <w:szCs w:val="24"/>
                <w:highlight w:val="none"/>
                <w:lang w:val="en-US" w:eastAsia="zh-CN" w:bidi="ar-SA"/>
              </w:rPr>
              <w:t>2.418</w:t>
            </w:r>
            <w:r>
              <w:rPr>
                <w:rFonts w:hint="default" w:ascii="Times New Roman" w:hAnsi="Times New Roman" w:eastAsia="宋体" w:cs="Times New Roman"/>
                <w:color w:val="auto"/>
                <w:kern w:val="2"/>
                <w:sz w:val="24"/>
                <w:szCs w:val="24"/>
                <w:highlight w:val="none"/>
                <w:lang w:val="en-US" w:eastAsia="zh-CN"/>
              </w:rPr>
              <w:t>t/d</w:t>
            </w:r>
            <w:r>
              <w:rPr>
                <w:rFonts w:hint="default" w:ascii="Times New Roman" w:hAnsi="Times New Roman" w:eastAsia="宋体" w:cs="Times New Roman"/>
                <w:color w:val="auto"/>
                <w:kern w:val="2"/>
                <w:sz w:val="24"/>
                <w:szCs w:val="24"/>
                <w:highlight w:val="none"/>
                <w:lang w:val="en-US" w:eastAsia="zh-CN" w:bidi="ar-SA"/>
              </w:rPr>
              <w:t>（</w:t>
            </w:r>
            <w:r>
              <w:rPr>
                <w:rFonts w:hint="default" w:ascii="Times New Roman" w:hAnsi="Times New Roman" w:cs="Times New Roman"/>
                <w:color w:val="auto"/>
                <w:kern w:val="2"/>
                <w:sz w:val="24"/>
                <w:szCs w:val="24"/>
                <w:highlight w:val="none"/>
                <w:lang w:val="en-US" w:eastAsia="zh-CN" w:bidi="ar-SA"/>
              </w:rPr>
              <w:t>241.8</w:t>
            </w:r>
            <w:r>
              <w:rPr>
                <w:rFonts w:hint="default" w:ascii="Times New Roman" w:hAnsi="Times New Roman" w:eastAsia="宋体" w:cs="Times New Roman"/>
                <w:color w:val="auto"/>
                <w:kern w:val="2"/>
                <w:sz w:val="24"/>
                <w:szCs w:val="24"/>
                <w:highlight w:val="none"/>
                <w:lang w:val="en-US" w:eastAsia="zh-CN" w:bidi="ar-SA"/>
              </w:rPr>
              <w:t>t/a</w:t>
            </w:r>
            <w:r>
              <w:rPr>
                <w:rFonts w:hint="default" w:ascii="Times New Roman" w:hAnsi="Times New Roman" w:eastAsia="宋体" w:cs="Times New Roman"/>
                <w:color w:val="auto"/>
                <w:kern w:val="2"/>
                <w:sz w:val="24"/>
                <w:szCs w:val="24"/>
                <w:highlight w:val="none"/>
                <w:lang w:val="en-US" w:eastAsia="zh-CN"/>
              </w:rPr>
              <w:t>），</w:t>
            </w:r>
            <w:r>
              <w:rPr>
                <w:rFonts w:hint="default" w:ascii="Times New Roman" w:hAnsi="Times New Roman" w:cs="Times New Roman"/>
                <w:color w:val="auto"/>
                <w:kern w:val="2"/>
                <w:sz w:val="24"/>
                <w:szCs w:val="24"/>
                <w:highlight w:val="none"/>
                <w:lang w:val="en-US" w:eastAsia="zh-CN" w:bidi="ar-SA"/>
              </w:rPr>
              <w:t>先经“</w:t>
            </w:r>
            <w:r>
              <w:rPr>
                <w:rFonts w:hint="default" w:ascii="Times New Roman" w:hAnsi="Times New Roman" w:cs="Times New Roman"/>
                <w:color w:val="auto"/>
                <w:sz w:val="24"/>
                <w:szCs w:val="24"/>
                <w:highlight w:val="none"/>
                <w:lang w:val="en-US" w:eastAsia="zh-CN"/>
              </w:rPr>
              <w:t>调节</w:t>
            </w:r>
            <w:r>
              <w:rPr>
                <w:rFonts w:hint="default" w:ascii="Times New Roman" w:hAnsi="Times New Roman" w:eastAsia="宋体" w:cs="Times New Roman"/>
                <w:color w:val="auto"/>
                <w:sz w:val="24"/>
                <w:szCs w:val="24"/>
                <w:highlight w:val="none"/>
                <w:lang w:val="en-US" w:eastAsia="zh-CN"/>
              </w:rPr>
              <w:t>混凝絮凝</w:t>
            </w:r>
            <w:r>
              <w:rPr>
                <w:rFonts w:hint="default" w:ascii="Times New Roman" w:hAnsi="Times New Roman" w:cs="Times New Roman"/>
                <w:color w:val="auto"/>
                <w:kern w:val="2"/>
                <w:sz w:val="24"/>
                <w:szCs w:val="24"/>
                <w:highlight w:val="none"/>
                <w:lang w:val="en-US" w:eastAsia="zh-CN" w:bidi="ar-SA"/>
              </w:rPr>
              <w:t>”处理后再经三级沉淀池处理后回用于</w:t>
            </w:r>
            <w:r>
              <w:rPr>
                <w:rFonts w:hint="default" w:ascii="Times New Roman" w:hAnsi="Times New Roman" w:eastAsia="宋体" w:cs="Times New Roman"/>
                <w:b w:val="0"/>
                <w:bCs/>
                <w:color w:val="auto"/>
                <w:sz w:val="24"/>
                <w:szCs w:val="24"/>
                <w:highlight w:val="none"/>
                <w:vertAlign w:val="baseline"/>
                <w:lang w:val="en-US" w:eastAsia="zh-CN"/>
              </w:rPr>
              <w:t>原料调配用水</w:t>
            </w:r>
            <w:r>
              <w:rPr>
                <w:rFonts w:hint="default" w:ascii="Times New Roman" w:hAnsi="Times New Roman" w:cs="Times New Roman"/>
                <w:color w:val="auto"/>
                <w:kern w:val="2"/>
                <w:sz w:val="24"/>
                <w:szCs w:val="24"/>
                <w:highlight w:val="none"/>
                <w:lang w:val="en-US" w:eastAsia="zh-CN" w:bidi="ar-SA"/>
              </w:rPr>
              <w:t>，</w:t>
            </w:r>
            <w:r>
              <w:rPr>
                <w:rFonts w:hint="default" w:ascii="Times New Roman" w:hAnsi="Times New Roman" w:cs="Times New Roman"/>
                <w:color w:val="auto"/>
                <w:sz w:val="24"/>
                <w:highlight w:val="none"/>
              </w:rPr>
              <w:t>不排放</w:t>
            </w:r>
            <w:r>
              <w:rPr>
                <w:rFonts w:hint="default" w:ascii="Times New Roman" w:hAnsi="Times New Roman" w:eastAsia="宋体" w:cs="Times New Roman"/>
                <w:color w:val="auto"/>
                <w:kern w:val="2"/>
                <w:sz w:val="24"/>
                <w:szCs w:val="24"/>
                <w:highlight w:val="none"/>
                <w:lang w:val="en-US" w:eastAsia="zh-CN"/>
              </w:rPr>
              <w:t>。</w:t>
            </w:r>
          </w:p>
          <w:p w14:paraId="32870A65">
            <w:pPr>
              <w:pStyle w:val="43"/>
              <w:keepNext w:val="0"/>
              <w:keepLines w:val="0"/>
              <w:pageBreakBefore w:val="0"/>
              <w:widowControl w:val="0"/>
              <w:kinsoku/>
              <w:wordWrap/>
              <w:overflowPunct/>
              <w:topLinePunct w:val="0"/>
              <w:autoSpaceDE w:val="0"/>
              <w:autoSpaceDN w:val="0"/>
              <w:bidi w:val="0"/>
              <w:adjustRightInd w:val="0"/>
              <w:snapToGrid w:val="0"/>
              <w:spacing w:line="360" w:lineRule="auto"/>
              <w:ind w:firstLine="472" w:firstLineChars="200"/>
              <w:textAlignment w:val="baseline"/>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cs="Times New Roman"/>
                <w:bCs/>
                <w:color w:val="auto"/>
                <w:spacing w:val="-2"/>
                <w:sz w:val="24"/>
                <w:highlight w:val="none"/>
              </w:rPr>
              <w:t>⑤</w:t>
            </w:r>
            <w:r>
              <w:rPr>
                <w:rFonts w:hint="default" w:ascii="Times New Roman" w:hAnsi="Times New Roman" w:cs="Times New Roman"/>
                <w:color w:val="auto"/>
                <w:sz w:val="24"/>
                <w:highlight w:val="none"/>
              </w:rPr>
              <w:t>初期雨水</w:t>
            </w:r>
            <w:r>
              <w:rPr>
                <w:rFonts w:hint="default" w:ascii="Times New Roman" w:hAnsi="Times New Roman" w:cs="Times New Roman"/>
                <w:color w:val="auto"/>
                <w:sz w:val="24"/>
                <w:highlight w:val="none"/>
                <w:lang w:eastAsia="zh-CN"/>
              </w:rPr>
              <w:t>：</w:t>
            </w:r>
            <w:r>
              <w:rPr>
                <w:rFonts w:hint="default" w:ascii="Times New Roman" w:hAnsi="Times New Roman" w:eastAsia="宋体" w:cs="Times New Roman"/>
                <w:color w:val="auto"/>
                <w:kern w:val="0"/>
                <w:sz w:val="24"/>
                <w:szCs w:val="24"/>
                <w:highlight w:val="none"/>
                <w:lang w:val="en-US" w:eastAsia="zh-CN"/>
              </w:rPr>
              <w:t>本项目</w:t>
            </w:r>
            <w:r>
              <w:rPr>
                <w:rFonts w:hint="default" w:ascii="Times New Roman" w:hAnsi="Times New Roman" w:eastAsia="宋体" w:cs="Times New Roman"/>
                <w:color w:val="auto"/>
                <w:kern w:val="2"/>
                <w:sz w:val="24"/>
                <w:szCs w:val="24"/>
                <w:highlight w:val="none"/>
                <w:lang w:val="en-US" w:eastAsia="zh-CN" w:bidi="ar-SA"/>
              </w:rPr>
              <w:t>全年收集的初期雨水约</w:t>
            </w:r>
            <w:r>
              <w:rPr>
                <w:rFonts w:hint="default" w:ascii="Times New Roman" w:hAnsi="Times New Roman" w:cs="Times New Roman"/>
                <w:color w:val="auto"/>
                <w:kern w:val="2"/>
                <w:sz w:val="24"/>
                <w:szCs w:val="24"/>
                <w:highlight w:val="none"/>
                <w:lang w:val="en-US" w:eastAsia="zh-CN" w:bidi="ar-SA"/>
              </w:rPr>
              <w:t>12130.85m</w:t>
            </w:r>
            <w:r>
              <w:rPr>
                <w:rFonts w:hint="default" w:ascii="Times New Roman" w:hAnsi="Times New Roman" w:cs="Times New Roman"/>
                <w:color w:val="auto"/>
                <w:kern w:val="2"/>
                <w:sz w:val="24"/>
                <w:szCs w:val="24"/>
                <w:highlight w:val="none"/>
                <w:vertAlign w:val="superscript"/>
                <w:lang w:val="en-US" w:eastAsia="zh-CN" w:bidi="ar-SA"/>
              </w:rPr>
              <w:t>3</w:t>
            </w:r>
            <w:r>
              <w:rPr>
                <w:rFonts w:hint="default" w:ascii="Times New Roman" w:hAnsi="Times New Roman" w:eastAsia="宋体" w:cs="Times New Roman"/>
                <w:color w:val="auto"/>
                <w:kern w:val="2"/>
                <w:sz w:val="24"/>
                <w:szCs w:val="24"/>
                <w:highlight w:val="none"/>
                <w:lang w:val="en-US" w:eastAsia="zh-CN" w:bidi="ar-SA"/>
              </w:rPr>
              <w:t>/a（约89.197t/d）。初期雨水经过滞流、沉淀后</w:t>
            </w:r>
            <w:r>
              <w:rPr>
                <w:rFonts w:hint="default" w:ascii="Times New Roman" w:hAnsi="Times New Roman" w:cs="Times New Roman"/>
                <w:color w:val="auto"/>
                <w:kern w:val="2"/>
                <w:sz w:val="24"/>
                <w:szCs w:val="24"/>
                <w:highlight w:val="none"/>
                <w:lang w:val="en-US" w:eastAsia="zh-CN" w:bidi="ar-SA"/>
              </w:rPr>
              <w:t>回</w:t>
            </w:r>
            <w:r>
              <w:rPr>
                <w:rFonts w:hint="default" w:ascii="Times New Roman" w:hAnsi="Times New Roman" w:eastAsia="宋体" w:cs="Times New Roman"/>
                <w:color w:val="auto"/>
                <w:kern w:val="2"/>
                <w:sz w:val="24"/>
                <w:szCs w:val="24"/>
                <w:highlight w:val="none"/>
                <w:lang w:val="en-US" w:eastAsia="zh-CN" w:bidi="ar-SA"/>
              </w:rPr>
              <w:t>用于</w:t>
            </w:r>
            <w:r>
              <w:rPr>
                <w:rFonts w:hint="default" w:ascii="Times New Roman" w:hAnsi="Times New Roman" w:cs="Times New Roman"/>
                <w:color w:val="auto"/>
                <w:kern w:val="2"/>
                <w:sz w:val="24"/>
                <w:szCs w:val="24"/>
                <w:highlight w:val="none"/>
                <w:lang w:val="en-US" w:eastAsia="zh-CN" w:bidi="ar-SA"/>
              </w:rPr>
              <w:t>养护用水，</w:t>
            </w:r>
            <w:r>
              <w:rPr>
                <w:rFonts w:hint="default" w:ascii="Times New Roman" w:hAnsi="Times New Roman" w:eastAsia="宋体" w:cs="Times New Roman"/>
                <w:color w:val="auto"/>
                <w:kern w:val="2"/>
                <w:sz w:val="24"/>
                <w:szCs w:val="24"/>
                <w:highlight w:val="none"/>
                <w:lang w:val="en-US" w:eastAsia="zh-CN" w:bidi="ar-SA"/>
              </w:rPr>
              <w:t>不外排。</w:t>
            </w:r>
          </w:p>
          <w:p w14:paraId="7CAB47DD">
            <w:pPr>
              <w:adjustRightInd w:val="0"/>
              <w:snapToGrid w:val="0"/>
              <w:spacing w:line="360" w:lineRule="auto"/>
              <w:ind w:firstLine="482" w:firstLineChars="200"/>
              <w:rPr>
                <w:rFonts w:hint="default" w:ascii="Times New Roman" w:hAnsi="Times New Roman" w:eastAsia="宋体" w:cs="Times New Roman"/>
                <w:b/>
                <w:bCs/>
                <w:color w:val="auto"/>
                <w:kern w:val="2"/>
                <w:sz w:val="24"/>
                <w:szCs w:val="24"/>
                <w:highlight w:val="none"/>
                <w:lang w:val="en-US" w:eastAsia="zh-CN"/>
              </w:rPr>
            </w:pPr>
            <w:r>
              <w:rPr>
                <w:rFonts w:hint="default" w:ascii="Times New Roman" w:hAnsi="Times New Roman" w:eastAsia="宋体" w:cs="Times New Roman"/>
                <w:b/>
                <w:bCs/>
                <w:color w:val="auto"/>
                <w:kern w:val="2"/>
                <w:sz w:val="24"/>
                <w:szCs w:val="24"/>
                <w:highlight w:val="none"/>
                <w:lang w:val="en-US" w:eastAsia="zh-CN"/>
              </w:rPr>
              <w:t>2.2</w:t>
            </w:r>
            <w:r>
              <w:rPr>
                <w:rFonts w:hint="default" w:ascii="Times New Roman" w:hAnsi="Times New Roman" w:cs="Times New Roman"/>
                <w:b/>
                <w:bCs/>
                <w:color w:val="auto"/>
                <w:sz w:val="24"/>
                <w:szCs w:val="24"/>
                <w:highlight w:val="none"/>
              </w:rPr>
              <w:t>排污口设置及监测计划</w:t>
            </w:r>
          </w:p>
          <w:p w14:paraId="7094EF26">
            <w:pPr>
              <w:keepLines w:val="0"/>
              <w:pageBreakBefore w:val="0"/>
              <w:kinsoku/>
              <w:wordWrap/>
              <w:autoSpaceDE/>
              <w:autoSpaceDN/>
              <w:bidi w:val="0"/>
              <w:adjustRightInd w:val="0"/>
              <w:snapToGrid w:val="0"/>
              <w:spacing w:line="360" w:lineRule="auto"/>
              <w:ind w:leftChars="0" w:right="0" w:rightChars="0"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项目生活污水经</w:t>
            </w:r>
            <w:r>
              <w:rPr>
                <w:rFonts w:hint="default" w:ascii="Times New Roman" w:hAnsi="Times New Roman" w:cs="Times New Roman"/>
                <w:color w:val="auto"/>
                <w:sz w:val="24"/>
                <w:szCs w:val="24"/>
                <w:highlight w:val="none"/>
                <w:lang w:val="en-US" w:eastAsia="zh-CN"/>
              </w:rPr>
              <w:t>预处理后</w:t>
            </w:r>
            <w:r>
              <w:rPr>
                <w:rFonts w:hint="default" w:ascii="Times New Roman" w:hAnsi="Times New Roman" w:eastAsia="宋体" w:cs="Times New Roman"/>
                <w:color w:val="auto"/>
                <w:sz w:val="24"/>
                <w:szCs w:val="24"/>
                <w:highlight w:val="none"/>
              </w:rPr>
              <w:t>排入市</w:t>
            </w:r>
            <w:r>
              <w:rPr>
                <w:rFonts w:hint="default" w:ascii="Times New Roman" w:hAnsi="Times New Roman" w:cs="Times New Roman"/>
                <w:color w:val="auto"/>
                <w:sz w:val="24"/>
                <w:szCs w:val="24"/>
                <w:highlight w:val="none"/>
              </w:rPr>
              <w:t>政管网纳入</w:t>
            </w:r>
            <w:r>
              <w:rPr>
                <w:rFonts w:hint="default" w:ascii="Times New Roman" w:hAnsi="Times New Roman" w:cs="Times New Roman"/>
                <w:color w:val="auto"/>
                <w:sz w:val="24"/>
                <w:szCs w:val="24"/>
                <w:highlight w:val="none"/>
                <w:lang w:val="en-US" w:eastAsia="zh-CN"/>
              </w:rPr>
              <w:t>博罗县罗阳街道小金生活污水处理厂</w:t>
            </w:r>
            <w:r>
              <w:rPr>
                <w:rFonts w:hint="default" w:ascii="Times New Roman" w:hAnsi="Times New Roman" w:cs="Times New Roman"/>
                <w:color w:val="auto"/>
                <w:sz w:val="24"/>
                <w:szCs w:val="24"/>
                <w:highlight w:val="none"/>
              </w:rPr>
              <w:t>处理达标后排放。根据《排污单位自行监测技术指南 总则》（HJ 819-2017）</w:t>
            </w:r>
            <w:r>
              <w:rPr>
                <w:rFonts w:hint="default" w:ascii="Times New Roman" w:hAnsi="Times New Roman" w:cs="Times New Roman"/>
                <w:color w:val="auto"/>
                <w:sz w:val="24"/>
                <w:szCs w:val="24"/>
                <w:highlight w:val="none"/>
                <w:lang w:eastAsia="zh-CN"/>
              </w:rPr>
              <w:t>、</w:t>
            </w:r>
            <w:r>
              <w:rPr>
                <w:rFonts w:hint="default" w:ascii="Times New Roman" w:hAnsi="Times New Roman" w:eastAsia="宋体" w:cs="Times New Roman"/>
                <w:b w:val="0"/>
                <w:bCs/>
                <w:color w:val="auto"/>
                <w:kern w:val="2"/>
                <w:sz w:val="24"/>
                <w:szCs w:val="24"/>
                <w:highlight w:val="none"/>
                <w:shd w:val="clear" w:color="auto" w:fill="auto"/>
                <w:lang w:val="en-US" w:eastAsia="zh-CN" w:bidi="ar-SA"/>
              </w:rPr>
              <w:t>《排污许可证申请与核发技术规范 水泥工业》（HJ847-2017）</w:t>
            </w:r>
            <w:r>
              <w:rPr>
                <w:rFonts w:hint="default" w:ascii="Times New Roman" w:hAnsi="Times New Roman" w:cs="Times New Roman"/>
                <w:color w:val="auto"/>
                <w:sz w:val="24"/>
                <w:szCs w:val="24"/>
                <w:highlight w:val="none"/>
              </w:rPr>
              <w:t>废水排放口监测管理要求，单独排入公共污水处理系统的生活污水不要求开展自行监测。故本项目生活污水不需设置排污口。</w:t>
            </w:r>
          </w:p>
          <w:p w14:paraId="6E6963CD">
            <w:pPr>
              <w:adjustRightInd w:val="0"/>
              <w:snapToGrid w:val="0"/>
              <w:spacing w:line="360" w:lineRule="auto"/>
              <w:ind w:firstLine="474" w:firstLineChars="200"/>
              <w:rPr>
                <w:rFonts w:hint="default" w:ascii="Times New Roman" w:hAnsi="Times New Roman" w:cs="Times New Roman"/>
                <w:b/>
                <w:color w:val="auto"/>
                <w:spacing w:val="-2"/>
                <w:sz w:val="24"/>
                <w:highlight w:val="none"/>
              </w:rPr>
            </w:pPr>
            <w:r>
              <w:rPr>
                <w:rFonts w:hint="default" w:ascii="Times New Roman" w:hAnsi="Times New Roman" w:cs="Times New Roman"/>
                <w:b/>
                <w:color w:val="auto"/>
                <w:spacing w:val="-2"/>
                <w:sz w:val="24"/>
                <w:highlight w:val="none"/>
                <w:lang w:val="en-US" w:eastAsia="zh-CN"/>
              </w:rPr>
              <w:t>2.3 生产</w:t>
            </w:r>
            <w:r>
              <w:rPr>
                <w:rFonts w:hint="default" w:ascii="Times New Roman" w:hAnsi="Times New Roman" w:cs="Times New Roman"/>
                <w:b/>
                <w:color w:val="auto"/>
                <w:spacing w:val="-2"/>
                <w:sz w:val="24"/>
                <w:highlight w:val="none"/>
              </w:rPr>
              <w:t>废水</w:t>
            </w:r>
            <w:r>
              <w:rPr>
                <w:rFonts w:hint="default" w:ascii="Times New Roman" w:hAnsi="Times New Roman" w:cs="Times New Roman"/>
                <w:b/>
                <w:color w:val="auto"/>
                <w:spacing w:val="-2"/>
                <w:sz w:val="24"/>
                <w:highlight w:val="none"/>
                <w:lang w:val="en-US" w:eastAsia="zh-CN"/>
              </w:rPr>
              <w:t>及初期雨水</w:t>
            </w:r>
            <w:r>
              <w:rPr>
                <w:rFonts w:hint="default" w:ascii="Times New Roman" w:hAnsi="Times New Roman" w:cs="Times New Roman"/>
                <w:b/>
                <w:color w:val="auto"/>
                <w:spacing w:val="-2"/>
                <w:sz w:val="24"/>
                <w:highlight w:val="none"/>
              </w:rPr>
              <w:t>治理设施可行性分析</w:t>
            </w:r>
          </w:p>
          <w:p w14:paraId="58741B0A">
            <w:pPr>
              <w:adjustRightInd w:val="0"/>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2.3.1生产废水</w:t>
            </w:r>
          </w:p>
          <w:p w14:paraId="31DB7AA1">
            <w:pPr>
              <w:pStyle w:val="61"/>
              <w:keepNext w:val="0"/>
              <w:keepLines w:val="0"/>
              <w:pageBreakBefore w:val="0"/>
              <w:widowControl w:val="0"/>
              <w:kinsoku/>
              <w:wordWrap/>
              <w:overflowPunct/>
              <w:topLinePunct w:val="0"/>
              <w:bidi w:val="0"/>
              <w:adjustRightInd w:val="0"/>
              <w:snapToGrid w:val="0"/>
              <w:spacing w:before="0" w:line="360" w:lineRule="auto"/>
              <w:ind w:left="0" w:right="0" w:firstLine="480"/>
              <w:textAlignment w:val="auto"/>
              <w:rPr>
                <w:rFonts w:hint="default" w:ascii="Times New Roman" w:hAnsi="Times New Roman" w:eastAsia="宋体" w:cs="Times New Roman"/>
                <w:b w:val="0"/>
                <w:bCs w:val="0"/>
                <w:color w:val="auto"/>
                <w:kern w:val="2"/>
                <w:sz w:val="24"/>
                <w:szCs w:val="24"/>
                <w:highlight w:val="none"/>
                <w:lang w:val="en-US" w:eastAsia="zh-CN"/>
              </w:rPr>
            </w:pPr>
            <w:r>
              <w:rPr>
                <w:rFonts w:hint="default" w:ascii="Times New Roman" w:hAnsi="Times New Roman" w:eastAsia="宋体" w:cs="Times New Roman"/>
                <w:b w:val="0"/>
                <w:bCs w:val="0"/>
                <w:color w:val="auto"/>
                <w:kern w:val="2"/>
                <w:sz w:val="24"/>
                <w:szCs w:val="24"/>
                <w:highlight w:val="none"/>
                <w:lang w:val="en-US" w:eastAsia="zh-CN"/>
              </w:rPr>
              <w:t>锅炉在长时间运行过程中，自来水与锅炉内的金属部件（如锅炉管、炉胆等）接触，由于蒸发、浓缩等原因，水质逐渐恶臭，需要定期外排废水，该部分废水含有较高浓度的溶解性固体、悬浮物、有机物以及盐类（如钙、镁离子等），软化水制备系统原水主要是自来水，含有较高的硬度离子（如钙、镁离子）和其他杂质。通过离子交换法，软化水设备中的树脂会吸附水中的钙、镁离子，释放出等量的钠离子或氢离子，从而降低水的硬度。软化水过程中，原水主要与软化水设备中的树脂、盐溶液等接触，制备过程不接触重金属离子及难降解有机污染物，因此，锅炉排污水和软化水处理废水不含重金属离子及难降解有机污染物，通过加入片碱调节，并加入PAC及PAM药剂。在碱性条件下，片碱中的OH-可有效地与锅炉排污水中的钙镁离子结合生成Ca(OH)</w:t>
            </w:r>
            <w:r>
              <w:rPr>
                <w:rFonts w:hint="default" w:ascii="Times New Roman" w:hAnsi="Times New Roman" w:eastAsia="宋体" w:cs="Times New Roman"/>
                <w:b w:val="0"/>
                <w:bCs w:val="0"/>
                <w:color w:val="auto"/>
                <w:kern w:val="2"/>
                <w:sz w:val="24"/>
                <w:szCs w:val="24"/>
                <w:highlight w:val="none"/>
                <w:vertAlign w:val="subscript"/>
                <w:lang w:val="en-US" w:eastAsia="zh-CN"/>
              </w:rPr>
              <w:t>2</w:t>
            </w:r>
            <w:r>
              <w:rPr>
                <w:rFonts w:hint="default" w:ascii="Times New Roman" w:hAnsi="Times New Roman" w:eastAsia="宋体" w:cs="Times New Roman"/>
                <w:b w:val="0"/>
                <w:bCs w:val="0"/>
                <w:color w:val="auto"/>
                <w:kern w:val="2"/>
                <w:sz w:val="24"/>
                <w:szCs w:val="24"/>
                <w:highlight w:val="none"/>
                <w:lang w:val="en-US" w:eastAsia="zh-CN"/>
              </w:rPr>
              <w:t>及Mg(OH)</w:t>
            </w:r>
            <w:r>
              <w:rPr>
                <w:rFonts w:hint="default" w:ascii="Times New Roman" w:hAnsi="Times New Roman" w:eastAsia="宋体" w:cs="Times New Roman"/>
                <w:b w:val="0"/>
                <w:bCs w:val="0"/>
                <w:color w:val="auto"/>
                <w:kern w:val="2"/>
                <w:sz w:val="24"/>
                <w:szCs w:val="24"/>
                <w:highlight w:val="none"/>
                <w:vertAlign w:val="subscript"/>
                <w:lang w:val="en-US" w:eastAsia="zh-CN"/>
              </w:rPr>
              <w:t>2</w:t>
            </w:r>
            <w:r>
              <w:rPr>
                <w:rFonts w:hint="default" w:ascii="Times New Roman" w:hAnsi="Times New Roman" w:eastAsia="宋体" w:cs="Times New Roman"/>
                <w:b w:val="0"/>
                <w:bCs w:val="0"/>
                <w:color w:val="auto"/>
                <w:kern w:val="2"/>
                <w:sz w:val="24"/>
                <w:szCs w:val="24"/>
                <w:highlight w:val="none"/>
                <w:lang w:val="en-US" w:eastAsia="zh-CN"/>
              </w:rPr>
              <w:t>固体，且Ca(OH)</w:t>
            </w:r>
            <w:r>
              <w:rPr>
                <w:rFonts w:hint="default" w:ascii="Times New Roman" w:hAnsi="Times New Roman" w:eastAsia="宋体" w:cs="Times New Roman"/>
                <w:b w:val="0"/>
                <w:bCs w:val="0"/>
                <w:color w:val="auto"/>
                <w:kern w:val="2"/>
                <w:sz w:val="24"/>
                <w:szCs w:val="24"/>
                <w:highlight w:val="none"/>
                <w:vertAlign w:val="subscript"/>
                <w:lang w:val="en-US" w:eastAsia="zh-CN"/>
              </w:rPr>
              <w:t>2</w:t>
            </w:r>
            <w:r>
              <w:rPr>
                <w:rFonts w:hint="default" w:ascii="Times New Roman" w:hAnsi="Times New Roman" w:eastAsia="宋体" w:cs="Times New Roman"/>
                <w:b w:val="0"/>
                <w:bCs w:val="0"/>
                <w:color w:val="auto"/>
                <w:kern w:val="2"/>
                <w:sz w:val="24"/>
                <w:szCs w:val="24"/>
                <w:highlight w:val="none"/>
                <w:lang w:val="en-US" w:eastAsia="zh-CN"/>
              </w:rPr>
              <w:t>及mg(OH)</w:t>
            </w:r>
            <w:r>
              <w:rPr>
                <w:rFonts w:hint="default" w:ascii="Times New Roman" w:hAnsi="Times New Roman" w:eastAsia="宋体" w:cs="Times New Roman"/>
                <w:b w:val="0"/>
                <w:bCs w:val="0"/>
                <w:color w:val="auto"/>
                <w:kern w:val="2"/>
                <w:sz w:val="24"/>
                <w:szCs w:val="24"/>
                <w:highlight w:val="none"/>
                <w:vertAlign w:val="subscript"/>
                <w:lang w:val="en-US" w:eastAsia="zh-CN"/>
              </w:rPr>
              <w:t>2</w:t>
            </w:r>
            <w:r>
              <w:rPr>
                <w:rFonts w:hint="default" w:ascii="Times New Roman" w:hAnsi="Times New Roman" w:eastAsia="宋体" w:cs="Times New Roman"/>
                <w:b w:val="0"/>
                <w:bCs w:val="0"/>
                <w:color w:val="auto"/>
                <w:kern w:val="2"/>
                <w:sz w:val="24"/>
                <w:szCs w:val="24"/>
                <w:highlight w:val="none"/>
                <w:lang w:val="en-US" w:eastAsia="zh-CN"/>
              </w:rPr>
              <w:t>在混凝剂PAC及絮凝剂PAM的作用下进入三级沉淀池沉淀后能更高效地析出沉淀，确保沉淀后水质满足回用于</w:t>
            </w:r>
            <w:r>
              <w:rPr>
                <w:rFonts w:hint="default" w:ascii="Times New Roman" w:hAnsi="Times New Roman" w:eastAsia="宋体" w:cs="Times New Roman"/>
                <w:b w:val="0"/>
                <w:bCs/>
                <w:color w:val="auto"/>
                <w:sz w:val="24"/>
                <w:szCs w:val="24"/>
                <w:highlight w:val="none"/>
                <w:vertAlign w:val="baseline"/>
                <w:lang w:val="en-US" w:eastAsia="zh-CN"/>
              </w:rPr>
              <w:t>原料调配用水</w:t>
            </w:r>
            <w:r>
              <w:rPr>
                <w:rFonts w:hint="default" w:ascii="Times New Roman" w:hAnsi="Times New Roman" w:eastAsia="宋体" w:cs="Times New Roman"/>
                <w:b w:val="0"/>
                <w:bCs w:val="0"/>
                <w:color w:val="auto"/>
                <w:kern w:val="2"/>
                <w:sz w:val="24"/>
                <w:szCs w:val="24"/>
                <w:highlight w:val="none"/>
                <w:lang w:val="en-US" w:eastAsia="zh-CN"/>
              </w:rPr>
              <w:t>。通过“调节混凝絮凝”后的锅炉排污水及软化再生废水可很好地去除钙镁离子及其他杂质（悬浮物等），再经过三级沉淀后完全可满足用户要求。</w:t>
            </w:r>
          </w:p>
          <w:p w14:paraId="33D1E98E">
            <w:pPr>
              <w:adjustRightInd w:val="0"/>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rPr>
              <w:t>项目设置</w:t>
            </w:r>
            <w:r>
              <w:rPr>
                <w:rFonts w:hint="default" w:ascii="Times New Roman" w:hAnsi="Times New Roman" w:cs="Times New Roman"/>
                <w:color w:val="auto"/>
                <w:sz w:val="24"/>
                <w:highlight w:val="none"/>
                <w:lang w:val="en-US" w:eastAsia="zh-CN"/>
              </w:rPr>
              <w:t>3</w:t>
            </w:r>
            <w:r>
              <w:rPr>
                <w:rFonts w:hint="default" w:ascii="Times New Roman" w:hAnsi="Times New Roman" w:cs="Times New Roman"/>
                <w:color w:val="auto"/>
                <w:sz w:val="24"/>
                <w:highlight w:val="none"/>
              </w:rPr>
              <w:t>个沉淀池</w:t>
            </w:r>
            <w:r>
              <w:rPr>
                <w:rFonts w:hint="default" w:ascii="Times New Roman" w:hAnsi="Times New Roman" w:cs="Times New Roman"/>
                <w:color w:val="auto"/>
                <w:sz w:val="24"/>
                <w:highlight w:val="none"/>
                <w:lang w:eastAsia="zh-CN"/>
              </w:rPr>
              <w:t>，</w:t>
            </w:r>
            <w:r>
              <w:rPr>
                <w:rFonts w:hint="default" w:ascii="Times New Roman" w:hAnsi="Times New Roman" w:eastAsia="宋体" w:cs="Times New Roman"/>
                <w:color w:val="auto"/>
                <w:sz w:val="24"/>
                <w:highlight w:val="none"/>
                <w:lang w:eastAsia="zh-CN"/>
              </w:rPr>
              <w:t>废水沉淀池为串联</w:t>
            </w:r>
            <w:r>
              <w:rPr>
                <w:rFonts w:hint="default" w:ascii="Times New Roman" w:hAnsi="Times New Roman" w:eastAsia="宋体" w:cs="Times New Roman"/>
                <w:color w:val="auto"/>
                <w:sz w:val="24"/>
                <w:highlight w:val="none"/>
              </w:rPr>
              <w:t>，</w:t>
            </w:r>
            <w:r>
              <w:rPr>
                <w:rFonts w:hint="default" w:ascii="Times New Roman" w:hAnsi="Times New Roman" w:cs="Times New Roman"/>
                <w:color w:val="auto"/>
                <w:sz w:val="24"/>
                <w:highlight w:val="none"/>
              </w:rPr>
              <w:t>搅拌机清洗废水</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运输原材料车辆清洗废水、搅拌区地面清洗废水经三级沉淀后回用于</w:t>
            </w:r>
            <w:r>
              <w:rPr>
                <w:rFonts w:hint="default" w:ascii="Times New Roman" w:hAnsi="Times New Roman" w:eastAsia="宋体" w:cs="Times New Roman"/>
                <w:b w:val="0"/>
                <w:bCs/>
                <w:color w:val="auto"/>
                <w:sz w:val="24"/>
                <w:szCs w:val="24"/>
                <w:highlight w:val="none"/>
                <w:vertAlign w:val="baseline"/>
                <w:lang w:val="en-US" w:eastAsia="zh-CN"/>
              </w:rPr>
              <w:t>原料调配用水。</w:t>
            </w:r>
          </w:p>
          <w:p w14:paraId="47EED050">
            <w:pPr>
              <w:adjustRightInd w:val="0"/>
              <w:snapToGri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val="en-US" w:eastAsia="zh-CN"/>
              </w:rPr>
              <w:t>锅炉排污水及软化再生废水先经“调节混凝絮凝”后再经三级沉淀后回用于</w:t>
            </w:r>
            <w:r>
              <w:rPr>
                <w:rFonts w:hint="default" w:ascii="Times New Roman" w:hAnsi="Times New Roman" w:eastAsia="宋体" w:cs="Times New Roman"/>
                <w:b w:val="0"/>
                <w:bCs/>
                <w:color w:val="auto"/>
                <w:sz w:val="24"/>
                <w:szCs w:val="24"/>
                <w:highlight w:val="none"/>
                <w:vertAlign w:val="baseline"/>
                <w:lang w:val="en-US" w:eastAsia="zh-CN"/>
              </w:rPr>
              <w:t>原料调配用水</w:t>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lang w:val="en-US" w:eastAsia="zh-CN"/>
              </w:rPr>
              <w:t>废水量</w:t>
            </w:r>
            <w:r>
              <w:rPr>
                <w:rFonts w:hint="default" w:ascii="Times New Roman" w:hAnsi="Times New Roman" w:cs="Times New Roman"/>
                <w:color w:val="auto"/>
                <w:sz w:val="24"/>
                <w:highlight w:val="none"/>
              </w:rPr>
              <w:t>合计</w:t>
            </w:r>
            <w:r>
              <w:rPr>
                <w:rFonts w:hint="default" w:ascii="Times New Roman" w:hAnsi="Times New Roman" w:cs="Times New Roman"/>
                <w:color w:val="auto"/>
                <w:sz w:val="24"/>
                <w:highlight w:val="none"/>
                <w:lang w:val="en-US" w:eastAsia="zh-CN"/>
              </w:rPr>
              <w:t>8.892</w:t>
            </w:r>
            <w:r>
              <w:rPr>
                <w:rFonts w:hint="default" w:ascii="Times New Roman" w:hAnsi="Times New Roman" w:cs="Times New Roman"/>
                <w:color w:val="auto"/>
                <w:sz w:val="24"/>
                <w:szCs w:val="24"/>
                <w:highlight w:val="none"/>
                <w:lang w:val="en-US" w:eastAsia="zh-CN"/>
              </w:rPr>
              <w:t>t</w:t>
            </w:r>
            <w:r>
              <w:rPr>
                <w:rFonts w:hint="default" w:ascii="Times New Roman" w:hAnsi="Times New Roman" w:cs="Times New Roman"/>
                <w:color w:val="auto"/>
                <w:sz w:val="24"/>
                <w:szCs w:val="24"/>
                <w:highlight w:val="none"/>
              </w:rPr>
              <w:t>/d</w:t>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lang w:eastAsia="zh-CN"/>
              </w:rPr>
              <w:t>每级沉淀时间均为</w:t>
            </w:r>
            <w:r>
              <w:rPr>
                <w:rFonts w:hint="default" w:ascii="Times New Roman" w:hAnsi="Times New Roman" w:cs="Times New Roman"/>
                <w:color w:val="auto"/>
                <w:sz w:val="24"/>
                <w:highlight w:val="none"/>
                <w:lang w:val="en-US" w:eastAsia="zh-CN"/>
              </w:rPr>
              <w:t>2h，项目废水处理能力情况见下表：</w:t>
            </w:r>
          </w:p>
          <w:p w14:paraId="64F75F39">
            <w:pPr>
              <w:pStyle w:val="45"/>
              <w:keepNext w:val="0"/>
              <w:keepLines w:val="0"/>
              <w:pageBreakBefore w:val="0"/>
              <w:kinsoku/>
              <w:wordWrap/>
              <w:overflowPunct/>
              <w:topLinePunct w:val="0"/>
              <w:autoSpaceDE/>
              <w:autoSpaceDN/>
              <w:bidi w:val="0"/>
              <w:spacing w:beforeLines="0" w:line="240" w:lineRule="auto"/>
              <w:ind w:firstLine="0"/>
              <w:jc w:val="center"/>
              <w:textAlignment w:val="auto"/>
              <w:rPr>
                <w:rFonts w:hint="default" w:ascii="Times New Roman" w:hAnsi="Times New Roman" w:eastAsia="宋体" w:cs="Times New Roman"/>
                <w:b/>
                <w:color w:val="auto"/>
                <w:kern w:val="0"/>
                <w:sz w:val="21"/>
                <w:szCs w:val="21"/>
                <w:highlight w:val="none"/>
                <w:lang w:val="en-US" w:eastAsia="zh-CN" w:bidi="ar-SA"/>
              </w:rPr>
            </w:pPr>
            <w:r>
              <w:rPr>
                <w:rFonts w:hint="default" w:ascii="Times New Roman" w:hAnsi="Times New Roman" w:eastAsia="宋体" w:cs="Times New Roman"/>
                <w:b/>
                <w:color w:val="auto"/>
                <w:kern w:val="0"/>
                <w:sz w:val="21"/>
                <w:szCs w:val="21"/>
                <w:highlight w:val="none"/>
                <w:lang w:val="en-US" w:eastAsia="zh-CN" w:bidi="ar-SA"/>
              </w:rPr>
              <w:t>表4-1</w:t>
            </w:r>
            <w:r>
              <w:rPr>
                <w:rFonts w:hint="default" w:ascii="Times New Roman" w:hAnsi="Times New Roman" w:cs="Times New Roman"/>
                <w:b/>
                <w:color w:val="auto"/>
                <w:kern w:val="0"/>
                <w:sz w:val="21"/>
                <w:szCs w:val="21"/>
                <w:highlight w:val="none"/>
                <w:lang w:val="en-US" w:eastAsia="zh-CN" w:bidi="ar-SA"/>
              </w:rPr>
              <w:t>3</w:t>
            </w:r>
            <w:r>
              <w:rPr>
                <w:rFonts w:hint="default" w:ascii="Times New Roman" w:hAnsi="Times New Roman" w:eastAsia="宋体" w:cs="Times New Roman"/>
                <w:b/>
                <w:color w:val="auto"/>
                <w:kern w:val="0"/>
                <w:sz w:val="21"/>
                <w:szCs w:val="21"/>
                <w:highlight w:val="none"/>
                <w:lang w:val="en-US" w:eastAsia="zh-CN" w:bidi="ar-SA"/>
              </w:rPr>
              <w:t xml:space="preserve"> </w:t>
            </w:r>
            <w:r>
              <w:rPr>
                <w:rFonts w:hint="default" w:ascii="Times New Roman" w:hAnsi="Times New Roman" w:cs="Times New Roman"/>
                <w:b/>
                <w:color w:val="auto"/>
                <w:kern w:val="0"/>
                <w:sz w:val="21"/>
                <w:szCs w:val="21"/>
                <w:highlight w:val="none"/>
                <w:lang w:val="en-US" w:eastAsia="zh-CN" w:bidi="ar-SA"/>
              </w:rPr>
              <w:t>调节混凝絮凝池+</w:t>
            </w:r>
            <w:r>
              <w:rPr>
                <w:rFonts w:hint="default" w:ascii="Times New Roman" w:hAnsi="Times New Roman" w:eastAsia="宋体" w:cs="Times New Roman"/>
                <w:b/>
                <w:color w:val="auto"/>
                <w:kern w:val="0"/>
                <w:sz w:val="21"/>
                <w:szCs w:val="21"/>
                <w:highlight w:val="none"/>
                <w:lang w:val="en-US" w:eastAsia="zh-CN" w:bidi="ar-SA"/>
              </w:rPr>
              <w:t>三级沉淀处理设施参数情况一览表</w:t>
            </w:r>
          </w:p>
          <w:tbl>
            <w:tblPr>
              <w:tblStyle w:val="35"/>
              <w:tblW w:w="9117" w:type="dxa"/>
              <w:tblInd w:w="-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1"/>
              <w:gridCol w:w="1860"/>
              <w:gridCol w:w="1155"/>
              <w:gridCol w:w="1065"/>
              <w:gridCol w:w="1095"/>
              <w:gridCol w:w="2161"/>
            </w:tblGrid>
            <w:tr w14:paraId="1B0A5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781" w:type="dxa"/>
                  <w:noWrap w:val="0"/>
                  <w:vAlign w:val="center"/>
                </w:tcPr>
                <w:p w14:paraId="65E4FCA0">
                  <w:pPr>
                    <w:pStyle w:val="47"/>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cs="Times New Roman"/>
                      <w:b/>
                      <w:bCs/>
                      <w:color w:val="auto"/>
                      <w:highlight w:val="none"/>
                      <w:vertAlign w:val="baseline"/>
                      <w:lang w:val="en-US" w:eastAsia="zh-CN"/>
                    </w:rPr>
                  </w:pPr>
                  <w:r>
                    <w:rPr>
                      <w:rFonts w:hint="default" w:ascii="Times New Roman" w:hAnsi="Times New Roman" w:cs="Times New Roman"/>
                      <w:b/>
                      <w:bCs/>
                      <w:color w:val="auto"/>
                      <w:highlight w:val="none"/>
                      <w:vertAlign w:val="baseline"/>
                      <w:lang w:val="en-US" w:eastAsia="zh-CN"/>
                    </w:rPr>
                    <w:t>名称</w:t>
                  </w:r>
                </w:p>
              </w:tc>
              <w:tc>
                <w:tcPr>
                  <w:tcW w:w="1860" w:type="dxa"/>
                  <w:noWrap w:val="0"/>
                  <w:vAlign w:val="center"/>
                </w:tcPr>
                <w:p w14:paraId="38D93A5F">
                  <w:pPr>
                    <w:pStyle w:val="47"/>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cs="Times New Roman"/>
                      <w:b/>
                      <w:bCs/>
                      <w:color w:val="auto"/>
                      <w:highlight w:val="none"/>
                      <w:vertAlign w:val="baseline"/>
                      <w:lang w:val="en-US" w:eastAsia="zh-CN"/>
                    </w:rPr>
                  </w:pPr>
                  <w:r>
                    <w:rPr>
                      <w:rFonts w:hint="default" w:ascii="Times New Roman" w:hAnsi="Times New Roman" w:cs="Times New Roman"/>
                      <w:b/>
                      <w:bCs/>
                      <w:color w:val="auto"/>
                      <w:highlight w:val="none"/>
                      <w:vertAlign w:val="baseline"/>
                      <w:lang w:val="en-US" w:eastAsia="zh-CN"/>
                    </w:rPr>
                    <w:t>尺寸</w:t>
                  </w:r>
                  <w:r>
                    <w:rPr>
                      <w:rFonts w:hint="default" w:ascii="Times New Roman" w:hAnsi="Times New Roman" w:cs="Times New Roman"/>
                      <w:b/>
                      <w:bCs/>
                      <w:color w:val="auto"/>
                      <w:highlight w:val="none"/>
                      <w:lang w:val="en-US" w:eastAsia="zh-CN"/>
                    </w:rPr>
                    <w:t>（长*宽*高）</w:t>
                  </w:r>
                </w:p>
              </w:tc>
              <w:tc>
                <w:tcPr>
                  <w:tcW w:w="1155" w:type="dxa"/>
                  <w:noWrap w:val="0"/>
                  <w:vAlign w:val="center"/>
                </w:tcPr>
                <w:p w14:paraId="158E7212">
                  <w:pPr>
                    <w:pStyle w:val="47"/>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cs="Times New Roman"/>
                      <w:b/>
                      <w:bCs/>
                      <w:color w:val="auto"/>
                      <w:highlight w:val="none"/>
                      <w:vertAlign w:val="baseline"/>
                      <w:lang w:val="en-US" w:eastAsia="zh-CN"/>
                    </w:rPr>
                  </w:pPr>
                  <w:r>
                    <w:rPr>
                      <w:rFonts w:hint="default" w:ascii="Times New Roman" w:hAnsi="Times New Roman" w:cs="Times New Roman"/>
                      <w:b/>
                      <w:bCs/>
                      <w:color w:val="auto"/>
                      <w:highlight w:val="none"/>
                      <w:vertAlign w:val="baseline"/>
                      <w:lang w:val="en-US" w:eastAsia="zh-CN"/>
                    </w:rPr>
                    <w:t>有效容积</w:t>
                  </w:r>
                </w:p>
              </w:tc>
              <w:tc>
                <w:tcPr>
                  <w:tcW w:w="1065" w:type="dxa"/>
                  <w:noWrap w:val="0"/>
                  <w:vAlign w:val="center"/>
                </w:tcPr>
                <w:p w14:paraId="55463440">
                  <w:pPr>
                    <w:pStyle w:val="47"/>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cs="Times New Roman"/>
                      <w:b/>
                      <w:bCs/>
                      <w:color w:val="auto"/>
                      <w:highlight w:val="none"/>
                      <w:vertAlign w:val="baseline"/>
                      <w:lang w:val="en-US" w:eastAsia="zh-CN"/>
                    </w:rPr>
                  </w:pPr>
                  <w:r>
                    <w:rPr>
                      <w:rFonts w:hint="default" w:ascii="Times New Roman" w:hAnsi="Times New Roman" w:cs="Times New Roman"/>
                      <w:b/>
                      <w:bCs/>
                      <w:color w:val="auto"/>
                      <w:highlight w:val="none"/>
                      <w:vertAlign w:val="baseline"/>
                      <w:lang w:val="en-US" w:eastAsia="zh-CN"/>
                    </w:rPr>
                    <w:t>停留时间</w:t>
                  </w:r>
                </w:p>
              </w:tc>
              <w:tc>
                <w:tcPr>
                  <w:tcW w:w="1095" w:type="dxa"/>
                  <w:noWrap w:val="0"/>
                  <w:vAlign w:val="center"/>
                </w:tcPr>
                <w:p w14:paraId="3607BDD1">
                  <w:pPr>
                    <w:pStyle w:val="47"/>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cs="Times New Roman"/>
                      <w:b/>
                      <w:bCs/>
                      <w:color w:val="auto"/>
                      <w:highlight w:val="none"/>
                      <w:vertAlign w:val="baseline"/>
                      <w:lang w:val="en-US" w:eastAsia="zh-CN"/>
                    </w:rPr>
                  </w:pPr>
                  <w:r>
                    <w:rPr>
                      <w:rFonts w:hint="default" w:ascii="Times New Roman" w:hAnsi="Times New Roman" w:eastAsia="宋体" w:cs="Times New Roman"/>
                      <w:b/>
                      <w:bCs/>
                      <w:color w:val="auto"/>
                      <w:highlight w:val="none"/>
                      <w:vertAlign w:val="baseline"/>
                      <w:lang w:val="en-US" w:eastAsia="zh-CN"/>
                    </w:rPr>
                    <w:t>处理能力</w:t>
                  </w:r>
                </w:p>
              </w:tc>
              <w:tc>
                <w:tcPr>
                  <w:tcW w:w="2161" w:type="dxa"/>
                  <w:noWrap w:val="0"/>
                  <w:vAlign w:val="center"/>
                </w:tcPr>
                <w:p w14:paraId="5EFE88AB">
                  <w:pPr>
                    <w:pStyle w:val="47"/>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eastAsia="宋体" w:cs="Times New Roman"/>
                      <w:b/>
                      <w:bCs/>
                      <w:color w:val="auto"/>
                      <w:highlight w:val="none"/>
                      <w:vertAlign w:val="baseline"/>
                      <w:lang w:val="en-US" w:eastAsia="zh-CN"/>
                    </w:rPr>
                  </w:pPr>
                  <w:r>
                    <w:rPr>
                      <w:rFonts w:hint="default" w:ascii="Times New Roman" w:hAnsi="Times New Roman" w:cs="Times New Roman"/>
                      <w:b/>
                      <w:bCs/>
                      <w:color w:val="auto"/>
                      <w:highlight w:val="none"/>
                      <w:vertAlign w:val="baseline"/>
                      <w:lang w:val="en-US" w:eastAsia="zh-CN"/>
                    </w:rPr>
                    <w:t>备注</w:t>
                  </w:r>
                </w:p>
              </w:tc>
            </w:tr>
            <w:tr w14:paraId="0E8CE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781" w:type="dxa"/>
                  <w:noWrap w:val="0"/>
                  <w:vAlign w:val="center"/>
                </w:tcPr>
                <w:p w14:paraId="439627C4">
                  <w:pPr>
                    <w:pStyle w:val="47"/>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调节混凝絮凝池</w:t>
                  </w:r>
                </w:p>
              </w:tc>
              <w:tc>
                <w:tcPr>
                  <w:tcW w:w="1860" w:type="dxa"/>
                  <w:noWrap w:val="0"/>
                  <w:vAlign w:val="center"/>
                </w:tcPr>
                <w:p w14:paraId="198C5DF5">
                  <w:pPr>
                    <w:pStyle w:val="47"/>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0.5m*1.0m*1.2m</w:t>
                  </w:r>
                </w:p>
              </w:tc>
              <w:tc>
                <w:tcPr>
                  <w:tcW w:w="1155" w:type="dxa"/>
                  <w:noWrap w:val="0"/>
                  <w:vAlign w:val="center"/>
                </w:tcPr>
                <w:p w14:paraId="72847C31">
                  <w:pPr>
                    <w:pStyle w:val="47"/>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0.5</w:t>
                  </w:r>
                  <w:r>
                    <w:rPr>
                      <w:rFonts w:hint="default" w:ascii="Times New Roman" w:hAnsi="Times New Roman" w:cs="Times New Roman"/>
                      <w:color w:val="auto"/>
                      <w:highlight w:val="none"/>
                      <w:lang w:val="en-US" w:eastAsia="zh-CN"/>
                    </w:rPr>
                    <w:t>m</w:t>
                  </w:r>
                  <w:r>
                    <w:rPr>
                      <w:rFonts w:hint="default" w:ascii="Times New Roman" w:hAnsi="Times New Roman" w:cs="Times New Roman"/>
                      <w:color w:val="auto"/>
                      <w:highlight w:val="none"/>
                      <w:vertAlign w:val="superscript"/>
                      <w:lang w:val="en-US" w:eastAsia="zh-CN"/>
                    </w:rPr>
                    <w:t>3</w:t>
                  </w:r>
                </w:p>
              </w:tc>
              <w:tc>
                <w:tcPr>
                  <w:tcW w:w="1065" w:type="dxa"/>
                  <w:noWrap w:val="0"/>
                  <w:vAlign w:val="center"/>
                </w:tcPr>
                <w:p w14:paraId="69069353">
                  <w:pPr>
                    <w:pStyle w:val="47"/>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1h</w:t>
                  </w:r>
                </w:p>
              </w:tc>
              <w:tc>
                <w:tcPr>
                  <w:tcW w:w="1095" w:type="dxa"/>
                  <w:noWrap w:val="0"/>
                  <w:vAlign w:val="center"/>
                </w:tcPr>
                <w:p w14:paraId="7CC4F286">
                  <w:pPr>
                    <w:pStyle w:val="47"/>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0.5m</w:t>
                  </w:r>
                  <w:r>
                    <w:rPr>
                      <w:rFonts w:hint="default" w:ascii="Times New Roman" w:hAnsi="Times New Roman" w:cs="Times New Roman"/>
                      <w:color w:val="auto"/>
                      <w:highlight w:val="none"/>
                      <w:vertAlign w:val="superscript"/>
                      <w:lang w:val="en-US" w:eastAsia="zh-CN"/>
                    </w:rPr>
                    <w:t>3</w:t>
                  </w:r>
                  <w:r>
                    <w:rPr>
                      <w:rFonts w:hint="default" w:ascii="Times New Roman" w:hAnsi="Times New Roman" w:cs="Times New Roman"/>
                      <w:color w:val="auto"/>
                      <w:highlight w:val="none"/>
                      <w:lang w:val="en-US" w:eastAsia="zh-CN"/>
                    </w:rPr>
                    <w:t>/h</w:t>
                  </w:r>
                </w:p>
              </w:tc>
              <w:tc>
                <w:tcPr>
                  <w:tcW w:w="2161" w:type="dxa"/>
                  <w:noWrap w:val="0"/>
                  <w:vAlign w:val="center"/>
                </w:tcPr>
                <w:p w14:paraId="102D6B99">
                  <w:pPr>
                    <w:pStyle w:val="47"/>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锅炉排污水及软化再生废水预处理设施</w:t>
                  </w:r>
                </w:p>
              </w:tc>
            </w:tr>
            <w:tr w14:paraId="55C4C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81" w:type="dxa"/>
                  <w:noWrap w:val="0"/>
                  <w:vAlign w:val="center"/>
                </w:tcPr>
                <w:p w14:paraId="7C3D7E52">
                  <w:pPr>
                    <w:pStyle w:val="47"/>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沉淀池1</w:t>
                  </w:r>
                </w:p>
              </w:tc>
              <w:tc>
                <w:tcPr>
                  <w:tcW w:w="1860" w:type="dxa"/>
                  <w:noWrap w:val="0"/>
                  <w:vAlign w:val="center"/>
                </w:tcPr>
                <w:p w14:paraId="6B5FB136">
                  <w:pPr>
                    <w:pStyle w:val="47"/>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1m*2m*2.2.m</w:t>
                  </w:r>
                </w:p>
              </w:tc>
              <w:tc>
                <w:tcPr>
                  <w:tcW w:w="1155" w:type="dxa"/>
                  <w:noWrap w:val="0"/>
                  <w:vAlign w:val="center"/>
                </w:tcPr>
                <w:p w14:paraId="7B80989C">
                  <w:pPr>
                    <w:pStyle w:val="47"/>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2</w:t>
                  </w:r>
                  <w:r>
                    <w:rPr>
                      <w:rFonts w:hint="default" w:ascii="Times New Roman" w:hAnsi="Times New Roman" w:cs="Times New Roman"/>
                      <w:color w:val="auto"/>
                      <w:highlight w:val="none"/>
                      <w:lang w:val="en-US" w:eastAsia="zh-CN"/>
                    </w:rPr>
                    <w:t>m</w:t>
                  </w:r>
                  <w:r>
                    <w:rPr>
                      <w:rFonts w:hint="default" w:ascii="Times New Roman" w:hAnsi="Times New Roman" w:cs="Times New Roman"/>
                      <w:color w:val="auto"/>
                      <w:highlight w:val="none"/>
                      <w:vertAlign w:val="superscript"/>
                      <w:lang w:val="en-US" w:eastAsia="zh-CN"/>
                    </w:rPr>
                    <w:t>3</w:t>
                  </w:r>
                </w:p>
              </w:tc>
              <w:tc>
                <w:tcPr>
                  <w:tcW w:w="1065" w:type="dxa"/>
                  <w:noWrap w:val="0"/>
                  <w:vAlign w:val="center"/>
                </w:tcPr>
                <w:p w14:paraId="142FF10F">
                  <w:pPr>
                    <w:pStyle w:val="47"/>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2h</w:t>
                  </w:r>
                </w:p>
              </w:tc>
              <w:tc>
                <w:tcPr>
                  <w:tcW w:w="1095" w:type="dxa"/>
                  <w:noWrap w:val="0"/>
                  <w:vAlign w:val="center"/>
                </w:tcPr>
                <w:p w14:paraId="1BF4CFC2">
                  <w:pPr>
                    <w:pStyle w:val="47"/>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1m</w:t>
                  </w:r>
                  <w:r>
                    <w:rPr>
                      <w:rFonts w:hint="default" w:ascii="Times New Roman" w:hAnsi="Times New Roman" w:cs="Times New Roman"/>
                      <w:color w:val="auto"/>
                      <w:highlight w:val="none"/>
                      <w:vertAlign w:val="superscript"/>
                      <w:lang w:val="en-US" w:eastAsia="zh-CN"/>
                    </w:rPr>
                    <w:t>3</w:t>
                  </w:r>
                  <w:r>
                    <w:rPr>
                      <w:rFonts w:hint="default" w:ascii="Times New Roman" w:hAnsi="Times New Roman" w:cs="Times New Roman"/>
                      <w:color w:val="auto"/>
                      <w:highlight w:val="none"/>
                      <w:lang w:val="en-US" w:eastAsia="zh-CN"/>
                    </w:rPr>
                    <w:t>/h</w:t>
                  </w:r>
                </w:p>
              </w:tc>
              <w:tc>
                <w:tcPr>
                  <w:tcW w:w="2161" w:type="dxa"/>
                  <w:vMerge w:val="restart"/>
                  <w:noWrap w:val="0"/>
                  <w:vAlign w:val="center"/>
                </w:tcPr>
                <w:p w14:paraId="1EED7B52">
                  <w:pPr>
                    <w:pStyle w:val="47"/>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各类废水共用处理设施</w:t>
                  </w:r>
                </w:p>
              </w:tc>
            </w:tr>
            <w:tr w14:paraId="0A9C5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81" w:type="dxa"/>
                  <w:noWrap w:val="0"/>
                  <w:vAlign w:val="center"/>
                </w:tcPr>
                <w:p w14:paraId="72A5A3A3">
                  <w:pPr>
                    <w:pStyle w:val="47"/>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沉淀池2</w:t>
                  </w:r>
                </w:p>
              </w:tc>
              <w:tc>
                <w:tcPr>
                  <w:tcW w:w="1860" w:type="dxa"/>
                  <w:noWrap w:val="0"/>
                  <w:vAlign w:val="center"/>
                </w:tcPr>
                <w:p w14:paraId="3AD3337F">
                  <w:pPr>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lang w:val="en-US" w:eastAsia="zh-CN"/>
                    </w:rPr>
                    <w:t>1m*2m*2.2m</w:t>
                  </w:r>
                </w:p>
              </w:tc>
              <w:tc>
                <w:tcPr>
                  <w:tcW w:w="1155" w:type="dxa"/>
                  <w:noWrap w:val="0"/>
                  <w:vAlign w:val="center"/>
                </w:tcPr>
                <w:p w14:paraId="40145CEF">
                  <w:pPr>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eastAsia="宋体" w:cs="Times New Roman"/>
                      <w:color w:val="auto"/>
                      <w:kern w:val="2"/>
                      <w:sz w:val="21"/>
                      <w:szCs w:val="22"/>
                      <w:highlight w:val="none"/>
                      <w:vertAlign w:val="baseline"/>
                      <w:lang w:val="en-US" w:eastAsia="zh-CN" w:bidi="ar-SA"/>
                    </w:rPr>
                  </w:pPr>
                  <w:r>
                    <w:rPr>
                      <w:rFonts w:hint="default" w:ascii="Times New Roman" w:hAnsi="Times New Roman" w:cs="Times New Roman"/>
                      <w:color w:val="auto"/>
                      <w:highlight w:val="none"/>
                      <w:vertAlign w:val="baseline"/>
                      <w:lang w:val="en-US" w:eastAsia="zh-CN"/>
                    </w:rPr>
                    <w:t>2</w:t>
                  </w:r>
                  <w:r>
                    <w:rPr>
                      <w:rFonts w:hint="default" w:ascii="Times New Roman" w:hAnsi="Times New Roman" w:cs="Times New Roman"/>
                      <w:color w:val="auto"/>
                      <w:highlight w:val="none"/>
                      <w:lang w:val="en-US" w:eastAsia="zh-CN"/>
                    </w:rPr>
                    <w:t>m</w:t>
                  </w:r>
                  <w:r>
                    <w:rPr>
                      <w:rFonts w:hint="default" w:ascii="Times New Roman" w:hAnsi="Times New Roman" w:cs="Times New Roman"/>
                      <w:color w:val="auto"/>
                      <w:highlight w:val="none"/>
                      <w:vertAlign w:val="superscript"/>
                      <w:lang w:val="en-US" w:eastAsia="zh-CN"/>
                    </w:rPr>
                    <w:t>3</w:t>
                  </w:r>
                </w:p>
              </w:tc>
              <w:tc>
                <w:tcPr>
                  <w:tcW w:w="1065" w:type="dxa"/>
                  <w:noWrap w:val="0"/>
                  <w:vAlign w:val="center"/>
                </w:tcPr>
                <w:p w14:paraId="56498988">
                  <w:pPr>
                    <w:pStyle w:val="47"/>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lang w:val="en-US" w:eastAsia="zh-CN"/>
                    </w:rPr>
                    <w:t>2h</w:t>
                  </w:r>
                </w:p>
              </w:tc>
              <w:tc>
                <w:tcPr>
                  <w:tcW w:w="1095" w:type="dxa"/>
                  <w:noWrap w:val="0"/>
                  <w:vAlign w:val="center"/>
                </w:tcPr>
                <w:p w14:paraId="420CCCBE">
                  <w:pPr>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1m</w:t>
                  </w:r>
                  <w:r>
                    <w:rPr>
                      <w:rFonts w:hint="default" w:ascii="Times New Roman" w:hAnsi="Times New Roman" w:cs="Times New Roman"/>
                      <w:color w:val="auto"/>
                      <w:highlight w:val="none"/>
                      <w:vertAlign w:val="superscript"/>
                      <w:lang w:val="en-US" w:eastAsia="zh-CN"/>
                    </w:rPr>
                    <w:t>3</w:t>
                  </w:r>
                  <w:r>
                    <w:rPr>
                      <w:rFonts w:hint="default" w:ascii="Times New Roman" w:hAnsi="Times New Roman" w:cs="Times New Roman"/>
                      <w:color w:val="auto"/>
                      <w:highlight w:val="none"/>
                      <w:lang w:val="en-US" w:eastAsia="zh-CN"/>
                    </w:rPr>
                    <w:t>/h</w:t>
                  </w:r>
                </w:p>
              </w:tc>
              <w:tc>
                <w:tcPr>
                  <w:tcW w:w="2161" w:type="dxa"/>
                  <w:vMerge w:val="continue"/>
                  <w:noWrap w:val="0"/>
                  <w:vAlign w:val="center"/>
                </w:tcPr>
                <w:p w14:paraId="12142DFC">
                  <w:pPr>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cs="Times New Roman"/>
                      <w:color w:val="auto"/>
                      <w:highlight w:val="none"/>
                      <w:lang w:val="en-US" w:eastAsia="zh-CN"/>
                    </w:rPr>
                  </w:pPr>
                </w:p>
              </w:tc>
            </w:tr>
            <w:tr w14:paraId="712BA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81" w:type="dxa"/>
                  <w:noWrap w:val="0"/>
                  <w:vAlign w:val="center"/>
                </w:tcPr>
                <w:p w14:paraId="69953EA8">
                  <w:pPr>
                    <w:pStyle w:val="47"/>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沉淀池3</w:t>
                  </w:r>
                </w:p>
              </w:tc>
              <w:tc>
                <w:tcPr>
                  <w:tcW w:w="1860" w:type="dxa"/>
                  <w:noWrap w:val="0"/>
                  <w:vAlign w:val="center"/>
                </w:tcPr>
                <w:p w14:paraId="1FAEC487">
                  <w:pPr>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lang w:val="en-US" w:eastAsia="zh-CN"/>
                    </w:rPr>
                    <w:t>1m*2m*2.2m</w:t>
                  </w:r>
                </w:p>
              </w:tc>
              <w:tc>
                <w:tcPr>
                  <w:tcW w:w="1155" w:type="dxa"/>
                  <w:noWrap w:val="0"/>
                  <w:vAlign w:val="center"/>
                </w:tcPr>
                <w:p w14:paraId="4FA453D0">
                  <w:pPr>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eastAsia="宋体" w:cs="Times New Roman"/>
                      <w:color w:val="auto"/>
                      <w:kern w:val="2"/>
                      <w:sz w:val="21"/>
                      <w:szCs w:val="22"/>
                      <w:highlight w:val="none"/>
                      <w:vertAlign w:val="baseline"/>
                      <w:lang w:val="en-US" w:eastAsia="zh-CN" w:bidi="ar-SA"/>
                    </w:rPr>
                  </w:pPr>
                  <w:r>
                    <w:rPr>
                      <w:rFonts w:hint="default" w:ascii="Times New Roman" w:hAnsi="Times New Roman" w:cs="Times New Roman"/>
                      <w:color w:val="auto"/>
                      <w:highlight w:val="none"/>
                      <w:vertAlign w:val="baseline"/>
                      <w:lang w:val="en-US" w:eastAsia="zh-CN"/>
                    </w:rPr>
                    <w:t>2</w:t>
                  </w:r>
                  <w:r>
                    <w:rPr>
                      <w:rFonts w:hint="default" w:ascii="Times New Roman" w:hAnsi="Times New Roman" w:cs="Times New Roman"/>
                      <w:color w:val="auto"/>
                      <w:highlight w:val="none"/>
                      <w:lang w:val="en-US" w:eastAsia="zh-CN"/>
                    </w:rPr>
                    <w:t>m</w:t>
                  </w:r>
                  <w:r>
                    <w:rPr>
                      <w:rFonts w:hint="default" w:ascii="Times New Roman" w:hAnsi="Times New Roman" w:cs="Times New Roman"/>
                      <w:color w:val="auto"/>
                      <w:highlight w:val="none"/>
                      <w:vertAlign w:val="superscript"/>
                      <w:lang w:val="en-US" w:eastAsia="zh-CN"/>
                    </w:rPr>
                    <w:t>3</w:t>
                  </w:r>
                </w:p>
              </w:tc>
              <w:tc>
                <w:tcPr>
                  <w:tcW w:w="1065" w:type="dxa"/>
                  <w:noWrap w:val="0"/>
                  <w:vAlign w:val="center"/>
                </w:tcPr>
                <w:p w14:paraId="63F3998F">
                  <w:pPr>
                    <w:pStyle w:val="47"/>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lang w:val="en-US" w:eastAsia="zh-CN"/>
                    </w:rPr>
                    <w:t>2h</w:t>
                  </w:r>
                </w:p>
              </w:tc>
              <w:tc>
                <w:tcPr>
                  <w:tcW w:w="1095" w:type="dxa"/>
                  <w:noWrap w:val="0"/>
                  <w:vAlign w:val="center"/>
                </w:tcPr>
                <w:p w14:paraId="38A29E82">
                  <w:pPr>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1m</w:t>
                  </w:r>
                  <w:r>
                    <w:rPr>
                      <w:rFonts w:hint="default" w:ascii="Times New Roman" w:hAnsi="Times New Roman" w:cs="Times New Roman"/>
                      <w:color w:val="auto"/>
                      <w:highlight w:val="none"/>
                      <w:vertAlign w:val="superscript"/>
                      <w:lang w:val="en-US" w:eastAsia="zh-CN"/>
                    </w:rPr>
                    <w:t>3</w:t>
                  </w:r>
                  <w:r>
                    <w:rPr>
                      <w:rFonts w:hint="default" w:ascii="Times New Roman" w:hAnsi="Times New Roman" w:cs="Times New Roman"/>
                      <w:color w:val="auto"/>
                      <w:highlight w:val="none"/>
                      <w:lang w:val="en-US" w:eastAsia="zh-CN"/>
                    </w:rPr>
                    <w:t>/h</w:t>
                  </w:r>
                </w:p>
              </w:tc>
              <w:tc>
                <w:tcPr>
                  <w:tcW w:w="2161" w:type="dxa"/>
                  <w:vMerge w:val="continue"/>
                  <w:noWrap w:val="0"/>
                  <w:vAlign w:val="center"/>
                </w:tcPr>
                <w:p w14:paraId="4887EB28">
                  <w:pPr>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cs="Times New Roman"/>
                      <w:color w:val="auto"/>
                      <w:highlight w:val="none"/>
                      <w:lang w:val="en-US" w:eastAsia="zh-CN"/>
                    </w:rPr>
                  </w:pPr>
                </w:p>
              </w:tc>
            </w:tr>
            <w:tr w14:paraId="3F13A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1781" w:type="dxa"/>
                  <w:noWrap w:val="0"/>
                  <w:vAlign w:val="center"/>
                </w:tcPr>
                <w:p w14:paraId="49BF1DDD">
                  <w:pPr>
                    <w:pStyle w:val="47"/>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回用水池</w:t>
                  </w:r>
                </w:p>
              </w:tc>
              <w:tc>
                <w:tcPr>
                  <w:tcW w:w="1860" w:type="dxa"/>
                  <w:noWrap w:val="0"/>
                  <w:vAlign w:val="center"/>
                </w:tcPr>
                <w:p w14:paraId="3B723ED1">
                  <w:pPr>
                    <w:pStyle w:val="47"/>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kern w:val="0"/>
                      <w:szCs w:val="21"/>
                      <w:highlight w:val="none"/>
                      <w:lang w:val="en-US" w:eastAsia="zh-CN"/>
                    </w:rPr>
                    <w:t>2</w:t>
                  </w:r>
                  <w:r>
                    <w:rPr>
                      <w:rFonts w:hint="default" w:ascii="Times New Roman" w:hAnsi="Times New Roman" w:cs="Times New Roman"/>
                      <w:color w:val="auto"/>
                      <w:kern w:val="0"/>
                      <w:szCs w:val="21"/>
                      <w:highlight w:val="none"/>
                    </w:rPr>
                    <w:t>m×</w:t>
                  </w:r>
                  <w:r>
                    <w:rPr>
                      <w:rFonts w:hint="default" w:ascii="Times New Roman" w:hAnsi="Times New Roman" w:cs="Times New Roman"/>
                      <w:color w:val="auto"/>
                      <w:kern w:val="0"/>
                      <w:szCs w:val="21"/>
                      <w:highlight w:val="none"/>
                      <w:lang w:val="en-US" w:eastAsia="zh-CN"/>
                    </w:rPr>
                    <w:t>2</w:t>
                  </w:r>
                  <w:r>
                    <w:rPr>
                      <w:rFonts w:hint="default" w:ascii="Times New Roman" w:hAnsi="Times New Roman" w:cs="Times New Roman"/>
                      <w:color w:val="auto"/>
                      <w:kern w:val="0"/>
                      <w:szCs w:val="21"/>
                      <w:highlight w:val="none"/>
                    </w:rPr>
                    <w:t>m×</w:t>
                  </w:r>
                  <w:r>
                    <w:rPr>
                      <w:rFonts w:hint="default" w:ascii="Times New Roman" w:hAnsi="Times New Roman" w:cs="Times New Roman"/>
                      <w:color w:val="auto"/>
                      <w:kern w:val="0"/>
                      <w:szCs w:val="21"/>
                      <w:highlight w:val="none"/>
                      <w:lang w:val="en-US" w:eastAsia="zh-CN"/>
                    </w:rPr>
                    <w:t>2</w:t>
                  </w:r>
                  <w:r>
                    <w:rPr>
                      <w:rFonts w:hint="default" w:ascii="Times New Roman" w:hAnsi="Times New Roman" w:cs="Times New Roman"/>
                      <w:color w:val="auto"/>
                      <w:kern w:val="0"/>
                      <w:szCs w:val="21"/>
                      <w:highlight w:val="none"/>
                    </w:rPr>
                    <w:t>.</w:t>
                  </w:r>
                  <w:r>
                    <w:rPr>
                      <w:rFonts w:hint="default" w:ascii="Times New Roman" w:hAnsi="Times New Roman" w:cs="Times New Roman"/>
                      <w:color w:val="auto"/>
                      <w:kern w:val="0"/>
                      <w:szCs w:val="21"/>
                      <w:highlight w:val="none"/>
                      <w:lang w:val="en-US" w:eastAsia="zh-CN"/>
                    </w:rPr>
                    <w:t>2</w:t>
                  </w:r>
                  <w:r>
                    <w:rPr>
                      <w:rFonts w:hint="default" w:ascii="Times New Roman" w:hAnsi="Times New Roman" w:cs="Times New Roman"/>
                      <w:color w:val="auto"/>
                      <w:kern w:val="0"/>
                      <w:szCs w:val="21"/>
                      <w:highlight w:val="none"/>
                    </w:rPr>
                    <w:t>m</w:t>
                  </w:r>
                </w:p>
              </w:tc>
              <w:tc>
                <w:tcPr>
                  <w:tcW w:w="1155" w:type="dxa"/>
                  <w:noWrap w:val="0"/>
                  <w:vAlign w:val="center"/>
                </w:tcPr>
                <w:p w14:paraId="69860719">
                  <w:pPr>
                    <w:pStyle w:val="47"/>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8</w:t>
                  </w:r>
                  <w:r>
                    <w:rPr>
                      <w:rFonts w:hint="default" w:ascii="Times New Roman" w:hAnsi="Times New Roman" w:cs="Times New Roman"/>
                      <w:color w:val="auto"/>
                      <w:highlight w:val="none"/>
                      <w:lang w:val="en-US" w:eastAsia="zh-CN"/>
                    </w:rPr>
                    <w:t>m</w:t>
                  </w:r>
                  <w:r>
                    <w:rPr>
                      <w:rFonts w:hint="default" w:ascii="Times New Roman" w:hAnsi="Times New Roman" w:cs="Times New Roman"/>
                      <w:color w:val="auto"/>
                      <w:highlight w:val="none"/>
                      <w:vertAlign w:val="superscript"/>
                      <w:lang w:val="en-US" w:eastAsia="zh-CN"/>
                    </w:rPr>
                    <w:t>3</w:t>
                  </w:r>
                </w:p>
              </w:tc>
              <w:tc>
                <w:tcPr>
                  <w:tcW w:w="1065" w:type="dxa"/>
                  <w:noWrap w:val="0"/>
                  <w:vAlign w:val="center"/>
                </w:tcPr>
                <w:p w14:paraId="445DCE70">
                  <w:pPr>
                    <w:pStyle w:val="47"/>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8h</w:t>
                  </w:r>
                </w:p>
              </w:tc>
              <w:tc>
                <w:tcPr>
                  <w:tcW w:w="1095" w:type="dxa"/>
                  <w:noWrap w:val="0"/>
                  <w:vAlign w:val="center"/>
                </w:tcPr>
                <w:p w14:paraId="662096B6">
                  <w:pPr>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1m</w:t>
                  </w:r>
                  <w:r>
                    <w:rPr>
                      <w:rFonts w:hint="default" w:ascii="Times New Roman" w:hAnsi="Times New Roman" w:cs="Times New Roman"/>
                      <w:color w:val="auto"/>
                      <w:highlight w:val="none"/>
                      <w:vertAlign w:val="superscript"/>
                      <w:lang w:val="en-US" w:eastAsia="zh-CN"/>
                    </w:rPr>
                    <w:t>3</w:t>
                  </w:r>
                  <w:r>
                    <w:rPr>
                      <w:rFonts w:hint="default" w:ascii="Times New Roman" w:hAnsi="Times New Roman" w:cs="Times New Roman"/>
                      <w:color w:val="auto"/>
                      <w:highlight w:val="none"/>
                      <w:lang w:val="en-US" w:eastAsia="zh-CN"/>
                    </w:rPr>
                    <w:t>/h</w:t>
                  </w:r>
                </w:p>
              </w:tc>
              <w:tc>
                <w:tcPr>
                  <w:tcW w:w="2161" w:type="dxa"/>
                  <w:vMerge w:val="continue"/>
                  <w:noWrap w:val="0"/>
                  <w:vAlign w:val="center"/>
                </w:tcPr>
                <w:p w14:paraId="102B239D">
                  <w:pPr>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cs="Times New Roman"/>
                      <w:color w:val="auto"/>
                      <w:highlight w:val="none"/>
                      <w:lang w:val="en-US" w:eastAsia="zh-CN"/>
                    </w:rPr>
                  </w:pPr>
                </w:p>
              </w:tc>
            </w:tr>
          </w:tbl>
          <w:p w14:paraId="16926CCD">
            <w:pPr>
              <w:pStyle w:val="61"/>
              <w:keepNext w:val="0"/>
              <w:keepLines w:val="0"/>
              <w:pageBreakBefore w:val="0"/>
              <w:widowControl w:val="0"/>
              <w:kinsoku/>
              <w:wordWrap/>
              <w:overflowPunct/>
              <w:topLinePunct w:val="0"/>
              <w:autoSpaceDE w:val="0"/>
              <w:autoSpaceDN w:val="0"/>
              <w:bidi w:val="0"/>
              <w:adjustRightInd w:val="0"/>
              <w:snapToGrid w:val="0"/>
              <w:spacing w:before="0" w:line="360" w:lineRule="auto"/>
              <w:ind w:left="0" w:right="0" w:firstLine="480" w:firstLineChars="200"/>
              <w:textAlignment w:val="auto"/>
              <w:rPr>
                <w:rFonts w:hint="default" w:ascii="Times New Roman" w:hAnsi="Times New Roman" w:cs="Times New Roman" w:eastAsiaTheme="minorEastAsia"/>
                <w:color w:val="auto"/>
                <w:kern w:val="2"/>
                <w:sz w:val="24"/>
                <w:szCs w:val="24"/>
                <w:highlight w:val="none"/>
                <w:lang w:val="en-US" w:eastAsia="zh-CN" w:bidi="ar-SA"/>
              </w:rPr>
            </w:pPr>
            <w:r>
              <w:rPr>
                <w:rFonts w:hint="default" w:ascii="Times New Roman" w:hAnsi="Times New Roman" w:cs="Times New Roman" w:eastAsiaTheme="minorEastAsia"/>
                <w:color w:val="auto"/>
                <w:kern w:val="2"/>
                <w:sz w:val="24"/>
                <w:szCs w:val="24"/>
                <w:highlight w:val="none"/>
                <w:lang w:val="en-US" w:eastAsia="zh-CN" w:bidi="ar-SA"/>
              </w:rPr>
              <w:t>由上表可知，锅炉排污水及软化再生废水产生量为2.418t/d，停留时间为0.5h，锅炉使用期间每天工作12h，则调节混凝絮凝沉淀池处理能力均满足6m</w:t>
            </w:r>
            <w:r>
              <w:rPr>
                <w:rFonts w:hint="default" w:ascii="Times New Roman" w:hAnsi="Times New Roman" w:cs="Times New Roman" w:eastAsiaTheme="minorEastAsia"/>
                <w:color w:val="auto"/>
                <w:kern w:val="2"/>
                <w:sz w:val="24"/>
                <w:szCs w:val="24"/>
                <w:highlight w:val="none"/>
                <w:vertAlign w:val="superscript"/>
                <w:lang w:val="en-US" w:eastAsia="zh-CN" w:bidi="ar-SA"/>
              </w:rPr>
              <w:t>3</w:t>
            </w:r>
            <w:r>
              <w:rPr>
                <w:rFonts w:hint="default" w:ascii="Times New Roman" w:hAnsi="Times New Roman" w:cs="Times New Roman" w:eastAsiaTheme="minorEastAsia"/>
                <w:color w:val="auto"/>
                <w:kern w:val="2"/>
                <w:sz w:val="24"/>
                <w:szCs w:val="24"/>
                <w:highlight w:val="none"/>
                <w:lang w:val="en-US" w:eastAsia="zh-CN" w:bidi="ar-SA"/>
              </w:rPr>
              <w:t>/d＞2.418t/d，故调节混凝絮凝池容积设置合理；项目需要处理的废水总量8.892t/d，每级沉淀池的处理能力均为2m</w:t>
            </w:r>
            <w:r>
              <w:rPr>
                <w:rFonts w:hint="default" w:ascii="Times New Roman" w:hAnsi="Times New Roman" w:cs="Times New Roman" w:eastAsiaTheme="minorEastAsia"/>
                <w:color w:val="auto"/>
                <w:kern w:val="2"/>
                <w:sz w:val="24"/>
                <w:szCs w:val="24"/>
                <w:highlight w:val="none"/>
                <w:vertAlign w:val="superscript"/>
                <w:lang w:val="en-US" w:eastAsia="zh-CN" w:bidi="ar-SA"/>
              </w:rPr>
              <w:t>3</w:t>
            </w:r>
            <w:r>
              <w:rPr>
                <w:rFonts w:hint="default" w:ascii="Times New Roman" w:hAnsi="Times New Roman" w:cs="Times New Roman" w:eastAsiaTheme="minorEastAsia"/>
                <w:color w:val="auto"/>
                <w:kern w:val="2"/>
                <w:sz w:val="24"/>
                <w:szCs w:val="24"/>
                <w:highlight w:val="none"/>
                <w:lang w:val="en-US" w:eastAsia="zh-CN" w:bidi="ar-SA"/>
              </w:rPr>
              <w:t>/h，每天工作12h，则每级水池的处理能力均满足24m</w:t>
            </w:r>
            <w:r>
              <w:rPr>
                <w:rFonts w:hint="default" w:ascii="Times New Roman" w:hAnsi="Times New Roman" w:cs="Times New Roman" w:eastAsiaTheme="minorEastAsia"/>
                <w:color w:val="auto"/>
                <w:kern w:val="2"/>
                <w:sz w:val="24"/>
                <w:szCs w:val="24"/>
                <w:highlight w:val="none"/>
                <w:vertAlign w:val="superscript"/>
                <w:lang w:val="en-US" w:eastAsia="zh-CN" w:bidi="ar-SA"/>
              </w:rPr>
              <w:t>3</w:t>
            </w:r>
            <w:r>
              <w:rPr>
                <w:rFonts w:hint="default" w:ascii="Times New Roman" w:hAnsi="Times New Roman" w:cs="Times New Roman" w:eastAsiaTheme="minorEastAsia"/>
                <w:color w:val="auto"/>
                <w:kern w:val="2"/>
                <w:sz w:val="24"/>
                <w:szCs w:val="24"/>
                <w:highlight w:val="none"/>
                <w:lang w:val="en-US" w:eastAsia="zh-CN" w:bidi="ar-SA"/>
              </w:rPr>
              <w:t>/d＞项目需要处理的废水总量8.892t/d，故三级沉淀池容积设置合理；</w:t>
            </w:r>
          </w:p>
          <w:p w14:paraId="5D06EDC6">
            <w:pPr>
              <w:pStyle w:val="61"/>
              <w:keepNext w:val="0"/>
              <w:keepLines w:val="0"/>
              <w:pageBreakBefore w:val="0"/>
              <w:widowControl w:val="0"/>
              <w:kinsoku/>
              <w:wordWrap/>
              <w:overflowPunct/>
              <w:topLinePunct w:val="0"/>
              <w:autoSpaceDE w:val="0"/>
              <w:autoSpaceDN w:val="0"/>
              <w:bidi w:val="0"/>
              <w:adjustRightInd w:val="0"/>
              <w:snapToGrid w:val="0"/>
              <w:spacing w:before="0" w:line="360" w:lineRule="auto"/>
              <w:ind w:left="0" w:right="0" w:firstLine="480" w:firstLineChars="200"/>
              <w:textAlignment w:val="auto"/>
              <w:rPr>
                <w:rFonts w:hint="default" w:ascii="Times New Roman" w:hAnsi="Times New Roman" w:cs="Times New Roman" w:eastAsiaTheme="minorEastAsia"/>
                <w:color w:val="auto"/>
                <w:kern w:val="2"/>
                <w:sz w:val="24"/>
                <w:szCs w:val="24"/>
                <w:highlight w:val="none"/>
                <w:lang w:val="en-US" w:eastAsia="zh-CN" w:bidi="ar-SA"/>
              </w:rPr>
            </w:pPr>
            <w:r>
              <w:rPr>
                <w:rFonts w:hint="default" w:ascii="Times New Roman" w:hAnsi="Times New Roman" w:cs="Times New Roman" w:eastAsiaTheme="minorEastAsia"/>
                <w:color w:val="auto"/>
                <w:kern w:val="2"/>
                <w:sz w:val="24"/>
                <w:szCs w:val="24"/>
                <w:highlight w:val="none"/>
                <w:lang w:val="en-US" w:eastAsia="zh-CN" w:bidi="ar-SA"/>
              </w:rPr>
              <w:t>由于本项目锅炉用水是由自来水（自来水的COD及BOD已经很低，经过制备系统后污染物该类污染物基本不增加，主要为钙镁离子及少量悬浮物）通过软水制备系统制备而成，产生的排污水主要为钙镁离子及杂质，基本不含COD等其它污染因子且钙镁离子已经通过“调节混凝絮凝”预处理再进入三级沉淀池处理，“调节混凝絮凝”对钙镁离子及悬浮物的去除效率极高，处理后的废水基本不会影响其余废水的水质。</w:t>
            </w:r>
          </w:p>
          <w:p w14:paraId="0CCBADD4">
            <w:pPr>
              <w:pStyle w:val="61"/>
              <w:keepNext w:val="0"/>
              <w:keepLines w:val="0"/>
              <w:pageBreakBefore w:val="0"/>
              <w:widowControl w:val="0"/>
              <w:kinsoku/>
              <w:wordWrap/>
              <w:overflowPunct/>
              <w:topLinePunct w:val="0"/>
              <w:autoSpaceDE w:val="0"/>
              <w:autoSpaceDN w:val="0"/>
              <w:bidi w:val="0"/>
              <w:adjustRightInd w:val="0"/>
              <w:snapToGrid w:val="0"/>
              <w:spacing w:before="0" w:line="360" w:lineRule="auto"/>
              <w:ind w:left="0" w:right="0" w:firstLine="480" w:firstLineChars="200"/>
              <w:textAlignment w:val="auto"/>
              <w:rPr>
                <w:rFonts w:hint="default" w:ascii="Times New Roman" w:hAnsi="Times New Roman" w:cs="Times New Roman" w:eastAsiaTheme="minorEastAsia"/>
                <w:color w:val="auto"/>
                <w:kern w:val="2"/>
                <w:sz w:val="24"/>
                <w:szCs w:val="24"/>
                <w:highlight w:val="none"/>
                <w:lang w:val="en-US" w:eastAsia="zh-CN" w:bidi="ar-SA"/>
              </w:rPr>
            </w:pPr>
            <w:r>
              <w:rPr>
                <w:rFonts w:hint="default" w:ascii="Times New Roman" w:hAnsi="Times New Roman" w:cs="Times New Roman" w:eastAsiaTheme="minorEastAsia"/>
                <w:color w:val="auto"/>
                <w:kern w:val="2"/>
                <w:sz w:val="24"/>
                <w:szCs w:val="24"/>
                <w:highlight w:val="none"/>
                <w:lang w:val="en-US" w:eastAsia="zh-CN" w:bidi="ar-SA"/>
              </w:rPr>
              <w:t>本项目废水经三级沉淀后回用浓度类比博罗县金园混凝土有限公司（四角楼站点）预拌混凝土搅拌站建设项目委托东莞市启丰检测技术服务有限公司于2023年7月3日及2023年7月4日对其生产废水的检测结果（报告编号：QFHJ20230703009，见附件7），由于项目博罗县金园混凝土有限公司（四角楼站点）预拌混凝土搅拌站建设项目在浇筑振捣成型前的混凝土生产原辅用量、生产工艺完全一致，且涉及到的废水产生环节完全一致，生产废水处理工艺也完全一致，故类比是可行的，类比回用可行性论证如下：</w:t>
            </w:r>
          </w:p>
          <w:p w14:paraId="3FFEDC6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color w:val="auto"/>
                <w:sz w:val="21"/>
                <w:szCs w:val="21"/>
                <w:highlight w:val="none"/>
                <w:lang w:val="en-US" w:eastAsia="zh-CN"/>
              </w:rPr>
            </w:pPr>
            <w:r>
              <w:rPr>
                <w:rFonts w:hint="default" w:ascii="Times New Roman" w:hAnsi="Times New Roman" w:eastAsia="宋体" w:cs="Times New Roman"/>
                <w:b/>
                <w:bCs w:val="0"/>
                <w:color w:val="auto"/>
                <w:sz w:val="21"/>
                <w:szCs w:val="21"/>
                <w:highlight w:val="none"/>
                <w:lang w:val="en-US" w:eastAsia="zh-CN"/>
              </w:rPr>
              <w:t>表4-14 类比合理性分析</w:t>
            </w:r>
          </w:p>
          <w:tbl>
            <w:tblPr>
              <w:tblStyle w:val="35"/>
              <w:tblW w:w="90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9"/>
              <w:gridCol w:w="2680"/>
              <w:gridCol w:w="2840"/>
              <w:gridCol w:w="2840"/>
            </w:tblGrid>
            <w:tr w14:paraId="1519C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406" w:type="pct"/>
                  <w:noWrap w:val="0"/>
                  <w:vAlign w:val="center"/>
                </w:tcPr>
                <w:p w14:paraId="4BA02E3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default" w:ascii="Times New Roman" w:hAnsi="Times New Roman" w:eastAsia="宋体" w:cs="Times New Roman"/>
                      <w:b/>
                      <w:bCs w:val="0"/>
                      <w:color w:val="auto"/>
                      <w:sz w:val="21"/>
                      <w:szCs w:val="21"/>
                      <w:highlight w:val="none"/>
                      <w:vertAlign w:val="baseline"/>
                      <w:lang w:val="en-US" w:eastAsia="zh-CN"/>
                    </w:rPr>
                    <w:t>类型</w:t>
                  </w:r>
                </w:p>
              </w:tc>
              <w:tc>
                <w:tcPr>
                  <w:tcW w:w="1472" w:type="pct"/>
                  <w:noWrap w:val="0"/>
                  <w:vAlign w:val="center"/>
                </w:tcPr>
                <w:p w14:paraId="4780061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default" w:ascii="Times New Roman" w:hAnsi="Times New Roman" w:eastAsia="宋体" w:cs="Times New Roman"/>
                      <w:b/>
                      <w:bCs w:val="0"/>
                      <w:color w:val="auto"/>
                      <w:sz w:val="21"/>
                      <w:szCs w:val="21"/>
                      <w:highlight w:val="none"/>
                      <w:vertAlign w:val="baseline"/>
                      <w:lang w:val="en-US" w:eastAsia="zh-CN"/>
                    </w:rPr>
                    <w:t>类比项目</w:t>
                  </w:r>
                </w:p>
              </w:tc>
              <w:tc>
                <w:tcPr>
                  <w:tcW w:w="1560" w:type="pct"/>
                  <w:noWrap w:val="0"/>
                  <w:vAlign w:val="center"/>
                </w:tcPr>
                <w:p w14:paraId="541DEFF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default" w:ascii="Times New Roman" w:hAnsi="Times New Roman" w:eastAsia="宋体" w:cs="Times New Roman"/>
                      <w:b/>
                      <w:bCs w:val="0"/>
                      <w:color w:val="auto"/>
                      <w:sz w:val="21"/>
                      <w:szCs w:val="21"/>
                      <w:highlight w:val="none"/>
                      <w:vertAlign w:val="baseline"/>
                      <w:lang w:val="en-US" w:eastAsia="zh-CN"/>
                    </w:rPr>
                    <w:t>本项目</w:t>
                  </w:r>
                </w:p>
              </w:tc>
              <w:tc>
                <w:tcPr>
                  <w:tcW w:w="1560" w:type="pct"/>
                  <w:noWrap w:val="0"/>
                  <w:vAlign w:val="center"/>
                </w:tcPr>
                <w:p w14:paraId="356340D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default" w:ascii="Times New Roman" w:hAnsi="Times New Roman" w:eastAsia="宋体" w:cs="Times New Roman"/>
                      <w:b/>
                      <w:bCs w:val="0"/>
                      <w:color w:val="auto"/>
                      <w:sz w:val="21"/>
                      <w:szCs w:val="21"/>
                      <w:highlight w:val="none"/>
                      <w:vertAlign w:val="baseline"/>
                      <w:lang w:val="en-US" w:eastAsia="zh-CN"/>
                    </w:rPr>
                    <w:t>备注</w:t>
                  </w:r>
                </w:p>
              </w:tc>
            </w:tr>
            <w:tr w14:paraId="3E077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406" w:type="pct"/>
                  <w:noWrap w:val="0"/>
                  <w:vAlign w:val="center"/>
                </w:tcPr>
                <w:p w14:paraId="00D845E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生产产品</w:t>
                  </w:r>
                </w:p>
              </w:tc>
              <w:tc>
                <w:tcPr>
                  <w:tcW w:w="1472" w:type="pct"/>
                  <w:noWrap w:val="0"/>
                  <w:vAlign w:val="center"/>
                </w:tcPr>
                <w:p w14:paraId="3D62F7C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商品混凝土、砂浆</w:t>
                  </w:r>
                </w:p>
              </w:tc>
              <w:tc>
                <w:tcPr>
                  <w:tcW w:w="1560" w:type="pct"/>
                  <w:noWrap w:val="0"/>
                  <w:vAlign w:val="center"/>
                </w:tcPr>
                <w:p w14:paraId="38C48A6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轨道板及轨枕混凝土产品</w:t>
                  </w:r>
                </w:p>
              </w:tc>
              <w:tc>
                <w:tcPr>
                  <w:tcW w:w="1560" w:type="pct"/>
                  <w:noWrap w:val="0"/>
                  <w:vAlign w:val="center"/>
                </w:tcPr>
                <w:p w14:paraId="1E8F5BA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前端产品一致，类比可行</w:t>
                  </w:r>
                </w:p>
              </w:tc>
            </w:tr>
            <w:tr w14:paraId="5C308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406" w:type="pct"/>
                  <w:noWrap w:val="0"/>
                  <w:vAlign w:val="center"/>
                </w:tcPr>
                <w:p w14:paraId="32563F9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原辅料</w:t>
                  </w:r>
                </w:p>
              </w:tc>
              <w:tc>
                <w:tcPr>
                  <w:tcW w:w="1472" w:type="pct"/>
                  <w:noWrap w:val="0"/>
                  <w:vAlign w:val="center"/>
                </w:tcPr>
                <w:p w14:paraId="6C4564A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kern w:val="2"/>
                      <w:sz w:val="21"/>
                      <w:szCs w:val="21"/>
                      <w:highlight w:val="none"/>
                      <w:vertAlign w:val="baseline"/>
                      <w:lang w:val="en-US" w:eastAsia="zh-CN" w:bidi="ar-SA"/>
                    </w:rPr>
                  </w:pPr>
                  <w:r>
                    <w:rPr>
                      <w:rFonts w:hint="default" w:ascii="Times New Roman" w:hAnsi="Times New Roman" w:eastAsia="宋体" w:cs="Times New Roman"/>
                      <w:b w:val="0"/>
                      <w:bCs/>
                      <w:color w:val="auto"/>
                      <w:sz w:val="21"/>
                      <w:szCs w:val="21"/>
                      <w:highlight w:val="none"/>
                      <w:vertAlign w:val="baseline"/>
                      <w:lang w:val="en-US" w:eastAsia="zh-CN"/>
                    </w:rPr>
                    <w:t>河砂、碎石、粉煤灰、矿粉、水泥、聚羧基减水剂、缓凝型高性能减水剂、水</w:t>
                  </w:r>
                </w:p>
              </w:tc>
              <w:tc>
                <w:tcPr>
                  <w:tcW w:w="1560" w:type="pct"/>
                  <w:noWrap w:val="0"/>
                  <w:vAlign w:val="center"/>
                </w:tcPr>
                <w:p w14:paraId="699DE0E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河砂、碎石、粉煤灰、水泥、聚羧基减水剂、水</w:t>
                  </w:r>
                </w:p>
              </w:tc>
              <w:tc>
                <w:tcPr>
                  <w:tcW w:w="1560" w:type="pct"/>
                  <w:noWrap w:val="0"/>
                  <w:vAlign w:val="center"/>
                </w:tcPr>
                <w:p w14:paraId="11F82E3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原辅用料一致，类比可行</w:t>
                  </w:r>
                </w:p>
              </w:tc>
            </w:tr>
            <w:tr w14:paraId="05D62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406" w:type="pct"/>
                  <w:noWrap w:val="0"/>
                  <w:vAlign w:val="center"/>
                </w:tcPr>
                <w:p w14:paraId="66F4D00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废水类别</w:t>
                  </w:r>
                </w:p>
              </w:tc>
              <w:tc>
                <w:tcPr>
                  <w:tcW w:w="1472" w:type="pct"/>
                  <w:noWrap w:val="0"/>
                  <w:vAlign w:val="center"/>
                </w:tcPr>
                <w:p w14:paraId="1E156F4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搅拌机清洗废水、搅拌车清洗废水、运输原材料车辆清洗废水、破碎机清洗废水</w:t>
                  </w:r>
                </w:p>
              </w:tc>
              <w:tc>
                <w:tcPr>
                  <w:tcW w:w="1560" w:type="pct"/>
                  <w:noWrap w:val="0"/>
                  <w:vAlign w:val="center"/>
                </w:tcPr>
                <w:p w14:paraId="07EAD9E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kern w:val="2"/>
                      <w:sz w:val="21"/>
                      <w:szCs w:val="21"/>
                      <w:highlight w:val="none"/>
                      <w:vertAlign w:val="baseline"/>
                      <w:lang w:val="en-US" w:eastAsia="zh-CN" w:bidi="ar-SA"/>
                    </w:rPr>
                  </w:pPr>
                  <w:r>
                    <w:rPr>
                      <w:rFonts w:hint="default" w:ascii="Times New Roman" w:hAnsi="Times New Roman" w:eastAsia="宋体" w:cs="Times New Roman"/>
                      <w:b w:val="0"/>
                      <w:bCs/>
                      <w:color w:val="auto"/>
                      <w:sz w:val="21"/>
                      <w:szCs w:val="21"/>
                      <w:highlight w:val="none"/>
                      <w:vertAlign w:val="baseline"/>
                      <w:lang w:val="en-US" w:eastAsia="zh-CN"/>
                    </w:rPr>
                    <w:t>搅拌机清洗废水、运输原材料车辆清洗废水锅炉排污及软化再生废水</w:t>
                  </w:r>
                </w:p>
              </w:tc>
              <w:tc>
                <w:tcPr>
                  <w:tcW w:w="1560" w:type="pct"/>
                  <w:noWrap w:val="0"/>
                  <w:vAlign w:val="center"/>
                </w:tcPr>
                <w:p w14:paraId="30433BF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本项目无搅拌车及破碎机清洗，但由于该两股水与搅拌机清洗水产污完全一致，类比可行</w:t>
                  </w:r>
                </w:p>
              </w:tc>
            </w:tr>
            <w:tr w14:paraId="6DC33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jc w:val="center"/>
              </w:trPr>
              <w:tc>
                <w:tcPr>
                  <w:tcW w:w="406" w:type="pct"/>
                  <w:noWrap w:val="0"/>
                  <w:vAlign w:val="center"/>
                </w:tcPr>
                <w:p w14:paraId="5059251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处理方式</w:t>
                  </w:r>
                </w:p>
              </w:tc>
              <w:tc>
                <w:tcPr>
                  <w:tcW w:w="1472" w:type="pct"/>
                  <w:noWrap w:val="0"/>
                  <w:vAlign w:val="center"/>
                </w:tcPr>
                <w:p w14:paraId="0626348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砂石分离装置+三级沉淀池</w:t>
                  </w:r>
                </w:p>
              </w:tc>
              <w:tc>
                <w:tcPr>
                  <w:tcW w:w="1560" w:type="pct"/>
                  <w:noWrap w:val="0"/>
                  <w:vAlign w:val="center"/>
                </w:tcPr>
                <w:p w14:paraId="509C90E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锅炉排污及软化再生废水先经调节混凝絮凝，再与其他废水一起经三级沉淀池处理</w:t>
                  </w:r>
                </w:p>
              </w:tc>
              <w:tc>
                <w:tcPr>
                  <w:tcW w:w="1560" w:type="pct"/>
                  <w:noWrap w:val="0"/>
                  <w:vAlign w:val="center"/>
                </w:tcPr>
                <w:p w14:paraId="4BD86C3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砂石分离装置仅为分离砂石，不参与废水处理，处理工艺实际为三级沉淀，处理工艺一致，类比可行</w:t>
                  </w:r>
                </w:p>
              </w:tc>
            </w:tr>
          </w:tbl>
          <w:p w14:paraId="4D0FADD3">
            <w:pPr>
              <w:jc w:val="both"/>
              <w:rPr>
                <w:rFonts w:hint="default" w:ascii="Times New Roman" w:hAnsi="Times New Roman" w:eastAsia="宋体" w:cs="Times New Roman"/>
                <w:b/>
                <w:bCs/>
                <w:color w:val="auto"/>
                <w:szCs w:val="21"/>
                <w:highlight w:val="none"/>
                <w:lang w:val="en-US" w:eastAsia="zh-CN"/>
              </w:rPr>
            </w:pPr>
          </w:p>
          <w:p w14:paraId="129E9E93">
            <w:pPr>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lang w:val="en-US" w:eastAsia="zh-CN"/>
              </w:rPr>
              <w:t>表4-15 生产</w:t>
            </w:r>
            <w:r>
              <w:rPr>
                <w:rFonts w:hint="default" w:ascii="Times New Roman" w:hAnsi="Times New Roman" w:eastAsia="宋体" w:cs="Times New Roman"/>
                <w:b/>
                <w:bCs/>
                <w:color w:val="auto"/>
                <w:szCs w:val="21"/>
                <w:highlight w:val="none"/>
              </w:rPr>
              <w:t>废水</w:t>
            </w:r>
            <w:r>
              <w:rPr>
                <w:rFonts w:hint="default" w:ascii="Times New Roman" w:hAnsi="Times New Roman" w:eastAsia="宋体" w:cs="Times New Roman"/>
                <w:b/>
                <w:bCs/>
                <w:color w:val="auto"/>
                <w:szCs w:val="21"/>
                <w:highlight w:val="none"/>
                <w:lang w:eastAsia="zh-CN"/>
              </w:rPr>
              <w:t>经三级沉淀处理后实测浓度</w:t>
            </w:r>
            <w:r>
              <w:rPr>
                <w:rFonts w:hint="default" w:ascii="Times New Roman" w:hAnsi="Times New Roman" w:eastAsia="宋体" w:cs="Times New Roman"/>
                <w:b/>
                <w:bCs/>
                <w:color w:val="auto"/>
                <w:szCs w:val="21"/>
                <w:highlight w:val="none"/>
                <w:lang w:val="en-US" w:eastAsia="zh-CN"/>
              </w:rPr>
              <w:t>检测</w:t>
            </w:r>
            <w:r>
              <w:rPr>
                <w:rFonts w:hint="default" w:ascii="Times New Roman" w:hAnsi="Times New Roman" w:eastAsia="宋体" w:cs="Times New Roman"/>
                <w:b/>
                <w:bCs/>
                <w:color w:val="auto"/>
                <w:szCs w:val="21"/>
                <w:highlight w:val="none"/>
              </w:rPr>
              <w:t>结果</w:t>
            </w:r>
          </w:p>
          <w:tbl>
            <w:tblPr>
              <w:tblStyle w:val="34"/>
              <w:tblW w:w="9156" w:type="dxa"/>
              <w:tblInd w:w="-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1"/>
              <w:gridCol w:w="1490"/>
              <w:gridCol w:w="1440"/>
              <w:gridCol w:w="1115"/>
              <w:gridCol w:w="1345"/>
              <w:gridCol w:w="945"/>
              <w:gridCol w:w="1530"/>
            </w:tblGrid>
            <w:tr w14:paraId="1D198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705" w:type="pct"/>
                  <w:noWrap w:val="0"/>
                  <w:vAlign w:val="center"/>
                </w:tcPr>
                <w:p w14:paraId="7D7690C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val="0"/>
                      <w:color w:val="auto"/>
                      <w:szCs w:val="21"/>
                      <w:highlight w:val="none"/>
                      <w:lang w:val="en-US" w:eastAsia="zh-CN"/>
                    </w:rPr>
                  </w:pPr>
                  <w:r>
                    <w:rPr>
                      <w:rFonts w:hint="default" w:ascii="Times New Roman" w:hAnsi="Times New Roman" w:eastAsia="宋体" w:cs="Times New Roman"/>
                      <w:b/>
                      <w:bCs w:val="0"/>
                      <w:color w:val="auto"/>
                      <w:szCs w:val="21"/>
                      <w:highlight w:val="none"/>
                      <w:lang w:val="en-US" w:eastAsia="zh-CN"/>
                    </w:rPr>
                    <w:t>监测因子</w:t>
                  </w:r>
                </w:p>
              </w:tc>
              <w:tc>
                <w:tcPr>
                  <w:tcW w:w="813" w:type="pct"/>
                  <w:noWrap w:val="0"/>
                  <w:vAlign w:val="center"/>
                </w:tcPr>
                <w:p w14:paraId="2BCEBC2C">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val="0"/>
                      <w:color w:val="auto"/>
                      <w:szCs w:val="21"/>
                      <w:highlight w:val="none"/>
                      <w:lang w:val="en-US" w:eastAsia="zh-CN"/>
                    </w:rPr>
                  </w:pPr>
                  <w:r>
                    <w:rPr>
                      <w:rFonts w:hint="default" w:ascii="Times New Roman" w:hAnsi="Times New Roman" w:eastAsia="宋体" w:cs="Times New Roman"/>
                      <w:b/>
                      <w:bCs w:val="0"/>
                      <w:color w:val="auto"/>
                      <w:szCs w:val="21"/>
                      <w:highlight w:val="none"/>
                      <w:lang w:val="en-US" w:eastAsia="zh-CN"/>
                    </w:rPr>
                    <w:t>7月3日监测平均浓度</w:t>
                  </w:r>
                </w:p>
              </w:tc>
              <w:tc>
                <w:tcPr>
                  <w:tcW w:w="786" w:type="pct"/>
                  <w:noWrap w:val="0"/>
                  <w:vAlign w:val="center"/>
                </w:tcPr>
                <w:p w14:paraId="71A43812">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val="0"/>
                      <w:color w:val="auto"/>
                      <w:szCs w:val="21"/>
                      <w:highlight w:val="none"/>
                      <w:lang w:val="en-US" w:eastAsia="zh-CN"/>
                    </w:rPr>
                  </w:pPr>
                  <w:r>
                    <w:rPr>
                      <w:rFonts w:hint="default" w:ascii="Times New Roman" w:hAnsi="Times New Roman" w:eastAsia="宋体" w:cs="Times New Roman"/>
                      <w:b/>
                      <w:bCs w:val="0"/>
                      <w:color w:val="auto"/>
                      <w:szCs w:val="21"/>
                      <w:highlight w:val="none"/>
                      <w:lang w:val="en-US" w:eastAsia="zh-CN"/>
                    </w:rPr>
                    <w:t>7月4日监平均测浓度</w:t>
                  </w:r>
                </w:p>
              </w:tc>
              <w:tc>
                <w:tcPr>
                  <w:tcW w:w="608" w:type="pct"/>
                  <w:noWrap w:val="0"/>
                  <w:vAlign w:val="center"/>
                </w:tcPr>
                <w:p w14:paraId="48313FA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val="0"/>
                      <w:color w:val="auto"/>
                      <w:szCs w:val="21"/>
                      <w:highlight w:val="none"/>
                      <w:lang w:val="en-US" w:eastAsia="zh-CN"/>
                    </w:rPr>
                  </w:pPr>
                  <w:r>
                    <w:rPr>
                      <w:rFonts w:hint="default" w:ascii="Times New Roman" w:hAnsi="Times New Roman" w:eastAsia="宋体" w:cs="Times New Roman"/>
                      <w:b/>
                      <w:bCs w:val="0"/>
                      <w:color w:val="auto"/>
                      <w:szCs w:val="21"/>
                      <w:highlight w:val="none"/>
                      <w:lang w:val="en-US" w:eastAsia="zh-CN"/>
                    </w:rPr>
                    <w:t>回用水平均浓度</w:t>
                  </w:r>
                </w:p>
              </w:tc>
              <w:tc>
                <w:tcPr>
                  <w:tcW w:w="734" w:type="pct"/>
                  <w:noWrap w:val="0"/>
                  <w:vAlign w:val="center"/>
                </w:tcPr>
                <w:p w14:paraId="4B1D36C7">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val="0"/>
                      <w:color w:val="auto"/>
                      <w:szCs w:val="21"/>
                      <w:highlight w:val="none"/>
                      <w:lang w:val="en-US" w:eastAsia="zh-CN"/>
                    </w:rPr>
                  </w:pPr>
                  <w:r>
                    <w:rPr>
                      <w:rFonts w:hint="default" w:ascii="Times New Roman" w:hAnsi="Times New Roman" w:eastAsia="宋体" w:cs="Times New Roman"/>
                      <w:b/>
                      <w:bCs w:val="0"/>
                      <w:color w:val="auto"/>
                      <w:szCs w:val="21"/>
                      <w:highlight w:val="none"/>
                      <w:lang w:val="en-US" w:eastAsia="zh-CN"/>
                    </w:rPr>
                    <w:t>回用水标准</w:t>
                  </w:r>
                </w:p>
              </w:tc>
              <w:tc>
                <w:tcPr>
                  <w:tcW w:w="516" w:type="pct"/>
                  <w:noWrap w:val="0"/>
                  <w:vAlign w:val="center"/>
                </w:tcPr>
                <w:p w14:paraId="5FDB17CE">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val="0"/>
                      <w:color w:val="auto"/>
                      <w:szCs w:val="21"/>
                      <w:highlight w:val="none"/>
                    </w:rPr>
                  </w:pPr>
                  <w:r>
                    <w:rPr>
                      <w:rFonts w:hint="default" w:ascii="Times New Roman" w:hAnsi="Times New Roman" w:eastAsia="宋体" w:cs="Times New Roman"/>
                      <w:b/>
                      <w:bCs w:val="0"/>
                      <w:color w:val="auto"/>
                      <w:szCs w:val="21"/>
                      <w:highlight w:val="none"/>
                    </w:rPr>
                    <w:t>单位</w:t>
                  </w:r>
                </w:p>
              </w:tc>
              <w:tc>
                <w:tcPr>
                  <w:tcW w:w="835" w:type="pct"/>
                  <w:noWrap w:val="0"/>
                  <w:vAlign w:val="center"/>
                </w:tcPr>
                <w:p w14:paraId="226726D9">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val="0"/>
                      <w:color w:val="auto"/>
                      <w:szCs w:val="21"/>
                      <w:highlight w:val="none"/>
                      <w:lang w:eastAsia="zh-CN"/>
                    </w:rPr>
                  </w:pPr>
                  <w:r>
                    <w:rPr>
                      <w:rFonts w:hint="default" w:ascii="Times New Roman" w:hAnsi="Times New Roman" w:eastAsia="宋体" w:cs="Times New Roman"/>
                      <w:b/>
                      <w:bCs w:val="0"/>
                      <w:color w:val="auto"/>
                      <w:szCs w:val="21"/>
                      <w:highlight w:val="none"/>
                      <w:lang w:eastAsia="zh-CN"/>
                    </w:rPr>
                    <w:t>是否满足回用要求</w:t>
                  </w:r>
                </w:p>
              </w:tc>
            </w:tr>
            <w:tr w14:paraId="7682F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705" w:type="pct"/>
                  <w:noWrap w:val="0"/>
                  <w:vAlign w:val="center"/>
                </w:tcPr>
                <w:p w14:paraId="71F13BFA">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auto"/>
                      <w:szCs w:val="21"/>
                      <w:highlight w:val="none"/>
                    </w:rPr>
                  </w:pPr>
                  <w:r>
                    <w:rPr>
                      <w:rFonts w:hint="default" w:ascii="Times New Roman" w:hAnsi="Times New Roman" w:eastAsia="宋体" w:cs="Times New Roman"/>
                      <w:b w:val="0"/>
                      <w:bCs/>
                      <w:color w:val="auto"/>
                      <w:szCs w:val="21"/>
                      <w:highlight w:val="none"/>
                    </w:rPr>
                    <w:t>pH值</w:t>
                  </w:r>
                </w:p>
              </w:tc>
              <w:tc>
                <w:tcPr>
                  <w:tcW w:w="813" w:type="pct"/>
                  <w:noWrap w:val="0"/>
                  <w:vAlign w:val="center"/>
                </w:tcPr>
                <w:p w14:paraId="2B2D30B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auto"/>
                      <w:szCs w:val="21"/>
                      <w:highlight w:val="none"/>
                      <w:lang w:val="en-US"/>
                    </w:rPr>
                  </w:pPr>
                  <w:r>
                    <w:rPr>
                      <w:rFonts w:hint="default" w:ascii="Times New Roman" w:hAnsi="Times New Roman" w:eastAsia="宋体" w:cs="Times New Roman"/>
                      <w:b w:val="0"/>
                      <w:bCs/>
                      <w:color w:val="auto"/>
                      <w:szCs w:val="21"/>
                      <w:highlight w:val="none"/>
                      <w:lang w:val="en-US" w:eastAsia="zh-CN"/>
                    </w:rPr>
                    <w:t>8</w:t>
                  </w:r>
                </w:p>
              </w:tc>
              <w:tc>
                <w:tcPr>
                  <w:tcW w:w="786" w:type="pct"/>
                  <w:noWrap w:val="0"/>
                  <w:vAlign w:val="center"/>
                </w:tcPr>
                <w:p w14:paraId="6633495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auto"/>
                      <w:szCs w:val="21"/>
                      <w:highlight w:val="none"/>
                      <w:lang w:val="en-US" w:eastAsia="zh-CN"/>
                    </w:rPr>
                  </w:pPr>
                  <w:r>
                    <w:rPr>
                      <w:rFonts w:hint="default" w:ascii="Times New Roman" w:hAnsi="Times New Roman" w:eastAsia="宋体" w:cs="Times New Roman"/>
                      <w:b w:val="0"/>
                      <w:bCs/>
                      <w:color w:val="auto"/>
                      <w:szCs w:val="21"/>
                      <w:highlight w:val="none"/>
                      <w:lang w:val="en-US" w:eastAsia="zh-CN"/>
                    </w:rPr>
                    <w:t>8.03</w:t>
                  </w:r>
                </w:p>
              </w:tc>
              <w:tc>
                <w:tcPr>
                  <w:tcW w:w="608" w:type="pct"/>
                  <w:noWrap w:val="0"/>
                  <w:vAlign w:val="center"/>
                </w:tcPr>
                <w:p w14:paraId="07A8031C">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auto"/>
                      <w:szCs w:val="21"/>
                      <w:highlight w:val="none"/>
                      <w:lang w:val="en-US" w:eastAsia="zh-CN"/>
                    </w:rPr>
                  </w:pPr>
                  <w:r>
                    <w:rPr>
                      <w:rFonts w:hint="default" w:ascii="Times New Roman" w:hAnsi="Times New Roman" w:eastAsia="宋体" w:cs="Times New Roman"/>
                      <w:b w:val="0"/>
                      <w:bCs/>
                      <w:color w:val="auto"/>
                      <w:szCs w:val="21"/>
                      <w:highlight w:val="none"/>
                      <w:lang w:val="en-US" w:eastAsia="zh-CN"/>
                    </w:rPr>
                    <w:t xml:space="preserve">8.02 </w:t>
                  </w:r>
                </w:p>
              </w:tc>
              <w:tc>
                <w:tcPr>
                  <w:tcW w:w="734" w:type="pct"/>
                  <w:noWrap w:val="0"/>
                  <w:vAlign w:val="center"/>
                </w:tcPr>
                <w:p w14:paraId="5C40930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auto"/>
                      <w:szCs w:val="21"/>
                      <w:highlight w:val="none"/>
                      <w:lang w:val="en-US" w:eastAsia="zh-CN"/>
                    </w:rPr>
                  </w:pPr>
                  <w:r>
                    <w:rPr>
                      <w:rFonts w:hint="default" w:ascii="Times New Roman" w:hAnsi="Times New Roman" w:eastAsia="宋体" w:cs="Times New Roman"/>
                      <w:b w:val="0"/>
                      <w:bCs/>
                      <w:color w:val="auto"/>
                      <w:szCs w:val="21"/>
                      <w:highlight w:val="none"/>
                      <w:lang w:eastAsia="zh-CN"/>
                    </w:rPr>
                    <w:t>≥</w:t>
                  </w:r>
                  <w:r>
                    <w:rPr>
                      <w:rFonts w:hint="default" w:ascii="Times New Roman" w:hAnsi="Times New Roman" w:eastAsia="宋体" w:cs="Times New Roman"/>
                      <w:b w:val="0"/>
                      <w:bCs/>
                      <w:color w:val="auto"/>
                      <w:szCs w:val="21"/>
                      <w:highlight w:val="none"/>
                      <w:lang w:val="en-US" w:eastAsia="zh-CN"/>
                    </w:rPr>
                    <w:t>4.5</w:t>
                  </w:r>
                </w:p>
              </w:tc>
              <w:tc>
                <w:tcPr>
                  <w:tcW w:w="516" w:type="pct"/>
                  <w:noWrap w:val="0"/>
                  <w:vAlign w:val="center"/>
                </w:tcPr>
                <w:p w14:paraId="115EC06A">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auto"/>
                      <w:szCs w:val="21"/>
                      <w:highlight w:val="none"/>
                    </w:rPr>
                  </w:pPr>
                  <w:r>
                    <w:rPr>
                      <w:rFonts w:hint="default" w:ascii="Times New Roman" w:hAnsi="Times New Roman" w:eastAsia="宋体" w:cs="Times New Roman"/>
                      <w:b w:val="0"/>
                      <w:bCs/>
                      <w:color w:val="auto"/>
                      <w:szCs w:val="21"/>
                      <w:highlight w:val="none"/>
                    </w:rPr>
                    <w:t>无量纲</w:t>
                  </w:r>
                </w:p>
              </w:tc>
              <w:tc>
                <w:tcPr>
                  <w:tcW w:w="835" w:type="pct"/>
                  <w:noWrap w:val="0"/>
                  <w:vAlign w:val="center"/>
                </w:tcPr>
                <w:p w14:paraId="7D081D0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auto"/>
                      <w:szCs w:val="21"/>
                      <w:highlight w:val="none"/>
                      <w:lang w:eastAsia="zh-CN"/>
                    </w:rPr>
                  </w:pPr>
                  <w:r>
                    <w:rPr>
                      <w:rFonts w:hint="default" w:ascii="Times New Roman" w:hAnsi="Times New Roman" w:eastAsia="宋体" w:cs="Times New Roman"/>
                      <w:b w:val="0"/>
                      <w:bCs/>
                      <w:color w:val="auto"/>
                      <w:szCs w:val="21"/>
                      <w:highlight w:val="none"/>
                      <w:lang w:eastAsia="zh-CN"/>
                    </w:rPr>
                    <w:t>是</w:t>
                  </w:r>
                </w:p>
              </w:tc>
            </w:tr>
            <w:tr w14:paraId="24A3F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705" w:type="pct"/>
                  <w:noWrap w:val="0"/>
                  <w:vAlign w:val="center"/>
                </w:tcPr>
                <w:p w14:paraId="51A32B8E">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auto"/>
                      <w:szCs w:val="21"/>
                      <w:highlight w:val="none"/>
                    </w:rPr>
                  </w:pPr>
                  <w:r>
                    <w:rPr>
                      <w:rFonts w:hint="default" w:ascii="Times New Roman" w:hAnsi="Times New Roman" w:cs="Times New Roman"/>
                      <w:b w:val="0"/>
                      <w:bCs/>
                      <w:color w:val="auto"/>
                      <w:szCs w:val="21"/>
                      <w:highlight w:val="none"/>
                    </w:rPr>
                    <w:t>不溶物</w:t>
                  </w:r>
                </w:p>
              </w:tc>
              <w:tc>
                <w:tcPr>
                  <w:tcW w:w="813" w:type="pct"/>
                  <w:noWrap w:val="0"/>
                  <w:vAlign w:val="center"/>
                </w:tcPr>
                <w:p w14:paraId="4927280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auto"/>
                      <w:szCs w:val="21"/>
                      <w:highlight w:val="none"/>
                      <w:lang w:val="en-US" w:eastAsia="zh-CN"/>
                    </w:rPr>
                  </w:pPr>
                  <w:r>
                    <w:rPr>
                      <w:rFonts w:hint="default" w:ascii="Times New Roman" w:hAnsi="Times New Roman" w:eastAsia="宋体" w:cs="Times New Roman"/>
                      <w:b w:val="0"/>
                      <w:bCs/>
                      <w:color w:val="auto"/>
                      <w:szCs w:val="21"/>
                      <w:highlight w:val="none"/>
                      <w:lang w:val="en-US" w:eastAsia="zh-CN"/>
                    </w:rPr>
                    <w:t>18.25</w:t>
                  </w:r>
                </w:p>
              </w:tc>
              <w:tc>
                <w:tcPr>
                  <w:tcW w:w="786" w:type="pct"/>
                  <w:noWrap w:val="0"/>
                  <w:vAlign w:val="center"/>
                </w:tcPr>
                <w:p w14:paraId="28D77E27">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auto"/>
                      <w:szCs w:val="21"/>
                      <w:highlight w:val="none"/>
                      <w:lang w:val="en-US" w:eastAsia="zh-CN"/>
                    </w:rPr>
                  </w:pPr>
                  <w:r>
                    <w:rPr>
                      <w:rFonts w:hint="default" w:ascii="Times New Roman" w:hAnsi="Times New Roman" w:eastAsia="宋体" w:cs="Times New Roman"/>
                      <w:b w:val="0"/>
                      <w:bCs/>
                      <w:color w:val="auto"/>
                      <w:szCs w:val="21"/>
                      <w:highlight w:val="none"/>
                      <w:lang w:val="en-US" w:eastAsia="zh-CN"/>
                    </w:rPr>
                    <w:t>18.5</w:t>
                  </w:r>
                </w:p>
              </w:tc>
              <w:tc>
                <w:tcPr>
                  <w:tcW w:w="608" w:type="pct"/>
                  <w:noWrap w:val="0"/>
                  <w:vAlign w:val="center"/>
                </w:tcPr>
                <w:p w14:paraId="3821F325">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auto"/>
                      <w:szCs w:val="21"/>
                      <w:highlight w:val="none"/>
                      <w:lang w:eastAsia="zh-CN"/>
                    </w:rPr>
                  </w:pPr>
                  <w:r>
                    <w:rPr>
                      <w:rFonts w:hint="default" w:ascii="Times New Roman" w:hAnsi="Times New Roman" w:eastAsia="宋体" w:cs="Times New Roman"/>
                      <w:b w:val="0"/>
                      <w:bCs/>
                      <w:color w:val="auto"/>
                      <w:szCs w:val="21"/>
                      <w:highlight w:val="none"/>
                      <w:lang w:val="en-US" w:eastAsia="zh-CN"/>
                    </w:rPr>
                    <w:t xml:space="preserve">18.38 </w:t>
                  </w:r>
                </w:p>
              </w:tc>
              <w:tc>
                <w:tcPr>
                  <w:tcW w:w="734" w:type="pct"/>
                  <w:noWrap w:val="0"/>
                  <w:vAlign w:val="center"/>
                </w:tcPr>
                <w:p w14:paraId="4664DDF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auto"/>
                      <w:szCs w:val="21"/>
                      <w:highlight w:val="none"/>
                      <w:lang w:val="en-US" w:eastAsia="zh-CN"/>
                    </w:rPr>
                  </w:pPr>
                  <w:r>
                    <w:rPr>
                      <w:rFonts w:hint="default" w:ascii="Times New Roman" w:hAnsi="Times New Roman" w:cs="Times New Roman"/>
                      <w:color w:val="auto"/>
                      <w:sz w:val="21"/>
                      <w:szCs w:val="21"/>
                      <w:highlight w:val="none"/>
                    </w:rPr>
                    <w:t>≤</w:t>
                  </w:r>
                  <w:r>
                    <w:rPr>
                      <w:rFonts w:hint="default"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rPr>
                    <w:t>000</w:t>
                  </w:r>
                </w:p>
              </w:tc>
              <w:tc>
                <w:tcPr>
                  <w:tcW w:w="516" w:type="pct"/>
                  <w:noWrap w:val="0"/>
                  <w:vAlign w:val="center"/>
                </w:tcPr>
                <w:p w14:paraId="122A882A">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auto"/>
                      <w:szCs w:val="21"/>
                      <w:highlight w:val="none"/>
                    </w:rPr>
                  </w:pPr>
                  <w:r>
                    <w:rPr>
                      <w:rFonts w:hint="default" w:ascii="Times New Roman" w:hAnsi="Times New Roman" w:eastAsia="宋体" w:cs="Times New Roman"/>
                      <w:b w:val="0"/>
                      <w:bCs/>
                      <w:color w:val="auto"/>
                      <w:szCs w:val="21"/>
                      <w:highlight w:val="none"/>
                    </w:rPr>
                    <w:t>mg/L</w:t>
                  </w:r>
                </w:p>
              </w:tc>
              <w:tc>
                <w:tcPr>
                  <w:tcW w:w="835" w:type="pct"/>
                  <w:noWrap w:val="0"/>
                  <w:vAlign w:val="center"/>
                </w:tcPr>
                <w:p w14:paraId="59E4394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auto"/>
                      <w:szCs w:val="21"/>
                      <w:highlight w:val="none"/>
                    </w:rPr>
                  </w:pPr>
                  <w:r>
                    <w:rPr>
                      <w:rFonts w:hint="default" w:ascii="Times New Roman" w:hAnsi="Times New Roman" w:eastAsia="宋体" w:cs="Times New Roman"/>
                      <w:b w:val="0"/>
                      <w:bCs/>
                      <w:color w:val="auto"/>
                      <w:szCs w:val="21"/>
                      <w:highlight w:val="none"/>
                      <w:lang w:eastAsia="zh-CN"/>
                    </w:rPr>
                    <w:t>是</w:t>
                  </w:r>
                </w:p>
              </w:tc>
            </w:tr>
            <w:tr w14:paraId="2B432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705" w:type="pct"/>
                  <w:noWrap w:val="0"/>
                  <w:vAlign w:val="center"/>
                </w:tcPr>
                <w:p w14:paraId="685EF552">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auto"/>
                      <w:szCs w:val="21"/>
                      <w:highlight w:val="none"/>
                    </w:rPr>
                  </w:pPr>
                  <w:r>
                    <w:rPr>
                      <w:rFonts w:hint="default" w:ascii="Times New Roman" w:hAnsi="Times New Roman" w:cs="Times New Roman"/>
                      <w:b w:val="0"/>
                      <w:bCs/>
                      <w:color w:val="auto"/>
                      <w:szCs w:val="21"/>
                      <w:highlight w:val="none"/>
                    </w:rPr>
                    <w:t>Cl</w:t>
                  </w:r>
                  <w:r>
                    <w:rPr>
                      <w:rFonts w:hint="default" w:ascii="Times New Roman" w:hAnsi="Times New Roman" w:cs="Times New Roman"/>
                      <w:b w:val="0"/>
                      <w:bCs/>
                      <w:color w:val="auto"/>
                      <w:sz w:val="24"/>
                      <w:highlight w:val="none"/>
                      <w:vertAlign w:val="superscript"/>
                    </w:rPr>
                    <w:t>-</w:t>
                  </w:r>
                </w:p>
              </w:tc>
              <w:tc>
                <w:tcPr>
                  <w:tcW w:w="813" w:type="pct"/>
                  <w:noWrap w:val="0"/>
                  <w:vAlign w:val="center"/>
                </w:tcPr>
                <w:p w14:paraId="661CB99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auto"/>
                      <w:szCs w:val="21"/>
                      <w:highlight w:val="none"/>
                      <w:lang w:val="en-US" w:eastAsia="zh-CN"/>
                    </w:rPr>
                  </w:pPr>
                  <w:r>
                    <w:rPr>
                      <w:rFonts w:hint="default" w:ascii="Times New Roman" w:hAnsi="Times New Roman" w:eastAsia="宋体" w:cs="Times New Roman"/>
                      <w:b w:val="0"/>
                      <w:bCs/>
                      <w:color w:val="auto"/>
                      <w:szCs w:val="21"/>
                      <w:highlight w:val="none"/>
                      <w:lang w:val="en-US" w:eastAsia="zh-CN"/>
                    </w:rPr>
                    <w:t>10.27</w:t>
                  </w:r>
                </w:p>
              </w:tc>
              <w:tc>
                <w:tcPr>
                  <w:tcW w:w="786" w:type="pct"/>
                  <w:noWrap w:val="0"/>
                  <w:vAlign w:val="center"/>
                </w:tcPr>
                <w:p w14:paraId="6F29D0C9">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auto"/>
                      <w:szCs w:val="21"/>
                      <w:highlight w:val="none"/>
                      <w:lang w:eastAsia="zh-CN"/>
                    </w:rPr>
                  </w:pPr>
                  <w:r>
                    <w:rPr>
                      <w:rFonts w:hint="default" w:ascii="Times New Roman" w:hAnsi="Times New Roman" w:eastAsia="宋体" w:cs="Times New Roman"/>
                      <w:b w:val="0"/>
                      <w:bCs/>
                      <w:color w:val="auto"/>
                      <w:szCs w:val="21"/>
                      <w:highlight w:val="none"/>
                      <w:lang w:val="en-US" w:eastAsia="zh-CN"/>
                    </w:rPr>
                    <w:t>10.17</w:t>
                  </w:r>
                </w:p>
              </w:tc>
              <w:tc>
                <w:tcPr>
                  <w:tcW w:w="608" w:type="pct"/>
                  <w:noWrap w:val="0"/>
                  <w:vAlign w:val="center"/>
                </w:tcPr>
                <w:p w14:paraId="29889AD9">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auto"/>
                      <w:szCs w:val="21"/>
                      <w:highlight w:val="none"/>
                      <w:lang w:eastAsia="zh-CN"/>
                    </w:rPr>
                  </w:pPr>
                  <w:r>
                    <w:rPr>
                      <w:rFonts w:hint="default" w:ascii="Times New Roman" w:hAnsi="Times New Roman" w:eastAsia="宋体" w:cs="Times New Roman"/>
                      <w:b w:val="0"/>
                      <w:bCs/>
                      <w:color w:val="auto"/>
                      <w:szCs w:val="21"/>
                      <w:highlight w:val="none"/>
                      <w:lang w:val="en-US" w:eastAsia="zh-CN"/>
                    </w:rPr>
                    <w:t xml:space="preserve">10.22 </w:t>
                  </w:r>
                </w:p>
              </w:tc>
              <w:tc>
                <w:tcPr>
                  <w:tcW w:w="734" w:type="pct"/>
                  <w:noWrap w:val="0"/>
                  <w:vAlign w:val="center"/>
                </w:tcPr>
                <w:p w14:paraId="5D78317B">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auto"/>
                      <w:szCs w:val="21"/>
                      <w:highlight w:val="none"/>
                    </w:rPr>
                  </w:pPr>
                  <w:r>
                    <w:rPr>
                      <w:rFonts w:hint="default" w:ascii="Times New Roman" w:hAnsi="Times New Roman" w:eastAsia="宋体" w:cs="Times New Roman"/>
                      <w:b w:val="0"/>
                      <w:bCs/>
                      <w:color w:val="auto"/>
                      <w:szCs w:val="21"/>
                      <w:highlight w:val="none"/>
                      <w:lang w:eastAsia="zh-CN"/>
                    </w:rPr>
                    <w:t>≤</w:t>
                  </w:r>
                  <w:r>
                    <w:rPr>
                      <w:rFonts w:hint="default" w:ascii="Times New Roman" w:hAnsi="Times New Roman" w:eastAsia="宋体" w:cs="Times New Roman"/>
                      <w:b w:val="0"/>
                      <w:bCs/>
                      <w:color w:val="auto"/>
                      <w:szCs w:val="21"/>
                      <w:highlight w:val="none"/>
                      <w:lang w:val="en-US" w:eastAsia="zh-CN"/>
                    </w:rPr>
                    <w:t>1000</w:t>
                  </w:r>
                </w:p>
              </w:tc>
              <w:tc>
                <w:tcPr>
                  <w:tcW w:w="516" w:type="pct"/>
                  <w:noWrap w:val="0"/>
                  <w:vAlign w:val="center"/>
                </w:tcPr>
                <w:p w14:paraId="13B22ABB">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auto"/>
                      <w:szCs w:val="21"/>
                      <w:highlight w:val="none"/>
                    </w:rPr>
                  </w:pPr>
                  <w:r>
                    <w:rPr>
                      <w:rFonts w:hint="default" w:ascii="Times New Roman" w:hAnsi="Times New Roman" w:eastAsia="宋体" w:cs="Times New Roman"/>
                      <w:b w:val="0"/>
                      <w:bCs/>
                      <w:color w:val="auto"/>
                      <w:szCs w:val="21"/>
                      <w:highlight w:val="none"/>
                    </w:rPr>
                    <w:t>mg/L</w:t>
                  </w:r>
                </w:p>
              </w:tc>
              <w:tc>
                <w:tcPr>
                  <w:tcW w:w="835" w:type="pct"/>
                  <w:noWrap w:val="0"/>
                  <w:vAlign w:val="center"/>
                </w:tcPr>
                <w:p w14:paraId="60FB390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auto"/>
                      <w:szCs w:val="21"/>
                      <w:highlight w:val="none"/>
                    </w:rPr>
                  </w:pPr>
                  <w:r>
                    <w:rPr>
                      <w:rFonts w:hint="default" w:ascii="Times New Roman" w:hAnsi="Times New Roman" w:eastAsia="宋体" w:cs="Times New Roman"/>
                      <w:b w:val="0"/>
                      <w:bCs/>
                      <w:color w:val="auto"/>
                      <w:szCs w:val="21"/>
                      <w:highlight w:val="none"/>
                      <w:lang w:eastAsia="zh-CN"/>
                    </w:rPr>
                    <w:t>是</w:t>
                  </w:r>
                </w:p>
              </w:tc>
            </w:tr>
            <w:tr w14:paraId="15DCC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705" w:type="pct"/>
                  <w:noWrap w:val="0"/>
                  <w:vAlign w:val="center"/>
                </w:tcPr>
                <w:p w14:paraId="06DEECEE">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auto"/>
                      <w:szCs w:val="21"/>
                      <w:highlight w:val="none"/>
                    </w:rPr>
                  </w:pPr>
                  <w:r>
                    <w:rPr>
                      <w:rFonts w:hint="default" w:ascii="Times New Roman" w:hAnsi="Times New Roman" w:cs="Times New Roman"/>
                      <w:b w:val="0"/>
                      <w:bCs/>
                      <w:color w:val="auto"/>
                      <w:szCs w:val="21"/>
                      <w:highlight w:val="none"/>
                    </w:rPr>
                    <w:t>SO</w:t>
                  </w:r>
                  <w:r>
                    <w:rPr>
                      <w:rFonts w:hint="default" w:ascii="Times New Roman" w:hAnsi="Times New Roman" w:cs="Times New Roman"/>
                      <w:b w:val="0"/>
                      <w:bCs/>
                      <w:color w:val="auto"/>
                      <w:szCs w:val="21"/>
                      <w:highlight w:val="none"/>
                      <w:vertAlign w:val="subscript"/>
                    </w:rPr>
                    <w:t>4</w:t>
                  </w:r>
                  <w:r>
                    <w:rPr>
                      <w:rFonts w:hint="default" w:ascii="Times New Roman" w:hAnsi="Times New Roman" w:cs="Times New Roman"/>
                      <w:b w:val="0"/>
                      <w:bCs/>
                      <w:color w:val="auto"/>
                      <w:szCs w:val="21"/>
                      <w:highlight w:val="none"/>
                      <w:vertAlign w:val="superscript"/>
                    </w:rPr>
                    <w:t>2-</w:t>
                  </w:r>
                </w:p>
              </w:tc>
              <w:tc>
                <w:tcPr>
                  <w:tcW w:w="813" w:type="pct"/>
                  <w:noWrap w:val="0"/>
                  <w:vAlign w:val="center"/>
                </w:tcPr>
                <w:p w14:paraId="086978FD">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auto"/>
                      <w:szCs w:val="21"/>
                      <w:highlight w:val="none"/>
                      <w:lang w:val="en-US" w:eastAsia="zh-CN"/>
                    </w:rPr>
                  </w:pPr>
                  <w:r>
                    <w:rPr>
                      <w:rFonts w:hint="default" w:ascii="Times New Roman" w:hAnsi="Times New Roman" w:eastAsia="宋体" w:cs="Times New Roman"/>
                      <w:b w:val="0"/>
                      <w:bCs/>
                      <w:color w:val="auto"/>
                      <w:szCs w:val="21"/>
                      <w:highlight w:val="none"/>
                      <w:lang w:val="en-US" w:eastAsia="zh-CN"/>
                    </w:rPr>
                    <w:t>32.43</w:t>
                  </w:r>
                </w:p>
              </w:tc>
              <w:tc>
                <w:tcPr>
                  <w:tcW w:w="786" w:type="pct"/>
                  <w:noWrap w:val="0"/>
                  <w:vAlign w:val="center"/>
                </w:tcPr>
                <w:p w14:paraId="3009D20F">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auto"/>
                      <w:szCs w:val="21"/>
                      <w:highlight w:val="none"/>
                      <w:lang w:val="en-US" w:eastAsia="zh-CN"/>
                    </w:rPr>
                  </w:pPr>
                  <w:r>
                    <w:rPr>
                      <w:rFonts w:hint="default" w:ascii="Times New Roman" w:hAnsi="Times New Roman" w:eastAsia="宋体" w:cs="Times New Roman"/>
                      <w:b w:val="0"/>
                      <w:bCs/>
                      <w:color w:val="auto"/>
                      <w:szCs w:val="21"/>
                      <w:highlight w:val="none"/>
                      <w:lang w:val="en-US" w:eastAsia="zh-CN"/>
                    </w:rPr>
                    <w:t>34.33</w:t>
                  </w:r>
                </w:p>
              </w:tc>
              <w:tc>
                <w:tcPr>
                  <w:tcW w:w="608" w:type="pct"/>
                  <w:noWrap w:val="0"/>
                  <w:vAlign w:val="center"/>
                </w:tcPr>
                <w:p w14:paraId="47A806F9">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auto"/>
                      <w:szCs w:val="21"/>
                      <w:highlight w:val="none"/>
                      <w:lang w:eastAsia="zh-CN"/>
                    </w:rPr>
                  </w:pPr>
                  <w:r>
                    <w:rPr>
                      <w:rFonts w:hint="default" w:ascii="Times New Roman" w:hAnsi="Times New Roman" w:eastAsia="宋体" w:cs="Times New Roman"/>
                      <w:b w:val="0"/>
                      <w:bCs/>
                      <w:color w:val="auto"/>
                      <w:szCs w:val="21"/>
                      <w:highlight w:val="none"/>
                      <w:lang w:val="en-US" w:eastAsia="zh-CN"/>
                    </w:rPr>
                    <w:t xml:space="preserve">33.38 </w:t>
                  </w:r>
                </w:p>
              </w:tc>
              <w:tc>
                <w:tcPr>
                  <w:tcW w:w="734" w:type="pct"/>
                  <w:noWrap w:val="0"/>
                  <w:vAlign w:val="center"/>
                </w:tcPr>
                <w:p w14:paraId="6F33C5AC">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auto"/>
                      <w:szCs w:val="21"/>
                      <w:highlight w:val="none"/>
                    </w:rPr>
                  </w:pPr>
                  <w:r>
                    <w:rPr>
                      <w:rFonts w:hint="default" w:ascii="Times New Roman" w:hAnsi="Times New Roman" w:eastAsia="宋体" w:cs="Times New Roman"/>
                      <w:b w:val="0"/>
                      <w:bCs/>
                      <w:color w:val="auto"/>
                      <w:szCs w:val="21"/>
                      <w:highlight w:val="none"/>
                      <w:lang w:eastAsia="zh-CN"/>
                    </w:rPr>
                    <w:t>≤</w:t>
                  </w:r>
                  <w:r>
                    <w:rPr>
                      <w:rFonts w:hint="default" w:ascii="Times New Roman" w:hAnsi="Times New Roman" w:eastAsia="宋体" w:cs="Times New Roman"/>
                      <w:b w:val="0"/>
                      <w:bCs/>
                      <w:color w:val="auto"/>
                      <w:szCs w:val="21"/>
                      <w:highlight w:val="none"/>
                      <w:lang w:val="en-US" w:eastAsia="zh-CN"/>
                    </w:rPr>
                    <w:t>2000</w:t>
                  </w:r>
                </w:p>
              </w:tc>
              <w:tc>
                <w:tcPr>
                  <w:tcW w:w="516" w:type="pct"/>
                  <w:noWrap w:val="0"/>
                  <w:vAlign w:val="center"/>
                </w:tcPr>
                <w:p w14:paraId="40875D29">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auto"/>
                      <w:szCs w:val="21"/>
                      <w:highlight w:val="none"/>
                    </w:rPr>
                  </w:pPr>
                  <w:r>
                    <w:rPr>
                      <w:rFonts w:hint="default" w:ascii="Times New Roman" w:hAnsi="Times New Roman" w:eastAsia="宋体" w:cs="Times New Roman"/>
                      <w:b w:val="0"/>
                      <w:bCs/>
                      <w:color w:val="auto"/>
                      <w:szCs w:val="21"/>
                      <w:highlight w:val="none"/>
                    </w:rPr>
                    <w:t>mg/L</w:t>
                  </w:r>
                </w:p>
              </w:tc>
              <w:tc>
                <w:tcPr>
                  <w:tcW w:w="835" w:type="pct"/>
                  <w:noWrap w:val="0"/>
                  <w:vAlign w:val="center"/>
                </w:tcPr>
                <w:p w14:paraId="2EF8796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auto"/>
                      <w:szCs w:val="21"/>
                      <w:highlight w:val="none"/>
                    </w:rPr>
                  </w:pPr>
                  <w:r>
                    <w:rPr>
                      <w:rFonts w:hint="default" w:ascii="Times New Roman" w:hAnsi="Times New Roman" w:eastAsia="宋体" w:cs="Times New Roman"/>
                      <w:b w:val="0"/>
                      <w:bCs/>
                      <w:color w:val="auto"/>
                      <w:szCs w:val="21"/>
                      <w:highlight w:val="none"/>
                      <w:lang w:eastAsia="zh-CN"/>
                    </w:rPr>
                    <w:t>是</w:t>
                  </w:r>
                </w:p>
              </w:tc>
            </w:tr>
            <w:tr w14:paraId="78627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705" w:type="pct"/>
                  <w:noWrap w:val="0"/>
                  <w:vAlign w:val="center"/>
                </w:tcPr>
                <w:p w14:paraId="3A62E37B">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auto"/>
                      <w:szCs w:val="21"/>
                      <w:highlight w:val="none"/>
                      <w:lang w:eastAsia="zh-CN"/>
                    </w:rPr>
                  </w:pPr>
                  <w:r>
                    <w:rPr>
                      <w:rFonts w:hint="default" w:ascii="Times New Roman" w:hAnsi="Times New Roman" w:cs="Times New Roman"/>
                      <w:b w:val="0"/>
                      <w:bCs/>
                      <w:color w:val="auto"/>
                      <w:szCs w:val="21"/>
                      <w:highlight w:val="none"/>
                    </w:rPr>
                    <w:t>可溶物</w:t>
                  </w:r>
                </w:p>
              </w:tc>
              <w:tc>
                <w:tcPr>
                  <w:tcW w:w="813" w:type="pct"/>
                  <w:noWrap w:val="0"/>
                  <w:vAlign w:val="center"/>
                </w:tcPr>
                <w:p w14:paraId="5AED594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auto"/>
                      <w:szCs w:val="21"/>
                      <w:highlight w:val="none"/>
                      <w:lang w:val="en-US" w:eastAsia="zh-CN"/>
                    </w:rPr>
                  </w:pPr>
                  <w:r>
                    <w:rPr>
                      <w:rFonts w:hint="default" w:ascii="Times New Roman" w:hAnsi="Times New Roman" w:eastAsia="宋体" w:cs="Times New Roman"/>
                      <w:b w:val="0"/>
                      <w:bCs/>
                      <w:color w:val="auto"/>
                      <w:szCs w:val="21"/>
                      <w:highlight w:val="none"/>
                      <w:lang w:val="en-US" w:eastAsia="zh-CN"/>
                    </w:rPr>
                    <w:t>373.75</w:t>
                  </w:r>
                </w:p>
              </w:tc>
              <w:tc>
                <w:tcPr>
                  <w:tcW w:w="786" w:type="pct"/>
                  <w:noWrap w:val="0"/>
                  <w:vAlign w:val="center"/>
                </w:tcPr>
                <w:p w14:paraId="47B7265A">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auto"/>
                      <w:szCs w:val="21"/>
                      <w:highlight w:val="none"/>
                      <w:lang w:val="en-US" w:eastAsia="zh-CN"/>
                    </w:rPr>
                  </w:pPr>
                  <w:r>
                    <w:rPr>
                      <w:rFonts w:hint="default" w:ascii="Times New Roman" w:hAnsi="Times New Roman" w:eastAsia="宋体" w:cs="Times New Roman"/>
                      <w:b w:val="0"/>
                      <w:bCs/>
                      <w:color w:val="auto"/>
                      <w:szCs w:val="21"/>
                      <w:highlight w:val="none"/>
                      <w:lang w:val="en-US" w:eastAsia="zh-CN"/>
                    </w:rPr>
                    <w:t>381.50</w:t>
                  </w:r>
                </w:p>
              </w:tc>
              <w:tc>
                <w:tcPr>
                  <w:tcW w:w="608" w:type="pct"/>
                  <w:noWrap w:val="0"/>
                  <w:vAlign w:val="center"/>
                </w:tcPr>
                <w:p w14:paraId="4697D71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auto"/>
                      <w:szCs w:val="21"/>
                      <w:highlight w:val="none"/>
                      <w:lang w:eastAsia="zh-CN"/>
                    </w:rPr>
                  </w:pPr>
                  <w:r>
                    <w:rPr>
                      <w:rFonts w:hint="default" w:ascii="Times New Roman" w:hAnsi="Times New Roman" w:eastAsia="宋体" w:cs="Times New Roman"/>
                      <w:b w:val="0"/>
                      <w:bCs/>
                      <w:color w:val="auto"/>
                      <w:szCs w:val="21"/>
                      <w:highlight w:val="none"/>
                      <w:lang w:val="en-US" w:eastAsia="zh-CN"/>
                    </w:rPr>
                    <w:t xml:space="preserve">377.63 </w:t>
                  </w:r>
                </w:p>
              </w:tc>
              <w:tc>
                <w:tcPr>
                  <w:tcW w:w="734" w:type="pct"/>
                  <w:noWrap w:val="0"/>
                  <w:vAlign w:val="center"/>
                </w:tcPr>
                <w:p w14:paraId="2E67EDBE">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auto"/>
                      <w:szCs w:val="21"/>
                      <w:highlight w:val="none"/>
                    </w:rPr>
                  </w:pPr>
                  <w:r>
                    <w:rPr>
                      <w:rFonts w:hint="default" w:ascii="Times New Roman" w:hAnsi="Times New Roman" w:eastAsia="宋体" w:cs="Times New Roman"/>
                      <w:b w:val="0"/>
                      <w:bCs/>
                      <w:color w:val="auto"/>
                      <w:szCs w:val="21"/>
                      <w:highlight w:val="none"/>
                      <w:lang w:eastAsia="zh-CN"/>
                    </w:rPr>
                    <w:t>≤</w:t>
                  </w:r>
                  <w:r>
                    <w:rPr>
                      <w:rFonts w:hint="default" w:ascii="Times New Roman" w:hAnsi="Times New Roman" w:eastAsia="宋体" w:cs="Times New Roman"/>
                      <w:b w:val="0"/>
                      <w:bCs/>
                      <w:color w:val="auto"/>
                      <w:szCs w:val="21"/>
                      <w:highlight w:val="none"/>
                      <w:lang w:val="en-US" w:eastAsia="zh-CN"/>
                    </w:rPr>
                    <w:t>5000</w:t>
                  </w:r>
                </w:p>
              </w:tc>
              <w:tc>
                <w:tcPr>
                  <w:tcW w:w="516" w:type="pct"/>
                  <w:noWrap w:val="0"/>
                  <w:vAlign w:val="center"/>
                </w:tcPr>
                <w:p w14:paraId="15F8298C">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auto"/>
                      <w:szCs w:val="21"/>
                      <w:highlight w:val="none"/>
                    </w:rPr>
                  </w:pPr>
                  <w:r>
                    <w:rPr>
                      <w:rFonts w:hint="default" w:ascii="Times New Roman" w:hAnsi="Times New Roman" w:eastAsia="宋体" w:cs="Times New Roman"/>
                      <w:b w:val="0"/>
                      <w:bCs/>
                      <w:color w:val="auto"/>
                      <w:szCs w:val="21"/>
                      <w:highlight w:val="none"/>
                    </w:rPr>
                    <w:t>mg/L</w:t>
                  </w:r>
                </w:p>
              </w:tc>
              <w:tc>
                <w:tcPr>
                  <w:tcW w:w="835" w:type="pct"/>
                  <w:noWrap w:val="0"/>
                  <w:vAlign w:val="center"/>
                </w:tcPr>
                <w:p w14:paraId="243D262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auto"/>
                      <w:szCs w:val="21"/>
                      <w:highlight w:val="none"/>
                    </w:rPr>
                  </w:pPr>
                  <w:r>
                    <w:rPr>
                      <w:rFonts w:hint="default" w:ascii="Times New Roman" w:hAnsi="Times New Roman" w:eastAsia="宋体" w:cs="Times New Roman"/>
                      <w:b w:val="0"/>
                      <w:bCs/>
                      <w:color w:val="auto"/>
                      <w:szCs w:val="21"/>
                      <w:highlight w:val="none"/>
                      <w:lang w:eastAsia="zh-CN"/>
                    </w:rPr>
                    <w:t>是</w:t>
                  </w:r>
                </w:p>
              </w:tc>
            </w:tr>
          </w:tbl>
          <w:p w14:paraId="195DA369">
            <w:pPr>
              <w:pStyle w:val="61"/>
              <w:keepNext w:val="0"/>
              <w:keepLines w:val="0"/>
              <w:pageBreakBefore w:val="0"/>
              <w:widowControl w:val="0"/>
              <w:kinsoku/>
              <w:wordWrap/>
              <w:overflowPunct/>
              <w:topLinePunct w:val="0"/>
              <w:autoSpaceDE w:val="0"/>
              <w:autoSpaceDN w:val="0"/>
              <w:bidi w:val="0"/>
              <w:adjustRightInd w:val="0"/>
              <w:snapToGrid w:val="0"/>
              <w:spacing w:before="0" w:line="360" w:lineRule="auto"/>
              <w:ind w:left="0" w:right="0" w:firstLine="480" w:firstLineChars="200"/>
              <w:textAlignment w:val="auto"/>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根据上表分析，项目生产废水经三级沉淀池处理后均能达到《混凝土用水标准》（JGJ 63-2006）中钢筋混凝土拌合用水水质要求，且根据业主提供的信息，养护用水水质与混凝土用水水质要求相同，故经处理后的水完全可满足养护用水水质要求，且根据《排污许可证申请与核发技术规范 水泥工业（HJ 847-2017）》中附录C，本项目生产废水的“三级沉淀”的废水防治工艺为可行技术。</w:t>
            </w:r>
          </w:p>
          <w:p w14:paraId="342BD8AD">
            <w:pPr>
              <w:keepNext w:val="0"/>
              <w:keepLines w:val="0"/>
              <w:pageBreakBefore w:val="0"/>
              <w:widowControl w:val="0"/>
              <w:kinsoku/>
              <w:wordWrap/>
              <w:overflowPunct/>
              <w:topLinePunct w:val="0"/>
              <w:bidi w:val="0"/>
              <w:adjustRightInd w:val="0"/>
              <w:snapToGrid w:val="0"/>
              <w:spacing w:line="360" w:lineRule="auto"/>
              <w:ind w:left="0" w:right="0" w:firstLine="480" w:firstLineChars="200"/>
              <w:textAlignment w:val="auto"/>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2.3.2初期雨水</w:t>
            </w:r>
          </w:p>
          <w:p w14:paraId="7162768C">
            <w:pPr>
              <w:pStyle w:val="43"/>
              <w:keepNext w:val="0"/>
              <w:keepLines w:val="0"/>
              <w:pageBreakBefore w:val="0"/>
              <w:widowControl w:val="0"/>
              <w:kinsoku/>
              <w:wordWrap/>
              <w:overflowPunct/>
              <w:topLinePunct w:val="0"/>
              <w:bidi w:val="0"/>
              <w:adjustRightInd w:val="0"/>
              <w:snapToGrid w:val="0"/>
              <w:spacing w:line="360" w:lineRule="auto"/>
              <w:ind w:firstLine="480" w:firstLineChars="200"/>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highlight w:val="none"/>
                <w:lang w:val="en-US" w:eastAsia="zh-CN"/>
              </w:rPr>
              <w:t>由前文分析可知</w:t>
            </w:r>
            <w:r>
              <w:rPr>
                <w:rFonts w:hint="default" w:ascii="Times New Roman" w:hAnsi="Times New Roman" w:cs="Times New Roman"/>
                <w:color w:val="auto"/>
                <w:highlight w:val="none"/>
                <w:lang w:val="en-US" w:eastAsia="zh-CN"/>
              </w:rPr>
              <w:t>，本项目初期雨水暴雨一次最大初期雨水收集量为</w:t>
            </w:r>
            <w:r>
              <w:rPr>
                <w:rFonts w:hint="default" w:ascii="Times New Roman" w:hAnsi="Times New Roman" w:cs="Times New Roman"/>
                <w:color w:val="auto"/>
                <w:kern w:val="2"/>
                <w:sz w:val="24"/>
                <w:szCs w:val="24"/>
                <w:highlight w:val="none"/>
                <w:lang w:val="en-US" w:eastAsia="zh-CN" w:bidi="ar-SA"/>
              </w:rPr>
              <w:t>994.332m</w:t>
            </w:r>
            <w:r>
              <w:rPr>
                <w:rFonts w:hint="default" w:ascii="Times New Roman" w:hAnsi="Times New Roman" w:cs="Times New Roman"/>
                <w:color w:val="auto"/>
                <w:kern w:val="2"/>
                <w:sz w:val="24"/>
                <w:szCs w:val="24"/>
                <w:highlight w:val="none"/>
                <w:vertAlign w:val="superscript"/>
                <w:lang w:val="en-US" w:eastAsia="zh-CN" w:bidi="ar-SA"/>
              </w:rPr>
              <w:t>3</w:t>
            </w:r>
            <w:r>
              <w:rPr>
                <w:rFonts w:hint="default" w:ascii="Times New Roman" w:hAnsi="Times New Roman" w:cs="Times New Roman"/>
                <w:color w:val="auto"/>
                <w:kern w:val="2"/>
                <w:sz w:val="24"/>
                <w:szCs w:val="24"/>
                <w:highlight w:val="none"/>
                <w:lang w:val="en-US" w:eastAsia="zh-CN" w:bidi="ar-SA"/>
              </w:rPr>
              <w:t>，</w:t>
            </w:r>
            <w:r>
              <w:rPr>
                <w:rFonts w:hint="default" w:ascii="Times New Roman" w:hAnsi="Times New Roman" w:eastAsia="宋体" w:cs="Times New Roman"/>
                <w:color w:val="auto"/>
                <w:kern w:val="2"/>
                <w:sz w:val="24"/>
                <w:szCs w:val="24"/>
                <w:highlight w:val="none"/>
                <w:lang w:val="en-US" w:eastAsia="zh-CN" w:bidi="ar-SA"/>
              </w:rPr>
              <w:t>全年收集的初期雨水约89.197t/d（12130.85t/a）</w:t>
            </w:r>
            <w:r>
              <w:rPr>
                <w:rFonts w:hint="default" w:ascii="Times New Roman" w:hAnsi="Times New Roman" w:cs="Times New Roman"/>
                <w:color w:val="auto"/>
                <w:kern w:val="2"/>
                <w:sz w:val="24"/>
                <w:szCs w:val="24"/>
                <w:highlight w:val="none"/>
                <w:lang w:val="en-US" w:eastAsia="zh-CN" w:bidi="ar-SA"/>
              </w:rPr>
              <w:t>。本项目拟设置的初期雨水收集池</w:t>
            </w:r>
            <w:r>
              <w:rPr>
                <w:rFonts w:hint="default" w:ascii="Times New Roman" w:hAnsi="Times New Roman" w:eastAsia="宋体" w:cs="Times New Roman"/>
                <w:color w:val="auto"/>
                <w:kern w:val="0"/>
                <w:sz w:val="24"/>
                <w:szCs w:val="24"/>
                <w:highlight w:val="none"/>
              </w:rPr>
              <w:t>L×B×H=</w:t>
            </w:r>
            <w:r>
              <w:rPr>
                <w:rFonts w:hint="default" w:ascii="Times New Roman" w:hAnsi="Times New Roman" w:cs="Times New Roman"/>
                <w:color w:val="auto"/>
                <w:kern w:val="0"/>
                <w:sz w:val="24"/>
                <w:szCs w:val="24"/>
                <w:highlight w:val="none"/>
                <w:lang w:val="en-US" w:eastAsia="zh-CN"/>
              </w:rPr>
              <w:t>25m</w:t>
            </w:r>
            <w:r>
              <w:rPr>
                <w:rFonts w:hint="default" w:ascii="Times New Roman" w:hAnsi="Times New Roman" w:cs="Times New Roman"/>
                <w:color w:val="auto"/>
                <w:kern w:val="0"/>
                <w:sz w:val="24"/>
                <w:szCs w:val="24"/>
                <w:highlight w:val="none"/>
              </w:rPr>
              <w:t>×</w:t>
            </w:r>
            <w:r>
              <w:rPr>
                <w:rFonts w:hint="default" w:ascii="Times New Roman" w:hAnsi="Times New Roman" w:cs="Times New Roman"/>
                <w:color w:val="auto"/>
                <w:kern w:val="0"/>
                <w:sz w:val="24"/>
                <w:szCs w:val="24"/>
                <w:highlight w:val="none"/>
                <w:lang w:val="en-US" w:eastAsia="zh-CN"/>
              </w:rPr>
              <w:t>20m</w:t>
            </w:r>
            <w:r>
              <w:rPr>
                <w:rFonts w:hint="default" w:ascii="Times New Roman" w:hAnsi="Times New Roman" w:cs="Times New Roman"/>
                <w:color w:val="auto"/>
                <w:kern w:val="0"/>
                <w:sz w:val="24"/>
                <w:szCs w:val="24"/>
                <w:highlight w:val="none"/>
              </w:rPr>
              <w:t>×</w:t>
            </w:r>
            <w:r>
              <w:rPr>
                <w:rFonts w:hint="default" w:ascii="Times New Roman" w:hAnsi="Times New Roman" w:cs="Times New Roman"/>
                <w:color w:val="auto"/>
                <w:kern w:val="0"/>
                <w:sz w:val="24"/>
                <w:szCs w:val="24"/>
                <w:highlight w:val="none"/>
                <w:lang w:val="en-US" w:eastAsia="zh-CN"/>
              </w:rPr>
              <w:t>2.4</w:t>
            </w:r>
            <w:r>
              <w:rPr>
                <w:rFonts w:hint="default" w:ascii="Times New Roman" w:hAnsi="Times New Roman" w:cs="Times New Roman"/>
                <w:color w:val="auto"/>
                <w:kern w:val="0"/>
                <w:sz w:val="24"/>
                <w:szCs w:val="24"/>
                <w:highlight w:val="none"/>
              </w:rPr>
              <w:t>m</w:t>
            </w:r>
            <w:r>
              <w:rPr>
                <w:rFonts w:hint="default" w:ascii="Times New Roman" w:hAnsi="Times New Roman" w:cs="Times New Roman"/>
                <w:color w:val="auto"/>
                <w:kern w:val="0"/>
                <w:sz w:val="24"/>
                <w:szCs w:val="24"/>
                <w:highlight w:val="none"/>
                <w:lang w:eastAsia="zh-CN"/>
              </w:rPr>
              <w:t>；</w:t>
            </w:r>
            <w:r>
              <w:rPr>
                <w:rFonts w:hint="default" w:ascii="Times New Roman" w:hAnsi="Times New Roman" w:cs="Times New Roman"/>
                <w:color w:val="auto"/>
                <w:kern w:val="0"/>
                <w:sz w:val="24"/>
                <w:szCs w:val="24"/>
                <w:highlight w:val="none"/>
                <w:lang w:val="en-US" w:eastAsia="zh-CN"/>
              </w:rPr>
              <w:t>总容积：1200m</w:t>
            </w:r>
            <w:r>
              <w:rPr>
                <w:rFonts w:hint="default" w:ascii="Times New Roman" w:hAnsi="Times New Roman" w:cs="Times New Roman"/>
                <w:color w:val="auto"/>
                <w:kern w:val="0"/>
                <w:sz w:val="24"/>
                <w:szCs w:val="24"/>
                <w:highlight w:val="none"/>
                <w:vertAlign w:val="superscript"/>
                <w:lang w:val="en-US" w:eastAsia="zh-CN"/>
              </w:rPr>
              <w:t>3</w:t>
            </w:r>
            <w:r>
              <w:rPr>
                <w:rFonts w:hint="default" w:ascii="Times New Roman" w:hAnsi="Times New Roman" w:eastAsia="宋体" w:cs="Times New Roman"/>
                <w:color w:val="auto"/>
                <w:kern w:val="0"/>
                <w:sz w:val="24"/>
                <w:szCs w:val="24"/>
                <w:highlight w:val="none"/>
              </w:rPr>
              <w:t>，</w:t>
            </w:r>
            <w:r>
              <w:rPr>
                <w:rFonts w:hint="default" w:ascii="Times New Roman" w:hAnsi="Times New Roman" w:eastAsia="宋体" w:cs="Times New Roman"/>
                <w:color w:val="auto"/>
                <w:kern w:val="0"/>
                <w:sz w:val="24"/>
                <w:szCs w:val="24"/>
                <w:highlight w:val="none"/>
                <w:lang w:val="en-US" w:eastAsia="zh-CN"/>
              </w:rPr>
              <w:t>完全</w:t>
            </w:r>
            <w:r>
              <w:rPr>
                <w:rFonts w:hint="default" w:ascii="Times New Roman" w:hAnsi="Times New Roman" w:eastAsia="宋体" w:cs="Times New Roman"/>
                <w:color w:val="auto"/>
                <w:kern w:val="0"/>
                <w:szCs w:val="21"/>
                <w:highlight w:val="none"/>
                <w:lang w:val="en-US" w:eastAsia="zh-CN"/>
              </w:rPr>
              <w:t>满足容纳需求，故项目初期雨水收集池的设计是完全可行的。且初期雨水中不含过多污染物，仅混杂着灰尘及泥沙等，经雨水收集池静置沉淀后可</w:t>
            </w:r>
            <w:r>
              <w:rPr>
                <w:rFonts w:hint="default" w:ascii="Times New Roman" w:hAnsi="Times New Roman" w:eastAsia="宋体" w:cs="Times New Roman"/>
                <w:b w:val="0"/>
                <w:bCs w:val="0"/>
                <w:color w:val="auto"/>
                <w:kern w:val="2"/>
                <w:sz w:val="24"/>
                <w:szCs w:val="24"/>
                <w:highlight w:val="none"/>
                <w:lang w:val="en-US" w:eastAsia="zh-CN"/>
              </w:rPr>
              <w:t>达到《混凝土用水标准》（JGJ 63-2006）中钢筋混凝土拌合用水水质要求，</w:t>
            </w:r>
            <w:r>
              <w:rPr>
                <w:rFonts w:hint="default" w:ascii="Times New Roman" w:hAnsi="Times New Roman" w:eastAsia="宋体" w:cs="Times New Roman"/>
                <w:color w:val="auto"/>
                <w:kern w:val="0"/>
                <w:szCs w:val="21"/>
                <w:highlight w:val="none"/>
                <w:lang w:val="en-US" w:eastAsia="zh-CN"/>
              </w:rPr>
              <w:t>直接回用于</w:t>
            </w:r>
            <w:r>
              <w:rPr>
                <w:rFonts w:hint="default" w:ascii="Times New Roman" w:hAnsi="Times New Roman" w:cs="Times New Roman"/>
                <w:color w:val="auto"/>
                <w:kern w:val="0"/>
                <w:szCs w:val="21"/>
                <w:highlight w:val="none"/>
                <w:lang w:val="en-US" w:eastAsia="zh-CN"/>
              </w:rPr>
              <w:t>养护用水</w:t>
            </w:r>
            <w:r>
              <w:rPr>
                <w:rFonts w:hint="default" w:ascii="Times New Roman" w:hAnsi="Times New Roman" w:eastAsia="宋体" w:cs="Times New Roman"/>
                <w:color w:val="auto"/>
                <w:kern w:val="0"/>
                <w:szCs w:val="21"/>
                <w:highlight w:val="none"/>
                <w:lang w:val="en-US" w:eastAsia="zh-CN"/>
              </w:rPr>
              <w:t>。</w:t>
            </w:r>
          </w:p>
          <w:p w14:paraId="6BAFCA63">
            <w:pPr>
              <w:keepNext w:val="0"/>
              <w:keepLines w:val="0"/>
              <w:pageBreakBefore w:val="0"/>
              <w:widowControl w:val="0"/>
              <w:kinsoku/>
              <w:wordWrap/>
              <w:overflowPunct/>
              <w:topLinePunct w:val="0"/>
              <w:autoSpaceDE/>
              <w:autoSpaceDN/>
              <w:bidi w:val="0"/>
              <w:adjustRightInd w:val="0"/>
              <w:snapToGrid w:val="0"/>
              <w:spacing w:line="360" w:lineRule="auto"/>
              <w:ind w:leftChars="0" w:right="0" w:rightChars="0" w:firstLine="482" w:firstLineChars="200"/>
              <w:textAlignment w:val="auto"/>
              <w:rPr>
                <w:rFonts w:hint="default" w:ascii="Times New Roman" w:hAnsi="Times New Roman" w:eastAsia="宋体" w:cs="Times New Roman"/>
                <w:b/>
                <w:bCs/>
                <w:color w:val="auto"/>
                <w:kern w:val="2"/>
                <w:sz w:val="24"/>
                <w:szCs w:val="24"/>
                <w:highlight w:val="none"/>
                <w:lang w:eastAsia="zh-CN"/>
              </w:rPr>
            </w:pPr>
            <w:r>
              <w:rPr>
                <w:rFonts w:hint="default" w:ascii="Times New Roman" w:hAnsi="Times New Roman" w:eastAsia="宋体" w:cs="Times New Roman"/>
                <w:b/>
                <w:bCs/>
                <w:color w:val="auto"/>
                <w:kern w:val="2"/>
                <w:sz w:val="24"/>
                <w:szCs w:val="24"/>
                <w:highlight w:val="none"/>
                <w:lang w:val="en-US" w:eastAsia="zh-CN"/>
              </w:rPr>
              <w:t>2.4生活污水</w:t>
            </w:r>
            <w:r>
              <w:rPr>
                <w:rFonts w:hint="default" w:ascii="Times New Roman" w:hAnsi="Times New Roman" w:eastAsia="宋体" w:cs="Times New Roman"/>
                <w:b/>
                <w:bCs/>
                <w:color w:val="auto"/>
                <w:kern w:val="2"/>
                <w:sz w:val="24"/>
                <w:szCs w:val="24"/>
                <w:highlight w:val="none"/>
                <w:lang w:eastAsia="zh-CN"/>
              </w:rPr>
              <w:t>依托</w:t>
            </w:r>
            <w:r>
              <w:rPr>
                <w:rFonts w:hint="default" w:ascii="Times New Roman" w:hAnsi="Times New Roman" w:cs="Times New Roman"/>
                <w:b/>
                <w:bCs/>
                <w:color w:val="auto"/>
                <w:kern w:val="2"/>
                <w:sz w:val="24"/>
                <w:szCs w:val="24"/>
                <w:highlight w:val="none"/>
                <w:lang w:eastAsia="zh-CN"/>
              </w:rPr>
              <w:t>博罗县罗阳街道小金生活污水处理厂</w:t>
            </w:r>
            <w:r>
              <w:rPr>
                <w:rFonts w:hint="default" w:ascii="Times New Roman" w:hAnsi="Times New Roman" w:eastAsia="宋体" w:cs="Times New Roman"/>
                <w:b/>
                <w:bCs/>
                <w:color w:val="auto"/>
                <w:kern w:val="2"/>
                <w:sz w:val="24"/>
                <w:szCs w:val="24"/>
                <w:highlight w:val="none"/>
              </w:rPr>
              <w:t>可行性分析</w:t>
            </w:r>
          </w:p>
          <w:p w14:paraId="397E7A23">
            <w:pPr>
              <w:pStyle w:val="50"/>
              <w:keepNext w:val="0"/>
              <w:keepLines w:val="0"/>
              <w:pageBreakBefore w:val="0"/>
              <w:widowControl w:val="0"/>
              <w:kinsoku/>
              <w:wordWrap/>
              <w:overflowPunct/>
              <w:topLinePunct w:val="0"/>
              <w:autoSpaceDE/>
              <w:autoSpaceDN/>
              <w:bidi w:val="0"/>
              <w:adjustRightInd w:val="0"/>
              <w:snapToGrid w:val="0"/>
              <w:ind w:firstLine="480"/>
              <w:textAlignment w:val="auto"/>
              <w:rPr>
                <w:rFonts w:hint="default" w:ascii="Times New Roman" w:hAnsi="Times New Roman" w:cs="Times New Roman"/>
                <w:color w:val="auto"/>
                <w:highlight w:val="none"/>
                <w:lang w:bidi="ar"/>
              </w:rPr>
            </w:pPr>
            <w:r>
              <w:rPr>
                <w:rFonts w:hint="default" w:ascii="Times New Roman" w:hAnsi="Times New Roman" w:cs="Times New Roman"/>
                <w:color w:val="auto"/>
                <w:highlight w:val="none"/>
                <w:lang w:bidi="ar"/>
              </w:rPr>
              <w:t>项目所在区域属于</w:t>
            </w:r>
            <w:r>
              <w:rPr>
                <w:rFonts w:hint="default" w:ascii="Times New Roman" w:hAnsi="Times New Roman" w:cs="Times New Roman"/>
                <w:color w:val="auto"/>
                <w:highlight w:val="none"/>
                <w:lang w:eastAsia="zh-CN" w:bidi="ar"/>
              </w:rPr>
              <w:t>博罗县罗阳街道小金生活污水处理厂</w:t>
            </w:r>
            <w:r>
              <w:rPr>
                <w:rFonts w:hint="default" w:ascii="Times New Roman" w:hAnsi="Times New Roman" w:cs="Times New Roman"/>
                <w:color w:val="auto"/>
                <w:highlight w:val="none"/>
                <w:lang w:bidi="ar"/>
              </w:rPr>
              <w:t>接纳的范围内，已完成与</w:t>
            </w:r>
            <w:r>
              <w:rPr>
                <w:rFonts w:hint="default" w:ascii="Times New Roman" w:hAnsi="Times New Roman" w:cs="Times New Roman"/>
                <w:color w:val="auto"/>
                <w:highlight w:val="none"/>
                <w:lang w:eastAsia="zh-CN" w:bidi="ar"/>
              </w:rPr>
              <w:t>博罗县罗阳街道小金生活污水处理厂</w:t>
            </w:r>
            <w:r>
              <w:rPr>
                <w:rFonts w:hint="default" w:ascii="Times New Roman" w:hAnsi="Times New Roman" w:cs="Times New Roman"/>
                <w:color w:val="auto"/>
                <w:highlight w:val="none"/>
                <w:lang w:bidi="ar"/>
              </w:rPr>
              <w:t>纳污管网接驳工作。</w:t>
            </w:r>
            <w:r>
              <w:rPr>
                <w:rFonts w:hint="default" w:ascii="Times New Roman" w:hAnsi="Times New Roman" w:cs="Times New Roman"/>
                <w:color w:val="auto"/>
                <w:highlight w:val="none"/>
                <w:lang w:eastAsia="zh-CN" w:bidi="ar"/>
              </w:rPr>
              <w:t>博罗县罗阳街道小金生活污水处理厂于2016年建设，采用较为先进的污水处理工艺氧化沟，其设计规模为1万立方米/日，先期日处理规模达到1万立方米/日，博罗县罗阳镇小金生活污水处理厂工程建设地点：惠州市博罗县罗阳街道田心村附近小金河旁，工程规模：博罗县罗阳镇小金生活污水处理厂工程，工程占地面积16406m</w:t>
            </w:r>
            <w:r>
              <w:rPr>
                <w:rFonts w:hint="default" w:ascii="Times New Roman" w:hAnsi="Times New Roman" w:cs="Times New Roman"/>
                <w:color w:val="auto"/>
                <w:highlight w:val="none"/>
                <w:vertAlign w:val="superscript"/>
                <w:lang w:eastAsia="zh-CN" w:bidi="ar"/>
              </w:rPr>
              <w:t>2</w:t>
            </w:r>
            <w:r>
              <w:rPr>
                <w:rFonts w:hint="default" w:ascii="Times New Roman" w:hAnsi="Times New Roman" w:cs="Times New Roman"/>
                <w:color w:val="auto"/>
                <w:highlight w:val="none"/>
                <w:lang w:eastAsia="zh-CN" w:bidi="ar"/>
              </w:rPr>
              <w:t>，工程近期规模为1.0万m</w:t>
            </w:r>
            <w:r>
              <w:rPr>
                <w:rFonts w:hint="default" w:ascii="Times New Roman" w:hAnsi="Times New Roman" w:cs="Times New Roman"/>
                <w:color w:val="auto"/>
                <w:highlight w:val="none"/>
                <w:vertAlign w:val="superscript"/>
                <w:lang w:eastAsia="zh-CN" w:bidi="ar"/>
              </w:rPr>
              <w:t>3</w:t>
            </w:r>
            <w:r>
              <w:rPr>
                <w:rFonts w:hint="default" w:ascii="Times New Roman" w:hAnsi="Times New Roman" w:cs="Times New Roman"/>
                <w:color w:val="auto"/>
                <w:highlight w:val="none"/>
                <w:lang w:eastAsia="zh-CN" w:bidi="ar"/>
              </w:rPr>
              <w:t>/d，构筑物总容积11796.57m</w:t>
            </w:r>
            <w:r>
              <w:rPr>
                <w:rFonts w:hint="default" w:ascii="Times New Roman" w:hAnsi="Times New Roman" w:cs="Times New Roman"/>
                <w:color w:val="auto"/>
                <w:highlight w:val="none"/>
                <w:vertAlign w:val="superscript"/>
                <w:lang w:eastAsia="zh-CN" w:bidi="ar"/>
              </w:rPr>
              <w:t>3</w:t>
            </w:r>
            <w:r>
              <w:rPr>
                <w:rFonts w:hint="default" w:ascii="Times New Roman" w:hAnsi="Times New Roman" w:cs="Times New Roman"/>
                <w:color w:val="auto"/>
                <w:highlight w:val="none"/>
                <w:lang w:eastAsia="zh-CN" w:bidi="ar"/>
              </w:rPr>
              <w:t>，包括：粗格栅、提升泵站、细格栅、沉砂池、选择池、氧化沟、配水排泥池、二沉池、活性砂滤池、消毒池、尾水提升泵房、储泥池等；总建筑面积为1225.5m</w:t>
            </w:r>
            <w:r>
              <w:rPr>
                <w:rFonts w:hint="default" w:ascii="Times New Roman" w:hAnsi="Times New Roman" w:cs="Times New Roman"/>
                <w:color w:val="auto"/>
                <w:highlight w:val="none"/>
                <w:vertAlign w:val="superscript"/>
                <w:lang w:eastAsia="zh-CN" w:bidi="ar"/>
              </w:rPr>
              <w:t>2</w:t>
            </w:r>
            <w:r>
              <w:rPr>
                <w:rFonts w:hint="default" w:ascii="Times New Roman" w:hAnsi="Times New Roman" w:cs="Times New Roman"/>
                <w:color w:val="auto"/>
                <w:highlight w:val="none"/>
                <w:lang w:eastAsia="zh-CN" w:bidi="ar"/>
              </w:rPr>
              <w:t>，包括污泥浓缩脱水车间、综合楼、变配电间、空压机房、仪表间、门卫室等附属建筑物。设计出水水质执行《城镇污水处理厂污染物排放标准》（GB18918-2002）级A标准和广东省《水污染物排放限值》（DB44/26-2001）第二时段一级标准中的较严者</w:t>
            </w:r>
            <w:r>
              <w:rPr>
                <w:rFonts w:hint="default" w:ascii="Times New Roman" w:hAnsi="Times New Roman" w:cs="Times New Roman"/>
                <w:color w:val="auto"/>
                <w:highlight w:val="none"/>
                <w:lang w:bidi="ar"/>
              </w:rPr>
              <w:t>。项目生活污水的排放量约为</w:t>
            </w:r>
            <w:r>
              <w:rPr>
                <w:rFonts w:hint="default" w:ascii="Times New Roman" w:hAnsi="Times New Roman" w:cs="Times New Roman"/>
                <w:color w:val="auto"/>
                <w:highlight w:val="none"/>
                <w:lang w:val="en-US" w:eastAsia="zh-CN" w:bidi="ar"/>
              </w:rPr>
              <w:t>1.8</w:t>
            </w:r>
            <w:r>
              <w:rPr>
                <w:rFonts w:hint="default" w:ascii="Times New Roman" w:hAnsi="Times New Roman" w:cs="Times New Roman"/>
                <w:color w:val="auto"/>
                <w:highlight w:val="none"/>
                <w:lang w:bidi="ar"/>
              </w:rPr>
              <w:t>t/d，</w:t>
            </w:r>
            <w:r>
              <w:rPr>
                <w:rFonts w:hint="default" w:ascii="Times New Roman" w:hAnsi="Times New Roman" w:cs="Times New Roman"/>
                <w:color w:val="auto"/>
                <w:highlight w:val="none"/>
                <w:lang w:eastAsia="zh-CN" w:bidi="ar"/>
              </w:rPr>
              <w:t>博罗县罗阳街道小金生活污水处理厂</w:t>
            </w:r>
            <w:r>
              <w:rPr>
                <w:rFonts w:hint="default" w:ascii="Times New Roman" w:hAnsi="Times New Roman" w:cs="Times New Roman"/>
                <w:color w:val="auto"/>
                <w:highlight w:val="none"/>
                <w:lang w:bidi="ar"/>
              </w:rPr>
              <w:t>剩余处理量约为</w:t>
            </w:r>
            <w:r>
              <w:rPr>
                <w:rFonts w:hint="default" w:ascii="Times New Roman" w:hAnsi="Times New Roman" w:cs="Times New Roman"/>
                <w:color w:val="auto"/>
                <w:highlight w:val="none"/>
                <w:lang w:val="en-US" w:eastAsia="zh-CN" w:bidi="ar"/>
              </w:rPr>
              <w:t>1000</w:t>
            </w:r>
            <w:r>
              <w:rPr>
                <w:rFonts w:hint="default" w:ascii="Times New Roman" w:hAnsi="Times New Roman" w:cs="Times New Roman"/>
                <w:color w:val="auto"/>
                <w:highlight w:val="none"/>
                <w:lang w:bidi="ar"/>
              </w:rPr>
              <w:t>t/d，则项目污水排放量占其剩余处理量的</w:t>
            </w:r>
            <w:r>
              <w:rPr>
                <w:rFonts w:hint="default" w:ascii="Times New Roman" w:hAnsi="Times New Roman" w:cs="Times New Roman"/>
                <w:color w:val="auto"/>
                <w:highlight w:val="none"/>
                <w:lang w:val="en-US" w:eastAsia="zh-CN" w:bidi="ar"/>
              </w:rPr>
              <w:t>0.18</w:t>
            </w:r>
            <w:r>
              <w:rPr>
                <w:rFonts w:hint="default" w:ascii="Times New Roman" w:hAnsi="Times New Roman" w:cs="Times New Roman"/>
                <w:color w:val="auto"/>
                <w:highlight w:val="none"/>
                <w:lang w:bidi="ar"/>
              </w:rPr>
              <w:t>%。从水质、水量上看，项目生活污水经预处理后通过市政污水管网排入</w:t>
            </w:r>
            <w:r>
              <w:rPr>
                <w:rFonts w:hint="default" w:ascii="Times New Roman" w:hAnsi="Times New Roman" w:cs="Times New Roman"/>
                <w:color w:val="auto"/>
                <w:highlight w:val="none"/>
                <w:lang w:eastAsia="zh-CN" w:bidi="ar"/>
              </w:rPr>
              <w:t>博罗县罗阳街道小金生活污水处理厂</w:t>
            </w:r>
            <w:r>
              <w:rPr>
                <w:rFonts w:hint="default" w:ascii="Times New Roman" w:hAnsi="Times New Roman" w:cs="Times New Roman"/>
                <w:color w:val="auto"/>
                <w:highlight w:val="none"/>
                <w:lang w:bidi="ar"/>
              </w:rPr>
              <w:t>的方案是可行的。</w:t>
            </w:r>
          </w:p>
          <w:p w14:paraId="0FF17456">
            <w:pPr>
              <w:pStyle w:val="50"/>
              <w:keepNext w:val="0"/>
              <w:keepLines w:val="0"/>
              <w:pageBreakBefore w:val="0"/>
              <w:widowControl w:val="0"/>
              <w:kinsoku/>
              <w:wordWrap/>
              <w:overflowPunct/>
              <w:topLinePunct w:val="0"/>
              <w:autoSpaceDE/>
              <w:autoSpaceDN/>
              <w:bidi w:val="0"/>
              <w:adjustRightInd w:val="0"/>
              <w:snapToGrid w:val="0"/>
              <w:ind w:firstLine="480"/>
              <w:textAlignment w:val="auto"/>
              <w:rPr>
                <w:rFonts w:hint="default" w:ascii="Times New Roman" w:hAnsi="Times New Roman" w:eastAsia="宋体" w:cs="Times New Roman"/>
                <w:color w:val="auto"/>
                <w:kern w:val="2"/>
                <w:highlight w:val="none"/>
                <w:lang w:eastAsia="zh-CN"/>
              </w:rPr>
            </w:pPr>
            <w:r>
              <w:rPr>
                <w:rFonts w:hint="default" w:ascii="Times New Roman" w:hAnsi="Times New Roman" w:cs="Times New Roman"/>
                <w:color w:val="auto"/>
                <w:highlight w:val="none"/>
                <w:lang w:bidi="ar"/>
              </w:rPr>
              <w:t>综上所述，生活污水经</w:t>
            </w:r>
            <w:r>
              <w:rPr>
                <w:rFonts w:hint="default" w:ascii="Times New Roman" w:hAnsi="Times New Roman" w:cs="Times New Roman"/>
                <w:color w:val="auto"/>
                <w:highlight w:val="none"/>
                <w:lang w:val="en-US" w:eastAsia="zh-CN" w:bidi="ar"/>
              </w:rPr>
              <w:t>三级</w:t>
            </w:r>
            <w:r>
              <w:rPr>
                <w:rFonts w:hint="default" w:ascii="Times New Roman" w:hAnsi="Times New Roman" w:cs="Times New Roman"/>
                <w:color w:val="auto"/>
                <w:highlight w:val="none"/>
                <w:lang w:bidi="ar"/>
              </w:rPr>
              <w:t>化粪池预处理后进入</w:t>
            </w:r>
            <w:r>
              <w:rPr>
                <w:rFonts w:hint="default" w:ascii="Times New Roman" w:hAnsi="Times New Roman" w:cs="Times New Roman"/>
                <w:color w:val="auto"/>
                <w:highlight w:val="none"/>
                <w:lang w:eastAsia="zh-CN" w:bidi="ar"/>
              </w:rPr>
              <w:t>博罗县罗阳街道小金生活污水处理厂</w:t>
            </w:r>
            <w:r>
              <w:rPr>
                <w:rFonts w:hint="default" w:ascii="Times New Roman" w:hAnsi="Times New Roman" w:cs="Times New Roman"/>
                <w:color w:val="auto"/>
                <w:highlight w:val="none"/>
                <w:lang w:bidi="ar"/>
              </w:rPr>
              <w:t>，尾水处理达标后排入</w:t>
            </w:r>
            <w:r>
              <w:rPr>
                <w:rFonts w:hint="default" w:ascii="Times New Roman" w:hAnsi="Times New Roman" w:cs="Times New Roman"/>
                <w:color w:val="auto"/>
                <w:highlight w:val="none"/>
                <w:lang w:val="en-US" w:eastAsia="zh-CN" w:bidi="ar"/>
              </w:rPr>
              <w:t>小金河</w:t>
            </w:r>
            <w:r>
              <w:rPr>
                <w:rFonts w:hint="default" w:ascii="Times New Roman" w:hAnsi="Times New Roman" w:cs="Times New Roman"/>
                <w:color w:val="auto"/>
                <w:highlight w:val="none"/>
                <w:lang w:eastAsia="zh-CN" w:bidi="ar"/>
              </w:rPr>
              <w:t>。</w:t>
            </w:r>
            <w:r>
              <w:rPr>
                <w:rFonts w:hint="default" w:ascii="Times New Roman" w:hAnsi="Times New Roman" w:cs="Times New Roman"/>
                <w:color w:val="auto"/>
                <w:highlight w:val="none"/>
                <w:lang w:bidi="ar"/>
              </w:rPr>
              <w:t>项目废水的排放满足相应的废水排放要求，对地表水体造成的环境影响不大，其地表水环境影响是可接受的</w:t>
            </w:r>
            <w:r>
              <w:rPr>
                <w:rFonts w:hint="default" w:ascii="Times New Roman" w:hAnsi="Times New Roman" w:cs="Times New Roman"/>
                <w:color w:val="auto"/>
                <w:highlight w:val="none"/>
                <w:lang w:eastAsia="zh-CN" w:bidi="ar"/>
              </w:rPr>
              <w:t>。</w:t>
            </w:r>
          </w:p>
          <w:p w14:paraId="4D97F38F">
            <w:pPr>
              <w:adjustRightInd w:val="0"/>
              <w:snapToGrid w:val="0"/>
              <w:spacing w:line="360" w:lineRule="auto"/>
              <w:ind w:firstLine="482" w:firstLineChars="200"/>
              <w:rPr>
                <w:rFonts w:hint="default" w:ascii="Times New Roman" w:hAnsi="Times New Roman" w:cs="Times New Roman"/>
                <w:b/>
                <w:bCs/>
                <w:color w:val="auto"/>
                <w:sz w:val="24"/>
                <w:szCs w:val="24"/>
                <w:highlight w:val="none"/>
              </w:rPr>
            </w:pPr>
            <w:r>
              <w:rPr>
                <w:rFonts w:hint="default" w:ascii="Times New Roman" w:hAnsi="Times New Roman" w:cs="Times New Roman"/>
                <w:b/>
                <w:bCs/>
                <w:color w:val="auto"/>
                <w:sz w:val="24"/>
                <w:szCs w:val="24"/>
                <w:highlight w:val="none"/>
              </w:rPr>
              <w:t>3.噪声</w:t>
            </w:r>
          </w:p>
          <w:p w14:paraId="211241F4">
            <w:pPr>
              <w:adjustRightInd w:val="0"/>
              <w:snapToGrid w:val="0"/>
              <w:spacing w:line="360" w:lineRule="auto"/>
              <w:ind w:firstLine="482" w:firstLineChars="200"/>
              <w:rPr>
                <w:rFonts w:hint="default" w:ascii="Times New Roman" w:hAnsi="Times New Roman" w:cs="Times New Roman"/>
                <w:b/>
                <w:bCs/>
                <w:color w:val="auto"/>
                <w:sz w:val="24"/>
                <w:szCs w:val="24"/>
                <w:highlight w:val="none"/>
              </w:rPr>
            </w:pPr>
            <w:r>
              <w:rPr>
                <w:rFonts w:hint="default" w:ascii="Times New Roman" w:hAnsi="Times New Roman" w:cs="Times New Roman"/>
                <w:b/>
                <w:bCs/>
                <w:color w:val="auto"/>
                <w:sz w:val="24"/>
                <w:szCs w:val="24"/>
                <w:highlight w:val="none"/>
              </w:rPr>
              <w:t>3.1噪声源强</w:t>
            </w:r>
          </w:p>
          <w:p w14:paraId="6FF084A5">
            <w:pPr>
              <w:widowControl/>
              <w:adjustRightInd w:val="0"/>
              <w:snapToGrid w:val="0"/>
              <w:spacing w:line="360" w:lineRule="auto"/>
              <w:ind w:firstLine="480" w:firstLineChars="200"/>
              <w:jc w:val="left"/>
              <w:rPr>
                <w:rFonts w:hint="default" w:ascii="Times New Roman" w:hAnsi="Times New Roman" w:cs="Times New Roman"/>
                <w:b/>
                <w:color w:val="auto"/>
                <w:kern w:val="0"/>
                <w:sz w:val="24"/>
                <w:szCs w:val="24"/>
                <w:highlight w:val="none"/>
              </w:rPr>
            </w:pPr>
            <w:r>
              <w:rPr>
                <w:rFonts w:hint="default" w:ascii="Times New Roman" w:hAnsi="Times New Roman" w:cs="Times New Roman"/>
                <w:color w:val="auto"/>
                <w:sz w:val="24"/>
                <w:szCs w:val="24"/>
                <w:highlight w:val="none"/>
                <w:lang w:bidi="ar"/>
              </w:rPr>
              <w:t>项目的主要噪声为：</w:t>
            </w:r>
            <w:r>
              <w:rPr>
                <w:rFonts w:hint="default" w:ascii="Times New Roman" w:hAnsi="Times New Roman" w:cs="Times New Roman"/>
                <w:color w:val="auto"/>
                <w:sz w:val="24"/>
                <w:szCs w:val="24"/>
                <w:highlight w:val="none"/>
                <w:lang w:val="en-US" w:eastAsia="zh-CN" w:bidi="ar"/>
              </w:rPr>
              <w:t>钢筋加工、搅拌、浇筑振捣等</w:t>
            </w:r>
            <w:r>
              <w:rPr>
                <w:rFonts w:hint="default" w:ascii="Times New Roman" w:hAnsi="Times New Roman" w:cs="Times New Roman"/>
                <w:color w:val="auto"/>
                <w:sz w:val="24"/>
                <w:szCs w:val="24"/>
                <w:highlight w:val="none"/>
                <w:lang w:bidi="ar"/>
              </w:rPr>
              <w:t>工序的生产设备的运行噪声，单台设备噪声值约为</w:t>
            </w:r>
            <w:r>
              <w:rPr>
                <w:rFonts w:hint="eastAsia" w:ascii="Times New Roman" w:hAnsi="Times New Roman" w:cs="Times New Roman"/>
                <w:color w:val="auto"/>
                <w:sz w:val="24"/>
                <w:szCs w:val="24"/>
                <w:highlight w:val="none"/>
                <w:lang w:val="en-US" w:eastAsia="zh-CN" w:bidi="ar"/>
              </w:rPr>
              <w:t>55</w:t>
            </w:r>
            <w:r>
              <w:rPr>
                <w:rFonts w:hint="default" w:ascii="Times New Roman" w:hAnsi="Times New Roman" w:cs="Times New Roman"/>
                <w:color w:val="auto"/>
                <w:sz w:val="24"/>
                <w:szCs w:val="24"/>
                <w:highlight w:val="none"/>
                <w:lang w:bidi="ar"/>
              </w:rPr>
              <w:t>～</w:t>
            </w:r>
            <w:r>
              <w:rPr>
                <w:rFonts w:hint="default" w:ascii="Times New Roman" w:hAnsi="Times New Roman" w:cs="Times New Roman"/>
                <w:color w:val="auto"/>
                <w:sz w:val="24"/>
                <w:szCs w:val="24"/>
                <w:highlight w:val="none"/>
                <w:lang w:val="en-US" w:eastAsia="zh-CN" w:bidi="ar"/>
              </w:rPr>
              <w:t>95</w:t>
            </w:r>
            <w:r>
              <w:rPr>
                <w:rFonts w:hint="default" w:ascii="Times New Roman" w:hAnsi="Times New Roman" w:cs="Times New Roman"/>
                <w:color w:val="auto"/>
                <w:sz w:val="24"/>
                <w:szCs w:val="24"/>
                <w:highlight w:val="none"/>
                <w:lang w:bidi="ar"/>
              </w:rPr>
              <w:t>dB（A），其声源强详见下表。</w:t>
            </w:r>
          </w:p>
          <w:p w14:paraId="2CBD802D">
            <w:pPr>
              <w:adjustRightInd w:val="0"/>
              <w:snapToGrid w:val="0"/>
              <w:ind w:firstLine="422" w:firstLineChars="200"/>
              <w:jc w:val="center"/>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表</w:t>
            </w:r>
            <w:r>
              <w:rPr>
                <w:rFonts w:hint="default" w:ascii="Times New Roman" w:hAnsi="Times New Roman" w:cs="Times New Roman"/>
                <w:b/>
                <w:color w:val="auto"/>
                <w:kern w:val="0"/>
                <w:szCs w:val="21"/>
                <w:highlight w:val="none"/>
                <w:lang w:val="en-US" w:eastAsia="zh-CN"/>
              </w:rPr>
              <w:t xml:space="preserve">4-16 </w:t>
            </w:r>
            <w:r>
              <w:rPr>
                <w:rFonts w:hint="default" w:ascii="Times New Roman" w:hAnsi="Times New Roman" w:cs="Times New Roman"/>
                <w:b/>
                <w:color w:val="auto"/>
                <w:kern w:val="0"/>
                <w:szCs w:val="21"/>
                <w:highlight w:val="none"/>
              </w:rPr>
              <w:t>项目噪声排放情况一览表</w:t>
            </w:r>
          </w:p>
          <w:tbl>
            <w:tblPr>
              <w:tblStyle w:val="34"/>
              <w:tblW w:w="9177" w:type="dxa"/>
              <w:tblInd w:w="-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8"/>
              <w:gridCol w:w="735"/>
              <w:gridCol w:w="1125"/>
              <w:gridCol w:w="1020"/>
              <w:gridCol w:w="937"/>
              <w:gridCol w:w="1635"/>
              <w:gridCol w:w="870"/>
              <w:gridCol w:w="957"/>
            </w:tblGrid>
            <w:tr w14:paraId="2E2ED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1898" w:type="dxa"/>
                  <w:tcBorders>
                    <w:top w:val="single" w:color="auto" w:sz="4" w:space="0"/>
                    <w:left w:val="single" w:color="auto" w:sz="4" w:space="0"/>
                    <w:bottom w:val="single" w:color="auto" w:sz="4" w:space="0"/>
                    <w:right w:val="single" w:color="auto" w:sz="4" w:space="0"/>
                  </w:tcBorders>
                  <w:noWrap w:val="0"/>
                  <w:vAlign w:val="center"/>
                </w:tcPr>
                <w:p w14:paraId="044286E3">
                  <w:pPr>
                    <w:autoSpaceDE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lang w:bidi="ar"/>
                    </w:rPr>
                    <w:t>噪声源强</w:t>
                  </w:r>
                </w:p>
              </w:tc>
              <w:tc>
                <w:tcPr>
                  <w:tcW w:w="735" w:type="dxa"/>
                  <w:tcBorders>
                    <w:top w:val="single" w:color="auto" w:sz="4" w:space="0"/>
                    <w:left w:val="nil"/>
                    <w:bottom w:val="single" w:color="auto" w:sz="4" w:space="0"/>
                    <w:right w:val="single" w:color="auto" w:sz="4" w:space="0"/>
                  </w:tcBorders>
                  <w:noWrap w:val="0"/>
                  <w:vAlign w:val="center"/>
                </w:tcPr>
                <w:p w14:paraId="37957FAE">
                  <w:pPr>
                    <w:autoSpaceDE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lang w:bidi="ar"/>
                    </w:rPr>
                    <w:t>数量</w:t>
                  </w:r>
                </w:p>
              </w:tc>
              <w:tc>
                <w:tcPr>
                  <w:tcW w:w="1125" w:type="dxa"/>
                  <w:tcBorders>
                    <w:top w:val="single" w:color="auto" w:sz="4" w:space="0"/>
                    <w:left w:val="nil"/>
                    <w:bottom w:val="single" w:color="auto" w:sz="4" w:space="0"/>
                    <w:right w:val="single" w:color="auto" w:sz="4" w:space="0"/>
                  </w:tcBorders>
                  <w:noWrap w:val="0"/>
                  <w:vAlign w:val="center"/>
                </w:tcPr>
                <w:p w14:paraId="71A12E51">
                  <w:pPr>
                    <w:autoSpaceDE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lang w:bidi="ar"/>
                    </w:rPr>
                    <w:t>位置</w:t>
                  </w:r>
                </w:p>
              </w:tc>
              <w:tc>
                <w:tcPr>
                  <w:tcW w:w="1020" w:type="dxa"/>
                  <w:tcBorders>
                    <w:top w:val="single" w:color="auto" w:sz="4" w:space="0"/>
                    <w:left w:val="nil"/>
                    <w:bottom w:val="single" w:color="auto" w:sz="4" w:space="0"/>
                    <w:right w:val="single" w:color="auto" w:sz="4" w:space="0"/>
                  </w:tcBorders>
                  <w:noWrap w:val="0"/>
                  <w:vAlign w:val="center"/>
                </w:tcPr>
                <w:p w14:paraId="212C3B1C">
                  <w:pPr>
                    <w:autoSpaceDE w:val="0"/>
                    <w:jc w:val="center"/>
                    <w:rPr>
                      <w:rFonts w:hint="default" w:ascii="Times New Roman" w:hAnsi="Times New Roman" w:cs="Times New Roman"/>
                      <w:b/>
                      <w:bCs/>
                      <w:color w:val="auto"/>
                      <w:sz w:val="21"/>
                      <w:szCs w:val="21"/>
                      <w:highlight w:val="none"/>
                      <w:lang w:bidi="ar"/>
                    </w:rPr>
                  </w:pPr>
                  <w:r>
                    <w:rPr>
                      <w:rFonts w:hint="default" w:ascii="Times New Roman" w:hAnsi="Times New Roman" w:cs="Times New Roman"/>
                      <w:b/>
                      <w:bCs/>
                      <w:color w:val="auto"/>
                      <w:sz w:val="21"/>
                      <w:szCs w:val="21"/>
                      <w:highlight w:val="none"/>
                      <w:lang w:val="en-US" w:eastAsia="zh-CN" w:bidi="ar"/>
                    </w:rPr>
                    <w:t>单台</w:t>
                  </w:r>
                  <w:r>
                    <w:rPr>
                      <w:rFonts w:hint="default" w:ascii="Times New Roman" w:hAnsi="Times New Roman" w:cs="Times New Roman"/>
                      <w:b/>
                      <w:bCs/>
                      <w:color w:val="auto"/>
                      <w:sz w:val="21"/>
                      <w:szCs w:val="21"/>
                      <w:highlight w:val="none"/>
                      <w:lang w:bidi="ar"/>
                    </w:rPr>
                    <w:t>源强dB(A)</w:t>
                  </w:r>
                </w:p>
              </w:tc>
              <w:tc>
                <w:tcPr>
                  <w:tcW w:w="937" w:type="dxa"/>
                  <w:tcBorders>
                    <w:top w:val="single" w:color="auto" w:sz="4" w:space="0"/>
                    <w:left w:val="nil"/>
                    <w:bottom w:val="single" w:color="auto" w:sz="4" w:space="0"/>
                    <w:right w:val="single" w:color="auto" w:sz="4" w:space="0"/>
                  </w:tcBorders>
                  <w:noWrap w:val="0"/>
                  <w:vAlign w:val="center"/>
                </w:tcPr>
                <w:p w14:paraId="480EDFCF">
                  <w:pPr>
                    <w:autoSpaceDE w:val="0"/>
                    <w:jc w:val="center"/>
                    <w:rPr>
                      <w:rFonts w:hint="default" w:ascii="Times New Roman" w:hAnsi="Times New Roman" w:cs="Times New Roman" w:eastAsiaTheme="minorEastAsia"/>
                      <w:b/>
                      <w:bCs/>
                      <w:color w:val="auto"/>
                      <w:sz w:val="21"/>
                      <w:szCs w:val="21"/>
                      <w:highlight w:val="none"/>
                      <w:lang w:val="en-US" w:eastAsia="zh-CN" w:bidi="ar"/>
                    </w:rPr>
                  </w:pPr>
                  <w:r>
                    <w:rPr>
                      <w:rFonts w:hint="default" w:ascii="Times New Roman" w:hAnsi="Times New Roman" w:cs="Times New Roman"/>
                      <w:b/>
                      <w:bCs/>
                      <w:color w:val="auto"/>
                      <w:sz w:val="21"/>
                      <w:szCs w:val="21"/>
                      <w:highlight w:val="none"/>
                      <w:lang w:val="en-US" w:eastAsia="zh-CN" w:bidi="ar"/>
                    </w:rPr>
                    <w:t>叠加总源强</w:t>
                  </w:r>
                  <w:r>
                    <w:rPr>
                      <w:rFonts w:hint="default" w:ascii="Times New Roman" w:hAnsi="Times New Roman" w:cs="Times New Roman"/>
                      <w:b/>
                      <w:bCs/>
                      <w:color w:val="auto"/>
                      <w:sz w:val="21"/>
                      <w:szCs w:val="21"/>
                      <w:highlight w:val="none"/>
                      <w:lang w:bidi="ar"/>
                    </w:rPr>
                    <w:t>dB(A)</w:t>
                  </w:r>
                </w:p>
              </w:tc>
              <w:tc>
                <w:tcPr>
                  <w:tcW w:w="1635" w:type="dxa"/>
                  <w:tcBorders>
                    <w:top w:val="single" w:color="auto" w:sz="4" w:space="0"/>
                    <w:left w:val="nil"/>
                    <w:bottom w:val="single" w:color="auto" w:sz="4" w:space="0"/>
                    <w:right w:val="single" w:color="auto" w:sz="4" w:space="0"/>
                  </w:tcBorders>
                  <w:noWrap w:val="0"/>
                  <w:vAlign w:val="center"/>
                </w:tcPr>
                <w:p w14:paraId="56CF8380">
                  <w:pPr>
                    <w:autoSpaceDE w:val="0"/>
                    <w:jc w:val="center"/>
                    <w:rPr>
                      <w:rFonts w:hint="default" w:ascii="Times New Roman" w:hAnsi="Times New Roman" w:cs="Times New Roman"/>
                      <w:b/>
                      <w:bCs/>
                      <w:color w:val="auto"/>
                      <w:sz w:val="21"/>
                      <w:szCs w:val="21"/>
                      <w:highlight w:val="none"/>
                      <w:lang w:bidi="ar"/>
                    </w:rPr>
                  </w:pPr>
                  <w:r>
                    <w:rPr>
                      <w:rFonts w:hint="default" w:ascii="Times New Roman" w:hAnsi="Times New Roman" w:cs="Times New Roman"/>
                      <w:b/>
                      <w:bCs/>
                      <w:color w:val="auto"/>
                      <w:sz w:val="21"/>
                      <w:szCs w:val="21"/>
                      <w:highlight w:val="none"/>
                      <w:lang w:bidi="ar"/>
                    </w:rPr>
                    <w:t>降噪措施</w:t>
                  </w:r>
                </w:p>
              </w:tc>
              <w:tc>
                <w:tcPr>
                  <w:tcW w:w="870" w:type="dxa"/>
                  <w:tcBorders>
                    <w:top w:val="single" w:color="auto" w:sz="4" w:space="0"/>
                    <w:left w:val="nil"/>
                    <w:bottom w:val="single" w:color="auto" w:sz="4" w:space="0"/>
                    <w:right w:val="single" w:color="auto" w:sz="4" w:space="0"/>
                  </w:tcBorders>
                  <w:noWrap w:val="0"/>
                  <w:vAlign w:val="center"/>
                </w:tcPr>
                <w:p w14:paraId="7BF2D0D7">
                  <w:pPr>
                    <w:autoSpaceDE w:val="0"/>
                    <w:jc w:val="center"/>
                    <w:rPr>
                      <w:rFonts w:hint="default" w:ascii="Times New Roman" w:hAnsi="Times New Roman" w:cs="Times New Roman"/>
                      <w:b/>
                      <w:bCs/>
                      <w:color w:val="auto"/>
                      <w:sz w:val="21"/>
                      <w:szCs w:val="21"/>
                      <w:highlight w:val="none"/>
                      <w:lang w:bidi="ar"/>
                    </w:rPr>
                  </w:pPr>
                  <w:r>
                    <w:rPr>
                      <w:rFonts w:hint="default" w:ascii="Times New Roman" w:hAnsi="Times New Roman" w:cs="Times New Roman"/>
                      <w:b/>
                      <w:bCs/>
                      <w:color w:val="auto"/>
                      <w:sz w:val="21"/>
                      <w:szCs w:val="21"/>
                      <w:highlight w:val="none"/>
                      <w:lang w:bidi="ar"/>
                    </w:rPr>
                    <w:t>降噪效果</w:t>
                  </w:r>
                  <w:r>
                    <w:rPr>
                      <w:rFonts w:hint="default" w:ascii="Times New Roman" w:hAnsi="Times New Roman" w:cs="Times New Roman"/>
                      <w:b/>
                      <w:bCs/>
                      <w:color w:val="auto"/>
                      <w:sz w:val="21"/>
                      <w:szCs w:val="21"/>
                      <w:highlight w:val="none"/>
                    </w:rPr>
                    <w:t>dB(A</w:t>
                  </w:r>
                  <w:r>
                    <w:rPr>
                      <w:rFonts w:hint="default" w:ascii="Times New Roman" w:hAnsi="Times New Roman" w:cs="Times New Roman"/>
                      <w:color w:val="auto"/>
                      <w:sz w:val="21"/>
                      <w:szCs w:val="21"/>
                      <w:highlight w:val="none"/>
                    </w:rPr>
                    <w:t>)</w:t>
                  </w:r>
                </w:p>
              </w:tc>
              <w:tc>
                <w:tcPr>
                  <w:tcW w:w="957" w:type="dxa"/>
                  <w:tcBorders>
                    <w:top w:val="single" w:color="auto" w:sz="4" w:space="0"/>
                    <w:left w:val="nil"/>
                    <w:bottom w:val="single" w:color="auto" w:sz="4" w:space="0"/>
                    <w:right w:val="single" w:color="auto" w:sz="4" w:space="0"/>
                  </w:tcBorders>
                  <w:shd w:val="clear" w:color="auto" w:fill="auto"/>
                  <w:noWrap w:val="0"/>
                  <w:vAlign w:val="center"/>
                </w:tcPr>
                <w:p w14:paraId="1B40E7EF">
                  <w:pPr>
                    <w:autoSpaceDE w:val="0"/>
                    <w:jc w:val="center"/>
                    <w:rPr>
                      <w:rFonts w:hint="default" w:ascii="Times New Roman" w:hAnsi="Times New Roman" w:cs="Times New Roman" w:eastAsiaTheme="minorEastAsia"/>
                      <w:b/>
                      <w:bCs/>
                      <w:color w:val="auto"/>
                      <w:kern w:val="2"/>
                      <w:sz w:val="21"/>
                      <w:szCs w:val="21"/>
                      <w:highlight w:val="none"/>
                      <w:lang w:val="en-US" w:eastAsia="zh-CN" w:bidi="ar"/>
                    </w:rPr>
                  </w:pPr>
                  <w:r>
                    <w:rPr>
                      <w:rFonts w:hint="default" w:ascii="Times New Roman" w:hAnsi="Times New Roman" w:cs="Times New Roman"/>
                      <w:b/>
                      <w:bCs/>
                      <w:color w:val="auto"/>
                      <w:sz w:val="21"/>
                      <w:szCs w:val="21"/>
                      <w:highlight w:val="none"/>
                      <w:lang w:val="en-US" w:eastAsia="zh-CN" w:bidi="ar"/>
                    </w:rPr>
                    <w:t>降噪后源强</w:t>
                  </w:r>
                  <w:r>
                    <w:rPr>
                      <w:rFonts w:hint="default" w:ascii="Times New Roman" w:hAnsi="Times New Roman" w:cs="Times New Roman"/>
                      <w:b/>
                      <w:bCs/>
                      <w:color w:val="auto"/>
                      <w:sz w:val="21"/>
                      <w:szCs w:val="21"/>
                      <w:highlight w:val="none"/>
                      <w:lang w:bidi="ar"/>
                    </w:rPr>
                    <w:t>dB(A)</w:t>
                  </w:r>
                </w:p>
              </w:tc>
            </w:tr>
            <w:tr w14:paraId="458BF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898" w:type="dxa"/>
                  <w:tcBorders>
                    <w:top w:val="single" w:color="auto" w:sz="4" w:space="0"/>
                    <w:left w:val="single" w:color="auto" w:sz="4" w:space="0"/>
                    <w:bottom w:val="single" w:color="auto" w:sz="4" w:space="0"/>
                    <w:right w:val="single" w:color="auto" w:sz="4" w:space="0"/>
                  </w:tcBorders>
                  <w:noWrap w:val="0"/>
                  <w:vAlign w:val="center"/>
                </w:tcPr>
                <w:p w14:paraId="4299EF0B">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液压钢筋弯箍机</w:t>
                  </w:r>
                </w:p>
              </w:tc>
              <w:tc>
                <w:tcPr>
                  <w:tcW w:w="735" w:type="dxa"/>
                  <w:tcBorders>
                    <w:top w:val="single" w:color="auto" w:sz="4" w:space="0"/>
                    <w:left w:val="nil"/>
                    <w:bottom w:val="single" w:color="auto" w:sz="4" w:space="0"/>
                    <w:right w:val="single" w:color="auto" w:sz="4" w:space="0"/>
                  </w:tcBorders>
                  <w:noWrap w:val="0"/>
                  <w:vAlign w:val="center"/>
                </w:tcPr>
                <w:p w14:paraId="34DCD6C0">
                  <w:pPr>
                    <w:keepNext w:val="0"/>
                    <w:keepLines w:val="0"/>
                    <w:widowControl/>
                    <w:suppressLineNumbers w:val="0"/>
                    <w:jc w:val="center"/>
                    <w:textAlignment w:val="center"/>
                    <w:rPr>
                      <w:rFonts w:hint="default" w:ascii="Times New Roman" w:hAnsi="Times New Roman" w:cs="Times New Roman"/>
                      <w:color w:val="auto"/>
                      <w:sz w:val="21"/>
                      <w:szCs w:val="21"/>
                      <w:highlight w:val="none"/>
                      <w:lang w:bidi="ar"/>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1125" w:type="dxa"/>
                  <w:tcBorders>
                    <w:top w:val="single" w:color="auto" w:sz="4" w:space="0"/>
                    <w:left w:val="nil"/>
                    <w:bottom w:val="single" w:color="auto" w:sz="4" w:space="0"/>
                    <w:right w:val="single" w:color="auto" w:sz="4" w:space="0"/>
                  </w:tcBorders>
                  <w:noWrap w:val="0"/>
                  <w:vAlign w:val="center"/>
                </w:tcPr>
                <w:p w14:paraId="2AA29D87">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生产车间</w:t>
                  </w:r>
                </w:p>
              </w:tc>
              <w:tc>
                <w:tcPr>
                  <w:tcW w:w="1020" w:type="dxa"/>
                  <w:tcBorders>
                    <w:top w:val="single" w:color="auto" w:sz="4" w:space="0"/>
                    <w:left w:val="nil"/>
                    <w:bottom w:val="single" w:color="auto" w:sz="4" w:space="0"/>
                    <w:right w:val="single" w:color="auto" w:sz="4" w:space="0"/>
                  </w:tcBorders>
                  <w:noWrap w:val="0"/>
                  <w:vAlign w:val="center"/>
                </w:tcPr>
                <w:p w14:paraId="753DF363">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70</w:t>
                  </w:r>
                </w:p>
              </w:tc>
              <w:tc>
                <w:tcPr>
                  <w:tcW w:w="937" w:type="dxa"/>
                  <w:tcBorders>
                    <w:top w:val="single" w:color="auto" w:sz="4" w:space="0"/>
                    <w:left w:val="nil"/>
                    <w:bottom w:val="single" w:color="auto" w:sz="4" w:space="0"/>
                    <w:right w:val="single" w:color="auto" w:sz="4" w:space="0"/>
                  </w:tcBorders>
                  <w:noWrap w:val="0"/>
                  <w:vAlign w:val="center"/>
                </w:tcPr>
                <w:p w14:paraId="621A431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70.00</w:t>
                  </w:r>
                </w:p>
              </w:tc>
              <w:tc>
                <w:tcPr>
                  <w:tcW w:w="1635" w:type="dxa"/>
                  <w:tcBorders>
                    <w:top w:val="single" w:color="auto" w:sz="4" w:space="0"/>
                    <w:left w:val="nil"/>
                    <w:bottom w:val="single" w:color="auto" w:sz="4" w:space="0"/>
                    <w:right w:val="single" w:color="auto" w:sz="4" w:space="0"/>
                  </w:tcBorders>
                  <w:noWrap w:val="0"/>
                  <w:vAlign w:val="center"/>
                </w:tcPr>
                <w:p w14:paraId="2EB48765">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隔声、减震</w:t>
                  </w:r>
                </w:p>
              </w:tc>
              <w:tc>
                <w:tcPr>
                  <w:tcW w:w="870" w:type="dxa"/>
                  <w:tcBorders>
                    <w:top w:val="single" w:color="auto" w:sz="4" w:space="0"/>
                    <w:left w:val="nil"/>
                    <w:bottom w:val="single" w:color="auto" w:sz="4" w:space="0"/>
                    <w:right w:val="single" w:color="auto" w:sz="4" w:space="0"/>
                  </w:tcBorders>
                  <w:noWrap w:val="0"/>
                  <w:vAlign w:val="center"/>
                </w:tcPr>
                <w:p w14:paraId="4AA0AFCF">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20</w:t>
                  </w:r>
                </w:p>
              </w:tc>
              <w:tc>
                <w:tcPr>
                  <w:tcW w:w="957" w:type="dxa"/>
                  <w:tcBorders>
                    <w:top w:val="single" w:color="auto" w:sz="4" w:space="0"/>
                    <w:left w:val="nil"/>
                    <w:bottom w:val="single" w:color="auto" w:sz="4" w:space="0"/>
                    <w:right w:val="single" w:color="auto" w:sz="4" w:space="0"/>
                  </w:tcBorders>
                  <w:noWrap w:val="0"/>
                  <w:vAlign w:val="center"/>
                </w:tcPr>
                <w:p w14:paraId="3379CF5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50</w:t>
                  </w:r>
                </w:p>
              </w:tc>
            </w:tr>
            <w:tr w14:paraId="0AE01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1898" w:type="dxa"/>
                  <w:tcBorders>
                    <w:top w:val="single" w:color="auto" w:sz="4" w:space="0"/>
                    <w:left w:val="single" w:color="auto" w:sz="4" w:space="0"/>
                    <w:bottom w:val="single" w:color="auto" w:sz="4" w:space="0"/>
                    <w:right w:val="single" w:color="auto" w:sz="4" w:space="0"/>
                  </w:tcBorders>
                  <w:noWrap w:val="0"/>
                  <w:vAlign w:val="center"/>
                </w:tcPr>
                <w:p w14:paraId="486582BE">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cs="Times New Roman"/>
                      <w:bCs/>
                      <w:color w:val="auto"/>
                      <w:sz w:val="21"/>
                      <w:szCs w:val="21"/>
                      <w:highlight w:val="none"/>
                      <w:lang w:eastAsia="zh-CN"/>
                    </w:rPr>
                  </w:pPr>
                  <w:r>
                    <w:rPr>
                      <w:rFonts w:hint="default" w:ascii="Times New Roman" w:hAnsi="Times New Roman" w:eastAsia="宋体" w:cs="Times New Roman"/>
                      <w:color w:val="auto"/>
                      <w:sz w:val="21"/>
                      <w:szCs w:val="21"/>
                      <w:highlight w:val="none"/>
                    </w:rPr>
                    <w:t>液压钢筋墩头机</w:t>
                  </w:r>
                </w:p>
              </w:tc>
              <w:tc>
                <w:tcPr>
                  <w:tcW w:w="735" w:type="dxa"/>
                  <w:tcBorders>
                    <w:top w:val="single" w:color="auto" w:sz="4" w:space="0"/>
                    <w:left w:val="nil"/>
                    <w:bottom w:val="single" w:color="auto" w:sz="4" w:space="0"/>
                    <w:right w:val="single" w:color="auto" w:sz="4" w:space="0"/>
                  </w:tcBorders>
                  <w:noWrap w:val="0"/>
                  <w:vAlign w:val="center"/>
                </w:tcPr>
                <w:p w14:paraId="29741A55">
                  <w:pPr>
                    <w:keepNext w:val="0"/>
                    <w:keepLines w:val="0"/>
                    <w:widowControl/>
                    <w:suppressLineNumbers w:val="0"/>
                    <w:jc w:val="center"/>
                    <w:textAlignment w:val="center"/>
                    <w:rPr>
                      <w:rFonts w:hint="default" w:ascii="Times New Roman" w:hAnsi="Times New Roman" w:cs="Times New Roman"/>
                      <w:bCs/>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2台</w:t>
                  </w:r>
                </w:p>
              </w:tc>
              <w:tc>
                <w:tcPr>
                  <w:tcW w:w="1125" w:type="dxa"/>
                  <w:tcBorders>
                    <w:top w:val="single" w:color="auto" w:sz="4" w:space="0"/>
                    <w:left w:val="nil"/>
                    <w:bottom w:val="single" w:color="auto" w:sz="4" w:space="0"/>
                    <w:right w:val="single" w:color="auto" w:sz="4" w:space="0"/>
                  </w:tcBorders>
                  <w:noWrap w:val="0"/>
                  <w:vAlign w:val="center"/>
                </w:tcPr>
                <w:p w14:paraId="039F9BEE">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生产车间</w:t>
                  </w:r>
                </w:p>
              </w:tc>
              <w:tc>
                <w:tcPr>
                  <w:tcW w:w="1020" w:type="dxa"/>
                  <w:tcBorders>
                    <w:top w:val="single" w:color="auto" w:sz="4" w:space="0"/>
                    <w:left w:val="nil"/>
                    <w:bottom w:val="single" w:color="auto" w:sz="4" w:space="0"/>
                    <w:right w:val="single" w:color="auto" w:sz="4" w:space="0"/>
                  </w:tcBorders>
                  <w:noWrap w:val="0"/>
                  <w:vAlign w:val="center"/>
                </w:tcPr>
                <w:p w14:paraId="0F49AB21">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75</w:t>
                  </w:r>
                </w:p>
              </w:tc>
              <w:tc>
                <w:tcPr>
                  <w:tcW w:w="937" w:type="dxa"/>
                  <w:tcBorders>
                    <w:top w:val="single" w:color="auto" w:sz="4" w:space="0"/>
                    <w:left w:val="nil"/>
                    <w:bottom w:val="single" w:color="auto" w:sz="4" w:space="0"/>
                    <w:right w:val="single" w:color="auto" w:sz="4" w:space="0"/>
                  </w:tcBorders>
                  <w:noWrap w:val="0"/>
                  <w:vAlign w:val="center"/>
                </w:tcPr>
                <w:p w14:paraId="42F746D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78.01</w:t>
                  </w:r>
                </w:p>
              </w:tc>
              <w:tc>
                <w:tcPr>
                  <w:tcW w:w="1635" w:type="dxa"/>
                  <w:tcBorders>
                    <w:top w:val="single" w:color="auto" w:sz="4" w:space="0"/>
                    <w:left w:val="nil"/>
                    <w:bottom w:val="single" w:color="auto" w:sz="4" w:space="0"/>
                    <w:right w:val="single" w:color="auto" w:sz="4" w:space="0"/>
                  </w:tcBorders>
                  <w:noWrap w:val="0"/>
                  <w:vAlign w:val="center"/>
                </w:tcPr>
                <w:p w14:paraId="3E719A96">
                  <w:pPr>
                    <w:adjustRightInd w:val="0"/>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lang w:val="en-US" w:eastAsia="zh-CN"/>
                    </w:rPr>
                    <w:t>隔声、减震</w:t>
                  </w:r>
                </w:p>
              </w:tc>
              <w:tc>
                <w:tcPr>
                  <w:tcW w:w="870" w:type="dxa"/>
                  <w:tcBorders>
                    <w:top w:val="single" w:color="auto" w:sz="4" w:space="0"/>
                    <w:left w:val="nil"/>
                    <w:bottom w:val="single" w:color="auto" w:sz="4" w:space="0"/>
                    <w:right w:val="single" w:color="auto" w:sz="4" w:space="0"/>
                  </w:tcBorders>
                  <w:noWrap w:val="0"/>
                  <w:vAlign w:val="center"/>
                </w:tcPr>
                <w:p w14:paraId="684F66FE">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20</w:t>
                  </w:r>
                </w:p>
              </w:tc>
              <w:tc>
                <w:tcPr>
                  <w:tcW w:w="957" w:type="dxa"/>
                  <w:tcBorders>
                    <w:top w:val="single" w:color="auto" w:sz="4" w:space="0"/>
                    <w:left w:val="nil"/>
                    <w:bottom w:val="single" w:color="auto" w:sz="4" w:space="0"/>
                    <w:right w:val="single" w:color="auto" w:sz="4" w:space="0"/>
                  </w:tcBorders>
                  <w:noWrap w:val="0"/>
                  <w:vAlign w:val="center"/>
                </w:tcPr>
                <w:p w14:paraId="06CB2C8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58.01</w:t>
                  </w:r>
                </w:p>
              </w:tc>
            </w:tr>
            <w:tr w14:paraId="2972E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898" w:type="dxa"/>
                  <w:tcBorders>
                    <w:top w:val="single" w:color="auto" w:sz="4" w:space="0"/>
                    <w:left w:val="single" w:color="auto" w:sz="4" w:space="0"/>
                    <w:bottom w:val="single" w:color="auto" w:sz="4" w:space="0"/>
                    <w:right w:val="single" w:color="auto" w:sz="4" w:space="0"/>
                  </w:tcBorders>
                  <w:noWrap w:val="0"/>
                  <w:vAlign w:val="center"/>
                </w:tcPr>
                <w:p w14:paraId="6CA2EF20">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钢筋切断机</w:t>
                  </w:r>
                </w:p>
              </w:tc>
              <w:tc>
                <w:tcPr>
                  <w:tcW w:w="735" w:type="dxa"/>
                  <w:tcBorders>
                    <w:top w:val="single" w:color="auto" w:sz="4" w:space="0"/>
                    <w:left w:val="nil"/>
                    <w:bottom w:val="single" w:color="auto" w:sz="4" w:space="0"/>
                    <w:right w:val="single" w:color="auto" w:sz="4" w:space="0"/>
                  </w:tcBorders>
                  <w:noWrap w:val="0"/>
                  <w:vAlign w:val="center"/>
                </w:tcPr>
                <w:p w14:paraId="329DA2CD">
                  <w:pPr>
                    <w:keepNext w:val="0"/>
                    <w:keepLines w:val="0"/>
                    <w:widowControl/>
                    <w:suppressLineNumbers w:val="0"/>
                    <w:jc w:val="center"/>
                    <w:textAlignment w:val="center"/>
                    <w:rPr>
                      <w:rFonts w:hint="default" w:ascii="Times New Roman" w:hAnsi="Times New Roman" w:cs="Times New Roman"/>
                      <w:color w:val="auto"/>
                      <w:sz w:val="21"/>
                      <w:szCs w:val="21"/>
                      <w:highlight w:val="none"/>
                      <w:lang w:bidi="ar"/>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1125" w:type="dxa"/>
                  <w:tcBorders>
                    <w:top w:val="single" w:color="auto" w:sz="4" w:space="0"/>
                    <w:left w:val="nil"/>
                    <w:bottom w:val="single" w:color="auto" w:sz="4" w:space="0"/>
                    <w:right w:val="single" w:color="auto" w:sz="4" w:space="0"/>
                  </w:tcBorders>
                  <w:noWrap w:val="0"/>
                  <w:vAlign w:val="center"/>
                </w:tcPr>
                <w:p w14:paraId="6BBEBD5E">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生产车间</w:t>
                  </w:r>
                </w:p>
              </w:tc>
              <w:tc>
                <w:tcPr>
                  <w:tcW w:w="1020" w:type="dxa"/>
                  <w:tcBorders>
                    <w:top w:val="single" w:color="auto" w:sz="4" w:space="0"/>
                    <w:left w:val="nil"/>
                    <w:bottom w:val="single" w:color="auto" w:sz="4" w:space="0"/>
                    <w:right w:val="single" w:color="auto" w:sz="4" w:space="0"/>
                  </w:tcBorders>
                  <w:noWrap w:val="0"/>
                  <w:vAlign w:val="center"/>
                </w:tcPr>
                <w:p w14:paraId="377890F6">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70</w:t>
                  </w:r>
                </w:p>
              </w:tc>
              <w:tc>
                <w:tcPr>
                  <w:tcW w:w="937" w:type="dxa"/>
                  <w:tcBorders>
                    <w:top w:val="single" w:color="auto" w:sz="4" w:space="0"/>
                    <w:left w:val="nil"/>
                    <w:bottom w:val="single" w:color="auto" w:sz="4" w:space="0"/>
                    <w:right w:val="single" w:color="auto" w:sz="4" w:space="0"/>
                  </w:tcBorders>
                  <w:noWrap w:val="0"/>
                  <w:vAlign w:val="center"/>
                </w:tcPr>
                <w:p w14:paraId="25D1AF3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70.00</w:t>
                  </w:r>
                </w:p>
              </w:tc>
              <w:tc>
                <w:tcPr>
                  <w:tcW w:w="1635" w:type="dxa"/>
                  <w:tcBorders>
                    <w:top w:val="single" w:color="auto" w:sz="4" w:space="0"/>
                    <w:left w:val="nil"/>
                    <w:bottom w:val="single" w:color="auto" w:sz="4" w:space="0"/>
                    <w:right w:val="single" w:color="auto" w:sz="4" w:space="0"/>
                  </w:tcBorders>
                  <w:noWrap w:val="0"/>
                  <w:vAlign w:val="center"/>
                </w:tcPr>
                <w:p w14:paraId="66A7DD39">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隔声、减震</w:t>
                  </w:r>
                </w:p>
              </w:tc>
              <w:tc>
                <w:tcPr>
                  <w:tcW w:w="870" w:type="dxa"/>
                  <w:tcBorders>
                    <w:top w:val="single" w:color="auto" w:sz="4" w:space="0"/>
                    <w:left w:val="nil"/>
                    <w:bottom w:val="single" w:color="auto" w:sz="4" w:space="0"/>
                    <w:right w:val="single" w:color="auto" w:sz="4" w:space="0"/>
                  </w:tcBorders>
                  <w:noWrap w:val="0"/>
                  <w:vAlign w:val="center"/>
                </w:tcPr>
                <w:p w14:paraId="10DF5CB7">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20</w:t>
                  </w:r>
                </w:p>
              </w:tc>
              <w:tc>
                <w:tcPr>
                  <w:tcW w:w="957" w:type="dxa"/>
                  <w:tcBorders>
                    <w:top w:val="single" w:color="auto" w:sz="4" w:space="0"/>
                    <w:left w:val="nil"/>
                    <w:bottom w:val="single" w:color="auto" w:sz="4" w:space="0"/>
                    <w:right w:val="single" w:color="auto" w:sz="4" w:space="0"/>
                  </w:tcBorders>
                  <w:noWrap w:val="0"/>
                  <w:vAlign w:val="center"/>
                </w:tcPr>
                <w:p w14:paraId="412640C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45</w:t>
                  </w:r>
                </w:p>
              </w:tc>
            </w:tr>
            <w:tr w14:paraId="7ADDE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98" w:type="dxa"/>
                  <w:tcBorders>
                    <w:top w:val="single" w:color="auto" w:sz="4" w:space="0"/>
                    <w:left w:val="single" w:color="auto" w:sz="4" w:space="0"/>
                    <w:bottom w:val="single" w:color="auto" w:sz="4" w:space="0"/>
                    <w:right w:val="single" w:color="auto" w:sz="4" w:space="0"/>
                  </w:tcBorders>
                  <w:noWrap w:val="0"/>
                  <w:vAlign w:val="center"/>
                </w:tcPr>
                <w:p w14:paraId="7C0F7E51">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弯曲机</w:t>
                  </w:r>
                </w:p>
              </w:tc>
              <w:tc>
                <w:tcPr>
                  <w:tcW w:w="735" w:type="dxa"/>
                  <w:tcBorders>
                    <w:top w:val="single" w:color="auto" w:sz="4" w:space="0"/>
                    <w:left w:val="nil"/>
                    <w:bottom w:val="single" w:color="auto" w:sz="4" w:space="0"/>
                    <w:right w:val="single" w:color="auto" w:sz="4" w:space="0"/>
                  </w:tcBorders>
                  <w:noWrap w:val="0"/>
                  <w:vAlign w:val="center"/>
                </w:tcPr>
                <w:p w14:paraId="3396EF94">
                  <w:pPr>
                    <w:keepNext w:val="0"/>
                    <w:keepLines w:val="0"/>
                    <w:widowControl/>
                    <w:suppressLineNumbers w:val="0"/>
                    <w:jc w:val="center"/>
                    <w:textAlignment w:val="center"/>
                    <w:rPr>
                      <w:rFonts w:hint="default" w:ascii="Times New Roman" w:hAnsi="Times New Roman" w:cs="Times New Roman"/>
                      <w:color w:val="auto"/>
                      <w:sz w:val="21"/>
                      <w:szCs w:val="21"/>
                      <w:highlight w:val="none"/>
                      <w:lang w:bidi="ar"/>
                    </w:rPr>
                  </w:pPr>
                  <w:r>
                    <w:rPr>
                      <w:rFonts w:hint="default" w:ascii="Times New Roman" w:hAnsi="Times New Roman" w:eastAsia="宋体" w:cs="Times New Roman"/>
                      <w:i w:val="0"/>
                      <w:iCs w:val="0"/>
                      <w:color w:val="auto"/>
                      <w:kern w:val="0"/>
                      <w:sz w:val="21"/>
                      <w:szCs w:val="21"/>
                      <w:highlight w:val="none"/>
                      <w:u w:val="none"/>
                      <w:lang w:val="en-US" w:eastAsia="zh-CN" w:bidi="ar"/>
                    </w:rPr>
                    <w:t>2台</w:t>
                  </w:r>
                </w:p>
              </w:tc>
              <w:tc>
                <w:tcPr>
                  <w:tcW w:w="1125" w:type="dxa"/>
                  <w:tcBorders>
                    <w:top w:val="single" w:color="auto" w:sz="4" w:space="0"/>
                    <w:left w:val="nil"/>
                    <w:bottom w:val="single" w:color="auto" w:sz="4" w:space="0"/>
                    <w:right w:val="single" w:color="auto" w:sz="4" w:space="0"/>
                  </w:tcBorders>
                  <w:noWrap w:val="0"/>
                  <w:vAlign w:val="center"/>
                </w:tcPr>
                <w:p w14:paraId="48DFF1BA">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生产车间</w:t>
                  </w:r>
                </w:p>
              </w:tc>
              <w:tc>
                <w:tcPr>
                  <w:tcW w:w="1020" w:type="dxa"/>
                  <w:tcBorders>
                    <w:top w:val="single" w:color="auto" w:sz="4" w:space="0"/>
                    <w:left w:val="nil"/>
                    <w:bottom w:val="single" w:color="auto" w:sz="4" w:space="0"/>
                    <w:right w:val="single" w:color="auto" w:sz="4" w:space="0"/>
                  </w:tcBorders>
                  <w:noWrap w:val="0"/>
                  <w:vAlign w:val="center"/>
                </w:tcPr>
                <w:p w14:paraId="29011A5E">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70</w:t>
                  </w:r>
                </w:p>
              </w:tc>
              <w:tc>
                <w:tcPr>
                  <w:tcW w:w="937" w:type="dxa"/>
                  <w:tcBorders>
                    <w:top w:val="single" w:color="auto" w:sz="4" w:space="0"/>
                    <w:left w:val="nil"/>
                    <w:bottom w:val="single" w:color="auto" w:sz="4" w:space="0"/>
                    <w:right w:val="single" w:color="auto" w:sz="4" w:space="0"/>
                  </w:tcBorders>
                  <w:noWrap w:val="0"/>
                  <w:vAlign w:val="center"/>
                </w:tcPr>
                <w:p w14:paraId="1775A49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73.01</w:t>
                  </w:r>
                </w:p>
              </w:tc>
              <w:tc>
                <w:tcPr>
                  <w:tcW w:w="1635" w:type="dxa"/>
                  <w:tcBorders>
                    <w:top w:val="single" w:color="auto" w:sz="4" w:space="0"/>
                    <w:left w:val="nil"/>
                    <w:bottom w:val="single" w:color="auto" w:sz="4" w:space="0"/>
                    <w:right w:val="single" w:color="auto" w:sz="4" w:space="0"/>
                  </w:tcBorders>
                  <w:noWrap w:val="0"/>
                  <w:vAlign w:val="center"/>
                </w:tcPr>
                <w:p w14:paraId="7975C5BC">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隔声、减震</w:t>
                  </w:r>
                </w:p>
              </w:tc>
              <w:tc>
                <w:tcPr>
                  <w:tcW w:w="870" w:type="dxa"/>
                  <w:tcBorders>
                    <w:top w:val="single" w:color="auto" w:sz="4" w:space="0"/>
                    <w:left w:val="nil"/>
                    <w:bottom w:val="single" w:color="auto" w:sz="4" w:space="0"/>
                    <w:right w:val="single" w:color="auto" w:sz="4" w:space="0"/>
                  </w:tcBorders>
                  <w:noWrap w:val="0"/>
                  <w:vAlign w:val="center"/>
                </w:tcPr>
                <w:p w14:paraId="6051B582">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20</w:t>
                  </w:r>
                </w:p>
              </w:tc>
              <w:tc>
                <w:tcPr>
                  <w:tcW w:w="957" w:type="dxa"/>
                  <w:tcBorders>
                    <w:top w:val="single" w:color="auto" w:sz="4" w:space="0"/>
                    <w:left w:val="nil"/>
                    <w:bottom w:val="single" w:color="auto" w:sz="4" w:space="0"/>
                    <w:right w:val="single" w:color="auto" w:sz="4" w:space="0"/>
                  </w:tcBorders>
                  <w:noWrap w:val="0"/>
                  <w:vAlign w:val="center"/>
                </w:tcPr>
                <w:p w14:paraId="1B476BE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53.01</w:t>
                  </w:r>
                </w:p>
              </w:tc>
            </w:tr>
            <w:tr w14:paraId="299C5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1898" w:type="dxa"/>
                  <w:tcBorders>
                    <w:top w:val="single" w:color="auto" w:sz="4" w:space="0"/>
                    <w:left w:val="single" w:color="auto" w:sz="4" w:space="0"/>
                    <w:bottom w:val="single" w:color="auto" w:sz="4" w:space="0"/>
                    <w:right w:val="single" w:color="auto" w:sz="4" w:space="0"/>
                  </w:tcBorders>
                  <w:noWrap w:val="0"/>
                  <w:vAlign w:val="center"/>
                </w:tcPr>
                <w:p w14:paraId="476B2D4B">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自动调直切断机</w:t>
                  </w:r>
                </w:p>
              </w:tc>
              <w:tc>
                <w:tcPr>
                  <w:tcW w:w="735" w:type="dxa"/>
                  <w:tcBorders>
                    <w:top w:val="single" w:color="auto" w:sz="4" w:space="0"/>
                    <w:left w:val="nil"/>
                    <w:bottom w:val="single" w:color="auto" w:sz="4" w:space="0"/>
                    <w:right w:val="single" w:color="auto" w:sz="4" w:space="0"/>
                  </w:tcBorders>
                  <w:noWrap w:val="0"/>
                  <w:vAlign w:val="center"/>
                </w:tcPr>
                <w:p w14:paraId="719DDD88">
                  <w:pPr>
                    <w:keepNext w:val="0"/>
                    <w:keepLines w:val="0"/>
                    <w:widowControl/>
                    <w:suppressLineNumbers w:val="0"/>
                    <w:jc w:val="center"/>
                    <w:textAlignment w:val="center"/>
                    <w:rPr>
                      <w:rFonts w:hint="default" w:ascii="Times New Roman" w:hAnsi="Times New Roman" w:cs="Times New Roman"/>
                      <w:color w:val="auto"/>
                      <w:sz w:val="21"/>
                      <w:szCs w:val="21"/>
                      <w:highlight w:val="none"/>
                      <w:lang w:bidi="ar"/>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1125" w:type="dxa"/>
                  <w:tcBorders>
                    <w:top w:val="single" w:color="auto" w:sz="4" w:space="0"/>
                    <w:left w:val="nil"/>
                    <w:bottom w:val="single" w:color="auto" w:sz="4" w:space="0"/>
                    <w:right w:val="single" w:color="auto" w:sz="4" w:space="0"/>
                  </w:tcBorders>
                  <w:noWrap w:val="0"/>
                  <w:vAlign w:val="center"/>
                </w:tcPr>
                <w:p w14:paraId="31E250ED">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生产车间</w:t>
                  </w:r>
                </w:p>
              </w:tc>
              <w:tc>
                <w:tcPr>
                  <w:tcW w:w="1020" w:type="dxa"/>
                  <w:tcBorders>
                    <w:top w:val="single" w:color="auto" w:sz="4" w:space="0"/>
                    <w:left w:val="nil"/>
                    <w:bottom w:val="single" w:color="auto" w:sz="4" w:space="0"/>
                    <w:right w:val="single" w:color="auto" w:sz="4" w:space="0"/>
                  </w:tcBorders>
                  <w:noWrap w:val="0"/>
                  <w:vAlign w:val="center"/>
                </w:tcPr>
                <w:p w14:paraId="67BDE0CB">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80</w:t>
                  </w:r>
                </w:p>
              </w:tc>
              <w:tc>
                <w:tcPr>
                  <w:tcW w:w="937" w:type="dxa"/>
                  <w:tcBorders>
                    <w:top w:val="single" w:color="auto" w:sz="4" w:space="0"/>
                    <w:left w:val="nil"/>
                    <w:bottom w:val="single" w:color="auto" w:sz="4" w:space="0"/>
                    <w:right w:val="single" w:color="auto" w:sz="4" w:space="0"/>
                  </w:tcBorders>
                  <w:noWrap w:val="0"/>
                  <w:vAlign w:val="center"/>
                </w:tcPr>
                <w:p w14:paraId="24AE2B2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80.00</w:t>
                  </w:r>
                </w:p>
              </w:tc>
              <w:tc>
                <w:tcPr>
                  <w:tcW w:w="1635" w:type="dxa"/>
                  <w:tcBorders>
                    <w:top w:val="single" w:color="auto" w:sz="4" w:space="0"/>
                    <w:left w:val="nil"/>
                    <w:bottom w:val="single" w:color="auto" w:sz="4" w:space="0"/>
                    <w:right w:val="single" w:color="auto" w:sz="4" w:space="0"/>
                  </w:tcBorders>
                  <w:noWrap w:val="0"/>
                  <w:vAlign w:val="center"/>
                </w:tcPr>
                <w:p w14:paraId="6119AF9D">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隔声、减震</w:t>
                  </w:r>
                </w:p>
              </w:tc>
              <w:tc>
                <w:tcPr>
                  <w:tcW w:w="870" w:type="dxa"/>
                  <w:tcBorders>
                    <w:top w:val="single" w:color="auto" w:sz="4" w:space="0"/>
                    <w:left w:val="nil"/>
                    <w:bottom w:val="single" w:color="auto" w:sz="4" w:space="0"/>
                    <w:right w:val="single" w:color="auto" w:sz="4" w:space="0"/>
                  </w:tcBorders>
                  <w:noWrap w:val="0"/>
                  <w:vAlign w:val="center"/>
                </w:tcPr>
                <w:p w14:paraId="564660FE">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20</w:t>
                  </w:r>
                </w:p>
              </w:tc>
              <w:tc>
                <w:tcPr>
                  <w:tcW w:w="957" w:type="dxa"/>
                  <w:tcBorders>
                    <w:top w:val="single" w:color="auto" w:sz="4" w:space="0"/>
                    <w:left w:val="nil"/>
                    <w:bottom w:val="single" w:color="auto" w:sz="4" w:space="0"/>
                    <w:right w:val="single" w:color="auto" w:sz="4" w:space="0"/>
                  </w:tcBorders>
                  <w:noWrap w:val="0"/>
                  <w:vAlign w:val="center"/>
                </w:tcPr>
                <w:p w14:paraId="32B6E25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r>
            <w:tr w14:paraId="325FB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1898" w:type="dxa"/>
                  <w:tcBorders>
                    <w:top w:val="single" w:color="auto" w:sz="4" w:space="0"/>
                    <w:left w:val="single" w:color="auto" w:sz="4" w:space="0"/>
                    <w:bottom w:val="single" w:color="auto" w:sz="4" w:space="0"/>
                    <w:right w:val="single" w:color="auto" w:sz="4" w:space="0"/>
                  </w:tcBorders>
                  <w:noWrap w:val="0"/>
                  <w:vAlign w:val="center"/>
                </w:tcPr>
                <w:p w14:paraId="23CB9713">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cs="Times New Roman"/>
                      <w:bCs/>
                      <w:color w:val="auto"/>
                      <w:sz w:val="21"/>
                      <w:szCs w:val="21"/>
                      <w:highlight w:val="none"/>
                      <w:lang w:val="en-US" w:eastAsia="zh-CN"/>
                    </w:rPr>
                  </w:pPr>
                  <w:r>
                    <w:rPr>
                      <w:rFonts w:hint="default" w:ascii="Times New Roman" w:hAnsi="Times New Roman" w:eastAsia="宋体" w:cs="Times New Roman"/>
                      <w:color w:val="auto"/>
                      <w:sz w:val="21"/>
                      <w:szCs w:val="21"/>
                      <w:highlight w:val="none"/>
                    </w:rPr>
                    <w:t>张拉系</w:t>
                  </w:r>
                  <w:r>
                    <w:rPr>
                      <w:rFonts w:hint="default" w:ascii="Times New Roman" w:hAnsi="Times New Roman" w:eastAsia="宋体" w:cs="Times New Roman"/>
                      <w:color w:val="auto"/>
                      <w:sz w:val="21"/>
                      <w:szCs w:val="21"/>
                      <w:highlight w:val="none"/>
                      <w:lang w:val="en-US" w:eastAsia="zh-CN"/>
                    </w:rPr>
                    <w:t>统</w:t>
                  </w:r>
                </w:p>
              </w:tc>
              <w:tc>
                <w:tcPr>
                  <w:tcW w:w="735" w:type="dxa"/>
                  <w:tcBorders>
                    <w:top w:val="single" w:color="auto" w:sz="4" w:space="0"/>
                    <w:left w:val="nil"/>
                    <w:bottom w:val="single" w:color="auto" w:sz="4" w:space="0"/>
                    <w:right w:val="single" w:color="auto" w:sz="4" w:space="0"/>
                  </w:tcBorders>
                  <w:noWrap w:val="0"/>
                  <w:vAlign w:val="center"/>
                </w:tcPr>
                <w:p w14:paraId="7730A43B">
                  <w:pPr>
                    <w:keepNext w:val="0"/>
                    <w:keepLines w:val="0"/>
                    <w:widowControl/>
                    <w:suppressLineNumbers w:val="0"/>
                    <w:jc w:val="center"/>
                    <w:textAlignment w:val="center"/>
                    <w:rPr>
                      <w:rFonts w:hint="default" w:ascii="Times New Roman" w:hAnsi="Times New Roman" w:cs="Times New Roman"/>
                      <w:bCs/>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1套</w:t>
                  </w:r>
                </w:p>
              </w:tc>
              <w:tc>
                <w:tcPr>
                  <w:tcW w:w="1125" w:type="dxa"/>
                  <w:tcBorders>
                    <w:top w:val="single" w:color="auto" w:sz="4" w:space="0"/>
                    <w:left w:val="nil"/>
                    <w:bottom w:val="single" w:color="auto" w:sz="4" w:space="0"/>
                    <w:right w:val="single" w:color="auto" w:sz="4" w:space="0"/>
                  </w:tcBorders>
                  <w:noWrap w:val="0"/>
                  <w:vAlign w:val="center"/>
                </w:tcPr>
                <w:p w14:paraId="4F30B0C6">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生产车间</w:t>
                  </w:r>
                </w:p>
              </w:tc>
              <w:tc>
                <w:tcPr>
                  <w:tcW w:w="1020" w:type="dxa"/>
                  <w:tcBorders>
                    <w:top w:val="single" w:color="auto" w:sz="4" w:space="0"/>
                    <w:left w:val="nil"/>
                    <w:bottom w:val="single" w:color="auto" w:sz="4" w:space="0"/>
                    <w:right w:val="single" w:color="auto" w:sz="4" w:space="0"/>
                  </w:tcBorders>
                  <w:noWrap w:val="0"/>
                  <w:vAlign w:val="center"/>
                </w:tcPr>
                <w:p w14:paraId="4A18D016">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72</w:t>
                  </w:r>
                </w:p>
              </w:tc>
              <w:tc>
                <w:tcPr>
                  <w:tcW w:w="937" w:type="dxa"/>
                  <w:tcBorders>
                    <w:top w:val="single" w:color="auto" w:sz="4" w:space="0"/>
                    <w:left w:val="nil"/>
                    <w:bottom w:val="single" w:color="auto" w:sz="4" w:space="0"/>
                    <w:right w:val="single" w:color="auto" w:sz="4" w:space="0"/>
                  </w:tcBorders>
                  <w:noWrap w:val="0"/>
                  <w:vAlign w:val="center"/>
                </w:tcPr>
                <w:p w14:paraId="750687D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72.00</w:t>
                  </w:r>
                </w:p>
              </w:tc>
              <w:tc>
                <w:tcPr>
                  <w:tcW w:w="1635" w:type="dxa"/>
                  <w:tcBorders>
                    <w:top w:val="single" w:color="auto" w:sz="4" w:space="0"/>
                    <w:left w:val="nil"/>
                    <w:bottom w:val="single" w:color="auto" w:sz="4" w:space="0"/>
                    <w:right w:val="single" w:color="auto" w:sz="4" w:space="0"/>
                  </w:tcBorders>
                  <w:noWrap w:val="0"/>
                  <w:vAlign w:val="center"/>
                </w:tcPr>
                <w:p w14:paraId="6C866951">
                  <w:pPr>
                    <w:adjustRightInd w:val="0"/>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lang w:val="en-US" w:eastAsia="zh-CN"/>
                    </w:rPr>
                    <w:t>隔声、减震</w:t>
                  </w:r>
                </w:p>
              </w:tc>
              <w:tc>
                <w:tcPr>
                  <w:tcW w:w="870" w:type="dxa"/>
                  <w:tcBorders>
                    <w:top w:val="single" w:color="auto" w:sz="4" w:space="0"/>
                    <w:left w:val="nil"/>
                    <w:bottom w:val="single" w:color="auto" w:sz="4" w:space="0"/>
                    <w:right w:val="single" w:color="auto" w:sz="4" w:space="0"/>
                  </w:tcBorders>
                  <w:noWrap w:val="0"/>
                  <w:vAlign w:val="center"/>
                </w:tcPr>
                <w:p w14:paraId="68C7014D">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20</w:t>
                  </w:r>
                </w:p>
              </w:tc>
              <w:tc>
                <w:tcPr>
                  <w:tcW w:w="957" w:type="dxa"/>
                  <w:tcBorders>
                    <w:top w:val="single" w:color="auto" w:sz="4" w:space="0"/>
                    <w:left w:val="nil"/>
                    <w:bottom w:val="single" w:color="auto" w:sz="4" w:space="0"/>
                    <w:right w:val="single" w:color="auto" w:sz="4" w:space="0"/>
                  </w:tcBorders>
                  <w:noWrap w:val="0"/>
                  <w:vAlign w:val="center"/>
                </w:tcPr>
                <w:p w14:paraId="34EFA94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52</w:t>
                  </w:r>
                </w:p>
              </w:tc>
            </w:tr>
            <w:tr w14:paraId="63A7E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898" w:type="dxa"/>
                  <w:tcBorders>
                    <w:top w:val="single" w:color="auto" w:sz="4" w:space="0"/>
                    <w:left w:val="single" w:color="auto" w:sz="4" w:space="0"/>
                    <w:bottom w:val="single" w:color="auto" w:sz="4" w:space="0"/>
                    <w:right w:val="single" w:color="auto" w:sz="4" w:space="0"/>
                  </w:tcBorders>
                  <w:noWrap w:val="0"/>
                  <w:vAlign w:val="center"/>
                </w:tcPr>
                <w:p w14:paraId="48777DC2">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cs="Times New Roman"/>
                      <w:bCs/>
                      <w:color w:val="auto"/>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电焊机</w:t>
                  </w:r>
                </w:p>
              </w:tc>
              <w:tc>
                <w:tcPr>
                  <w:tcW w:w="735" w:type="dxa"/>
                  <w:tcBorders>
                    <w:top w:val="single" w:color="auto" w:sz="4" w:space="0"/>
                    <w:left w:val="nil"/>
                    <w:bottom w:val="single" w:color="auto" w:sz="4" w:space="0"/>
                    <w:right w:val="single" w:color="auto" w:sz="4" w:space="0"/>
                  </w:tcBorders>
                  <w:noWrap w:val="0"/>
                  <w:vAlign w:val="center"/>
                </w:tcPr>
                <w:p w14:paraId="78DDF303">
                  <w:pPr>
                    <w:keepNext w:val="0"/>
                    <w:keepLines w:val="0"/>
                    <w:widowControl/>
                    <w:suppressLineNumbers w:val="0"/>
                    <w:jc w:val="center"/>
                    <w:textAlignment w:val="center"/>
                    <w:rPr>
                      <w:rFonts w:hint="default" w:ascii="Times New Roman" w:hAnsi="Times New Roman" w:cs="Times New Roman"/>
                      <w:bCs/>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2台</w:t>
                  </w:r>
                </w:p>
              </w:tc>
              <w:tc>
                <w:tcPr>
                  <w:tcW w:w="1125" w:type="dxa"/>
                  <w:tcBorders>
                    <w:top w:val="single" w:color="auto" w:sz="4" w:space="0"/>
                    <w:left w:val="nil"/>
                    <w:bottom w:val="single" w:color="auto" w:sz="4" w:space="0"/>
                    <w:right w:val="single" w:color="auto" w:sz="4" w:space="0"/>
                  </w:tcBorders>
                  <w:noWrap w:val="0"/>
                  <w:vAlign w:val="center"/>
                </w:tcPr>
                <w:p w14:paraId="4C2C101C">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生产车间</w:t>
                  </w:r>
                </w:p>
              </w:tc>
              <w:tc>
                <w:tcPr>
                  <w:tcW w:w="1020" w:type="dxa"/>
                  <w:tcBorders>
                    <w:top w:val="single" w:color="auto" w:sz="4" w:space="0"/>
                    <w:left w:val="nil"/>
                    <w:bottom w:val="single" w:color="auto" w:sz="4" w:space="0"/>
                    <w:right w:val="single" w:color="auto" w:sz="4" w:space="0"/>
                  </w:tcBorders>
                  <w:noWrap w:val="0"/>
                  <w:vAlign w:val="center"/>
                </w:tcPr>
                <w:p w14:paraId="0B1D0048">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72</w:t>
                  </w:r>
                </w:p>
              </w:tc>
              <w:tc>
                <w:tcPr>
                  <w:tcW w:w="937" w:type="dxa"/>
                  <w:tcBorders>
                    <w:top w:val="single" w:color="auto" w:sz="4" w:space="0"/>
                    <w:left w:val="nil"/>
                    <w:bottom w:val="single" w:color="auto" w:sz="4" w:space="0"/>
                    <w:right w:val="single" w:color="auto" w:sz="4" w:space="0"/>
                  </w:tcBorders>
                  <w:noWrap w:val="0"/>
                  <w:vAlign w:val="center"/>
                </w:tcPr>
                <w:p w14:paraId="329AFE4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75.01</w:t>
                  </w:r>
                </w:p>
              </w:tc>
              <w:tc>
                <w:tcPr>
                  <w:tcW w:w="1635" w:type="dxa"/>
                  <w:tcBorders>
                    <w:top w:val="single" w:color="auto" w:sz="4" w:space="0"/>
                    <w:left w:val="nil"/>
                    <w:bottom w:val="single" w:color="auto" w:sz="4" w:space="0"/>
                    <w:right w:val="single" w:color="auto" w:sz="4" w:space="0"/>
                  </w:tcBorders>
                  <w:noWrap w:val="0"/>
                  <w:vAlign w:val="center"/>
                </w:tcPr>
                <w:p w14:paraId="5B0FB42A">
                  <w:pPr>
                    <w:adjustRightInd w:val="0"/>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lang w:val="en-US" w:eastAsia="zh-CN"/>
                    </w:rPr>
                    <w:t>隔声、减震</w:t>
                  </w:r>
                </w:p>
              </w:tc>
              <w:tc>
                <w:tcPr>
                  <w:tcW w:w="870" w:type="dxa"/>
                  <w:tcBorders>
                    <w:top w:val="single" w:color="auto" w:sz="4" w:space="0"/>
                    <w:left w:val="nil"/>
                    <w:bottom w:val="single" w:color="auto" w:sz="4" w:space="0"/>
                    <w:right w:val="single" w:color="auto" w:sz="4" w:space="0"/>
                  </w:tcBorders>
                  <w:noWrap w:val="0"/>
                  <w:vAlign w:val="center"/>
                </w:tcPr>
                <w:p w14:paraId="22150165">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20</w:t>
                  </w:r>
                </w:p>
              </w:tc>
              <w:tc>
                <w:tcPr>
                  <w:tcW w:w="957" w:type="dxa"/>
                  <w:tcBorders>
                    <w:top w:val="single" w:color="auto" w:sz="4" w:space="0"/>
                    <w:left w:val="nil"/>
                    <w:bottom w:val="single" w:color="auto" w:sz="4" w:space="0"/>
                    <w:right w:val="single" w:color="auto" w:sz="4" w:space="0"/>
                  </w:tcBorders>
                  <w:noWrap w:val="0"/>
                  <w:vAlign w:val="center"/>
                </w:tcPr>
                <w:p w14:paraId="501E484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55.01</w:t>
                  </w:r>
                </w:p>
              </w:tc>
            </w:tr>
            <w:tr w14:paraId="5995A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1898" w:type="dxa"/>
                  <w:tcBorders>
                    <w:top w:val="single" w:color="auto" w:sz="4" w:space="0"/>
                    <w:left w:val="single" w:color="auto" w:sz="4" w:space="0"/>
                    <w:bottom w:val="single" w:color="auto" w:sz="4" w:space="0"/>
                    <w:right w:val="single" w:color="auto" w:sz="4" w:space="0"/>
                  </w:tcBorders>
                  <w:noWrap w:val="0"/>
                  <w:vAlign w:val="center"/>
                </w:tcPr>
                <w:p w14:paraId="6002AFB2">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cs="Times New Roman"/>
                      <w:bCs/>
                      <w:color w:val="auto"/>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CO</w:t>
                  </w:r>
                  <w:r>
                    <w:rPr>
                      <w:rFonts w:hint="default" w:ascii="Times New Roman" w:hAnsi="Times New Roman" w:eastAsia="宋体" w:cs="Times New Roman"/>
                      <w:color w:val="auto"/>
                      <w:kern w:val="2"/>
                      <w:sz w:val="21"/>
                      <w:szCs w:val="21"/>
                      <w:highlight w:val="none"/>
                      <w:vertAlign w:val="subscript"/>
                      <w:lang w:val="en-US" w:eastAsia="zh-CN" w:bidi="ar-SA"/>
                    </w:rPr>
                    <w:t>2</w:t>
                  </w:r>
                  <w:r>
                    <w:rPr>
                      <w:rFonts w:hint="default" w:ascii="Times New Roman" w:hAnsi="Times New Roman" w:eastAsia="宋体" w:cs="Times New Roman"/>
                      <w:color w:val="auto"/>
                      <w:kern w:val="2"/>
                      <w:sz w:val="21"/>
                      <w:szCs w:val="21"/>
                      <w:highlight w:val="none"/>
                      <w:lang w:val="en-US" w:eastAsia="zh-CN" w:bidi="ar-SA"/>
                    </w:rPr>
                    <w:t>气体保护焊</w:t>
                  </w:r>
                </w:p>
              </w:tc>
              <w:tc>
                <w:tcPr>
                  <w:tcW w:w="735" w:type="dxa"/>
                  <w:tcBorders>
                    <w:top w:val="single" w:color="auto" w:sz="4" w:space="0"/>
                    <w:left w:val="nil"/>
                    <w:bottom w:val="single" w:color="auto" w:sz="4" w:space="0"/>
                    <w:right w:val="single" w:color="auto" w:sz="4" w:space="0"/>
                  </w:tcBorders>
                  <w:noWrap w:val="0"/>
                  <w:vAlign w:val="center"/>
                </w:tcPr>
                <w:p w14:paraId="3EFBE8EE">
                  <w:pPr>
                    <w:pStyle w:val="16"/>
                    <w:keepNext w:val="0"/>
                    <w:keepLines w:val="0"/>
                    <w:pageBreakBefore w:val="0"/>
                    <w:kinsoku/>
                    <w:wordWrap/>
                    <w:overflowPunct/>
                    <w:topLinePunct w:val="0"/>
                    <w:autoSpaceDE/>
                    <w:autoSpaceDN/>
                    <w:bidi w:val="0"/>
                    <w:spacing w:before="0" w:after="0" w:line="240" w:lineRule="auto"/>
                    <w:ind w:right="0" w:rightChars="0"/>
                    <w:jc w:val="center"/>
                    <w:textAlignment w:val="auto"/>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color w:val="auto"/>
                      <w:kern w:val="2"/>
                      <w:sz w:val="21"/>
                      <w:szCs w:val="21"/>
                      <w:highlight w:val="none"/>
                      <w:lang w:val="en-US" w:eastAsia="zh-CN" w:bidi="ar-SA"/>
                    </w:rPr>
                    <w:t>5</w:t>
                  </w:r>
                  <w:r>
                    <w:rPr>
                      <w:rFonts w:hint="default" w:ascii="Times New Roman" w:hAnsi="Times New Roman" w:eastAsia="宋体" w:cs="Times New Roman"/>
                      <w:i w:val="0"/>
                      <w:iCs w:val="0"/>
                      <w:color w:val="auto"/>
                      <w:kern w:val="0"/>
                      <w:sz w:val="21"/>
                      <w:szCs w:val="21"/>
                      <w:highlight w:val="none"/>
                      <w:u w:val="none"/>
                      <w:lang w:val="en-US" w:eastAsia="zh-CN" w:bidi="ar"/>
                    </w:rPr>
                    <w:t>台</w:t>
                  </w:r>
                </w:p>
              </w:tc>
              <w:tc>
                <w:tcPr>
                  <w:tcW w:w="1125" w:type="dxa"/>
                  <w:tcBorders>
                    <w:top w:val="single" w:color="auto" w:sz="4" w:space="0"/>
                    <w:left w:val="nil"/>
                    <w:bottom w:val="single" w:color="auto" w:sz="4" w:space="0"/>
                    <w:right w:val="single" w:color="auto" w:sz="4" w:space="0"/>
                  </w:tcBorders>
                  <w:noWrap w:val="0"/>
                  <w:vAlign w:val="center"/>
                </w:tcPr>
                <w:p w14:paraId="4DDD3093">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生产车间</w:t>
                  </w:r>
                </w:p>
              </w:tc>
              <w:tc>
                <w:tcPr>
                  <w:tcW w:w="1020" w:type="dxa"/>
                  <w:tcBorders>
                    <w:top w:val="single" w:color="auto" w:sz="4" w:space="0"/>
                    <w:left w:val="nil"/>
                    <w:bottom w:val="single" w:color="auto" w:sz="4" w:space="0"/>
                    <w:right w:val="single" w:color="auto" w:sz="4" w:space="0"/>
                  </w:tcBorders>
                  <w:noWrap w:val="0"/>
                  <w:vAlign w:val="center"/>
                </w:tcPr>
                <w:p w14:paraId="17636067">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72</w:t>
                  </w:r>
                </w:p>
              </w:tc>
              <w:tc>
                <w:tcPr>
                  <w:tcW w:w="937" w:type="dxa"/>
                  <w:tcBorders>
                    <w:top w:val="single" w:color="auto" w:sz="4" w:space="0"/>
                    <w:left w:val="nil"/>
                    <w:bottom w:val="single" w:color="auto" w:sz="4" w:space="0"/>
                    <w:right w:val="single" w:color="auto" w:sz="4" w:space="0"/>
                  </w:tcBorders>
                  <w:noWrap w:val="0"/>
                  <w:vAlign w:val="center"/>
                </w:tcPr>
                <w:p w14:paraId="1DD213E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78.99</w:t>
                  </w:r>
                </w:p>
              </w:tc>
              <w:tc>
                <w:tcPr>
                  <w:tcW w:w="1635" w:type="dxa"/>
                  <w:tcBorders>
                    <w:top w:val="single" w:color="auto" w:sz="4" w:space="0"/>
                    <w:left w:val="nil"/>
                    <w:bottom w:val="single" w:color="auto" w:sz="4" w:space="0"/>
                    <w:right w:val="single" w:color="auto" w:sz="4" w:space="0"/>
                  </w:tcBorders>
                  <w:noWrap w:val="0"/>
                  <w:vAlign w:val="center"/>
                </w:tcPr>
                <w:p w14:paraId="08C55233">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隔声、减震</w:t>
                  </w:r>
                </w:p>
              </w:tc>
              <w:tc>
                <w:tcPr>
                  <w:tcW w:w="870" w:type="dxa"/>
                  <w:tcBorders>
                    <w:top w:val="single" w:color="auto" w:sz="4" w:space="0"/>
                    <w:left w:val="nil"/>
                    <w:bottom w:val="single" w:color="auto" w:sz="4" w:space="0"/>
                    <w:right w:val="single" w:color="auto" w:sz="4" w:space="0"/>
                  </w:tcBorders>
                  <w:noWrap w:val="0"/>
                  <w:vAlign w:val="center"/>
                </w:tcPr>
                <w:p w14:paraId="21FEA43B">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20</w:t>
                  </w:r>
                </w:p>
              </w:tc>
              <w:tc>
                <w:tcPr>
                  <w:tcW w:w="957" w:type="dxa"/>
                  <w:tcBorders>
                    <w:top w:val="single" w:color="auto" w:sz="4" w:space="0"/>
                    <w:left w:val="nil"/>
                    <w:bottom w:val="single" w:color="auto" w:sz="4" w:space="0"/>
                    <w:right w:val="single" w:color="auto" w:sz="4" w:space="0"/>
                  </w:tcBorders>
                  <w:noWrap w:val="0"/>
                  <w:vAlign w:val="center"/>
                </w:tcPr>
                <w:p w14:paraId="7BEE1E5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58.99</w:t>
                  </w:r>
                </w:p>
              </w:tc>
            </w:tr>
            <w:tr w14:paraId="635D7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898" w:type="dxa"/>
                  <w:tcBorders>
                    <w:top w:val="single" w:color="auto" w:sz="4" w:space="0"/>
                    <w:left w:val="single" w:color="auto" w:sz="4" w:space="0"/>
                    <w:bottom w:val="single" w:color="auto" w:sz="4" w:space="0"/>
                    <w:right w:val="single" w:color="auto" w:sz="4" w:space="0"/>
                  </w:tcBorders>
                  <w:noWrap w:val="0"/>
                  <w:vAlign w:val="center"/>
                </w:tcPr>
                <w:p w14:paraId="4D285F24">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密闭砂石输送带</w:t>
                  </w:r>
                </w:p>
              </w:tc>
              <w:tc>
                <w:tcPr>
                  <w:tcW w:w="735" w:type="dxa"/>
                  <w:tcBorders>
                    <w:top w:val="single" w:color="auto" w:sz="4" w:space="0"/>
                    <w:left w:val="nil"/>
                    <w:bottom w:val="single" w:color="auto" w:sz="4" w:space="0"/>
                    <w:right w:val="single" w:color="auto" w:sz="4" w:space="0"/>
                  </w:tcBorders>
                  <w:noWrap w:val="0"/>
                  <w:vAlign w:val="center"/>
                </w:tcPr>
                <w:p w14:paraId="27264C65">
                  <w:pPr>
                    <w:pStyle w:val="16"/>
                    <w:keepNext w:val="0"/>
                    <w:keepLines w:val="0"/>
                    <w:pageBreakBefore w:val="0"/>
                    <w:kinsoku/>
                    <w:wordWrap/>
                    <w:overflowPunct/>
                    <w:topLinePunct w:val="0"/>
                    <w:autoSpaceDE/>
                    <w:autoSpaceDN/>
                    <w:bidi w:val="0"/>
                    <w:spacing w:before="0" w:after="0" w:line="240" w:lineRule="auto"/>
                    <w:ind w:right="0" w:rightChars="0"/>
                    <w:jc w:val="center"/>
                    <w:textAlignment w:val="auto"/>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color w:val="auto"/>
                      <w:kern w:val="2"/>
                      <w:sz w:val="21"/>
                      <w:szCs w:val="21"/>
                      <w:highlight w:val="none"/>
                      <w:lang w:val="en-US" w:eastAsia="zh-CN" w:bidi="ar-SA"/>
                    </w:rPr>
                    <w:t>2</w:t>
                  </w:r>
                  <w:r>
                    <w:rPr>
                      <w:rFonts w:hint="default" w:ascii="Times New Roman" w:hAnsi="Times New Roman" w:eastAsia="宋体" w:cs="Times New Roman"/>
                      <w:i w:val="0"/>
                      <w:iCs w:val="0"/>
                      <w:color w:val="auto"/>
                      <w:kern w:val="0"/>
                      <w:sz w:val="21"/>
                      <w:szCs w:val="21"/>
                      <w:highlight w:val="none"/>
                      <w:u w:val="none"/>
                      <w:lang w:val="en-US" w:eastAsia="zh-CN" w:bidi="ar"/>
                    </w:rPr>
                    <w:t>条</w:t>
                  </w:r>
                </w:p>
              </w:tc>
              <w:tc>
                <w:tcPr>
                  <w:tcW w:w="1125" w:type="dxa"/>
                  <w:tcBorders>
                    <w:top w:val="single" w:color="auto" w:sz="4" w:space="0"/>
                    <w:left w:val="nil"/>
                    <w:bottom w:val="single" w:color="auto" w:sz="4" w:space="0"/>
                    <w:right w:val="single" w:color="auto" w:sz="4" w:space="0"/>
                  </w:tcBorders>
                  <w:noWrap w:val="0"/>
                  <w:vAlign w:val="center"/>
                </w:tcPr>
                <w:p w14:paraId="7D769609">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生产车间</w:t>
                  </w:r>
                </w:p>
              </w:tc>
              <w:tc>
                <w:tcPr>
                  <w:tcW w:w="1020" w:type="dxa"/>
                  <w:tcBorders>
                    <w:top w:val="single" w:color="auto" w:sz="4" w:space="0"/>
                    <w:left w:val="nil"/>
                    <w:bottom w:val="single" w:color="auto" w:sz="4" w:space="0"/>
                    <w:right w:val="single" w:color="auto" w:sz="4" w:space="0"/>
                  </w:tcBorders>
                  <w:noWrap w:val="0"/>
                  <w:vAlign w:val="center"/>
                </w:tcPr>
                <w:p w14:paraId="76333BBE">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65</w:t>
                  </w:r>
                </w:p>
              </w:tc>
              <w:tc>
                <w:tcPr>
                  <w:tcW w:w="937" w:type="dxa"/>
                  <w:tcBorders>
                    <w:top w:val="single" w:color="auto" w:sz="4" w:space="0"/>
                    <w:left w:val="nil"/>
                    <w:bottom w:val="single" w:color="auto" w:sz="4" w:space="0"/>
                    <w:right w:val="single" w:color="auto" w:sz="4" w:space="0"/>
                  </w:tcBorders>
                  <w:noWrap w:val="0"/>
                  <w:vAlign w:val="center"/>
                </w:tcPr>
                <w:p w14:paraId="4A67D00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68.01</w:t>
                  </w:r>
                </w:p>
              </w:tc>
              <w:tc>
                <w:tcPr>
                  <w:tcW w:w="1635" w:type="dxa"/>
                  <w:tcBorders>
                    <w:top w:val="single" w:color="auto" w:sz="4" w:space="0"/>
                    <w:left w:val="nil"/>
                    <w:bottom w:val="single" w:color="auto" w:sz="4" w:space="0"/>
                    <w:right w:val="single" w:color="auto" w:sz="4" w:space="0"/>
                  </w:tcBorders>
                  <w:noWrap w:val="0"/>
                  <w:vAlign w:val="center"/>
                </w:tcPr>
                <w:p w14:paraId="5F3F56E0">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隔声、减震</w:t>
                  </w:r>
                </w:p>
              </w:tc>
              <w:tc>
                <w:tcPr>
                  <w:tcW w:w="870" w:type="dxa"/>
                  <w:tcBorders>
                    <w:top w:val="single" w:color="auto" w:sz="4" w:space="0"/>
                    <w:left w:val="nil"/>
                    <w:bottom w:val="single" w:color="auto" w:sz="4" w:space="0"/>
                    <w:right w:val="single" w:color="auto" w:sz="4" w:space="0"/>
                  </w:tcBorders>
                  <w:noWrap w:val="0"/>
                  <w:vAlign w:val="center"/>
                </w:tcPr>
                <w:p w14:paraId="4BED6410">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20</w:t>
                  </w:r>
                </w:p>
              </w:tc>
              <w:tc>
                <w:tcPr>
                  <w:tcW w:w="957" w:type="dxa"/>
                  <w:tcBorders>
                    <w:top w:val="single" w:color="auto" w:sz="4" w:space="0"/>
                    <w:left w:val="nil"/>
                    <w:bottom w:val="single" w:color="auto" w:sz="4" w:space="0"/>
                    <w:right w:val="single" w:color="auto" w:sz="4" w:space="0"/>
                  </w:tcBorders>
                  <w:noWrap w:val="0"/>
                  <w:vAlign w:val="center"/>
                </w:tcPr>
                <w:p w14:paraId="23864C8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48.01</w:t>
                  </w:r>
                </w:p>
              </w:tc>
            </w:tr>
            <w:tr w14:paraId="49974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1898" w:type="dxa"/>
                  <w:tcBorders>
                    <w:top w:val="single" w:color="auto" w:sz="4" w:space="0"/>
                    <w:left w:val="single" w:color="auto" w:sz="4" w:space="0"/>
                    <w:bottom w:val="single" w:color="auto" w:sz="4" w:space="0"/>
                    <w:right w:val="single" w:color="auto" w:sz="4" w:space="0"/>
                  </w:tcBorders>
                  <w:noWrap w:val="0"/>
                  <w:vAlign w:val="center"/>
                </w:tcPr>
                <w:p w14:paraId="3284D11F">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2m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搅拌机</w:t>
                  </w:r>
                </w:p>
              </w:tc>
              <w:tc>
                <w:tcPr>
                  <w:tcW w:w="735" w:type="dxa"/>
                  <w:tcBorders>
                    <w:top w:val="single" w:color="auto" w:sz="4" w:space="0"/>
                    <w:left w:val="nil"/>
                    <w:bottom w:val="single" w:color="auto" w:sz="4" w:space="0"/>
                    <w:right w:val="single" w:color="auto" w:sz="4" w:space="0"/>
                  </w:tcBorders>
                  <w:noWrap w:val="0"/>
                  <w:vAlign w:val="center"/>
                </w:tcPr>
                <w:p w14:paraId="54842266">
                  <w:pPr>
                    <w:pStyle w:val="16"/>
                    <w:keepNext w:val="0"/>
                    <w:keepLines w:val="0"/>
                    <w:pageBreakBefore w:val="0"/>
                    <w:kinsoku/>
                    <w:wordWrap/>
                    <w:overflowPunct/>
                    <w:topLinePunct w:val="0"/>
                    <w:autoSpaceDE/>
                    <w:autoSpaceDN/>
                    <w:bidi w:val="0"/>
                    <w:spacing w:before="0" w:after="0" w:line="240" w:lineRule="auto"/>
                    <w:ind w:right="0" w:rightChars="0"/>
                    <w:jc w:val="center"/>
                    <w:textAlignment w:val="auto"/>
                    <w:rPr>
                      <w:rFonts w:hint="default" w:ascii="Times New Roman" w:hAnsi="Times New Roman" w:cs="Times New Roman"/>
                      <w:bCs/>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2</w:t>
                  </w:r>
                  <w:r>
                    <w:rPr>
                      <w:rFonts w:hint="default" w:ascii="Times New Roman" w:hAnsi="Times New Roman" w:eastAsia="宋体" w:cs="Times New Roman"/>
                      <w:i w:val="0"/>
                      <w:iCs w:val="0"/>
                      <w:color w:val="auto"/>
                      <w:kern w:val="0"/>
                      <w:sz w:val="21"/>
                      <w:szCs w:val="21"/>
                      <w:highlight w:val="none"/>
                      <w:u w:val="none"/>
                      <w:lang w:val="en-US" w:eastAsia="zh-CN" w:bidi="ar"/>
                    </w:rPr>
                    <w:t>台</w:t>
                  </w:r>
                </w:p>
              </w:tc>
              <w:tc>
                <w:tcPr>
                  <w:tcW w:w="1125" w:type="dxa"/>
                  <w:tcBorders>
                    <w:top w:val="single" w:color="auto" w:sz="4" w:space="0"/>
                    <w:left w:val="nil"/>
                    <w:bottom w:val="single" w:color="auto" w:sz="4" w:space="0"/>
                    <w:right w:val="single" w:color="auto" w:sz="4" w:space="0"/>
                  </w:tcBorders>
                  <w:noWrap w:val="0"/>
                  <w:vAlign w:val="center"/>
                </w:tcPr>
                <w:p w14:paraId="5EAEFCD8">
                  <w:pPr>
                    <w:adjustRightInd w:val="0"/>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lang w:val="en-US" w:eastAsia="zh-CN"/>
                    </w:rPr>
                    <w:t>生产车间</w:t>
                  </w:r>
                </w:p>
              </w:tc>
              <w:tc>
                <w:tcPr>
                  <w:tcW w:w="1020" w:type="dxa"/>
                  <w:tcBorders>
                    <w:top w:val="single" w:color="auto" w:sz="4" w:space="0"/>
                    <w:left w:val="nil"/>
                    <w:bottom w:val="single" w:color="auto" w:sz="4" w:space="0"/>
                    <w:right w:val="single" w:color="auto" w:sz="4" w:space="0"/>
                  </w:tcBorders>
                  <w:noWrap w:val="0"/>
                  <w:vAlign w:val="center"/>
                </w:tcPr>
                <w:p w14:paraId="3FCD65F1">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85</w:t>
                  </w:r>
                </w:p>
              </w:tc>
              <w:tc>
                <w:tcPr>
                  <w:tcW w:w="937" w:type="dxa"/>
                  <w:tcBorders>
                    <w:top w:val="single" w:color="auto" w:sz="4" w:space="0"/>
                    <w:left w:val="nil"/>
                    <w:bottom w:val="single" w:color="auto" w:sz="4" w:space="0"/>
                    <w:right w:val="single" w:color="auto" w:sz="4" w:space="0"/>
                  </w:tcBorders>
                  <w:noWrap w:val="0"/>
                  <w:vAlign w:val="center"/>
                </w:tcPr>
                <w:p w14:paraId="11DB07C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88.01</w:t>
                  </w:r>
                </w:p>
              </w:tc>
              <w:tc>
                <w:tcPr>
                  <w:tcW w:w="1635" w:type="dxa"/>
                  <w:tcBorders>
                    <w:top w:val="single" w:color="auto" w:sz="4" w:space="0"/>
                    <w:left w:val="nil"/>
                    <w:bottom w:val="single" w:color="auto" w:sz="4" w:space="0"/>
                    <w:right w:val="single" w:color="auto" w:sz="4" w:space="0"/>
                  </w:tcBorders>
                  <w:noWrap w:val="0"/>
                  <w:vAlign w:val="center"/>
                </w:tcPr>
                <w:p w14:paraId="4F597311">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隔声、减震</w:t>
                  </w:r>
                </w:p>
              </w:tc>
              <w:tc>
                <w:tcPr>
                  <w:tcW w:w="870" w:type="dxa"/>
                  <w:tcBorders>
                    <w:top w:val="single" w:color="auto" w:sz="4" w:space="0"/>
                    <w:left w:val="nil"/>
                    <w:bottom w:val="single" w:color="auto" w:sz="4" w:space="0"/>
                    <w:right w:val="single" w:color="auto" w:sz="4" w:space="0"/>
                  </w:tcBorders>
                  <w:noWrap w:val="0"/>
                  <w:vAlign w:val="center"/>
                </w:tcPr>
                <w:p w14:paraId="6A23F4C0">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20</w:t>
                  </w:r>
                </w:p>
              </w:tc>
              <w:tc>
                <w:tcPr>
                  <w:tcW w:w="957" w:type="dxa"/>
                  <w:tcBorders>
                    <w:top w:val="single" w:color="auto" w:sz="4" w:space="0"/>
                    <w:left w:val="nil"/>
                    <w:bottom w:val="single" w:color="auto" w:sz="4" w:space="0"/>
                    <w:right w:val="single" w:color="auto" w:sz="4" w:space="0"/>
                  </w:tcBorders>
                  <w:noWrap w:val="0"/>
                  <w:vAlign w:val="center"/>
                </w:tcPr>
                <w:p w14:paraId="219F197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68.01</w:t>
                  </w:r>
                </w:p>
              </w:tc>
            </w:tr>
            <w:tr w14:paraId="1FB0D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1898" w:type="dxa"/>
                  <w:tcBorders>
                    <w:top w:val="single" w:color="auto" w:sz="4" w:space="0"/>
                    <w:left w:val="single" w:color="auto" w:sz="4" w:space="0"/>
                    <w:bottom w:val="single" w:color="auto" w:sz="4" w:space="0"/>
                    <w:right w:val="single" w:color="auto" w:sz="4" w:space="0"/>
                  </w:tcBorders>
                  <w:noWrap w:val="0"/>
                  <w:vAlign w:val="center"/>
                </w:tcPr>
                <w:p w14:paraId="455DD7AF">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水泥筒仓</w:t>
                  </w:r>
                </w:p>
              </w:tc>
              <w:tc>
                <w:tcPr>
                  <w:tcW w:w="735" w:type="dxa"/>
                  <w:tcBorders>
                    <w:top w:val="single" w:color="auto" w:sz="4" w:space="0"/>
                    <w:left w:val="nil"/>
                    <w:bottom w:val="single" w:color="auto" w:sz="4" w:space="0"/>
                    <w:right w:val="single" w:color="auto" w:sz="4" w:space="0"/>
                  </w:tcBorders>
                  <w:noWrap w:val="0"/>
                  <w:vAlign w:val="center"/>
                </w:tcPr>
                <w:p w14:paraId="38B99E6C">
                  <w:pPr>
                    <w:keepNext w:val="0"/>
                    <w:keepLines w:val="0"/>
                    <w:pageBreakBefore w:val="0"/>
                    <w:widowControl/>
                    <w:kinsoku/>
                    <w:wordWrap/>
                    <w:overflowPunct/>
                    <w:topLinePunct w:val="0"/>
                    <w:autoSpaceDE/>
                    <w:autoSpaceDN/>
                    <w:bidi w:val="0"/>
                    <w:ind w:right="0" w:rightChars="0"/>
                    <w:jc w:val="center"/>
                    <w:textAlignment w:val="auto"/>
                    <w:rPr>
                      <w:rFonts w:hint="default" w:ascii="Times New Roman" w:hAnsi="Times New Roman" w:cs="Times New Roman"/>
                      <w:color w:val="auto"/>
                      <w:kern w:val="2"/>
                      <w:sz w:val="21"/>
                      <w:szCs w:val="21"/>
                      <w:highlight w:val="none"/>
                      <w:lang w:val="en-US" w:eastAsia="zh-CN" w:bidi="ar-SA"/>
                    </w:rPr>
                  </w:pPr>
                  <w:r>
                    <w:rPr>
                      <w:rFonts w:hint="eastAsia" w:ascii="Times New Roman" w:hAnsi="Times New Roman" w:cs="Times New Roman"/>
                      <w:color w:val="auto"/>
                      <w:kern w:val="0"/>
                      <w:szCs w:val="21"/>
                      <w:highlight w:val="none"/>
                      <w:lang w:val="en-US" w:eastAsia="zh-CN"/>
                    </w:rPr>
                    <w:t>4台</w:t>
                  </w:r>
                </w:p>
              </w:tc>
              <w:tc>
                <w:tcPr>
                  <w:tcW w:w="1125" w:type="dxa"/>
                  <w:tcBorders>
                    <w:top w:val="single" w:color="auto" w:sz="4" w:space="0"/>
                    <w:left w:val="nil"/>
                    <w:bottom w:val="single" w:color="auto" w:sz="4" w:space="0"/>
                    <w:right w:val="single" w:color="auto" w:sz="4" w:space="0"/>
                  </w:tcBorders>
                  <w:noWrap w:val="0"/>
                  <w:vAlign w:val="center"/>
                </w:tcPr>
                <w:p w14:paraId="35FD0684">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生产车间</w:t>
                  </w:r>
                </w:p>
              </w:tc>
              <w:tc>
                <w:tcPr>
                  <w:tcW w:w="1020" w:type="dxa"/>
                  <w:tcBorders>
                    <w:top w:val="single" w:color="auto" w:sz="4" w:space="0"/>
                    <w:left w:val="nil"/>
                    <w:bottom w:val="single" w:color="auto" w:sz="4" w:space="0"/>
                    <w:right w:val="single" w:color="auto" w:sz="4" w:space="0"/>
                  </w:tcBorders>
                  <w:noWrap w:val="0"/>
                  <w:vAlign w:val="center"/>
                </w:tcPr>
                <w:p w14:paraId="0DD5135F">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55</w:t>
                  </w:r>
                </w:p>
              </w:tc>
              <w:tc>
                <w:tcPr>
                  <w:tcW w:w="937" w:type="dxa"/>
                  <w:tcBorders>
                    <w:top w:val="single" w:color="auto" w:sz="4" w:space="0"/>
                    <w:left w:val="nil"/>
                    <w:bottom w:val="single" w:color="auto" w:sz="4" w:space="0"/>
                    <w:right w:val="single" w:color="auto" w:sz="4" w:space="0"/>
                  </w:tcBorders>
                  <w:noWrap w:val="0"/>
                  <w:vAlign w:val="center"/>
                </w:tcPr>
                <w:p w14:paraId="4040763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61.02</w:t>
                  </w:r>
                </w:p>
              </w:tc>
              <w:tc>
                <w:tcPr>
                  <w:tcW w:w="1635" w:type="dxa"/>
                  <w:tcBorders>
                    <w:top w:val="single" w:color="auto" w:sz="4" w:space="0"/>
                    <w:left w:val="nil"/>
                    <w:bottom w:val="single" w:color="auto" w:sz="4" w:space="0"/>
                    <w:right w:val="single" w:color="auto" w:sz="4" w:space="0"/>
                  </w:tcBorders>
                  <w:noWrap w:val="0"/>
                  <w:vAlign w:val="center"/>
                </w:tcPr>
                <w:p w14:paraId="2E3B3C67">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隔声、减震</w:t>
                  </w:r>
                </w:p>
              </w:tc>
              <w:tc>
                <w:tcPr>
                  <w:tcW w:w="870" w:type="dxa"/>
                  <w:tcBorders>
                    <w:top w:val="single" w:color="auto" w:sz="4" w:space="0"/>
                    <w:left w:val="nil"/>
                    <w:bottom w:val="single" w:color="auto" w:sz="4" w:space="0"/>
                    <w:right w:val="single" w:color="auto" w:sz="4" w:space="0"/>
                  </w:tcBorders>
                  <w:noWrap w:val="0"/>
                  <w:vAlign w:val="center"/>
                </w:tcPr>
                <w:p w14:paraId="57E6D7CC">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20</w:t>
                  </w:r>
                </w:p>
              </w:tc>
              <w:tc>
                <w:tcPr>
                  <w:tcW w:w="957" w:type="dxa"/>
                  <w:tcBorders>
                    <w:top w:val="single" w:color="auto" w:sz="4" w:space="0"/>
                    <w:left w:val="nil"/>
                    <w:bottom w:val="single" w:color="auto" w:sz="4" w:space="0"/>
                    <w:right w:val="single" w:color="auto" w:sz="4" w:space="0"/>
                  </w:tcBorders>
                  <w:noWrap w:val="0"/>
                  <w:vAlign w:val="center"/>
                </w:tcPr>
                <w:p w14:paraId="2AAE3A3D">
                  <w:pPr>
                    <w:adjustRightInd w:val="0"/>
                    <w:snapToGrid w:val="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bCs/>
                      <w:color w:val="auto"/>
                      <w:sz w:val="21"/>
                      <w:szCs w:val="21"/>
                      <w:highlight w:val="none"/>
                      <w:lang w:val="en-US" w:eastAsia="zh-CN"/>
                    </w:rPr>
                    <w:t>41.02</w:t>
                  </w:r>
                </w:p>
              </w:tc>
            </w:tr>
            <w:tr w14:paraId="24898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1898" w:type="dxa"/>
                  <w:tcBorders>
                    <w:top w:val="single" w:color="auto" w:sz="4" w:space="0"/>
                    <w:left w:val="single" w:color="auto" w:sz="4" w:space="0"/>
                    <w:bottom w:val="single" w:color="auto" w:sz="4" w:space="0"/>
                    <w:right w:val="single" w:color="auto" w:sz="4" w:space="0"/>
                  </w:tcBorders>
                  <w:noWrap w:val="0"/>
                  <w:vAlign w:val="center"/>
                </w:tcPr>
                <w:p w14:paraId="4751061A">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粉煤灰筒仓</w:t>
                  </w:r>
                </w:p>
              </w:tc>
              <w:tc>
                <w:tcPr>
                  <w:tcW w:w="735" w:type="dxa"/>
                  <w:tcBorders>
                    <w:top w:val="single" w:color="auto" w:sz="4" w:space="0"/>
                    <w:left w:val="nil"/>
                    <w:bottom w:val="single" w:color="auto" w:sz="4" w:space="0"/>
                    <w:right w:val="single" w:color="auto" w:sz="4" w:space="0"/>
                  </w:tcBorders>
                  <w:noWrap w:val="0"/>
                  <w:vAlign w:val="center"/>
                </w:tcPr>
                <w:p w14:paraId="1344370B">
                  <w:pPr>
                    <w:keepNext w:val="0"/>
                    <w:keepLines w:val="0"/>
                    <w:pageBreakBefore w:val="0"/>
                    <w:widowControl/>
                    <w:kinsoku/>
                    <w:wordWrap/>
                    <w:overflowPunct/>
                    <w:topLinePunct w:val="0"/>
                    <w:autoSpaceDE/>
                    <w:autoSpaceDN/>
                    <w:bidi w:val="0"/>
                    <w:ind w:right="0" w:rightChars="0"/>
                    <w:jc w:val="center"/>
                    <w:textAlignment w:val="auto"/>
                    <w:rPr>
                      <w:rFonts w:hint="default" w:ascii="Times New Roman" w:hAnsi="Times New Roman" w:cs="Times New Roman"/>
                      <w:color w:val="auto"/>
                      <w:kern w:val="2"/>
                      <w:sz w:val="21"/>
                      <w:szCs w:val="21"/>
                      <w:highlight w:val="none"/>
                      <w:lang w:val="en-US" w:eastAsia="zh-CN" w:bidi="ar-SA"/>
                    </w:rPr>
                  </w:pPr>
                  <w:r>
                    <w:rPr>
                      <w:rFonts w:hint="eastAsia" w:ascii="Times New Roman" w:hAnsi="Times New Roman" w:cs="Times New Roman"/>
                      <w:color w:val="auto"/>
                      <w:kern w:val="0"/>
                      <w:szCs w:val="21"/>
                      <w:highlight w:val="none"/>
                      <w:lang w:val="en-US" w:eastAsia="zh-CN"/>
                    </w:rPr>
                    <w:t>2台</w:t>
                  </w:r>
                </w:p>
              </w:tc>
              <w:tc>
                <w:tcPr>
                  <w:tcW w:w="1125" w:type="dxa"/>
                  <w:tcBorders>
                    <w:top w:val="single" w:color="auto" w:sz="4" w:space="0"/>
                    <w:left w:val="nil"/>
                    <w:bottom w:val="single" w:color="auto" w:sz="4" w:space="0"/>
                    <w:right w:val="single" w:color="auto" w:sz="4" w:space="0"/>
                  </w:tcBorders>
                  <w:noWrap w:val="0"/>
                  <w:vAlign w:val="center"/>
                </w:tcPr>
                <w:p w14:paraId="655782F0">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生产车间</w:t>
                  </w:r>
                </w:p>
              </w:tc>
              <w:tc>
                <w:tcPr>
                  <w:tcW w:w="1020" w:type="dxa"/>
                  <w:tcBorders>
                    <w:top w:val="single" w:color="auto" w:sz="4" w:space="0"/>
                    <w:left w:val="nil"/>
                    <w:bottom w:val="single" w:color="auto" w:sz="4" w:space="0"/>
                    <w:right w:val="single" w:color="auto" w:sz="4" w:space="0"/>
                  </w:tcBorders>
                  <w:noWrap w:val="0"/>
                  <w:vAlign w:val="center"/>
                </w:tcPr>
                <w:p w14:paraId="6FCE0641">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55</w:t>
                  </w:r>
                </w:p>
              </w:tc>
              <w:tc>
                <w:tcPr>
                  <w:tcW w:w="937" w:type="dxa"/>
                  <w:tcBorders>
                    <w:top w:val="single" w:color="auto" w:sz="4" w:space="0"/>
                    <w:left w:val="nil"/>
                    <w:bottom w:val="single" w:color="auto" w:sz="4" w:space="0"/>
                    <w:right w:val="single" w:color="auto" w:sz="4" w:space="0"/>
                  </w:tcBorders>
                  <w:noWrap w:val="0"/>
                  <w:vAlign w:val="center"/>
                </w:tcPr>
                <w:p w14:paraId="030FF2F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58.02</w:t>
                  </w:r>
                </w:p>
              </w:tc>
              <w:tc>
                <w:tcPr>
                  <w:tcW w:w="1635" w:type="dxa"/>
                  <w:tcBorders>
                    <w:top w:val="single" w:color="auto" w:sz="4" w:space="0"/>
                    <w:left w:val="nil"/>
                    <w:bottom w:val="single" w:color="auto" w:sz="4" w:space="0"/>
                    <w:right w:val="single" w:color="auto" w:sz="4" w:space="0"/>
                  </w:tcBorders>
                  <w:noWrap w:val="0"/>
                  <w:vAlign w:val="center"/>
                </w:tcPr>
                <w:p w14:paraId="78FA4979">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隔声、减震</w:t>
                  </w:r>
                </w:p>
              </w:tc>
              <w:tc>
                <w:tcPr>
                  <w:tcW w:w="870" w:type="dxa"/>
                  <w:tcBorders>
                    <w:top w:val="single" w:color="auto" w:sz="4" w:space="0"/>
                    <w:left w:val="nil"/>
                    <w:bottom w:val="single" w:color="auto" w:sz="4" w:space="0"/>
                    <w:right w:val="single" w:color="auto" w:sz="4" w:space="0"/>
                  </w:tcBorders>
                  <w:noWrap w:val="0"/>
                  <w:vAlign w:val="center"/>
                </w:tcPr>
                <w:p w14:paraId="1B511F3F">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20</w:t>
                  </w:r>
                </w:p>
              </w:tc>
              <w:tc>
                <w:tcPr>
                  <w:tcW w:w="957" w:type="dxa"/>
                  <w:tcBorders>
                    <w:top w:val="single" w:color="auto" w:sz="4" w:space="0"/>
                    <w:left w:val="nil"/>
                    <w:bottom w:val="single" w:color="auto" w:sz="4" w:space="0"/>
                    <w:right w:val="single" w:color="auto" w:sz="4" w:space="0"/>
                  </w:tcBorders>
                  <w:noWrap w:val="0"/>
                  <w:vAlign w:val="center"/>
                </w:tcPr>
                <w:p w14:paraId="26B261FC">
                  <w:pPr>
                    <w:adjustRightInd w:val="0"/>
                    <w:snapToGrid w:val="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bCs/>
                      <w:color w:val="auto"/>
                      <w:sz w:val="21"/>
                      <w:szCs w:val="21"/>
                      <w:highlight w:val="none"/>
                      <w:lang w:val="en-US" w:eastAsia="zh-CN"/>
                    </w:rPr>
                    <w:t>38.02</w:t>
                  </w:r>
                </w:p>
              </w:tc>
            </w:tr>
            <w:tr w14:paraId="17D56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1898" w:type="dxa"/>
                  <w:tcBorders>
                    <w:top w:val="single" w:color="auto" w:sz="4" w:space="0"/>
                    <w:left w:val="single" w:color="auto" w:sz="4" w:space="0"/>
                    <w:bottom w:val="single" w:color="auto" w:sz="4" w:space="0"/>
                    <w:right w:val="single" w:color="auto" w:sz="4" w:space="0"/>
                  </w:tcBorders>
                  <w:noWrap w:val="0"/>
                  <w:vAlign w:val="center"/>
                </w:tcPr>
                <w:p w14:paraId="3271DFE0">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浇筑振捣机</w:t>
                  </w:r>
                </w:p>
              </w:tc>
              <w:tc>
                <w:tcPr>
                  <w:tcW w:w="735" w:type="dxa"/>
                  <w:tcBorders>
                    <w:top w:val="single" w:color="auto" w:sz="4" w:space="0"/>
                    <w:left w:val="nil"/>
                    <w:bottom w:val="single" w:color="auto" w:sz="4" w:space="0"/>
                    <w:right w:val="single" w:color="auto" w:sz="4" w:space="0"/>
                  </w:tcBorders>
                  <w:noWrap w:val="0"/>
                  <w:vAlign w:val="center"/>
                </w:tcPr>
                <w:p w14:paraId="0D8030DA">
                  <w:pPr>
                    <w:keepNext w:val="0"/>
                    <w:keepLines w:val="0"/>
                    <w:pageBreakBefore w:val="0"/>
                    <w:widowControl/>
                    <w:kinsoku/>
                    <w:wordWrap/>
                    <w:overflowPunct/>
                    <w:topLinePunct w:val="0"/>
                    <w:autoSpaceDE/>
                    <w:autoSpaceDN/>
                    <w:bidi w:val="0"/>
                    <w:ind w:right="0" w:rightChars="0"/>
                    <w:jc w:val="center"/>
                    <w:textAlignment w:val="auto"/>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Cs w:val="21"/>
                      <w:highlight w:val="none"/>
                      <w:lang w:val="en-US" w:eastAsia="zh-CN"/>
                    </w:rPr>
                    <w:t>2</w:t>
                  </w:r>
                  <w:r>
                    <w:rPr>
                      <w:rFonts w:hint="default" w:ascii="Times New Roman" w:hAnsi="Times New Roman" w:eastAsia="宋体" w:cs="Times New Roman"/>
                      <w:i w:val="0"/>
                      <w:iCs w:val="0"/>
                      <w:color w:val="auto"/>
                      <w:kern w:val="0"/>
                      <w:sz w:val="21"/>
                      <w:szCs w:val="21"/>
                      <w:highlight w:val="none"/>
                      <w:u w:val="none"/>
                      <w:lang w:val="en-US" w:eastAsia="zh-CN" w:bidi="ar"/>
                    </w:rPr>
                    <w:t>台</w:t>
                  </w:r>
                </w:p>
              </w:tc>
              <w:tc>
                <w:tcPr>
                  <w:tcW w:w="1125" w:type="dxa"/>
                  <w:tcBorders>
                    <w:top w:val="single" w:color="auto" w:sz="4" w:space="0"/>
                    <w:left w:val="nil"/>
                    <w:bottom w:val="single" w:color="auto" w:sz="4" w:space="0"/>
                    <w:right w:val="single" w:color="auto" w:sz="4" w:space="0"/>
                  </w:tcBorders>
                  <w:noWrap w:val="0"/>
                  <w:vAlign w:val="center"/>
                </w:tcPr>
                <w:p w14:paraId="6F5AF977">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生产车间</w:t>
                  </w:r>
                </w:p>
              </w:tc>
              <w:tc>
                <w:tcPr>
                  <w:tcW w:w="1020" w:type="dxa"/>
                  <w:tcBorders>
                    <w:top w:val="single" w:color="auto" w:sz="4" w:space="0"/>
                    <w:left w:val="nil"/>
                    <w:bottom w:val="single" w:color="auto" w:sz="4" w:space="0"/>
                    <w:right w:val="single" w:color="auto" w:sz="4" w:space="0"/>
                  </w:tcBorders>
                  <w:noWrap w:val="0"/>
                  <w:vAlign w:val="center"/>
                </w:tcPr>
                <w:p w14:paraId="3899A19B">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95</w:t>
                  </w:r>
                </w:p>
              </w:tc>
              <w:tc>
                <w:tcPr>
                  <w:tcW w:w="937" w:type="dxa"/>
                  <w:tcBorders>
                    <w:top w:val="single" w:color="auto" w:sz="4" w:space="0"/>
                    <w:left w:val="nil"/>
                    <w:bottom w:val="single" w:color="auto" w:sz="4" w:space="0"/>
                    <w:right w:val="single" w:color="auto" w:sz="4" w:space="0"/>
                  </w:tcBorders>
                  <w:noWrap w:val="0"/>
                  <w:vAlign w:val="center"/>
                </w:tcPr>
                <w:p w14:paraId="2BDDFAE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98.01</w:t>
                  </w:r>
                </w:p>
              </w:tc>
              <w:tc>
                <w:tcPr>
                  <w:tcW w:w="1635" w:type="dxa"/>
                  <w:tcBorders>
                    <w:top w:val="single" w:color="auto" w:sz="4" w:space="0"/>
                    <w:left w:val="nil"/>
                    <w:bottom w:val="single" w:color="auto" w:sz="4" w:space="0"/>
                    <w:right w:val="single" w:color="auto" w:sz="4" w:space="0"/>
                  </w:tcBorders>
                  <w:noWrap w:val="0"/>
                  <w:vAlign w:val="center"/>
                </w:tcPr>
                <w:p w14:paraId="3A6FEF86">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隔声、减震</w:t>
                  </w:r>
                </w:p>
              </w:tc>
              <w:tc>
                <w:tcPr>
                  <w:tcW w:w="870" w:type="dxa"/>
                  <w:tcBorders>
                    <w:top w:val="single" w:color="auto" w:sz="4" w:space="0"/>
                    <w:left w:val="nil"/>
                    <w:bottom w:val="single" w:color="auto" w:sz="4" w:space="0"/>
                    <w:right w:val="single" w:color="auto" w:sz="4" w:space="0"/>
                  </w:tcBorders>
                  <w:noWrap w:val="0"/>
                  <w:vAlign w:val="center"/>
                </w:tcPr>
                <w:p w14:paraId="5D03FB79">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20</w:t>
                  </w:r>
                </w:p>
              </w:tc>
              <w:tc>
                <w:tcPr>
                  <w:tcW w:w="957" w:type="dxa"/>
                  <w:tcBorders>
                    <w:top w:val="single" w:color="auto" w:sz="4" w:space="0"/>
                    <w:left w:val="nil"/>
                    <w:bottom w:val="single" w:color="auto" w:sz="4" w:space="0"/>
                    <w:right w:val="single" w:color="auto" w:sz="4" w:space="0"/>
                  </w:tcBorders>
                  <w:noWrap w:val="0"/>
                  <w:vAlign w:val="center"/>
                </w:tcPr>
                <w:p w14:paraId="1F5E981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78.01</w:t>
                  </w:r>
                </w:p>
              </w:tc>
            </w:tr>
            <w:tr w14:paraId="0009E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898" w:type="dxa"/>
                  <w:tcBorders>
                    <w:top w:val="single" w:color="auto" w:sz="4" w:space="0"/>
                    <w:left w:val="single" w:color="auto" w:sz="4" w:space="0"/>
                    <w:bottom w:val="single" w:color="auto" w:sz="4" w:space="0"/>
                    <w:right w:val="single" w:color="auto" w:sz="4" w:space="0"/>
                  </w:tcBorders>
                  <w:noWrap w:val="0"/>
                  <w:vAlign w:val="center"/>
                </w:tcPr>
                <w:p w14:paraId="428025BF">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行吊（室内）</w:t>
                  </w:r>
                </w:p>
              </w:tc>
              <w:tc>
                <w:tcPr>
                  <w:tcW w:w="735" w:type="dxa"/>
                  <w:tcBorders>
                    <w:top w:val="single" w:color="auto" w:sz="4" w:space="0"/>
                    <w:left w:val="nil"/>
                    <w:bottom w:val="single" w:color="auto" w:sz="4" w:space="0"/>
                    <w:right w:val="single" w:color="auto" w:sz="4" w:space="0"/>
                  </w:tcBorders>
                  <w:noWrap w:val="0"/>
                  <w:vAlign w:val="center"/>
                </w:tcPr>
                <w:p w14:paraId="3C24D4E9">
                  <w:pPr>
                    <w:keepNext w:val="0"/>
                    <w:keepLines w:val="0"/>
                    <w:pageBreakBefore w:val="0"/>
                    <w:widowControl/>
                    <w:kinsoku/>
                    <w:wordWrap/>
                    <w:overflowPunct/>
                    <w:topLinePunct w:val="0"/>
                    <w:autoSpaceDE/>
                    <w:autoSpaceDN/>
                    <w:bidi w:val="0"/>
                    <w:ind w:right="0" w:rightChars="0"/>
                    <w:jc w:val="center"/>
                    <w:textAlignment w:val="auto"/>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Cs w:val="21"/>
                      <w:highlight w:val="none"/>
                      <w:lang w:val="en-US" w:eastAsia="zh-CN"/>
                    </w:rPr>
                    <w:t>3</w:t>
                  </w:r>
                  <w:r>
                    <w:rPr>
                      <w:rFonts w:hint="default" w:ascii="Times New Roman" w:hAnsi="Times New Roman" w:eastAsia="宋体" w:cs="Times New Roman"/>
                      <w:i w:val="0"/>
                      <w:iCs w:val="0"/>
                      <w:color w:val="auto"/>
                      <w:kern w:val="0"/>
                      <w:sz w:val="21"/>
                      <w:szCs w:val="21"/>
                      <w:highlight w:val="none"/>
                      <w:u w:val="none"/>
                      <w:lang w:val="en-US" w:eastAsia="zh-CN" w:bidi="ar"/>
                    </w:rPr>
                    <w:t>台</w:t>
                  </w:r>
                </w:p>
              </w:tc>
              <w:tc>
                <w:tcPr>
                  <w:tcW w:w="1125" w:type="dxa"/>
                  <w:tcBorders>
                    <w:top w:val="single" w:color="auto" w:sz="4" w:space="0"/>
                    <w:left w:val="nil"/>
                    <w:bottom w:val="single" w:color="auto" w:sz="4" w:space="0"/>
                    <w:right w:val="single" w:color="auto" w:sz="4" w:space="0"/>
                  </w:tcBorders>
                  <w:noWrap w:val="0"/>
                  <w:vAlign w:val="center"/>
                </w:tcPr>
                <w:p w14:paraId="67F95A66">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生产车间</w:t>
                  </w:r>
                </w:p>
              </w:tc>
              <w:tc>
                <w:tcPr>
                  <w:tcW w:w="1020" w:type="dxa"/>
                  <w:tcBorders>
                    <w:top w:val="single" w:color="auto" w:sz="4" w:space="0"/>
                    <w:left w:val="nil"/>
                    <w:bottom w:val="single" w:color="auto" w:sz="4" w:space="0"/>
                    <w:right w:val="single" w:color="auto" w:sz="4" w:space="0"/>
                  </w:tcBorders>
                  <w:noWrap w:val="0"/>
                  <w:vAlign w:val="center"/>
                </w:tcPr>
                <w:p w14:paraId="7AFCB4B8">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65</w:t>
                  </w:r>
                </w:p>
              </w:tc>
              <w:tc>
                <w:tcPr>
                  <w:tcW w:w="937" w:type="dxa"/>
                  <w:tcBorders>
                    <w:top w:val="single" w:color="auto" w:sz="4" w:space="0"/>
                    <w:left w:val="nil"/>
                    <w:bottom w:val="single" w:color="auto" w:sz="4" w:space="0"/>
                    <w:right w:val="single" w:color="auto" w:sz="4" w:space="0"/>
                  </w:tcBorders>
                  <w:noWrap w:val="0"/>
                  <w:vAlign w:val="center"/>
                </w:tcPr>
                <w:p w14:paraId="13F9891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69.77</w:t>
                  </w:r>
                </w:p>
              </w:tc>
              <w:tc>
                <w:tcPr>
                  <w:tcW w:w="1635" w:type="dxa"/>
                  <w:tcBorders>
                    <w:top w:val="single" w:color="auto" w:sz="4" w:space="0"/>
                    <w:left w:val="nil"/>
                    <w:bottom w:val="single" w:color="auto" w:sz="4" w:space="0"/>
                    <w:right w:val="single" w:color="auto" w:sz="4" w:space="0"/>
                  </w:tcBorders>
                  <w:noWrap w:val="0"/>
                  <w:vAlign w:val="center"/>
                </w:tcPr>
                <w:p w14:paraId="0E6FF6AE">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隔声、减震</w:t>
                  </w:r>
                </w:p>
              </w:tc>
              <w:tc>
                <w:tcPr>
                  <w:tcW w:w="870" w:type="dxa"/>
                  <w:tcBorders>
                    <w:top w:val="single" w:color="auto" w:sz="4" w:space="0"/>
                    <w:left w:val="nil"/>
                    <w:bottom w:val="single" w:color="auto" w:sz="4" w:space="0"/>
                    <w:right w:val="single" w:color="auto" w:sz="4" w:space="0"/>
                  </w:tcBorders>
                  <w:noWrap w:val="0"/>
                  <w:vAlign w:val="center"/>
                </w:tcPr>
                <w:p w14:paraId="727A0088">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20</w:t>
                  </w:r>
                </w:p>
              </w:tc>
              <w:tc>
                <w:tcPr>
                  <w:tcW w:w="957" w:type="dxa"/>
                  <w:tcBorders>
                    <w:top w:val="single" w:color="auto" w:sz="4" w:space="0"/>
                    <w:left w:val="nil"/>
                    <w:bottom w:val="single" w:color="auto" w:sz="4" w:space="0"/>
                    <w:right w:val="single" w:color="auto" w:sz="4" w:space="0"/>
                  </w:tcBorders>
                  <w:noWrap w:val="0"/>
                  <w:vAlign w:val="center"/>
                </w:tcPr>
                <w:p w14:paraId="034DE28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49.77</w:t>
                  </w:r>
                </w:p>
              </w:tc>
            </w:tr>
            <w:tr w14:paraId="0E6F1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1898" w:type="dxa"/>
                  <w:tcBorders>
                    <w:top w:val="single" w:color="auto" w:sz="4" w:space="0"/>
                    <w:left w:val="single" w:color="auto" w:sz="4" w:space="0"/>
                    <w:bottom w:val="single" w:color="auto" w:sz="4" w:space="0"/>
                    <w:right w:val="single" w:color="auto" w:sz="4" w:space="0"/>
                  </w:tcBorders>
                  <w:noWrap w:val="0"/>
                  <w:vAlign w:val="center"/>
                </w:tcPr>
                <w:p w14:paraId="3205B915">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1t/h燃天然气锅炉</w:t>
                  </w:r>
                </w:p>
              </w:tc>
              <w:tc>
                <w:tcPr>
                  <w:tcW w:w="735" w:type="dxa"/>
                  <w:tcBorders>
                    <w:top w:val="single" w:color="auto" w:sz="4" w:space="0"/>
                    <w:left w:val="nil"/>
                    <w:bottom w:val="single" w:color="auto" w:sz="4" w:space="0"/>
                    <w:right w:val="single" w:color="auto" w:sz="4" w:space="0"/>
                  </w:tcBorders>
                  <w:noWrap w:val="0"/>
                  <w:vAlign w:val="center"/>
                </w:tcPr>
                <w:p w14:paraId="6C2ED14E">
                  <w:pPr>
                    <w:keepNext w:val="0"/>
                    <w:keepLines w:val="0"/>
                    <w:pageBreakBefore w:val="0"/>
                    <w:widowControl/>
                    <w:kinsoku/>
                    <w:wordWrap/>
                    <w:overflowPunct/>
                    <w:topLinePunct w:val="0"/>
                    <w:autoSpaceDE/>
                    <w:autoSpaceDN/>
                    <w:bidi w:val="0"/>
                    <w:ind w:right="0" w:rightChars="0"/>
                    <w:jc w:val="center"/>
                    <w:textAlignment w:val="auto"/>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Cs w:val="21"/>
                      <w:highlight w:val="none"/>
                      <w:lang w:val="en-US" w:eastAsia="zh-CN"/>
                    </w:rPr>
                    <w:t>2</w:t>
                  </w:r>
                  <w:r>
                    <w:rPr>
                      <w:rFonts w:hint="default" w:ascii="Times New Roman" w:hAnsi="Times New Roman" w:eastAsia="宋体" w:cs="Times New Roman"/>
                      <w:i w:val="0"/>
                      <w:iCs w:val="0"/>
                      <w:color w:val="auto"/>
                      <w:kern w:val="0"/>
                      <w:sz w:val="21"/>
                      <w:szCs w:val="21"/>
                      <w:highlight w:val="none"/>
                      <w:u w:val="none"/>
                      <w:lang w:val="en-US" w:eastAsia="zh-CN" w:bidi="ar"/>
                    </w:rPr>
                    <w:t>台</w:t>
                  </w:r>
                </w:p>
              </w:tc>
              <w:tc>
                <w:tcPr>
                  <w:tcW w:w="1125" w:type="dxa"/>
                  <w:tcBorders>
                    <w:top w:val="single" w:color="auto" w:sz="4" w:space="0"/>
                    <w:left w:val="nil"/>
                    <w:bottom w:val="single" w:color="auto" w:sz="4" w:space="0"/>
                    <w:right w:val="single" w:color="auto" w:sz="4" w:space="0"/>
                  </w:tcBorders>
                  <w:noWrap w:val="0"/>
                  <w:vAlign w:val="center"/>
                </w:tcPr>
                <w:p w14:paraId="69AC7308">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锅炉房</w:t>
                  </w:r>
                </w:p>
              </w:tc>
              <w:tc>
                <w:tcPr>
                  <w:tcW w:w="1020" w:type="dxa"/>
                  <w:tcBorders>
                    <w:top w:val="single" w:color="auto" w:sz="4" w:space="0"/>
                    <w:left w:val="nil"/>
                    <w:bottom w:val="single" w:color="auto" w:sz="4" w:space="0"/>
                    <w:right w:val="single" w:color="auto" w:sz="4" w:space="0"/>
                  </w:tcBorders>
                  <w:noWrap w:val="0"/>
                  <w:vAlign w:val="center"/>
                </w:tcPr>
                <w:p w14:paraId="4F18C36A">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75</w:t>
                  </w:r>
                </w:p>
              </w:tc>
              <w:tc>
                <w:tcPr>
                  <w:tcW w:w="937" w:type="dxa"/>
                  <w:tcBorders>
                    <w:top w:val="single" w:color="auto" w:sz="4" w:space="0"/>
                    <w:left w:val="nil"/>
                    <w:bottom w:val="single" w:color="auto" w:sz="4" w:space="0"/>
                    <w:right w:val="single" w:color="auto" w:sz="4" w:space="0"/>
                  </w:tcBorders>
                  <w:noWrap w:val="0"/>
                  <w:vAlign w:val="center"/>
                </w:tcPr>
                <w:p w14:paraId="655FAE3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78.01</w:t>
                  </w:r>
                </w:p>
              </w:tc>
              <w:tc>
                <w:tcPr>
                  <w:tcW w:w="1635" w:type="dxa"/>
                  <w:tcBorders>
                    <w:top w:val="single" w:color="auto" w:sz="4" w:space="0"/>
                    <w:left w:val="nil"/>
                    <w:bottom w:val="single" w:color="auto" w:sz="4" w:space="0"/>
                    <w:right w:val="single" w:color="auto" w:sz="4" w:space="0"/>
                  </w:tcBorders>
                  <w:noWrap w:val="0"/>
                  <w:vAlign w:val="center"/>
                </w:tcPr>
                <w:p w14:paraId="51757954">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隔声、减震</w:t>
                  </w:r>
                </w:p>
              </w:tc>
              <w:tc>
                <w:tcPr>
                  <w:tcW w:w="870" w:type="dxa"/>
                  <w:tcBorders>
                    <w:top w:val="single" w:color="auto" w:sz="4" w:space="0"/>
                    <w:left w:val="nil"/>
                    <w:bottom w:val="single" w:color="auto" w:sz="4" w:space="0"/>
                    <w:right w:val="single" w:color="auto" w:sz="4" w:space="0"/>
                  </w:tcBorders>
                  <w:noWrap w:val="0"/>
                  <w:vAlign w:val="center"/>
                </w:tcPr>
                <w:p w14:paraId="3644DFD8">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20</w:t>
                  </w:r>
                </w:p>
              </w:tc>
              <w:tc>
                <w:tcPr>
                  <w:tcW w:w="957" w:type="dxa"/>
                  <w:tcBorders>
                    <w:top w:val="single" w:color="auto" w:sz="4" w:space="0"/>
                    <w:left w:val="nil"/>
                    <w:bottom w:val="single" w:color="auto" w:sz="4" w:space="0"/>
                    <w:right w:val="single" w:color="auto" w:sz="4" w:space="0"/>
                  </w:tcBorders>
                  <w:noWrap w:val="0"/>
                  <w:vAlign w:val="center"/>
                </w:tcPr>
                <w:p w14:paraId="5AEEDEA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58.01</w:t>
                  </w:r>
                </w:p>
              </w:tc>
            </w:tr>
            <w:tr w14:paraId="0161B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1898" w:type="dxa"/>
                  <w:tcBorders>
                    <w:top w:val="single" w:color="auto" w:sz="4" w:space="0"/>
                    <w:left w:val="single" w:color="auto" w:sz="4" w:space="0"/>
                    <w:bottom w:val="single" w:color="auto" w:sz="4" w:space="0"/>
                    <w:right w:val="single" w:color="auto" w:sz="4" w:space="0"/>
                  </w:tcBorders>
                  <w:noWrap w:val="0"/>
                  <w:vAlign w:val="center"/>
                </w:tcPr>
                <w:p w14:paraId="34FE4F90">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软水制备机</w:t>
                  </w:r>
                </w:p>
              </w:tc>
              <w:tc>
                <w:tcPr>
                  <w:tcW w:w="735" w:type="dxa"/>
                  <w:tcBorders>
                    <w:top w:val="single" w:color="auto" w:sz="4" w:space="0"/>
                    <w:left w:val="nil"/>
                    <w:bottom w:val="single" w:color="auto" w:sz="4" w:space="0"/>
                    <w:right w:val="single" w:color="auto" w:sz="4" w:space="0"/>
                  </w:tcBorders>
                  <w:noWrap w:val="0"/>
                  <w:vAlign w:val="center"/>
                </w:tcPr>
                <w:p w14:paraId="4C1A5447">
                  <w:pPr>
                    <w:keepNext w:val="0"/>
                    <w:keepLines w:val="0"/>
                    <w:pageBreakBefore w:val="0"/>
                    <w:widowControl/>
                    <w:kinsoku/>
                    <w:wordWrap/>
                    <w:overflowPunct/>
                    <w:topLinePunct w:val="0"/>
                    <w:autoSpaceDE/>
                    <w:autoSpaceDN/>
                    <w:bidi w:val="0"/>
                    <w:ind w:right="0" w:rightChars="0"/>
                    <w:jc w:val="center"/>
                    <w:textAlignment w:val="auto"/>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1</w:t>
                  </w:r>
                  <w:r>
                    <w:rPr>
                      <w:rFonts w:hint="default" w:ascii="Times New Roman" w:hAnsi="Times New Roman" w:eastAsia="宋体" w:cs="Times New Roman"/>
                      <w:i w:val="0"/>
                      <w:iCs w:val="0"/>
                      <w:color w:val="auto"/>
                      <w:kern w:val="0"/>
                      <w:sz w:val="21"/>
                      <w:szCs w:val="21"/>
                      <w:highlight w:val="none"/>
                      <w:u w:val="none"/>
                      <w:lang w:val="en-US" w:eastAsia="zh-CN" w:bidi="ar"/>
                    </w:rPr>
                    <w:t>台</w:t>
                  </w:r>
                </w:p>
              </w:tc>
              <w:tc>
                <w:tcPr>
                  <w:tcW w:w="1125" w:type="dxa"/>
                  <w:tcBorders>
                    <w:top w:val="single" w:color="auto" w:sz="4" w:space="0"/>
                    <w:left w:val="nil"/>
                    <w:bottom w:val="single" w:color="auto" w:sz="4" w:space="0"/>
                    <w:right w:val="single" w:color="auto" w:sz="4" w:space="0"/>
                  </w:tcBorders>
                  <w:shd w:val="clear" w:color="auto" w:fill="auto"/>
                  <w:noWrap w:val="0"/>
                  <w:vAlign w:val="center"/>
                </w:tcPr>
                <w:p w14:paraId="13BDD4A1">
                  <w:pPr>
                    <w:adjustRightInd w:val="0"/>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锅炉房</w:t>
                  </w:r>
                </w:p>
              </w:tc>
              <w:tc>
                <w:tcPr>
                  <w:tcW w:w="1020" w:type="dxa"/>
                  <w:tcBorders>
                    <w:top w:val="single" w:color="auto" w:sz="4" w:space="0"/>
                    <w:left w:val="nil"/>
                    <w:bottom w:val="single" w:color="auto" w:sz="4" w:space="0"/>
                    <w:right w:val="single" w:color="auto" w:sz="4" w:space="0"/>
                  </w:tcBorders>
                  <w:noWrap w:val="0"/>
                  <w:vAlign w:val="center"/>
                </w:tcPr>
                <w:p w14:paraId="4BB1D104">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75</w:t>
                  </w:r>
                </w:p>
              </w:tc>
              <w:tc>
                <w:tcPr>
                  <w:tcW w:w="937" w:type="dxa"/>
                  <w:tcBorders>
                    <w:top w:val="single" w:color="auto" w:sz="4" w:space="0"/>
                    <w:left w:val="nil"/>
                    <w:bottom w:val="single" w:color="auto" w:sz="4" w:space="0"/>
                    <w:right w:val="single" w:color="auto" w:sz="4" w:space="0"/>
                  </w:tcBorders>
                  <w:noWrap w:val="0"/>
                  <w:vAlign w:val="center"/>
                </w:tcPr>
                <w:p w14:paraId="38E18D8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75.00</w:t>
                  </w:r>
                </w:p>
              </w:tc>
              <w:tc>
                <w:tcPr>
                  <w:tcW w:w="1635" w:type="dxa"/>
                  <w:tcBorders>
                    <w:top w:val="single" w:color="auto" w:sz="4" w:space="0"/>
                    <w:left w:val="nil"/>
                    <w:bottom w:val="single" w:color="auto" w:sz="4" w:space="0"/>
                    <w:right w:val="single" w:color="auto" w:sz="4" w:space="0"/>
                  </w:tcBorders>
                  <w:noWrap w:val="0"/>
                  <w:vAlign w:val="center"/>
                </w:tcPr>
                <w:p w14:paraId="633F0A71">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隔声、减震</w:t>
                  </w:r>
                </w:p>
              </w:tc>
              <w:tc>
                <w:tcPr>
                  <w:tcW w:w="870" w:type="dxa"/>
                  <w:tcBorders>
                    <w:top w:val="single" w:color="auto" w:sz="4" w:space="0"/>
                    <w:left w:val="nil"/>
                    <w:bottom w:val="single" w:color="auto" w:sz="4" w:space="0"/>
                    <w:right w:val="single" w:color="auto" w:sz="4" w:space="0"/>
                  </w:tcBorders>
                  <w:noWrap w:val="0"/>
                  <w:vAlign w:val="center"/>
                </w:tcPr>
                <w:p w14:paraId="4E9B9159">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20</w:t>
                  </w:r>
                </w:p>
              </w:tc>
              <w:tc>
                <w:tcPr>
                  <w:tcW w:w="957" w:type="dxa"/>
                  <w:tcBorders>
                    <w:top w:val="single" w:color="auto" w:sz="4" w:space="0"/>
                    <w:left w:val="nil"/>
                    <w:bottom w:val="single" w:color="auto" w:sz="4" w:space="0"/>
                    <w:right w:val="single" w:color="auto" w:sz="4" w:space="0"/>
                  </w:tcBorders>
                  <w:noWrap w:val="0"/>
                  <w:vAlign w:val="center"/>
                </w:tcPr>
                <w:p w14:paraId="6BD34EA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55</w:t>
                  </w:r>
                </w:p>
              </w:tc>
            </w:tr>
            <w:tr w14:paraId="5C038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898" w:type="dxa"/>
                  <w:tcBorders>
                    <w:top w:val="single" w:color="auto" w:sz="4" w:space="0"/>
                    <w:left w:val="single" w:color="auto" w:sz="4" w:space="0"/>
                    <w:bottom w:val="single" w:color="auto" w:sz="4" w:space="0"/>
                    <w:right w:val="single" w:color="auto" w:sz="4" w:space="0"/>
                  </w:tcBorders>
                  <w:noWrap w:val="0"/>
                  <w:vAlign w:val="center"/>
                </w:tcPr>
                <w:p w14:paraId="312B3CAC">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实验室设备</w:t>
                  </w:r>
                </w:p>
              </w:tc>
              <w:tc>
                <w:tcPr>
                  <w:tcW w:w="735" w:type="dxa"/>
                  <w:tcBorders>
                    <w:top w:val="single" w:color="auto" w:sz="4" w:space="0"/>
                    <w:left w:val="nil"/>
                    <w:bottom w:val="single" w:color="auto" w:sz="4" w:space="0"/>
                    <w:right w:val="single" w:color="auto" w:sz="4" w:space="0"/>
                  </w:tcBorders>
                  <w:noWrap w:val="0"/>
                  <w:vAlign w:val="center"/>
                </w:tcPr>
                <w:p w14:paraId="73605A25">
                  <w:pPr>
                    <w:keepNext w:val="0"/>
                    <w:keepLines w:val="0"/>
                    <w:pageBreakBefore w:val="0"/>
                    <w:widowControl/>
                    <w:kinsoku/>
                    <w:wordWrap/>
                    <w:overflowPunct/>
                    <w:topLinePunct w:val="0"/>
                    <w:autoSpaceDE/>
                    <w:autoSpaceDN/>
                    <w:bidi w:val="0"/>
                    <w:ind w:right="0" w:rightChars="0"/>
                    <w:jc w:val="center"/>
                    <w:textAlignment w:val="auto"/>
                    <w:rPr>
                      <w:rFonts w:hint="default" w:ascii="Times New Roman" w:hAnsi="Times New Roman" w:cs="Times New Roman" w:eastAsiaTheme="minorEastAsia"/>
                      <w:color w:val="auto"/>
                      <w:kern w:val="0"/>
                      <w:sz w:val="21"/>
                      <w:szCs w:val="21"/>
                      <w:highlight w:val="none"/>
                      <w:lang w:val="en-US" w:eastAsia="zh-CN"/>
                    </w:rPr>
                  </w:pPr>
                  <w:r>
                    <w:rPr>
                      <w:rFonts w:hint="default" w:ascii="Times New Roman" w:hAnsi="Times New Roman" w:cs="Times New Roman"/>
                      <w:color w:val="auto"/>
                      <w:kern w:val="0"/>
                      <w:sz w:val="21"/>
                      <w:szCs w:val="21"/>
                      <w:highlight w:val="none"/>
                      <w:lang w:val="en-US" w:eastAsia="zh-CN"/>
                    </w:rPr>
                    <w:t>1套</w:t>
                  </w:r>
                </w:p>
              </w:tc>
              <w:tc>
                <w:tcPr>
                  <w:tcW w:w="1125" w:type="dxa"/>
                  <w:tcBorders>
                    <w:top w:val="single" w:color="auto" w:sz="4" w:space="0"/>
                    <w:left w:val="nil"/>
                    <w:bottom w:val="single" w:color="auto" w:sz="4" w:space="0"/>
                    <w:right w:val="single" w:color="auto" w:sz="4" w:space="0"/>
                  </w:tcBorders>
                  <w:noWrap w:val="0"/>
                  <w:vAlign w:val="center"/>
                </w:tcPr>
                <w:p w14:paraId="53DC54CB">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实验室</w:t>
                  </w:r>
                </w:p>
              </w:tc>
              <w:tc>
                <w:tcPr>
                  <w:tcW w:w="1020" w:type="dxa"/>
                  <w:tcBorders>
                    <w:top w:val="single" w:color="auto" w:sz="4" w:space="0"/>
                    <w:left w:val="nil"/>
                    <w:bottom w:val="single" w:color="auto" w:sz="4" w:space="0"/>
                    <w:right w:val="single" w:color="auto" w:sz="4" w:space="0"/>
                  </w:tcBorders>
                  <w:noWrap w:val="0"/>
                  <w:vAlign w:val="center"/>
                </w:tcPr>
                <w:p w14:paraId="5E7AEA75">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65</w:t>
                  </w:r>
                </w:p>
              </w:tc>
              <w:tc>
                <w:tcPr>
                  <w:tcW w:w="937" w:type="dxa"/>
                  <w:tcBorders>
                    <w:top w:val="single" w:color="auto" w:sz="4" w:space="0"/>
                    <w:left w:val="nil"/>
                    <w:bottom w:val="single" w:color="auto" w:sz="4" w:space="0"/>
                    <w:right w:val="single" w:color="auto" w:sz="4" w:space="0"/>
                  </w:tcBorders>
                  <w:noWrap w:val="0"/>
                  <w:vAlign w:val="center"/>
                </w:tcPr>
                <w:p w14:paraId="0833E83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65.00</w:t>
                  </w:r>
                </w:p>
              </w:tc>
              <w:tc>
                <w:tcPr>
                  <w:tcW w:w="1635" w:type="dxa"/>
                  <w:tcBorders>
                    <w:top w:val="single" w:color="auto" w:sz="4" w:space="0"/>
                    <w:left w:val="nil"/>
                    <w:bottom w:val="single" w:color="auto" w:sz="4" w:space="0"/>
                    <w:right w:val="single" w:color="auto" w:sz="4" w:space="0"/>
                  </w:tcBorders>
                  <w:noWrap w:val="0"/>
                  <w:vAlign w:val="center"/>
                </w:tcPr>
                <w:p w14:paraId="382A8FDA">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隔声、减震</w:t>
                  </w:r>
                </w:p>
              </w:tc>
              <w:tc>
                <w:tcPr>
                  <w:tcW w:w="870" w:type="dxa"/>
                  <w:tcBorders>
                    <w:top w:val="single" w:color="auto" w:sz="4" w:space="0"/>
                    <w:left w:val="nil"/>
                    <w:bottom w:val="single" w:color="auto" w:sz="4" w:space="0"/>
                    <w:right w:val="single" w:color="auto" w:sz="4" w:space="0"/>
                  </w:tcBorders>
                  <w:noWrap w:val="0"/>
                  <w:vAlign w:val="center"/>
                </w:tcPr>
                <w:p w14:paraId="4C1ABB00">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20</w:t>
                  </w:r>
                </w:p>
              </w:tc>
              <w:tc>
                <w:tcPr>
                  <w:tcW w:w="957" w:type="dxa"/>
                  <w:tcBorders>
                    <w:top w:val="single" w:color="auto" w:sz="4" w:space="0"/>
                    <w:left w:val="nil"/>
                    <w:bottom w:val="single" w:color="auto" w:sz="4" w:space="0"/>
                    <w:right w:val="single" w:color="auto" w:sz="4" w:space="0"/>
                  </w:tcBorders>
                  <w:noWrap w:val="0"/>
                  <w:vAlign w:val="center"/>
                </w:tcPr>
                <w:p w14:paraId="50DB48E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45</w:t>
                  </w:r>
                </w:p>
              </w:tc>
            </w:tr>
            <w:tr w14:paraId="3F642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898" w:type="dxa"/>
                  <w:tcBorders>
                    <w:top w:val="single" w:color="auto" w:sz="4" w:space="0"/>
                    <w:left w:val="single" w:color="auto" w:sz="4" w:space="0"/>
                    <w:bottom w:val="single" w:color="auto" w:sz="4" w:space="0"/>
                    <w:right w:val="single" w:color="auto" w:sz="4" w:space="0"/>
                  </w:tcBorders>
                  <w:noWrap w:val="0"/>
                  <w:vAlign w:val="center"/>
                </w:tcPr>
                <w:p w14:paraId="4975392B">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空压机</w:t>
                  </w:r>
                </w:p>
              </w:tc>
              <w:tc>
                <w:tcPr>
                  <w:tcW w:w="735" w:type="dxa"/>
                  <w:tcBorders>
                    <w:top w:val="single" w:color="auto" w:sz="4" w:space="0"/>
                    <w:left w:val="nil"/>
                    <w:bottom w:val="single" w:color="auto" w:sz="4" w:space="0"/>
                    <w:right w:val="single" w:color="auto" w:sz="4" w:space="0"/>
                  </w:tcBorders>
                  <w:noWrap w:val="0"/>
                  <w:vAlign w:val="center"/>
                </w:tcPr>
                <w:p w14:paraId="49224F3E">
                  <w:pPr>
                    <w:keepNext w:val="0"/>
                    <w:keepLines w:val="0"/>
                    <w:pageBreakBefore w:val="0"/>
                    <w:widowControl/>
                    <w:kinsoku/>
                    <w:wordWrap/>
                    <w:overflowPunct/>
                    <w:topLinePunct w:val="0"/>
                    <w:autoSpaceDE/>
                    <w:autoSpaceDN/>
                    <w:bidi w:val="0"/>
                    <w:ind w:right="0" w:rightChars="0"/>
                    <w:jc w:val="center"/>
                    <w:textAlignment w:val="auto"/>
                    <w:rPr>
                      <w:rFonts w:hint="default" w:ascii="Times New Roman" w:hAnsi="Times New Roman" w:cs="Times New Roman"/>
                      <w:color w:val="auto"/>
                      <w:kern w:val="0"/>
                      <w:sz w:val="21"/>
                      <w:szCs w:val="21"/>
                      <w:highlight w:val="none"/>
                      <w:lang w:val="en-US" w:eastAsia="zh-CN"/>
                    </w:rPr>
                  </w:pPr>
                  <w:r>
                    <w:rPr>
                      <w:rFonts w:hint="default" w:ascii="Times New Roman" w:hAnsi="Times New Roman" w:cs="Times New Roman"/>
                      <w:color w:val="auto"/>
                      <w:kern w:val="0"/>
                      <w:szCs w:val="21"/>
                      <w:highlight w:val="none"/>
                      <w:lang w:val="en-US" w:eastAsia="zh-CN"/>
                    </w:rPr>
                    <w:t>2台</w:t>
                  </w:r>
                </w:p>
              </w:tc>
              <w:tc>
                <w:tcPr>
                  <w:tcW w:w="1125" w:type="dxa"/>
                  <w:tcBorders>
                    <w:top w:val="single" w:color="auto" w:sz="4" w:space="0"/>
                    <w:left w:val="nil"/>
                    <w:bottom w:val="single" w:color="auto" w:sz="4" w:space="0"/>
                    <w:right w:val="single" w:color="auto" w:sz="4" w:space="0"/>
                  </w:tcBorders>
                  <w:noWrap w:val="0"/>
                  <w:vAlign w:val="center"/>
                </w:tcPr>
                <w:p w14:paraId="4F7811B8">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室外</w:t>
                  </w:r>
                </w:p>
              </w:tc>
              <w:tc>
                <w:tcPr>
                  <w:tcW w:w="1020" w:type="dxa"/>
                  <w:tcBorders>
                    <w:top w:val="single" w:color="auto" w:sz="4" w:space="0"/>
                    <w:left w:val="nil"/>
                    <w:bottom w:val="single" w:color="auto" w:sz="4" w:space="0"/>
                    <w:right w:val="single" w:color="auto" w:sz="4" w:space="0"/>
                  </w:tcBorders>
                  <w:noWrap w:val="0"/>
                  <w:vAlign w:val="center"/>
                </w:tcPr>
                <w:p w14:paraId="77759248">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85</w:t>
                  </w:r>
                </w:p>
              </w:tc>
              <w:tc>
                <w:tcPr>
                  <w:tcW w:w="937" w:type="dxa"/>
                  <w:tcBorders>
                    <w:top w:val="single" w:color="auto" w:sz="4" w:space="0"/>
                    <w:left w:val="nil"/>
                    <w:bottom w:val="single" w:color="auto" w:sz="4" w:space="0"/>
                    <w:right w:val="single" w:color="auto" w:sz="4" w:space="0"/>
                  </w:tcBorders>
                  <w:noWrap w:val="0"/>
                  <w:vAlign w:val="center"/>
                </w:tcPr>
                <w:p w14:paraId="54D86A2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88.01</w:t>
                  </w:r>
                </w:p>
              </w:tc>
              <w:tc>
                <w:tcPr>
                  <w:tcW w:w="1635" w:type="dxa"/>
                  <w:tcBorders>
                    <w:top w:val="single" w:color="auto" w:sz="4" w:space="0"/>
                    <w:left w:val="nil"/>
                    <w:bottom w:val="single" w:color="auto" w:sz="4" w:space="0"/>
                    <w:right w:val="single" w:color="auto" w:sz="4" w:space="0"/>
                  </w:tcBorders>
                  <w:noWrap w:val="0"/>
                  <w:vAlign w:val="center"/>
                </w:tcPr>
                <w:p w14:paraId="653973ED">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隔声、减震</w:t>
                  </w:r>
                </w:p>
              </w:tc>
              <w:tc>
                <w:tcPr>
                  <w:tcW w:w="870" w:type="dxa"/>
                  <w:tcBorders>
                    <w:top w:val="single" w:color="auto" w:sz="4" w:space="0"/>
                    <w:left w:val="nil"/>
                    <w:bottom w:val="single" w:color="auto" w:sz="4" w:space="0"/>
                    <w:right w:val="single" w:color="auto" w:sz="4" w:space="0"/>
                  </w:tcBorders>
                  <w:noWrap w:val="0"/>
                  <w:vAlign w:val="center"/>
                </w:tcPr>
                <w:p w14:paraId="7C355013">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20</w:t>
                  </w:r>
                </w:p>
              </w:tc>
              <w:tc>
                <w:tcPr>
                  <w:tcW w:w="957" w:type="dxa"/>
                  <w:tcBorders>
                    <w:top w:val="single" w:color="auto" w:sz="4" w:space="0"/>
                    <w:left w:val="nil"/>
                    <w:bottom w:val="single" w:color="auto" w:sz="4" w:space="0"/>
                    <w:right w:val="single" w:color="auto" w:sz="4" w:space="0"/>
                  </w:tcBorders>
                  <w:noWrap w:val="0"/>
                  <w:vAlign w:val="center"/>
                </w:tcPr>
                <w:p w14:paraId="004C79C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78.01</w:t>
                  </w:r>
                </w:p>
              </w:tc>
            </w:tr>
            <w:tr w14:paraId="54E33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trPr>
              <w:tc>
                <w:tcPr>
                  <w:tcW w:w="1898" w:type="dxa"/>
                  <w:tcBorders>
                    <w:top w:val="single" w:color="auto" w:sz="4" w:space="0"/>
                    <w:left w:val="single" w:color="auto" w:sz="4" w:space="0"/>
                    <w:bottom w:val="single" w:color="auto" w:sz="4" w:space="0"/>
                    <w:right w:val="single" w:color="auto" w:sz="4" w:space="0"/>
                  </w:tcBorders>
                  <w:noWrap w:val="0"/>
                  <w:vAlign w:val="center"/>
                </w:tcPr>
                <w:p w14:paraId="17275F5A">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行吊（室外）</w:t>
                  </w:r>
                </w:p>
              </w:tc>
              <w:tc>
                <w:tcPr>
                  <w:tcW w:w="735" w:type="dxa"/>
                  <w:tcBorders>
                    <w:top w:val="single" w:color="auto" w:sz="4" w:space="0"/>
                    <w:left w:val="nil"/>
                    <w:bottom w:val="single" w:color="auto" w:sz="4" w:space="0"/>
                    <w:right w:val="single" w:color="auto" w:sz="4" w:space="0"/>
                  </w:tcBorders>
                  <w:noWrap w:val="0"/>
                  <w:vAlign w:val="center"/>
                </w:tcPr>
                <w:p w14:paraId="1DC66979">
                  <w:pPr>
                    <w:keepNext w:val="0"/>
                    <w:keepLines w:val="0"/>
                    <w:pageBreakBefore w:val="0"/>
                    <w:widowControl/>
                    <w:kinsoku/>
                    <w:wordWrap/>
                    <w:overflowPunct/>
                    <w:topLinePunct w:val="0"/>
                    <w:autoSpaceDE/>
                    <w:autoSpaceDN/>
                    <w:bidi w:val="0"/>
                    <w:ind w:right="0" w:rightChars="0"/>
                    <w:jc w:val="center"/>
                    <w:textAlignment w:val="auto"/>
                    <w:rPr>
                      <w:rFonts w:hint="default" w:ascii="Times New Roman" w:hAnsi="Times New Roman" w:cs="Times New Roman"/>
                      <w:color w:val="auto"/>
                      <w:kern w:val="0"/>
                      <w:sz w:val="21"/>
                      <w:szCs w:val="21"/>
                      <w:highlight w:val="none"/>
                      <w:lang w:val="en-US" w:eastAsia="zh-CN"/>
                    </w:rPr>
                  </w:pPr>
                  <w:r>
                    <w:rPr>
                      <w:rFonts w:hint="default" w:ascii="Times New Roman" w:hAnsi="Times New Roman" w:cs="Times New Roman"/>
                      <w:color w:val="auto"/>
                      <w:kern w:val="0"/>
                      <w:szCs w:val="21"/>
                      <w:highlight w:val="none"/>
                      <w:lang w:val="en-US" w:eastAsia="zh-CN"/>
                    </w:rPr>
                    <w:t>10</w:t>
                  </w:r>
                  <w:r>
                    <w:rPr>
                      <w:rFonts w:hint="default" w:ascii="Times New Roman" w:hAnsi="Times New Roman" w:eastAsia="宋体" w:cs="Times New Roman"/>
                      <w:i w:val="0"/>
                      <w:iCs w:val="0"/>
                      <w:color w:val="auto"/>
                      <w:kern w:val="0"/>
                      <w:sz w:val="21"/>
                      <w:szCs w:val="21"/>
                      <w:highlight w:val="none"/>
                      <w:u w:val="none"/>
                      <w:lang w:val="en-US" w:eastAsia="zh-CN" w:bidi="ar"/>
                    </w:rPr>
                    <w:t>台</w:t>
                  </w:r>
                </w:p>
              </w:tc>
              <w:tc>
                <w:tcPr>
                  <w:tcW w:w="1125" w:type="dxa"/>
                  <w:tcBorders>
                    <w:top w:val="single" w:color="auto" w:sz="4" w:space="0"/>
                    <w:left w:val="nil"/>
                    <w:bottom w:val="single" w:color="auto" w:sz="4" w:space="0"/>
                    <w:right w:val="single" w:color="auto" w:sz="4" w:space="0"/>
                  </w:tcBorders>
                  <w:noWrap w:val="0"/>
                  <w:vAlign w:val="center"/>
                </w:tcPr>
                <w:p w14:paraId="3F9F3FF6">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室外</w:t>
                  </w:r>
                </w:p>
              </w:tc>
              <w:tc>
                <w:tcPr>
                  <w:tcW w:w="1020" w:type="dxa"/>
                  <w:tcBorders>
                    <w:top w:val="single" w:color="auto" w:sz="4" w:space="0"/>
                    <w:left w:val="nil"/>
                    <w:bottom w:val="single" w:color="auto" w:sz="4" w:space="0"/>
                    <w:right w:val="single" w:color="auto" w:sz="4" w:space="0"/>
                  </w:tcBorders>
                  <w:noWrap w:val="0"/>
                  <w:vAlign w:val="center"/>
                </w:tcPr>
                <w:p w14:paraId="6190C8BC">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65</w:t>
                  </w:r>
                </w:p>
              </w:tc>
              <w:tc>
                <w:tcPr>
                  <w:tcW w:w="937" w:type="dxa"/>
                  <w:tcBorders>
                    <w:top w:val="single" w:color="auto" w:sz="4" w:space="0"/>
                    <w:left w:val="nil"/>
                    <w:bottom w:val="single" w:color="auto" w:sz="4" w:space="0"/>
                    <w:right w:val="single" w:color="auto" w:sz="4" w:space="0"/>
                  </w:tcBorders>
                  <w:noWrap w:val="0"/>
                  <w:vAlign w:val="center"/>
                </w:tcPr>
                <w:p w14:paraId="60A2EC2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75.00</w:t>
                  </w:r>
                </w:p>
              </w:tc>
              <w:tc>
                <w:tcPr>
                  <w:tcW w:w="1635" w:type="dxa"/>
                  <w:tcBorders>
                    <w:top w:val="single" w:color="auto" w:sz="4" w:space="0"/>
                    <w:left w:val="nil"/>
                    <w:bottom w:val="single" w:color="auto" w:sz="4" w:space="0"/>
                    <w:right w:val="single" w:color="auto" w:sz="4" w:space="0"/>
                  </w:tcBorders>
                  <w:noWrap w:val="0"/>
                  <w:vAlign w:val="center"/>
                </w:tcPr>
                <w:p w14:paraId="59C92EF7">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cs="Times New Roman"/>
                      <w:color w:val="auto"/>
                      <w:highlight w:val="none"/>
                    </w:rPr>
                    <w:t>弹簧减震</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消声</w:t>
                  </w:r>
                </w:p>
              </w:tc>
              <w:tc>
                <w:tcPr>
                  <w:tcW w:w="870" w:type="dxa"/>
                  <w:tcBorders>
                    <w:top w:val="single" w:color="auto" w:sz="4" w:space="0"/>
                    <w:left w:val="nil"/>
                    <w:bottom w:val="single" w:color="auto" w:sz="4" w:space="0"/>
                    <w:right w:val="single" w:color="auto" w:sz="4" w:space="0"/>
                  </w:tcBorders>
                  <w:noWrap w:val="0"/>
                  <w:vAlign w:val="center"/>
                </w:tcPr>
                <w:p w14:paraId="75EE5FC2">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15</w:t>
                  </w:r>
                </w:p>
              </w:tc>
              <w:tc>
                <w:tcPr>
                  <w:tcW w:w="957" w:type="dxa"/>
                  <w:tcBorders>
                    <w:top w:val="single" w:color="auto" w:sz="4" w:space="0"/>
                    <w:left w:val="nil"/>
                    <w:bottom w:val="single" w:color="auto" w:sz="4" w:space="0"/>
                    <w:right w:val="single" w:color="auto" w:sz="4" w:space="0"/>
                  </w:tcBorders>
                  <w:noWrap w:val="0"/>
                  <w:vAlign w:val="center"/>
                </w:tcPr>
                <w:p w14:paraId="50AAADF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r>
            <w:tr w14:paraId="245EF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98" w:type="dxa"/>
                  <w:tcBorders>
                    <w:top w:val="single" w:color="auto" w:sz="4" w:space="0"/>
                    <w:left w:val="single" w:color="auto" w:sz="4" w:space="0"/>
                    <w:bottom w:val="single" w:color="auto" w:sz="4" w:space="0"/>
                    <w:right w:val="single" w:color="auto" w:sz="4" w:space="0"/>
                  </w:tcBorders>
                  <w:noWrap w:val="0"/>
                  <w:vAlign w:val="center"/>
                </w:tcPr>
                <w:p w14:paraId="727AE33A">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叉车</w:t>
                  </w:r>
                </w:p>
              </w:tc>
              <w:tc>
                <w:tcPr>
                  <w:tcW w:w="735" w:type="dxa"/>
                  <w:tcBorders>
                    <w:top w:val="single" w:color="auto" w:sz="4" w:space="0"/>
                    <w:left w:val="nil"/>
                    <w:bottom w:val="single" w:color="auto" w:sz="4" w:space="0"/>
                    <w:right w:val="single" w:color="auto" w:sz="4" w:space="0"/>
                  </w:tcBorders>
                  <w:noWrap w:val="0"/>
                  <w:vAlign w:val="center"/>
                </w:tcPr>
                <w:p w14:paraId="4EC23E2A">
                  <w:pPr>
                    <w:keepNext w:val="0"/>
                    <w:keepLines w:val="0"/>
                    <w:pageBreakBefore w:val="0"/>
                    <w:widowControl/>
                    <w:kinsoku/>
                    <w:wordWrap/>
                    <w:overflowPunct/>
                    <w:topLinePunct w:val="0"/>
                    <w:autoSpaceDE/>
                    <w:autoSpaceDN/>
                    <w:bidi w:val="0"/>
                    <w:ind w:right="0" w:rightChars="0"/>
                    <w:jc w:val="center"/>
                    <w:textAlignment w:val="auto"/>
                    <w:rPr>
                      <w:rFonts w:hint="default" w:ascii="Times New Roman" w:hAnsi="Times New Roman" w:cs="Times New Roman"/>
                      <w:color w:val="auto"/>
                      <w:kern w:val="0"/>
                      <w:sz w:val="21"/>
                      <w:szCs w:val="21"/>
                      <w:highlight w:val="none"/>
                      <w:lang w:val="en-US"/>
                    </w:rPr>
                  </w:pPr>
                  <w:r>
                    <w:rPr>
                      <w:rFonts w:hint="default" w:ascii="Times New Roman" w:hAnsi="Times New Roman" w:cs="Times New Roman"/>
                      <w:color w:val="auto"/>
                      <w:kern w:val="0"/>
                      <w:szCs w:val="21"/>
                      <w:highlight w:val="none"/>
                      <w:lang w:val="en-US" w:eastAsia="zh-CN"/>
                    </w:rPr>
                    <w:t>2台</w:t>
                  </w:r>
                </w:p>
              </w:tc>
              <w:tc>
                <w:tcPr>
                  <w:tcW w:w="1125" w:type="dxa"/>
                  <w:tcBorders>
                    <w:top w:val="single" w:color="auto" w:sz="4" w:space="0"/>
                    <w:left w:val="nil"/>
                    <w:bottom w:val="single" w:color="auto" w:sz="4" w:space="0"/>
                    <w:right w:val="single" w:color="auto" w:sz="4" w:space="0"/>
                  </w:tcBorders>
                  <w:noWrap w:val="0"/>
                  <w:vAlign w:val="center"/>
                </w:tcPr>
                <w:p w14:paraId="65DEDB6A">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室外</w:t>
                  </w:r>
                </w:p>
              </w:tc>
              <w:tc>
                <w:tcPr>
                  <w:tcW w:w="1020" w:type="dxa"/>
                  <w:tcBorders>
                    <w:top w:val="single" w:color="auto" w:sz="4" w:space="0"/>
                    <w:left w:val="nil"/>
                    <w:bottom w:val="single" w:color="auto" w:sz="4" w:space="0"/>
                    <w:right w:val="single" w:color="auto" w:sz="4" w:space="0"/>
                  </w:tcBorders>
                  <w:noWrap w:val="0"/>
                  <w:vAlign w:val="center"/>
                </w:tcPr>
                <w:p w14:paraId="28A31F6F">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75</w:t>
                  </w:r>
                </w:p>
              </w:tc>
              <w:tc>
                <w:tcPr>
                  <w:tcW w:w="937" w:type="dxa"/>
                  <w:tcBorders>
                    <w:top w:val="single" w:color="auto" w:sz="4" w:space="0"/>
                    <w:left w:val="nil"/>
                    <w:bottom w:val="single" w:color="auto" w:sz="4" w:space="0"/>
                    <w:right w:val="single" w:color="auto" w:sz="4" w:space="0"/>
                  </w:tcBorders>
                  <w:noWrap w:val="0"/>
                  <w:vAlign w:val="center"/>
                </w:tcPr>
                <w:p w14:paraId="1DEC392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78.01</w:t>
                  </w:r>
                </w:p>
              </w:tc>
              <w:tc>
                <w:tcPr>
                  <w:tcW w:w="1635" w:type="dxa"/>
                  <w:tcBorders>
                    <w:top w:val="single" w:color="auto" w:sz="4" w:space="0"/>
                    <w:left w:val="nil"/>
                    <w:bottom w:val="single" w:color="auto" w:sz="4" w:space="0"/>
                    <w:right w:val="single" w:color="auto" w:sz="4" w:space="0"/>
                  </w:tcBorders>
                  <w:noWrap w:val="0"/>
                  <w:vAlign w:val="center"/>
                </w:tcPr>
                <w:p w14:paraId="51526EDF">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cs="Times New Roman"/>
                      <w:color w:val="auto"/>
                      <w:highlight w:val="none"/>
                    </w:rPr>
                    <w:t>弹簧减震</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消声</w:t>
                  </w:r>
                </w:p>
              </w:tc>
              <w:tc>
                <w:tcPr>
                  <w:tcW w:w="870" w:type="dxa"/>
                  <w:tcBorders>
                    <w:top w:val="single" w:color="auto" w:sz="4" w:space="0"/>
                    <w:left w:val="nil"/>
                    <w:bottom w:val="single" w:color="auto" w:sz="4" w:space="0"/>
                    <w:right w:val="single" w:color="auto" w:sz="4" w:space="0"/>
                  </w:tcBorders>
                  <w:noWrap w:val="0"/>
                  <w:vAlign w:val="center"/>
                </w:tcPr>
                <w:p w14:paraId="56B5B100">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15</w:t>
                  </w:r>
                </w:p>
              </w:tc>
              <w:tc>
                <w:tcPr>
                  <w:tcW w:w="957" w:type="dxa"/>
                  <w:tcBorders>
                    <w:top w:val="single" w:color="auto" w:sz="4" w:space="0"/>
                    <w:left w:val="nil"/>
                    <w:bottom w:val="single" w:color="auto" w:sz="4" w:space="0"/>
                    <w:right w:val="single" w:color="auto" w:sz="4" w:space="0"/>
                  </w:tcBorders>
                  <w:noWrap w:val="0"/>
                  <w:vAlign w:val="center"/>
                </w:tcPr>
                <w:p w14:paraId="59DA5AA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65.01</w:t>
                  </w:r>
                </w:p>
              </w:tc>
            </w:tr>
            <w:tr w14:paraId="1FA31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898" w:type="dxa"/>
                  <w:tcBorders>
                    <w:top w:val="single" w:color="auto" w:sz="4" w:space="0"/>
                    <w:left w:val="single" w:color="auto" w:sz="4" w:space="0"/>
                    <w:bottom w:val="single" w:color="auto" w:sz="4" w:space="0"/>
                    <w:right w:val="single" w:color="auto" w:sz="4" w:space="0"/>
                  </w:tcBorders>
                  <w:noWrap w:val="0"/>
                  <w:vAlign w:val="center"/>
                </w:tcPr>
                <w:p w14:paraId="422CD78F">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铲车</w:t>
                  </w:r>
                </w:p>
              </w:tc>
              <w:tc>
                <w:tcPr>
                  <w:tcW w:w="735" w:type="dxa"/>
                  <w:tcBorders>
                    <w:top w:val="single" w:color="auto" w:sz="4" w:space="0"/>
                    <w:left w:val="nil"/>
                    <w:bottom w:val="single" w:color="auto" w:sz="4" w:space="0"/>
                    <w:right w:val="single" w:color="auto" w:sz="4" w:space="0"/>
                  </w:tcBorders>
                  <w:noWrap w:val="0"/>
                  <w:vAlign w:val="center"/>
                </w:tcPr>
                <w:p w14:paraId="336F26FC">
                  <w:pPr>
                    <w:keepNext w:val="0"/>
                    <w:keepLines w:val="0"/>
                    <w:pageBreakBefore w:val="0"/>
                    <w:widowControl/>
                    <w:kinsoku/>
                    <w:wordWrap/>
                    <w:overflowPunct/>
                    <w:topLinePunct w:val="0"/>
                    <w:autoSpaceDE/>
                    <w:autoSpaceDN/>
                    <w:bidi w:val="0"/>
                    <w:ind w:right="0" w:rightChars="0"/>
                    <w:jc w:val="center"/>
                    <w:textAlignment w:val="auto"/>
                    <w:rPr>
                      <w:rFonts w:hint="default" w:ascii="Times New Roman" w:hAnsi="Times New Roman" w:cs="Times New Roman"/>
                      <w:color w:val="auto"/>
                      <w:kern w:val="0"/>
                      <w:sz w:val="21"/>
                      <w:szCs w:val="21"/>
                      <w:highlight w:val="none"/>
                      <w:lang w:val="en-US"/>
                    </w:rPr>
                  </w:pPr>
                  <w:r>
                    <w:rPr>
                      <w:rFonts w:hint="default" w:ascii="Times New Roman" w:hAnsi="Times New Roman" w:cs="Times New Roman"/>
                      <w:color w:val="auto"/>
                      <w:kern w:val="0"/>
                      <w:szCs w:val="21"/>
                      <w:highlight w:val="none"/>
                      <w:lang w:val="en-US" w:eastAsia="zh-CN"/>
                    </w:rPr>
                    <w:t>3台</w:t>
                  </w:r>
                </w:p>
              </w:tc>
              <w:tc>
                <w:tcPr>
                  <w:tcW w:w="1125" w:type="dxa"/>
                  <w:tcBorders>
                    <w:top w:val="single" w:color="auto" w:sz="4" w:space="0"/>
                    <w:left w:val="nil"/>
                    <w:bottom w:val="single" w:color="auto" w:sz="4" w:space="0"/>
                    <w:right w:val="single" w:color="auto" w:sz="4" w:space="0"/>
                  </w:tcBorders>
                  <w:noWrap w:val="0"/>
                  <w:vAlign w:val="center"/>
                </w:tcPr>
                <w:p w14:paraId="79ECCBAF">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室外</w:t>
                  </w:r>
                </w:p>
              </w:tc>
              <w:tc>
                <w:tcPr>
                  <w:tcW w:w="1020" w:type="dxa"/>
                  <w:tcBorders>
                    <w:top w:val="single" w:color="auto" w:sz="4" w:space="0"/>
                    <w:left w:val="nil"/>
                    <w:bottom w:val="single" w:color="auto" w:sz="4" w:space="0"/>
                    <w:right w:val="single" w:color="auto" w:sz="4" w:space="0"/>
                  </w:tcBorders>
                  <w:noWrap w:val="0"/>
                  <w:vAlign w:val="center"/>
                </w:tcPr>
                <w:p w14:paraId="1B45E6BC">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75</w:t>
                  </w:r>
                </w:p>
              </w:tc>
              <w:tc>
                <w:tcPr>
                  <w:tcW w:w="937" w:type="dxa"/>
                  <w:tcBorders>
                    <w:top w:val="single" w:color="auto" w:sz="4" w:space="0"/>
                    <w:left w:val="nil"/>
                    <w:bottom w:val="single" w:color="auto" w:sz="4" w:space="0"/>
                    <w:right w:val="single" w:color="auto" w:sz="4" w:space="0"/>
                  </w:tcBorders>
                  <w:noWrap w:val="0"/>
                  <w:vAlign w:val="center"/>
                </w:tcPr>
                <w:p w14:paraId="73E7063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79.77</w:t>
                  </w:r>
                </w:p>
              </w:tc>
              <w:tc>
                <w:tcPr>
                  <w:tcW w:w="1635" w:type="dxa"/>
                  <w:tcBorders>
                    <w:top w:val="single" w:color="auto" w:sz="4" w:space="0"/>
                    <w:left w:val="nil"/>
                    <w:bottom w:val="single" w:color="auto" w:sz="4" w:space="0"/>
                    <w:right w:val="single" w:color="auto" w:sz="4" w:space="0"/>
                  </w:tcBorders>
                  <w:noWrap w:val="0"/>
                  <w:vAlign w:val="center"/>
                </w:tcPr>
                <w:p w14:paraId="0568722F">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cs="Times New Roman"/>
                      <w:color w:val="auto"/>
                      <w:highlight w:val="none"/>
                    </w:rPr>
                    <w:t>弹簧减震</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消声</w:t>
                  </w:r>
                </w:p>
              </w:tc>
              <w:tc>
                <w:tcPr>
                  <w:tcW w:w="870" w:type="dxa"/>
                  <w:tcBorders>
                    <w:top w:val="single" w:color="auto" w:sz="4" w:space="0"/>
                    <w:left w:val="nil"/>
                    <w:bottom w:val="single" w:color="auto" w:sz="4" w:space="0"/>
                    <w:right w:val="single" w:color="auto" w:sz="4" w:space="0"/>
                  </w:tcBorders>
                  <w:noWrap w:val="0"/>
                  <w:vAlign w:val="center"/>
                </w:tcPr>
                <w:p w14:paraId="0F6CA8EE">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15</w:t>
                  </w:r>
                </w:p>
              </w:tc>
              <w:tc>
                <w:tcPr>
                  <w:tcW w:w="957" w:type="dxa"/>
                  <w:tcBorders>
                    <w:top w:val="single" w:color="auto" w:sz="4" w:space="0"/>
                    <w:left w:val="nil"/>
                    <w:bottom w:val="single" w:color="auto" w:sz="4" w:space="0"/>
                    <w:right w:val="single" w:color="auto" w:sz="4" w:space="0"/>
                  </w:tcBorders>
                  <w:noWrap w:val="0"/>
                  <w:vAlign w:val="center"/>
                </w:tcPr>
                <w:p w14:paraId="4B374F89">
                  <w:pPr>
                    <w:adjustRightInd w:val="0"/>
                    <w:snapToGrid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64.77</w:t>
                  </w:r>
                </w:p>
              </w:tc>
            </w:tr>
          </w:tbl>
          <w:p w14:paraId="5BD05028">
            <w:pPr>
              <w:adjustRightInd w:val="0"/>
              <w:snapToGrid w:val="0"/>
              <w:spacing w:line="360" w:lineRule="auto"/>
              <w:ind w:firstLine="420" w:firstLineChars="200"/>
              <w:rPr>
                <w:rFonts w:hint="default" w:ascii="Times New Roman" w:hAnsi="Times New Roman" w:cs="Times New Roman"/>
                <w:bCs/>
                <w:color w:val="auto"/>
                <w:spacing w:val="-10"/>
                <w:sz w:val="24"/>
                <w:szCs w:val="24"/>
                <w:highlight w:val="none"/>
              </w:rPr>
            </w:pPr>
            <w:r>
              <w:rPr>
                <w:rFonts w:hint="default" w:ascii="Times New Roman" w:hAnsi="Times New Roman" w:eastAsia="宋体" w:cs="Times New Roman"/>
                <w:color w:val="auto"/>
                <w:kern w:val="2"/>
                <w:szCs w:val="21"/>
                <w:highlight w:val="none"/>
              </w:rPr>
              <w:t>注：根据刘惠玲主编《环境噪声控制》（2002年10月第1版），采用隔声间（室）技术措施，降噪效果可达20~40dB(A)，项目按20dB(A)计，减振处理，降噪效果可达5~25dB(A)，项目按5dB(A)计。生产设备安装在室内，则经过墙体隔音降噪和减振效果，隔音量</w:t>
            </w:r>
            <w:r>
              <w:rPr>
                <w:rFonts w:hint="default" w:ascii="Times New Roman" w:hAnsi="Times New Roman" w:eastAsia="宋体" w:cs="Times New Roman"/>
                <w:color w:val="auto"/>
                <w:kern w:val="2"/>
                <w:szCs w:val="21"/>
                <w:highlight w:val="none"/>
                <w:lang w:val="en-US" w:eastAsia="zh-CN"/>
              </w:rPr>
              <w:t>20</w:t>
            </w:r>
            <w:r>
              <w:rPr>
                <w:rFonts w:hint="default" w:ascii="Times New Roman" w:hAnsi="Times New Roman" w:eastAsia="宋体" w:cs="Times New Roman"/>
                <w:color w:val="auto"/>
                <w:kern w:val="2"/>
                <w:szCs w:val="21"/>
                <w:highlight w:val="none"/>
              </w:rPr>
              <w:t>dB(A)</w:t>
            </w:r>
            <w:r>
              <w:rPr>
                <w:rFonts w:hint="default" w:ascii="Times New Roman" w:hAnsi="Times New Roman" w:eastAsia="宋体" w:cs="Times New Roman"/>
                <w:color w:val="auto"/>
                <w:kern w:val="2"/>
                <w:szCs w:val="21"/>
                <w:highlight w:val="none"/>
                <w:lang w:eastAsia="zh-CN"/>
              </w:rPr>
              <w:t>，</w:t>
            </w:r>
            <w:r>
              <w:rPr>
                <w:rFonts w:hint="default" w:ascii="Times New Roman" w:hAnsi="Times New Roman" w:eastAsia="宋体" w:cs="Times New Roman"/>
                <w:color w:val="auto"/>
                <w:kern w:val="2"/>
                <w:szCs w:val="21"/>
                <w:highlight w:val="none"/>
                <w:lang w:val="en-US" w:eastAsia="zh-CN"/>
              </w:rPr>
              <w:t>室外基础减振降噪量取15</w:t>
            </w:r>
            <w:r>
              <w:rPr>
                <w:rFonts w:hint="default" w:ascii="Times New Roman" w:hAnsi="Times New Roman" w:eastAsia="宋体" w:cs="Times New Roman"/>
                <w:color w:val="auto"/>
                <w:kern w:val="2"/>
                <w:szCs w:val="21"/>
                <w:highlight w:val="none"/>
              </w:rPr>
              <w:t>dB(A)。</w:t>
            </w:r>
          </w:p>
        </w:tc>
      </w:tr>
    </w:tbl>
    <w:p w14:paraId="2472A1EF">
      <w:pPr>
        <w:keepNext w:val="0"/>
        <w:keepLines w:val="0"/>
        <w:pageBreakBefore w:val="0"/>
        <w:widowControl w:val="0"/>
        <w:kinsoku/>
        <w:wordWrap/>
        <w:overflowPunct/>
        <w:topLinePunct w:val="0"/>
        <w:autoSpaceDE/>
        <w:autoSpaceDN/>
        <w:bidi w:val="0"/>
        <w:adjustRightInd w:val="0"/>
        <w:snapToGrid w:val="0"/>
        <w:spacing w:after="0"/>
        <w:jc w:val="both"/>
        <w:textAlignment w:val="auto"/>
        <w:outlineLvl w:val="0"/>
        <w:rPr>
          <w:rFonts w:hint="default" w:ascii="Times New Roman" w:hAnsi="Times New Roman" w:eastAsia="宋体" w:cs="Times New Roman"/>
          <w:b/>
          <w:bCs/>
          <w:snapToGrid w:val="0"/>
          <w:color w:val="auto"/>
          <w:sz w:val="30"/>
          <w:szCs w:val="30"/>
          <w:highlight w:val="none"/>
        </w:rPr>
        <w:sectPr>
          <w:pgSz w:w="11906" w:h="16838"/>
          <w:pgMar w:top="1440" w:right="1247" w:bottom="1440" w:left="1247" w:header="851" w:footer="851" w:gutter="0"/>
          <w:pgNumType w:fmt="decimal"/>
          <w:cols w:space="720" w:num="1"/>
          <w:docGrid w:linePitch="312" w:charSpace="0"/>
        </w:sectPr>
      </w:pPr>
    </w:p>
    <w:tbl>
      <w:tblPr>
        <w:tblStyle w:val="35"/>
        <w:tblW w:w="14214"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70"/>
        <w:gridCol w:w="13744"/>
      </w:tblGrid>
      <w:tr w14:paraId="3BC1D5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849" w:hRule="atLeast"/>
        </w:trPr>
        <w:tc>
          <w:tcPr>
            <w:tcW w:w="470" w:type="dxa"/>
            <w:tcBorders>
              <w:tl2br w:val="nil"/>
              <w:tr2bl w:val="nil"/>
            </w:tcBorders>
            <w:noWrap w:val="0"/>
            <w:vAlign w:val="center"/>
          </w:tcPr>
          <w:p w14:paraId="4C6FF321">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2"/>
                <w:szCs w:val="22"/>
                <w:highlight w:val="none"/>
                <w:vertAlign w:val="baseline"/>
              </w:rPr>
            </w:pPr>
          </w:p>
        </w:tc>
        <w:tc>
          <w:tcPr>
            <w:tcW w:w="13744" w:type="dxa"/>
            <w:tcBorders>
              <w:tl2br w:val="nil"/>
              <w:tr2bl w:val="nil"/>
            </w:tcBorders>
            <w:noWrap w:val="0"/>
            <w:vAlign w:val="center"/>
          </w:tcPr>
          <w:p w14:paraId="621D14F7">
            <w:pPr>
              <w:spacing w:line="240" w:lineRule="auto"/>
              <w:ind w:right="57" w:rightChars="27" w:firstLine="422"/>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 w:val="21"/>
                <w:szCs w:val="21"/>
                <w:highlight w:val="none"/>
                <w:lang w:bidi="ar"/>
              </w:rPr>
              <w:t>表</w:t>
            </w:r>
            <w:r>
              <w:rPr>
                <w:rFonts w:hint="default" w:ascii="Times New Roman" w:hAnsi="Times New Roman" w:cs="Times New Roman"/>
                <w:b/>
                <w:bCs/>
                <w:color w:val="auto"/>
                <w:sz w:val="21"/>
                <w:szCs w:val="21"/>
                <w:highlight w:val="none"/>
                <w:lang w:val="en-US" w:eastAsia="zh-CN" w:bidi="ar"/>
              </w:rPr>
              <w:t>4</w:t>
            </w:r>
            <w:r>
              <w:rPr>
                <w:rFonts w:hint="default" w:ascii="Times New Roman" w:hAnsi="Times New Roman" w:cs="Times New Roman"/>
                <w:b/>
                <w:bCs/>
                <w:color w:val="auto"/>
                <w:sz w:val="21"/>
                <w:szCs w:val="21"/>
                <w:highlight w:val="none"/>
                <w:lang w:bidi="ar"/>
              </w:rPr>
              <w:t>-</w:t>
            </w:r>
            <w:r>
              <w:rPr>
                <w:rFonts w:hint="default" w:ascii="Times New Roman" w:hAnsi="Times New Roman" w:cs="Times New Roman"/>
                <w:b/>
                <w:bCs/>
                <w:color w:val="auto"/>
                <w:sz w:val="21"/>
                <w:szCs w:val="21"/>
                <w:highlight w:val="none"/>
                <w:lang w:val="en-US" w:eastAsia="zh-CN" w:bidi="ar"/>
              </w:rPr>
              <w:t>17 本项目</w:t>
            </w:r>
            <w:r>
              <w:rPr>
                <w:rFonts w:hint="default" w:ascii="Times New Roman" w:hAnsi="Times New Roman" w:cs="Times New Roman"/>
                <w:b/>
                <w:bCs/>
                <w:color w:val="auto"/>
                <w:sz w:val="21"/>
                <w:szCs w:val="21"/>
                <w:highlight w:val="none"/>
                <w:lang w:bidi="ar"/>
              </w:rPr>
              <w:t>工业企业噪声源调查清单（室内声源）</w:t>
            </w:r>
          </w:p>
          <w:tbl>
            <w:tblPr>
              <w:tblStyle w:val="35"/>
              <w:tblW w:w="13688" w:type="dxa"/>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6"/>
              <w:gridCol w:w="720"/>
              <w:gridCol w:w="645"/>
              <w:gridCol w:w="735"/>
              <w:gridCol w:w="465"/>
              <w:gridCol w:w="660"/>
              <w:gridCol w:w="630"/>
              <w:gridCol w:w="570"/>
              <w:gridCol w:w="675"/>
              <w:gridCol w:w="570"/>
              <w:gridCol w:w="540"/>
              <w:gridCol w:w="585"/>
              <w:gridCol w:w="540"/>
              <w:gridCol w:w="555"/>
              <w:gridCol w:w="555"/>
              <w:gridCol w:w="540"/>
              <w:gridCol w:w="585"/>
              <w:gridCol w:w="585"/>
              <w:gridCol w:w="570"/>
              <w:gridCol w:w="555"/>
              <w:gridCol w:w="555"/>
              <w:gridCol w:w="597"/>
            </w:tblGrid>
            <w:tr w14:paraId="6E9D0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1256" w:type="dxa"/>
                  <w:vMerge w:val="restart"/>
                  <w:tcBorders>
                    <w:top w:val="single" w:color="auto" w:sz="4" w:space="0"/>
                    <w:left w:val="single" w:color="auto" w:sz="4" w:space="0"/>
                    <w:bottom w:val="single" w:color="auto" w:sz="4" w:space="0"/>
                    <w:right w:val="single" w:color="auto" w:sz="4" w:space="0"/>
                  </w:tcBorders>
                  <w:noWrap w:val="0"/>
                  <w:vAlign w:val="center"/>
                </w:tcPr>
                <w:p w14:paraId="2DA1E289">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Cs/>
                      <w:color w:val="auto"/>
                      <w:sz w:val="21"/>
                      <w:szCs w:val="21"/>
                      <w:highlight w:val="none"/>
                    </w:rPr>
                  </w:pPr>
                  <w:r>
                    <w:rPr>
                      <w:rFonts w:hint="default" w:ascii="Times New Roman" w:hAnsi="Times New Roman" w:cs="Times New Roman"/>
                      <w:b/>
                      <w:color w:val="auto"/>
                      <w:sz w:val="21"/>
                      <w:szCs w:val="21"/>
                      <w:highlight w:val="none"/>
                      <w:lang w:bidi="ar"/>
                    </w:rPr>
                    <w:t>声源名称</w:t>
                  </w:r>
                </w:p>
              </w:tc>
              <w:tc>
                <w:tcPr>
                  <w:tcW w:w="720" w:type="dxa"/>
                  <w:vMerge w:val="restart"/>
                  <w:tcBorders>
                    <w:top w:val="single" w:color="auto" w:sz="4" w:space="0"/>
                    <w:left w:val="single" w:color="auto" w:sz="4" w:space="0"/>
                    <w:bottom w:val="single" w:color="auto" w:sz="4" w:space="0"/>
                    <w:right w:val="single" w:color="auto" w:sz="4" w:space="0"/>
                  </w:tcBorders>
                  <w:noWrap w:val="0"/>
                  <w:vAlign w:val="center"/>
                </w:tcPr>
                <w:p w14:paraId="38CAAE9A">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Cs/>
                      <w:color w:val="auto"/>
                      <w:sz w:val="21"/>
                      <w:szCs w:val="21"/>
                      <w:highlight w:val="none"/>
                    </w:rPr>
                  </w:pPr>
                  <w:r>
                    <w:rPr>
                      <w:rFonts w:hint="default" w:ascii="Times New Roman" w:hAnsi="Times New Roman" w:cs="Times New Roman"/>
                      <w:b/>
                      <w:bCs/>
                      <w:color w:val="auto"/>
                      <w:sz w:val="21"/>
                      <w:szCs w:val="21"/>
                      <w:highlight w:val="none"/>
                      <w:lang w:bidi="ar"/>
                    </w:rPr>
                    <w:t>声功率级/dB(A)</w:t>
                  </w:r>
                </w:p>
              </w:tc>
              <w:tc>
                <w:tcPr>
                  <w:tcW w:w="1845" w:type="dxa"/>
                  <w:gridSpan w:val="3"/>
                  <w:tcBorders>
                    <w:top w:val="single" w:color="auto" w:sz="4" w:space="0"/>
                    <w:left w:val="single" w:color="auto" w:sz="4" w:space="0"/>
                    <w:bottom w:val="single" w:color="auto" w:sz="4" w:space="0"/>
                    <w:right w:val="single" w:color="auto" w:sz="4" w:space="0"/>
                  </w:tcBorders>
                  <w:noWrap w:val="0"/>
                  <w:vAlign w:val="center"/>
                </w:tcPr>
                <w:p w14:paraId="4B003496">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Cs/>
                      <w:color w:val="auto"/>
                      <w:sz w:val="21"/>
                      <w:szCs w:val="21"/>
                      <w:highlight w:val="none"/>
                    </w:rPr>
                  </w:pPr>
                  <w:r>
                    <w:rPr>
                      <w:rFonts w:hint="default" w:ascii="Times New Roman" w:hAnsi="Times New Roman" w:cs="Times New Roman"/>
                      <w:b/>
                      <w:color w:val="auto"/>
                      <w:sz w:val="21"/>
                      <w:szCs w:val="21"/>
                      <w:highlight w:val="none"/>
                      <w:lang w:bidi="ar"/>
                    </w:rPr>
                    <w:t>空间相对位置/m</w:t>
                  </w:r>
                </w:p>
              </w:tc>
              <w:tc>
                <w:tcPr>
                  <w:tcW w:w="2535" w:type="dxa"/>
                  <w:gridSpan w:val="4"/>
                  <w:tcBorders>
                    <w:top w:val="single" w:color="auto" w:sz="4" w:space="0"/>
                    <w:left w:val="single" w:color="auto" w:sz="4" w:space="0"/>
                    <w:bottom w:val="single" w:color="auto" w:sz="4" w:space="0"/>
                    <w:right w:val="single" w:color="auto" w:sz="4" w:space="0"/>
                  </w:tcBorders>
                  <w:noWrap w:val="0"/>
                  <w:vAlign w:val="center"/>
                </w:tcPr>
                <w:p w14:paraId="02F86416">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Cs/>
                      <w:color w:val="auto"/>
                      <w:sz w:val="21"/>
                      <w:szCs w:val="21"/>
                      <w:highlight w:val="none"/>
                    </w:rPr>
                  </w:pPr>
                  <w:r>
                    <w:rPr>
                      <w:rFonts w:hint="default" w:ascii="Times New Roman" w:hAnsi="Times New Roman" w:cs="Times New Roman"/>
                      <w:b/>
                      <w:color w:val="auto"/>
                      <w:sz w:val="21"/>
                      <w:szCs w:val="21"/>
                      <w:highlight w:val="none"/>
                      <w:lang w:bidi="ar"/>
                    </w:rPr>
                    <w:t>距室内边界距离/m</w:t>
                  </w:r>
                </w:p>
              </w:tc>
              <w:tc>
                <w:tcPr>
                  <w:tcW w:w="2235" w:type="dxa"/>
                  <w:gridSpan w:val="4"/>
                  <w:tcBorders>
                    <w:top w:val="single" w:color="auto" w:sz="4" w:space="0"/>
                    <w:left w:val="single" w:color="auto" w:sz="4" w:space="0"/>
                    <w:bottom w:val="single" w:color="auto" w:sz="4" w:space="0"/>
                    <w:right w:val="single" w:color="auto" w:sz="4" w:space="0"/>
                  </w:tcBorders>
                  <w:noWrap w:val="0"/>
                  <w:vAlign w:val="center"/>
                </w:tcPr>
                <w:p w14:paraId="72786463">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Cs/>
                      <w:color w:val="auto"/>
                      <w:sz w:val="21"/>
                      <w:szCs w:val="21"/>
                      <w:highlight w:val="none"/>
                    </w:rPr>
                  </w:pPr>
                  <w:r>
                    <w:rPr>
                      <w:rFonts w:hint="default" w:ascii="Times New Roman" w:hAnsi="Times New Roman" w:cs="Times New Roman"/>
                      <w:b/>
                      <w:color w:val="auto"/>
                      <w:sz w:val="21"/>
                      <w:szCs w:val="21"/>
                      <w:highlight w:val="none"/>
                      <w:lang w:bidi="ar"/>
                    </w:rPr>
                    <w:t>室内边界声级/dB(A)</w:t>
                  </w:r>
                </w:p>
              </w:tc>
              <w:tc>
                <w:tcPr>
                  <w:tcW w:w="2235" w:type="dxa"/>
                  <w:gridSpan w:val="4"/>
                  <w:tcBorders>
                    <w:top w:val="single" w:color="auto" w:sz="4" w:space="0"/>
                    <w:left w:val="single" w:color="auto" w:sz="4" w:space="0"/>
                    <w:bottom w:val="single" w:color="auto" w:sz="4" w:space="0"/>
                    <w:right w:val="single" w:color="auto" w:sz="4" w:space="0"/>
                  </w:tcBorders>
                  <w:noWrap w:val="0"/>
                  <w:vAlign w:val="center"/>
                </w:tcPr>
                <w:p w14:paraId="7719CE45">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Cs/>
                      <w:color w:val="auto"/>
                      <w:sz w:val="21"/>
                      <w:szCs w:val="21"/>
                      <w:highlight w:val="none"/>
                    </w:rPr>
                  </w:pPr>
                  <w:r>
                    <w:rPr>
                      <w:rFonts w:hint="default" w:ascii="Times New Roman" w:hAnsi="Times New Roman" w:cs="Times New Roman"/>
                      <w:b/>
                      <w:color w:val="auto"/>
                      <w:sz w:val="21"/>
                      <w:szCs w:val="21"/>
                      <w:highlight w:val="none"/>
                      <w:lang w:bidi="ar"/>
                    </w:rPr>
                    <w:t>建筑物插入损失/dB(A)</w:t>
                  </w:r>
                </w:p>
              </w:tc>
              <w:tc>
                <w:tcPr>
                  <w:tcW w:w="2862" w:type="dxa"/>
                  <w:gridSpan w:val="5"/>
                  <w:tcBorders>
                    <w:top w:val="single" w:color="auto" w:sz="4" w:space="0"/>
                    <w:left w:val="single" w:color="auto" w:sz="4" w:space="0"/>
                    <w:bottom w:val="single" w:color="auto" w:sz="4" w:space="0"/>
                    <w:right w:val="single" w:color="auto" w:sz="4" w:space="0"/>
                  </w:tcBorders>
                  <w:noWrap w:val="0"/>
                  <w:vAlign w:val="center"/>
                </w:tcPr>
                <w:p w14:paraId="5C58316D">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Cs/>
                      <w:color w:val="auto"/>
                      <w:sz w:val="21"/>
                      <w:szCs w:val="21"/>
                      <w:highlight w:val="none"/>
                    </w:rPr>
                  </w:pPr>
                  <w:r>
                    <w:rPr>
                      <w:rFonts w:hint="default" w:ascii="Times New Roman" w:hAnsi="Times New Roman" w:cs="Times New Roman"/>
                      <w:b/>
                      <w:color w:val="auto"/>
                      <w:sz w:val="21"/>
                      <w:szCs w:val="21"/>
                      <w:highlight w:val="none"/>
                      <w:lang w:bidi="ar"/>
                    </w:rPr>
                    <w:t>建筑物外噪声声压级/dB(A)</w:t>
                  </w:r>
                </w:p>
              </w:tc>
            </w:tr>
            <w:tr w14:paraId="414FE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1256" w:type="dxa"/>
                  <w:vMerge w:val="continue"/>
                  <w:tcBorders>
                    <w:top w:val="single" w:color="auto" w:sz="4" w:space="0"/>
                    <w:left w:val="single" w:color="auto" w:sz="4" w:space="0"/>
                    <w:bottom w:val="single" w:color="auto" w:sz="4" w:space="0"/>
                    <w:right w:val="single" w:color="auto" w:sz="4" w:space="0"/>
                  </w:tcBorders>
                  <w:noWrap w:val="0"/>
                  <w:vAlign w:val="center"/>
                </w:tcPr>
                <w:p w14:paraId="14F56404">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auto"/>
                      <w:sz w:val="21"/>
                      <w:szCs w:val="21"/>
                      <w:highlight w:val="none"/>
                    </w:rPr>
                  </w:pPr>
                </w:p>
              </w:tc>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14:paraId="2A6AA863">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auto"/>
                      <w:sz w:val="21"/>
                      <w:szCs w:val="21"/>
                      <w:highlight w:val="none"/>
                    </w:rPr>
                  </w:pPr>
                </w:p>
              </w:tc>
              <w:tc>
                <w:tcPr>
                  <w:tcW w:w="645" w:type="dxa"/>
                  <w:tcBorders>
                    <w:top w:val="single" w:color="auto" w:sz="4" w:space="0"/>
                    <w:left w:val="single" w:color="auto" w:sz="4" w:space="0"/>
                    <w:bottom w:val="single" w:color="auto" w:sz="4" w:space="0"/>
                    <w:right w:val="single" w:color="auto" w:sz="4" w:space="0"/>
                  </w:tcBorders>
                  <w:noWrap w:val="0"/>
                  <w:vAlign w:val="center"/>
                </w:tcPr>
                <w:p w14:paraId="60C0AE23">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lang w:bidi="ar"/>
                    </w:rPr>
                    <w:t>X</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6547961F">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lang w:bidi="ar"/>
                    </w:rPr>
                    <w:t>Y</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42A5AE35">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lang w:bidi="ar"/>
                    </w:rPr>
                    <w:t>Z</w:t>
                  </w:r>
                </w:p>
              </w:tc>
              <w:tc>
                <w:tcPr>
                  <w:tcW w:w="660" w:type="dxa"/>
                  <w:tcBorders>
                    <w:top w:val="single" w:color="auto" w:sz="4" w:space="0"/>
                    <w:left w:val="single" w:color="auto" w:sz="4" w:space="0"/>
                    <w:bottom w:val="single" w:color="auto" w:sz="4" w:space="0"/>
                    <w:right w:val="single" w:color="auto" w:sz="4" w:space="0"/>
                  </w:tcBorders>
                  <w:noWrap w:val="0"/>
                  <w:vAlign w:val="center"/>
                </w:tcPr>
                <w:p w14:paraId="27E2E3A7">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lang w:bidi="ar"/>
                    </w:rPr>
                    <w:t>东</w:t>
                  </w:r>
                </w:p>
              </w:tc>
              <w:tc>
                <w:tcPr>
                  <w:tcW w:w="630" w:type="dxa"/>
                  <w:tcBorders>
                    <w:top w:val="single" w:color="auto" w:sz="4" w:space="0"/>
                    <w:left w:val="single" w:color="auto" w:sz="4" w:space="0"/>
                    <w:bottom w:val="single" w:color="auto" w:sz="4" w:space="0"/>
                    <w:right w:val="single" w:color="auto" w:sz="4" w:space="0"/>
                  </w:tcBorders>
                  <w:noWrap w:val="0"/>
                  <w:vAlign w:val="center"/>
                </w:tcPr>
                <w:p w14:paraId="6FE941AD">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lang w:bidi="ar"/>
                    </w:rPr>
                    <w:t>南</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5F57A578">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lang w:bidi="ar"/>
                    </w:rPr>
                    <w:t>西</w:t>
                  </w:r>
                </w:p>
              </w:tc>
              <w:tc>
                <w:tcPr>
                  <w:tcW w:w="675" w:type="dxa"/>
                  <w:tcBorders>
                    <w:top w:val="single" w:color="auto" w:sz="4" w:space="0"/>
                    <w:left w:val="single" w:color="auto" w:sz="4" w:space="0"/>
                    <w:bottom w:val="single" w:color="auto" w:sz="4" w:space="0"/>
                    <w:right w:val="single" w:color="auto" w:sz="4" w:space="0"/>
                  </w:tcBorders>
                  <w:noWrap w:val="0"/>
                  <w:vAlign w:val="center"/>
                </w:tcPr>
                <w:p w14:paraId="5EDDCC87">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lang w:bidi="ar"/>
                    </w:rPr>
                    <w:t>北</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203AA665">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lang w:bidi="ar"/>
                    </w:rPr>
                    <w:t>东</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3C854234">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lang w:bidi="ar"/>
                    </w:rPr>
                    <w:t>南</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0D0BA776">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lang w:bidi="ar"/>
                    </w:rPr>
                    <w:t>西</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66EF8FAB">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lang w:bidi="ar"/>
                    </w:rPr>
                    <w:t>北</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7189C0AF">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lang w:bidi="ar"/>
                    </w:rPr>
                    <w:t>东</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4207E036">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lang w:bidi="ar"/>
                    </w:rPr>
                    <w:t>南</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0EE39A54">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lang w:bidi="ar"/>
                    </w:rPr>
                    <w:t>西</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4097BEB6">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lang w:bidi="ar"/>
                    </w:rPr>
                    <w:t>北</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3752FE62">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lang w:bidi="ar"/>
                    </w:rPr>
                    <w:t>东</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5CCEEF0B">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lang w:bidi="ar"/>
                    </w:rPr>
                    <w:t>南</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4F20CFCA">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lang w:bidi="ar"/>
                    </w:rPr>
                    <w:t>西</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6052CA8A">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lang w:bidi="ar"/>
                    </w:rPr>
                    <w:t>北</w:t>
                  </w:r>
                </w:p>
              </w:tc>
              <w:tc>
                <w:tcPr>
                  <w:tcW w:w="597" w:type="dxa"/>
                  <w:tcBorders>
                    <w:top w:val="single" w:color="auto" w:sz="4" w:space="0"/>
                    <w:left w:val="single" w:color="auto" w:sz="4" w:space="0"/>
                    <w:bottom w:val="single" w:color="auto" w:sz="4" w:space="0"/>
                    <w:right w:val="single" w:color="auto" w:sz="4" w:space="0"/>
                  </w:tcBorders>
                  <w:noWrap w:val="0"/>
                  <w:vAlign w:val="center"/>
                </w:tcPr>
                <w:p w14:paraId="2426077E">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18"/>
                      <w:szCs w:val="18"/>
                      <w:highlight w:val="none"/>
                      <w:lang w:bidi="ar"/>
                    </w:rPr>
                    <w:t>建筑物外距离</w:t>
                  </w:r>
                </w:p>
              </w:tc>
            </w:tr>
            <w:tr w14:paraId="159A9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256" w:type="dxa"/>
                  <w:tcBorders>
                    <w:top w:val="single" w:color="auto" w:sz="4" w:space="0"/>
                    <w:left w:val="single" w:color="auto" w:sz="4" w:space="0"/>
                    <w:bottom w:val="single" w:color="auto" w:sz="4" w:space="0"/>
                    <w:right w:val="single" w:color="auto" w:sz="4" w:space="0"/>
                  </w:tcBorders>
                  <w:noWrap w:val="0"/>
                  <w:vAlign w:val="center"/>
                </w:tcPr>
                <w:p w14:paraId="44688E4A">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液压钢筋弯箍机</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5A491F9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70.00</w:t>
                  </w:r>
                </w:p>
              </w:tc>
              <w:tc>
                <w:tcPr>
                  <w:tcW w:w="645" w:type="dxa"/>
                  <w:tcBorders>
                    <w:top w:val="single" w:color="auto" w:sz="4" w:space="0"/>
                    <w:left w:val="single" w:color="auto" w:sz="4" w:space="0"/>
                    <w:bottom w:val="single" w:color="auto" w:sz="4" w:space="0"/>
                    <w:right w:val="single" w:color="auto" w:sz="4" w:space="0"/>
                  </w:tcBorders>
                  <w:noWrap w:val="0"/>
                  <w:vAlign w:val="center"/>
                </w:tcPr>
                <w:p w14:paraId="0311693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-46.6</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57DB4F0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26.8</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0078112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1.5</w:t>
                  </w:r>
                </w:p>
              </w:tc>
              <w:tc>
                <w:tcPr>
                  <w:tcW w:w="660" w:type="dxa"/>
                  <w:tcBorders>
                    <w:top w:val="single" w:color="auto" w:sz="4" w:space="0"/>
                    <w:left w:val="single" w:color="auto" w:sz="4" w:space="0"/>
                    <w:bottom w:val="single" w:color="auto" w:sz="4" w:space="0"/>
                    <w:right w:val="single" w:color="auto" w:sz="4" w:space="0"/>
                  </w:tcBorders>
                  <w:noWrap w:val="0"/>
                  <w:vAlign w:val="center"/>
                </w:tcPr>
                <w:p w14:paraId="6BAB398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33.2</w:t>
                  </w:r>
                </w:p>
              </w:tc>
              <w:tc>
                <w:tcPr>
                  <w:tcW w:w="630" w:type="dxa"/>
                  <w:tcBorders>
                    <w:top w:val="single" w:color="auto" w:sz="4" w:space="0"/>
                    <w:left w:val="single" w:color="auto" w:sz="4" w:space="0"/>
                    <w:bottom w:val="single" w:color="auto" w:sz="4" w:space="0"/>
                    <w:right w:val="single" w:color="auto" w:sz="4" w:space="0"/>
                  </w:tcBorders>
                  <w:noWrap w:val="0"/>
                  <w:vAlign w:val="center"/>
                </w:tcPr>
                <w:p w14:paraId="15AA200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160.5</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5A551A6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17.7</w:t>
                  </w:r>
                </w:p>
              </w:tc>
              <w:tc>
                <w:tcPr>
                  <w:tcW w:w="675" w:type="dxa"/>
                  <w:tcBorders>
                    <w:top w:val="single" w:color="auto" w:sz="4" w:space="0"/>
                    <w:left w:val="single" w:color="auto" w:sz="4" w:space="0"/>
                    <w:bottom w:val="single" w:color="auto" w:sz="4" w:space="0"/>
                    <w:right w:val="single" w:color="auto" w:sz="4" w:space="0"/>
                  </w:tcBorders>
                  <w:noWrap w:val="0"/>
                  <w:vAlign w:val="center"/>
                </w:tcPr>
                <w:p w14:paraId="4C520FD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148.9</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4A7205A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50.4</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3CBBF3B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50.4</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55EF99C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50.5</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445EE59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50.4</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559CED2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0B86EE0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64FCDCC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5847EF7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680D1CA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19.4</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6CE7B70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19.4</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0467A6B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19.5</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1DF1B76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19.4</w:t>
                  </w:r>
                </w:p>
              </w:tc>
              <w:tc>
                <w:tcPr>
                  <w:tcW w:w="597" w:type="dxa"/>
                  <w:tcBorders>
                    <w:top w:val="single" w:color="auto" w:sz="4" w:space="0"/>
                    <w:left w:val="single" w:color="auto" w:sz="4" w:space="0"/>
                    <w:bottom w:val="single" w:color="auto" w:sz="4" w:space="0"/>
                    <w:right w:val="single" w:color="auto" w:sz="4" w:space="0"/>
                  </w:tcBorders>
                  <w:noWrap w:val="0"/>
                  <w:vAlign w:val="center"/>
                </w:tcPr>
                <w:p w14:paraId="48861DB1">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w:t>
                  </w:r>
                </w:p>
              </w:tc>
            </w:tr>
            <w:tr w14:paraId="2C319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256" w:type="dxa"/>
                  <w:tcBorders>
                    <w:top w:val="single" w:color="auto" w:sz="4" w:space="0"/>
                    <w:left w:val="single" w:color="auto" w:sz="4" w:space="0"/>
                    <w:bottom w:val="single" w:color="auto" w:sz="4" w:space="0"/>
                    <w:right w:val="single" w:color="auto" w:sz="4" w:space="0"/>
                  </w:tcBorders>
                  <w:noWrap w:val="0"/>
                  <w:vAlign w:val="center"/>
                </w:tcPr>
                <w:p w14:paraId="1D14B6EA">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液压钢筋墩头机</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296702C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78.01</w:t>
                  </w:r>
                </w:p>
              </w:tc>
              <w:tc>
                <w:tcPr>
                  <w:tcW w:w="645" w:type="dxa"/>
                  <w:tcBorders>
                    <w:top w:val="single" w:color="auto" w:sz="4" w:space="0"/>
                    <w:left w:val="single" w:color="auto" w:sz="4" w:space="0"/>
                    <w:bottom w:val="single" w:color="auto" w:sz="4" w:space="0"/>
                    <w:right w:val="single" w:color="auto" w:sz="4" w:space="0"/>
                  </w:tcBorders>
                  <w:noWrap w:val="0"/>
                  <w:vAlign w:val="center"/>
                </w:tcPr>
                <w:p w14:paraId="7EE9810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-41.7</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72C17E6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33.4</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3BA9B88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1.5</w:t>
                  </w:r>
                </w:p>
              </w:tc>
              <w:tc>
                <w:tcPr>
                  <w:tcW w:w="660" w:type="dxa"/>
                  <w:tcBorders>
                    <w:top w:val="single" w:color="auto" w:sz="4" w:space="0"/>
                    <w:left w:val="single" w:color="auto" w:sz="4" w:space="0"/>
                    <w:bottom w:val="single" w:color="auto" w:sz="4" w:space="0"/>
                    <w:right w:val="single" w:color="auto" w:sz="4" w:space="0"/>
                  </w:tcBorders>
                  <w:noWrap w:val="0"/>
                  <w:vAlign w:val="center"/>
                </w:tcPr>
                <w:p w14:paraId="068F7A5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32.5</w:t>
                  </w:r>
                </w:p>
              </w:tc>
              <w:tc>
                <w:tcPr>
                  <w:tcW w:w="630" w:type="dxa"/>
                  <w:tcBorders>
                    <w:top w:val="single" w:color="auto" w:sz="4" w:space="0"/>
                    <w:left w:val="single" w:color="auto" w:sz="4" w:space="0"/>
                    <w:bottom w:val="single" w:color="auto" w:sz="4" w:space="0"/>
                    <w:right w:val="single" w:color="auto" w:sz="4" w:space="0"/>
                  </w:tcBorders>
                  <w:noWrap w:val="0"/>
                  <w:vAlign w:val="center"/>
                </w:tcPr>
                <w:p w14:paraId="2A087AD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168.7</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2D05316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18.3</w:t>
                  </w:r>
                </w:p>
              </w:tc>
              <w:tc>
                <w:tcPr>
                  <w:tcW w:w="675" w:type="dxa"/>
                  <w:tcBorders>
                    <w:top w:val="single" w:color="auto" w:sz="4" w:space="0"/>
                    <w:left w:val="single" w:color="auto" w:sz="4" w:space="0"/>
                    <w:bottom w:val="single" w:color="auto" w:sz="4" w:space="0"/>
                    <w:right w:val="single" w:color="auto" w:sz="4" w:space="0"/>
                  </w:tcBorders>
                  <w:noWrap w:val="0"/>
                  <w:vAlign w:val="center"/>
                </w:tcPr>
                <w:p w14:paraId="269F206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140.7</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1509D9A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58.4</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5C0D206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58.4</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1C45015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58.5</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78C6D27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58.4</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6C56808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5B7FEC9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4D6DD30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1744E28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398F158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27.4</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283D9A0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27.4</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2278501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27.5</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01573DF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27.4</w:t>
                  </w:r>
                </w:p>
              </w:tc>
              <w:tc>
                <w:tcPr>
                  <w:tcW w:w="597" w:type="dxa"/>
                  <w:tcBorders>
                    <w:top w:val="single" w:color="auto" w:sz="4" w:space="0"/>
                    <w:left w:val="single" w:color="auto" w:sz="4" w:space="0"/>
                    <w:bottom w:val="single" w:color="auto" w:sz="4" w:space="0"/>
                    <w:right w:val="single" w:color="auto" w:sz="4" w:space="0"/>
                  </w:tcBorders>
                  <w:noWrap w:val="0"/>
                  <w:vAlign w:val="center"/>
                </w:tcPr>
                <w:p w14:paraId="09B3F67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w:t>
                  </w:r>
                </w:p>
              </w:tc>
            </w:tr>
            <w:tr w14:paraId="26DD3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256" w:type="dxa"/>
                  <w:tcBorders>
                    <w:top w:val="single" w:color="auto" w:sz="4" w:space="0"/>
                    <w:left w:val="single" w:color="auto" w:sz="4" w:space="0"/>
                    <w:bottom w:val="single" w:color="auto" w:sz="4" w:space="0"/>
                    <w:right w:val="single" w:color="auto" w:sz="4" w:space="0"/>
                  </w:tcBorders>
                  <w:noWrap w:val="0"/>
                  <w:vAlign w:val="center"/>
                </w:tcPr>
                <w:p w14:paraId="55478260">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钢筋切断机</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45249BF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70.00</w:t>
                  </w:r>
                </w:p>
              </w:tc>
              <w:tc>
                <w:tcPr>
                  <w:tcW w:w="645" w:type="dxa"/>
                  <w:tcBorders>
                    <w:top w:val="single" w:color="auto" w:sz="4" w:space="0"/>
                    <w:left w:val="single" w:color="auto" w:sz="4" w:space="0"/>
                    <w:bottom w:val="single" w:color="auto" w:sz="4" w:space="0"/>
                    <w:right w:val="single" w:color="auto" w:sz="4" w:space="0"/>
                  </w:tcBorders>
                  <w:noWrap w:val="0"/>
                  <w:vAlign w:val="center"/>
                </w:tcPr>
                <w:p w14:paraId="4352D4C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-35.4</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783A840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41.4</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0EF4319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1.2</w:t>
                  </w:r>
                </w:p>
              </w:tc>
              <w:tc>
                <w:tcPr>
                  <w:tcW w:w="660" w:type="dxa"/>
                  <w:tcBorders>
                    <w:top w:val="single" w:color="auto" w:sz="4" w:space="0"/>
                    <w:left w:val="single" w:color="auto" w:sz="4" w:space="0"/>
                    <w:bottom w:val="single" w:color="auto" w:sz="4" w:space="0"/>
                    <w:right w:val="single" w:color="auto" w:sz="4" w:space="0"/>
                  </w:tcBorders>
                  <w:noWrap w:val="0"/>
                  <w:vAlign w:val="center"/>
                </w:tcPr>
                <w:p w14:paraId="2BE198F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31.5</w:t>
                  </w:r>
                </w:p>
              </w:tc>
              <w:tc>
                <w:tcPr>
                  <w:tcW w:w="630" w:type="dxa"/>
                  <w:tcBorders>
                    <w:top w:val="single" w:color="auto" w:sz="4" w:space="0"/>
                    <w:left w:val="single" w:color="auto" w:sz="4" w:space="0"/>
                    <w:bottom w:val="single" w:color="auto" w:sz="4" w:space="0"/>
                    <w:right w:val="single" w:color="auto" w:sz="4" w:space="0"/>
                  </w:tcBorders>
                  <w:noWrap w:val="0"/>
                  <w:vAlign w:val="center"/>
                </w:tcPr>
                <w:p w14:paraId="747987B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178.8</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36F1A80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19.3</w:t>
                  </w:r>
                </w:p>
              </w:tc>
              <w:tc>
                <w:tcPr>
                  <w:tcW w:w="675" w:type="dxa"/>
                  <w:tcBorders>
                    <w:top w:val="single" w:color="auto" w:sz="4" w:space="0"/>
                    <w:left w:val="single" w:color="auto" w:sz="4" w:space="0"/>
                    <w:bottom w:val="single" w:color="auto" w:sz="4" w:space="0"/>
                    <w:right w:val="single" w:color="auto" w:sz="4" w:space="0"/>
                  </w:tcBorders>
                  <w:noWrap w:val="0"/>
                  <w:vAlign w:val="center"/>
                </w:tcPr>
                <w:p w14:paraId="763D190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130.6</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4E52234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50.4</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4B999C8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50.4</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4B86658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50.4</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58347F8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50.4</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6A76926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2148FA5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6CAB05B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5C4260B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50F2145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19.4</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69348ED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19.4</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0761D67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19.4</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4858805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19.4</w:t>
                  </w:r>
                </w:p>
              </w:tc>
              <w:tc>
                <w:tcPr>
                  <w:tcW w:w="597" w:type="dxa"/>
                  <w:tcBorders>
                    <w:top w:val="single" w:color="auto" w:sz="4" w:space="0"/>
                    <w:left w:val="single" w:color="auto" w:sz="4" w:space="0"/>
                    <w:bottom w:val="single" w:color="auto" w:sz="4" w:space="0"/>
                    <w:right w:val="single" w:color="auto" w:sz="4" w:space="0"/>
                  </w:tcBorders>
                  <w:noWrap w:val="0"/>
                  <w:vAlign w:val="center"/>
                </w:tcPr>
                <w:p w14:paraId="3A8C23CB">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Arial" w:cs="Times New Roman"/>
                      <w:color w:val="auto"/>
                      <w:sz w:val="18"/>
                      <w:szCs w:val="18"/>
                      <w:highlight w:val="none"/>
                    </w:rPr>
                    <w:t>1</w:t>
                  </w:r>
                </w:p>
              </w:tc>
            </w:tr>
            <w:tr w14:paraId="4BD0F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256" w:type="dxa"/>
                  <w:tcBorders>
                    <w:top w:val="single" w:color="auto" w:sz="4" w:space="0"/>
                    <w:left w:val="single" w:color="auto" w:sz="4" w:space="0"/>
                    <w:bottom w:val="single" w:color="auto" w:sz="4" w:space="0"/>
                    <w:right w:val="single" w:color="auto" w:sz="4" w:space="0"/>
                  </w:tcBorders>
                  <w:noWrap w:val="0"/>
                  <w:vAlign w:val="center"/>
                </w:tcPr>
                <w:p w14:paraId="0935B511">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弯曲机</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514FCDF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73.01</w:t>
                  </w:r>
                </w:p>
              </w:tc>
              <w:tc>
                <w:tcPr>
                  <w:tcW w:w="645" w:type="dxa"/>
                  <w:tcBorders>
                    <w:top w:val="single" w:color="auto" w:sz="4" w:space="0"/>
                    <w:left w:val="single" w:color="auto" w:sz="4" w:space="0"/>
                    <w:bottom w:val="single" w:color="auto" w:sz="4" w:space="0"/>
                    <w:right w:val="single" w:color="auto" w:sz="4" w:space="0"/>
                  </w:tcBorders>
                  <w:noWrap w:val="0"/>
                  <w:vAlign w:val="center"/>
                </w:tcPr>
                <w:p w14:paraId="37AB2C8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-32.5</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1DE9AA5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52.4</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6E6C7C1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1.2</w:t>
                  </w:r>
                </w:p>
              </w:tc>
              <w:tc>
                <w:tcPr>
                  <w:tcW w:w="660" w:type="dxa"/>
                  <w:tcBorders>
                    <w:top w:val="single" w:color="auto" w:sz="4" w:space="0"/>
                    <w:left w:val="single" w:color="auto" w:sz="4" w:space="0"/>
                    <w:bottom w:val="single" w:color="auto" w:sz="4" w:space="0"/>
                    <w:right w:val="single" w:color="auto" w:sz="4" w:space="0"/>
                  </w:tcBorders>
                  <w:noWrap w:val="0"/>
                  <w:vAlign w:val="center"/>
                </w:tcPr>
                <w:p w14:paraId="5EB0B03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34.9</w:t>
                  </w:r>
                </w:p>
              </w:tc>
              <w:tc>
                <w:tcPr>
                  <w:tcW w:w="630" w:type="dxa"/>
                  <w:tcBorders>
                    <w:top w:val="single" w:color="auto" w:sz="4" w:space="0"/>
                    <w:left w:val="single" w:color="auto" w:sz="4" w:space="0"/>
                    <w:bottom w:val="single" w:color="auto" w:sz="4" w:space="0"/>
                    <w:right w:val="single" w:color="auto" w:sz="4" w:space="0"/>
                  </w:tcBorders>
                  <w:noWrap w:val="0"/>
                  <w:vAlign w:val="center"/>
                </w:tcPr>
                <w:p w14:paraId="5FADE60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189.7</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7895951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15.9</w:t>
                  </w:r>
                </w:p>
              </w:tc>
              <w:tc>
                <w:tcPr>
                  <w:tcW w:w="675" w:type="dxa"/>
                  <w:tcBorders>
                    <w:top w:val="single" w:color="auto" w:sz="4" w:space="0"/>
                    <w:left w:val="single" w:color="auto" w:sz="4" w:space="0"/>
                    <w:bottom w:val="single" w:color="auto" w:sz="4" w:space="0"/>
                    <w:right w:val="single" w:color="auto" w:sz="4" w:space="0"/>
                  </w:tcBorders>
                  <w:noWrap w:val="0"/>
                  <w:vAlign w:val="center"/>
                </w:tcPr>
                <w:p w14:paraId="073AF83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119.7</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20A5215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53.4</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3178E6B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53.4</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275E92C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53.5</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3A2DA44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53.4</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1FD1289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109A86A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4717673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1093388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394F3E2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22.4</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45E6F57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22.4</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771FA41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22.5</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71265CC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22.4</w:t>
                  </w:r>
                </w:p>
              </w:tc>
              <w:tc>
                <w:tcPr>
                  <w:tcW w:w="597" w:type="dxa"/>
                  <w:tcBorders>
                    <w:top w:val="single" w:color="auto" w:sz="4" w:space="0"/>
                    <w:left w:val="single" w:color="auto" w:sz="4" w:space="0"/>
                    <w:bottom w:val="single" w:color="auto" w:sz="4" w:space="0"/>
                    <w:right w:val="single" w:color="auto" w:sz="4" w:space="0"/>
                  </w:tcBorders>
                  <w:noWrap w:val="0"/>
                  <w:vAlign w:val="center"/>
                </w:tcPr>
                <w:p w14:paraId="53A88631">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Arial" w:cs="Times New Roman"/>
                      <w:color w:val="auto"/>
                      <w:sz w:val="18"/>
                      <w:szCs w:val="18"/>
                      <w:highlight w:val="none"/>
                    </w:rPr>
                    <w:t>1</w:t>
                  </w:r>
                </w:p>
              </w:tc>
            </w:tr>
            <w:tr w14:paraId="2C9D6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256" w:type="dxa"/>
                  <w:tcBorders>
                    <w:top w:val="single" w:color="auto" w:sz="4" w:space="0"/>
                    <w:left w:val="single" w:color="auto" w:sz="4" w:space="0"/>
                    <w:bottom w:val="single" w:color="auto" w:sz="4" w:space="0"/>
                    <w:right w:val="single" w:color="auto" w:sz="4" w:space="0"/>
                  </w:tcBorders>
                  <w:noWrap w:val="0"/>
                  <w:vAlign w:val="center"/>
                </w:tcPr>
                <w:p w14:paraId="3F5AB65C">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自动调直切断机</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74230F8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80.00</w:t>
                  </w:r>
                </w:p>
              </w:tc>
              <w:tc>
                <w:tcPr>
                  <w:tcW w:w="645" w:type="dxa"/>
                  <w:tcBorders>
                    <w:top w:val="single" w:color="auto" w:sz="4" w:space="0"/>
                    <w:left w:val="single" w:color="auto" w:sz="4" w:space="0"/>
                    <w:bottom w:val="single" w:color="auto" w:sz="4" w:space="0"/>
                    <w:right w:val="single" w:color="auto" w:sz="4" w:space="0"/>
                  </w:tcBorders>
                  <w:noWrap w:val="0"/>
                  <w:vAlign w:val="center"/>
                </w:tcPr>
                <w:p w14:paraId="534A52D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-27.5</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7DBF2DA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44.8</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4E76960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1.2</w:t>
                  </w:r>
                </w:p>
              </w:tc>
              <w:tc>
                <w:tcPr>
                  <w:tcW w:w="660" w:type="dxa"/>
                  <w:tcBorders>
                    <w:top w:val="single" w:color="auto" w:sz="4" w:space="0"/>
                    <w:left w:val="single" w:color="auto" w:sz="4" w:space="0"/>
                    <w:bottom w:val="single" w:color="auto" w:sz="4" w:space="0"/>
                    <w:right w:val="single" w:color="auto" w:sz="4" w:space="0"/>
                  </w:tcBorders>
                  <w:noWrap w:val="0"/>
                  <w:vAlign w:val="center"/>
                </w:tcPr>
                <w:p w14:paraId="0186C3A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26.7</w:t>
                  </w:r>
                </w:p>
              </w:tc>
              <w:tc>
                <w:tcPr>
                  <w:tcW w:w="630" w:type="dxa"/>
                  <w:tcBorders>
                    <w:top w:val="single" w:color="auto" w:sz="4" w:space="0"/>
                    <w:left w:val="single" w:color="auto" w:sz="4" w:space="0"/>
                    <w:bottom w:val="single" w:color="auto" w:sz="4" w:space="0"/>
                    <w:right w:val="single" w:color="auto" w:sz="4" w:space="0"/>
                  </w:tcBorders>
                  <w:noWrap w:val="0"/>
                  <w:vAlign w:val="center"/>
                </w:tcPr>
                <w:p w14:paraId="280FEE6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185.9</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2C32B59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24.2</w:t>
                  </w:r>
                </w:p>
              </w:tc>
              <w:tc>
                <w:tcPr>
                  <w:tcW w:w="675" w:type="dxa"/>
                  <w:tcBorders>
                    <w:top w:val="single" w:color="auto" w:sz="4" w:space="0"/>
                    <w:left w:val="single" w:color="auto" w:sz="4" w:space="0"/>
                    <w:bottom w:val="single" w:color="auto" w:sz="4" w:space="0"/>
                    <w:right w:val="single" w:color="auto" w:sz="4" w:space="0"/>
                  </w:tcBorders>
                  <w:noWrap w:val="0"/>
                  <w:vAlign w:val="center"/>
                </w:tcPr>
                <w:p w14:paraId="39300CE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123.5</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31AB866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60.4</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6FE0666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60.4</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2EA0C0C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60.4</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0975730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60.4</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2895D20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596D1DA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5C0F926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03B441E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2544D4C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29.4</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2D22546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29.4</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44FDA02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29.4</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294C582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29.4</w:t>
                  </w:r>
                </w:p>
              </w:tc>
              <w:tc>
                <w:tcPr>
                  <w:tcW w:w="597" w:type="dxa"/>
                  <w:tcBorders>
                    <w:top w:val="single" w:color="auto" w:sz="4" w:space="0"/>
                    <w:left w:val="single" w:color="auto" w:sz="4" w:space="0"/>
                    <w:bottom w:val="single" w:color="auto" w:sz="4" w:space="0"/>
                    <w:right w:val="single" w:color="auto" w:sz="4" w:space="0"/>
                  </w:tcBorders>
                  <w:noWrap w:val="0"/>
                  <w:vAlign w:val="center"/>
                </w:tcPr>
                <w:p w14:paraId="4F0E6B1F">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Arial" w:cs="Times New Roman"/>
                      <w:color w:val="auto"/>
                      <w:sz w:val="18"/>
                      <w:szCs w:val="18"/>
                      <w:highlight w:val="none"/>
                    </w:rPr>
                    <w:t>1</w:t>
                  </w:r>
                </w:p>
              </w:tc>
            </w:tr>
            <w:tr w14:paraId="4A66E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1256" w:type="dxa"/>
                  <w:tcBorders>
                    <w:top w:val="single" w:color="auto" w:sz="4" w:space="0"/>
                    <w:left w:val="single" w:color="auto" w:sz="4" w:space="0"/>
                    <w:bottom w:val="single" w:color="auto" w:sz="4" w:space="0"/>
                    <w:right w:val="single" w:color="auto" w:sz="4" w:space="0"/>
                  </w:tcBorders>
                  <w:noWrap w:val="0"/>
                  <w:vAlign w:val="center"/>
                </w:tcPr>
                <w:p w14:paraId="5DC536F3">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张拉系统</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0C5EEDD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72.00</w:t>
                  </w:r>
                </w:p>
              </w:tc>
              <w:tc>
                <w:tcPr>
                  <w:tcW w:w="645" w:type="dxa"/>
                  <w:tcBorders>
                    <w:top w:val="single" w:color="auto" w:sz="4" w:space="0"/>
                    <w:left w:val="single" w:color="auto" w:sz="4" w:space="0"/>
                    <w:bottom w:val="single" w:color="auto" w:sz="4" w:space="0"/>
                    <w:right w:val="single" w:color="auto" w:sz="4" w:space="0"/>
                  </w:tcBorders>
                  <w:noWrap w:val="0"/>
                  <w:vAlign w:val="center"/>
                </w:tcPr>
                <w:p w14:paraId="4215780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-34.6</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49A3DCF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47.5</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3F7C9CC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1.2</w:t>
                  </w:r>
                </w:p>
              </w:tc>
              <w:tc>
                <w:tcPr>
                  <w:tcW w:w="660" w:type="dxa"/>
                  <w:tcBorders>
                    <w:top w:val="single" w:color="auto" w:sz="4" w:space="0"/>
                    <w:left w:val="single" w:color="auto" w:sz="4" w:space="0"/>
                    <w:bottom w:val="single" w:color="auto" w:sz="4" w:space="0"/>
                    <w:right w:val="single" w:color="auto" w:sz="4" w:space="0"/>
                  </w:tcBorders>
                  <w:noWrap w:val="0"/>
                  <w:vAlign w:val="center"/>
                </w:tcPr>
                <w:p w14:paraId="4B78410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34.1</w:t>
                  </w:r>
                </w:p>
              </w:tc>
              <w:tc>
                <w:tcPr>
                  <w:tcW w:w="630" w:type="dxa"/>
                  <w:tcBorders>
                    <w:top w:val="single" w:color="auto" w:sz="4" w:space="0"/>
                    <w:left w:val="single" w:color="auto" w:sz="4" w:space="0"/>
                    <w:bottom w:val="single" w:color="auto" w:sz="4" w:space="0"/>
                    <w:right w:val="single" w:color="auto" w:sz="4" w:space="0"/>
                  </w:tcBorders>
                  <w:noWrap w:val="0"/>
                  <w:vAlign w:val="center"/>
                </w:tcPr>
                <w:p w14:paraId="55FF4A7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184.4</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75AC3AD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16.8</w:t>
                  </w:r>
                </w:p>
              </w:tc>
              <w:tc>
                <w:tcPr>
                  <w:tcW w:w="675" w:type="dxa"/>
                  <w:tcBorders>
                    <w:top w:val="single" w:color="auto" w:sz="4" w:space="0"/>
                    <w:left w:val="single" w:color="auto" w:sz="4" w:space="0"/>
                    <w:bottom w:val="single" w:color="auto" w:sz="4" w:space="0"/>
                    <w:right w:val="single" w:color="auto" w:sz="4" w:space="0"/>
                  </w:tcBorders>
                  <w:noWrap w:val="0"/>
                  <w:vAlign w:val="center"/>
                </w:tcPr>
                <w:p w14:paraId="5687708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125.0</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01F39C5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52.4</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508CB7B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52.4</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2D60F81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52.5</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342CA5A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52.4</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255CE7F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54A01E2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5A9BEB9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434BB12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6D6CF6B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21.4</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78C1010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21.4</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7C90664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21.5</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12EBE0E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21.4</w:t>
                  </w:r>
                </w:p>
              </w:tc>
              <w:tc>
                <w:tcPr>
                  <w:tcW w:w="597" w:type="dxa"/>
                  <w:tcBorders>
                    <w:top w:val="single" w:color="auto" w:sz="4" w:space="0"/>
                    <w:left w:val="single" w:color="auto" w:sz="4" w:space="0"/>
                    <w:bottom w:val="single" w:color="auto" w:sz="4" w:space="0"/>
                    <w:right w:val="single" w:color="auto" w:sz="4" w:space="0"/>
                  </w:tcBorders>
                  <w:noWrap w:val="0"/>
                  <w:vAlign w:val="center"/>
                </w:tcPr>
                <w:p w14:paraId="6D682A99">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Arial" w:cs="Times New Roman"/>
                      <w:color w:val="auto"/>
                      <w:sz w:val="18"/>
                      <w:szCs w:val="18"/>
                      <w:highlight w:val="none"/>
                    </w:rPr>
                    <w:t>1</w:t>
                  </w:r>
                </w:p>
              </w:tc>
            </w:tr>
            <w:tr w14:paraId="10EB2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256" w:type="dxa"/>
                  <w:tcBorders>
                    <w:top w:val="single" w:color="auto" w:sz="4" w:space="0"/>
                    <w:left w:val="single" w:color="auto" w:sz="4" w:space="0"/>
                    <w:bottom w:val="single" w:color="auto" w:sz="4" w:space="0"/>
                    <w:right w:val="single" w:color="auto" w:sz="4" w:space="0"/>
                  </w:tcBorders>
                  <w:noWrap w:val="0"/>
                  <w:vAlign w:val="center"/>
                </w:tcPr>
                <w:p w14:paraId="7EB5AF37">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电焊机</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0EAE02F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75.01</w:t>
                  </w:r>
                </w:p>
              </w:tc>
              <w:tc>
                <w:tcPr>
                  <w:tcW w:w="645" w:type="dxa"/>
                  <w:tcBorders>
                    <w:top w:val="single" w:color="auto" w:sz="4" w:space="0"/>
                    <w:left w:val="single" w:color="auto" w:sz="4" w:space="0"/>
                    <w:bottom w:val="single" w:color="auto" w:sz="4" w:space="0"/>
                    <w:right w:val="single" w:color="auto" w:sz="4" w:space="0"/>
                  </w:tcBorders>
                  <w:noWrap w:val="0"/>
                  <w:vAlign w:val="center"/>
                </w:tcPr>
                <w:p w14:paraId="58B35FE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-23.2</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010700F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57.5</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6D62B2A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1.2</w:t>
                  </w:r>
                </w:p>
              </w:tc>
              <w:tc>
                <w:tcPr>
                  <w:tcW w:w="660" w:type="dxa"/>
                  <w:tcBorders>
                    <w:top w:val="single" w:color="auto" w:sz="4" w:space="0"/>
                    <w:left w:val="single" w:color="auto" w:sz="4" w:space="0"/>
                    <w:bottom w:val="single" w:color="auto" w:sz="4" w:space="0"/>
                    <w:right w:val="single" w:color="auto" w:sz="4" w:space="0"/>
                  </w:tcBorders>
                  <w:noWrap w:val="0"/>
                  <w:vAlign w:val="center"/>
                </w:tcPr>
                <w:p w14:paraId="62F289F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29.8</w:t>
                  </w:r>
                </w:p>
              </w:tc>
              <w:tc>
                <w:tcPr>
                  <w:tcW w:w="630" w:type="dxa"/>
                  <w:tcBorders>
                    <w:top w:val="single" w:color="auto" w:sz="4" w:space="0"/>
                    <w:left w:val="single" w:color="auto" w:sz="4" w:space="0"/>
                    <w:bottom w:val="single" w:color="auto" w:sz="4" w:space="0"/>
                    <w:right w:val="single" w:color="auto" w:sz="4" w:space="0"/>
                  </w:tcBorders>
                  <w:noWrap w:val="0"/>
                  <w:vAlign w:val="center"/>
                </w:tcPr>
                <w:p w14:paraId="2B95E60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198.9</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0B98C49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21.1</w:t>
                  </w:r>
                </w:p>
              </w:tc>
              <w:tc>
                <w:tcPr>
                  <w:tcW w:w="675" w:type="dxa"/>
                  <w:tcBorders>
                    <w:top w:val="single" w:color="auto" w:sz="4" w:space="0"/>
                    <w:left w:val="single" w:color="auto" w:sz="4" w:space="0"/>
                    <w:bottom w:val="single" w:color="auto" w:sz="4" w:space="0"/>
                    <w:right w:val="single" w:color="auto" w:sz="4" w:space="0"/>
                  </w:tcBorders>
                  <w:noWrap w:val="0"/>
                  <w:vAlign w:val="center"/>
                </w:tcPr>
                <w:p w14:paraId="75554D2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110.5</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627353A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55.4</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0E10D0D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55.4</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2627B60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55.4</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7BF1ED3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55.4</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44F68DB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4CF147E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0C62894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405E150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4DBF756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24.4</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0EED1F5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24.4</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7E57006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24.4</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10217BF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24.4</w:t>
                  </w:r>
                </w:p>
              </w:tc>
              <w:tc>
                <w:tcPr>
                  <w:tcW w:w="597" w:type="dxa"/>
                  <w:tcBorders>
                    <w:top w:val="single" w:color="auto" w:sz="4" w:space="0"/>
                    <w:left w:val="single" w:color="auto" w:sz="4" w:space="0"/>
                    <w:bottom w:val="single" w:color="auto" w:sz="4" w:space="0"/>
                    <w:right w:val="single" w:color="auto" w:sz="4" w:space="0"/>
                  </w:tcBorders>
                  <w:noWrap w:val="0"/>
                  <w:vAlign w:val="center"/>
                </w:tcPr>
                <w:p w14:paraId="5F5CEB7D">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Arial" w:cs="Times New Roman"/>
                      <w:color w:val="auto"/>
                      <w:sz w:val="18"/>
                      <w:szCs w:val="18"/>
                      <w:highlight w:val="none"/>
                    </w:rPr>
                    <w:t>1</w:t>
                  </w:r>
                </w:p>
              </w:tc>
            </w:tr>
            <w:tr w14:paraId="347C6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256" w:type="dxa"/>
                  <w:tcBorders>
                    <w:top w:val="single" w:color="auto" w:sz="4" w:space="0"/>
                    <w:left w:val="single" w:color="auto" w:sz="4" w:space="0"/>
                    <w:bottom w:val="single" w:color="auto" w:sz="4" w:space="0"/>
                    <w:right w:val="single" w:color="auto" w:sz="4" w:space="0"/>
                  </w:tcBorders>
                  <w:noWrap w:val="0"/>
                  <w:vAlign w:val="center"/>
                </w:tcPr>
                <w:p w14:paraId="5D2FA8AA">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CO</w:t>
                  </w:r>
                  <w:r>
                    <w:rPr>
                      <w:rFonts w:hint="default" w:ascii="Times New Roman" w:hAnsi="Times New Roman" w:eastAsia="宋体" w:cs="Times New Roman"/>
                      <w:i w:val="0"/>
                      <w:iCs w:val="0"/>
                      <w:color w:val="auto"/>
                      <w:kern w:val="0"/>
                      <w:sz w:val="18"/>
                      <w:szCs w:val="18"/>
                      <w:highlight w:val="none"/>
                      <w:u w:val="none"/>
                      <w:vertAlign w:val="subscript"/>
                      <w:lang w:val="en-US" w:eastAsia="zh-CN" w:bidi="ar"/>
                    </w:rPr>
                    <w:t>2</w:t>
                  </w:r>
                  <w:r>
                    <w:rPr>
                      <w:rFonts w:hint="default" w:ascii="Times New Roman" w:hAnsi="Times New Roman" w:eastAsia="宋体" w:cs="Times New Roman"/>
                      <w:i w:val="0"/>
                      <w:iCs w:val="0"/>
                      <w:color w:val="auto"/>
                      <w:kern w:val="0"/>
                      <w:sz w:val="18"/>
                      <w:szCs w:val="18"/>
                      <w:highlight w:val="none"/>
                      <w:u w:val="none"/>
                      <w:lang w:val="en-US" w:eastAsia="zh-CN" w:bidi="ar"/>
                    </w:rPr>
                    <w:t>气体保护焊</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3C0FE1D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78.99</w:t>
                  </w:r>
                </w:p>
              </w:tc>
              <w:tc>
                <w:tcPr>
                  <w:tcW w:w="645" w:type="dxa"/>
                  <w:tcBorders>
                    <w:top w:val="single" w:color="auto" w:sz="4" w:space="0"/>
                    <w:left w:val="single" w:color="auto" w:sz="4" w:space="0"/>
                    <w:bottom w:val="single" w:color="auto" w:sz="4" w:space="0"/>
                    <w:right w:val="single" w:color="auto" w:sz="4" w:space="0"/>
                  </w:tcBorders>
                  <w:noWrap w:val="0"/>
                  <w:vAlign w:val="center"/>
                </w:tcPr>
                <w:p w14:paraId="466DA03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-19.4</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7EF1A99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66.5</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5BAC735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1.2</w:t>
                  </w:r>
                </w:p>
              </w:tc>
              <w:tc>
                <w:tcPr>
                  <w:tcW w:w="660" w:type="dxa"/>
                  <w:tcBorders>
                    <w:top w:val="single" w:color="auto" w:sz="4" w:space="0"/>
                    <w:left w:val="single" w:color="auto" w:sz="4" w:space="0"/>
                    <w:bottom w:val="single" w:color="auto" w:sz="4" w:space="0"/>
                    <w:right w:val="single" w:color="auto" w:sz="4" w:space="0"/>
                  </w:tcBorders>
                  <w:noWrap w:val="0"/>
                  <w:vAlign w:val="center"/>
                </w:tcPr>
                <w:p w14:paraId="5BF2454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31.4</w:t>
                  </w:r>
                </w:p>
              </w:tc>
              <w:tc>
                <w:tcPr>
                  <w:tcW w:w="630" w:type="dxa"/>
                  <w:tcBorders>
                    <w:top w:val="single" w:color="auto" w:sz="4" w:space="0"/>
                    <w:left w:val="single" w:color="auto" w:sz="4" w:space="0"/>
                    <w:bottom w:val="single" w:color="auto" w:sz="4" w:space="0"/>
                    <w:right w:val="single" w:color="auto" w:sz="4" w:space="0"/>
                  </w:tcBorders>
                  <w:noWrap w:val="0"/>
                  <w:vAlign w:val="center"/>
                </w:tcPr>
                <w:p w14:paraId="1609D2D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208.6</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08A7E3C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19.5</w:t>
                  </w:r>
                </w:p>
              </w:tc>
              <w:tc>
                <w:tcPr>
                  <w:tcW w:w="675" w:type="dxa"/>
                  <w:tcBorders>
                    <w:top w:val="single" w:color="auto" w:sz="4" w:space="0"/>
                    <w:left w:val="single" w:color="auto" w:sz="4" w:space="0"/>
                    <w:bottom w:val="single" w:color="auto" w:sz="4" w:space="0"/>
                    <w:right w:val="single" w:color="auto" w:sz="4" w:space="0"/>
                  </w:tcBorders>
                  <w:noWrap w:val="0"/>
                  <w:vAlign w:val="center"/>
                </w:tcPr>
                <w:p w14:paraId="1D95923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100.8</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098C158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59.4</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4C07B99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59.3</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418E92F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59.4</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3B0C6FD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59.4</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683A86C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4631D6E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39BF227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561C5AE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5749314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28.4</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10EB344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28.3</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564F85E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28.4</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58F623E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28.4</w:t>
                  </w:r>
                </w:p>
              </w:tc>
              <w:tc>
                <w:tcPr>
                  <w:tcW w:w="597" w:type="dxa"/>
                  <w:tcBorders>
                    <w:top w:val="single" w:color="auto" w:sz="4" w:space="0"/>
                    <w:left w:val="single" w:color="auto" w:sz="4" w:space="0"/>
                    <w:bottom w:val="single" w:color="auto" w:sz="4" w:space="0"/>
                    <w:right w:val="single" w:color="auto" w:sz="4" w:space="0"/>
                  </w:tcBorders>
                  <w:noWrap w:val="0"/>
                  <w:vAlign w:val="center"/>
                </w:tcPr>
                <w:p w14:paraId="7DD0557B">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Arial" w:cs="Times New Roman"/>
                      <w:color w:val="auto"/>
                      <w:sz w:val="18"/>
                      <w:szCs w:val="18"/>
                      <w:highlight w:val="none"/>
                    </w:rPr>
                    <w:t>1</w:t>
                  </w:r>
                </w:p>
              </w:tc>
            </w:tr>
            <w:tr w14:paraId="39CD5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256" w:type="dxa"/>
                  <w:tcBorders>
                    <w:top w:val="single" w:color="auto" w:sz="4" w:space="0"/>
                    <w:left w:val="single" w:color="auto" w:sz="4" w:space="0"/>
                    <w:bottom w:val="single" w:color="auto" w:sz="4" w:space="0"/>
                    <w:right w:val="single" w:color="auto" w:sz="4" w:space="0"/>
                  </w:tcBorders>
                  <w:noWrap w:val="0"/>
                  <w:vAlign w:val="center"/>
                </w:tcPr>
                <w:p w14:paraId="7D328261">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密闭砂石输送带</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41DC31F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68.01</w:t>
                  </w:r>
                </w:p>
              </w:tc>
              <w:tc>
                <w:tcPr>
                  <w:tcW w:w="645" w:type="dxa"/>
                  <w:tcBorders>
                    <w:top w:val="single" w:color="auto" w:sz="4" w:space="0"/>
                    <w:left w:val="single" w:color="auto" w:sz="4" w:space="0"/>
                    <w:bottom w:val="single" w:color="auto" w:sz="4" w:space="0"/>
                    <w:right w:val="single" w:color="auto" w:sz="4" w:space="0"/>
                  </w:tcBorders>
                  <w:noWrap w:val="0"/>
                  <w:vAlign w:val="center"/>
                </w:tcPr>
                <w:p w14:paraId="6B19F69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2.5</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11AE3AE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29.1</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38EC191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w:t>
                  </w:r>
                </w:p>
              </w:tc>
              <w:tc>
                <w:tcPr>
                  <w:tcW w:w="660" w:type="dxa"/>
                  <w:tcBorders>
                    <w:top w:val="single" w:color="auto" w:sz="4" w:space="0"/>
                    <w:left w:val="single" w:color="auto" w:sz="4" w:space="0"/>
                    <w:bottom w:val="single" w:color="auto" w:sz="4" w:space="0"/>
                    <w:right w:val="single" w:color="auto" w:sz="4" w:space="0"/>
                  </w:tcBorders>
                  <w:noWrap w:val="0"/>
                  <w:vAlign w:val="center"/>
                </w:tcPr>
                <w:p w14:paraId="41D6A0E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26.6</w:t>
                  </w:r>
                </w:p>
              </w:tc>
              <w:tc>
                <w:tcPr>
                  <w:tcW w:w="630" w:type="dxa"/>
                  <w:tcBorders>
                    <w:top w:val="single" w:color="auto" w:sz="4" w:space="0"/>
                    <w:left w:val="single" w:color="auto" w:sz="4" w:space="0"/>
                    <w:bottom w:val="single" w:color="auto" w:sz="4" w:space="0"/>
                    <w:right w:val="single" w:color="auto" w:sz="4" w:space="0"/>
                  </w:tcBorders>
                  <w:noWrap w:val="0"/>
                  <w:vAlign w:val="center"/>
                </w:tcPr>
                <w:p w14:paraId="503DC69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83.9</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694DF8E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1.6</w:t>
                  </w:r>
                </w:p>
              </w:tc>
              <w:tc>
                <w:tcPr>
                  <w:tcW w:w="675" w:type="dxa"/>
                  <w:tcBorders>
                    <w:top w:val="single" w:color="auto" w:sz="4" w:space="0"/>
                    <w:left w:val="single" w:color="auto" w:sz="4" w:space="0"/>
                    <w:bottom w:val="single" w:color="auto" w:sz="4" w:space="0"/>
                    <w:right w:val="single" w:color="auto" w:sz="4" w:space="0"/>
                  </w:tcBorders>
                  <w:noWrap w:val="0"/>
                  <w:vAlign w:val="center"/>
                </w:tcPr>
                <w:p w14:paraId="723C82E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101.8</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0D6A580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56.1</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1FB35E7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56.1</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5DA5D5D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57.8</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50240A3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56.1</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555CC2E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666BB1A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3CEAC79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649E499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4870327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25.1</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1160F09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25.1</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0828BCA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26.8</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154F0AE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25.1</w:t>
                  </w:r>
                </w:p>
              </w:tc>
              <w:tc>
                <w:tcPr>
                  <w:tcW w:w="597" w:type="dxa"/>
                  <w:tcBorders>
                    <w:top w:val="single" w:color="auto" w:sz="4" w:space="0"/>
                    <w:left w:val="single" w:color="auto" w:sz="4" w:space="0"/>
                    <w:bottom w:val="single" w:color="auto" w:sz="4" w:space="0"/>
                    <w:right w:val="single" w:color="auto" w:sz="4" w:space="0"/>
                  </w:tcBorders>
                  <w:noWrap w:val="0"/>
                  <w:vAlign w:val="center"/>
                </w:tcPr>
                <w:p w14:paraId="19D3E743">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Arial" w:cs="Times New Roman"/>
                      <w:color w:val="auto"/>
                      <w:sz w:val="18"/>
                      <w:szCs w:val="18"/>
                      <w:highlight w:val="none"/>
                    </w:rPr>
                    <w:t>1</w:t>
                  </w:r>
                </w:p>
              </w:tc>
            </w:tr>
            <w:tr w14:paraId="02402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1256" w:type="dxa"/>
                  <w:tcBorders>
                    <w:top w:val="single" w:color="auto" w:sz="4" w:space="0"/>
                    <w:left w:val="single" w:color="auto" w:sz="4" w:space="0"/>
                    <w:bottom w:val="single" w:color="auto" w:sz="4" w:space="0"/>
                    <w:right w:val="single" w:color="auto" w:sz="4" w:space="0"/>
                  </w:tcBorders>
                  <w:noWrap w:val="0"/>
                  <w:vAlign w:val="center"/>
                </w:tcPr>
                <w:p w14:paraId="6F8438EF">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2m</w:t>
                  </w:r>
                  <w:r>
                    <w:rPr>
                      <w:rFonts w:hint="default" w:ascii="Times New Roman" w:hAnsi="Times New Roman" w:eastAsia="宋体" w:cs="Times New Roman"/>
                      <w:i w:val="0"/>
                      <w:iCs w:val="0"/>
                      <w:color w:val="auto"/>
                      <w:kern w:val="0"/>
                      <w:sz w:val="18"/>
                      <w:szCs w:val="18"/>
                      <w:highlight w:val="none"/>
                      <w:u w:val="none"/>
                      <w:vertAlign w:val="superscript"/>
                      <w:lang w:val="en-US" w:eastAsia="zh-CN" w:bidi="ar"/>
                    </w:rPr>
                    <w:t>3</w:t>
                  </w:r>
                  <w:r>
                    <w:rPr>
                      <w:rFonts w:hint="default" w:ascii="Times New Roman" w:hAnsi="Times New Roman" w:eastAsia="宋体" w:cs="Times New Roman"/>
                      <w:i w:val="0"/>
                      <w:iCs w:val="0"/>
                      <w:color w:val="auto"/>
                      <w:kern w:val="0"/>
                      <w:sz w:val="18"/>
                      <w:szCs w:val="18"/>
                      <w:highlight w:val="none"/>
                      <w:u w:val="none"/>
                      <w:lang w:val="en-US" w:eastAsia="zh-CN" w:bidi="ar"/>
                    </w:rPr>
                    <w:t>搅拌机</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214E612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88.01</w:t>
                  </w:r>
                </w:p>
              </w:tc>
              <w:tc>
                <w:tcPr>
                  <w:tcW w:w="645" w:type="dxa"/>
                  <w:tcBorders>
                    <w:top w:val="single" w:color="auto" w:sz="4" w:space="0"/>
                    <w:left w:val="single" w:color="auto" w:sz="4" w:space="0"/>
                    <w:bottom w:val="single" w:color="auto" w:sz="4" w:space="0"/>
                    <w:right w:val="single" w:color="auto" w:sz="4" w:space="0"/>
                  </w:tcBorders>
                  <w:noWrap w:val="0"/>
                  <w:vAlign w:val="center"/>
                </w:tcPr>
                <w:p w14:paraId="304CE8A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12.6</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03BA45A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45.4</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5447588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w:t>
                  </w:r>
                </w:p>
              </w:tc>
              <w:tc>
                <w:tcPr>
                  <w:tcW w:w="660" w:type="dxa"/>
                  <w:tcBorders>
                    <w:top w:val="single" w:color="auto" w:sz="4" w:space="0"/>
                    <w:left w:val="single" w:color="auto" w:sz="4" w:space="0"/>
                    <w:bottom w:val="single" w:color="auto" w:sz="4" w:space="0"/>
                    <w:right w:val="single" w:color="auto" w:sz="4" w:space="0"/>
                  </w:tcBorders>
                  <w:noWrap w:val="0"/>
                  <w:vAlign w:val="center"/>
                </w:tcPr>
                <w:p w14:paraId="6CF589E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26.8</w:t>
                  </w:r>
                </w:p>
              </w:tc>
              <w:tc>
                <w:tcPr>
                  <w:tcW w:w="630" w:type="dxa"/>
                  <w:tcBorders>
                    <w:top w:val="single" w:color="auto" w:sz="4" w:space="0"/>
                    <w:left w:val="single" w:color="auto" w:sz="4" w:space="0"/>
                    <w:bottom w:val="single" w:color="auto" w:sz="4" w:space="0"/>
                    <w:right w:val="single" w:color="auto" w:sz="4" w:space="0"/>
                  </w:tcBorders>
                  <w:noWrap w:val="0"/>
                  <w:vAlign w:val="center"/>
                </w:tcPr>
                <w:p w14:paraId="6B88052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64.7</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160CA51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1.9</w:t>
                  </w:r>
                </w:p>
              </w:tc>
              <w:tc>
                <w:tcPr>
                  <w:tcW w:w="675" w:type="dxa"/>
                  <w:tcBorders>
                    <w:top w:val="single" w:color="auto" w:sz="4" w:space="0"/>
                    <w:left w:val="single" w:color="auto" w:sz="4" w:space="0"/>
                    <w:bottom w:val="single" w:color="auto" w:sz="4" w:space="0"/>
                    <w:right w:val="single" w:color="auto" w:sz="4" w:space="0"/>
                  </w:tcBorders>
                  <w:noWrap w:val="0"/>
                  <w:vAlign w:val="center"/>
                </w:tcPr>
                <w:p w14:paraId="3D3E538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82.6</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5E7EC48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76.1</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2EF68BB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76.1</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0B90208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77.4</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7C4D38A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76.1</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4148D9E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6640258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1BBDF36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7977748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17DE5C5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45.1</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7913383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45.1</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1B9A303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46.4</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6497A61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45.1</w:t>
                  </w:r>
                </w:p>
              </w:tc>
              <w:tc>
                <w:tcPr>
                  <w:tcW w:w="597" w:type="dxa"/>
                  <w:tcBorders>
                    <w:top w:val="single" w:color="auto" w:sz="4" w:space="0"/>
                    <w:left w:val="single" w:color="auto" w:sz="4" w:space="0"/>
                    <w:bottom w:val="single" w:color="auto" w:sz="4" w:space="0"/>
                    <w:right w:val="single" w:color="auto" w:sz="4" w:space="0"/>
                  </w:tcBorders>
                  <w:noWrap w:val="0"/>
                  <w:vAlign w:val="center"/>
                </w:tcPr>
                <w:p w14:paraId="3E435A07">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Arial" w:cs="Times New Roman"/>
                      <w:color w:val="auto"/>
                      <w:sz w:val="18"/>
                      <w:szCs w:val="18"/>
                      <w:highlight w:val="none"/>
                    </w:rPr>
                    <w:t>1</w:t>
                  </w:r>
                </w:p>
              </w:tc>
            </w:tr>
            <w:tr w14:paraId="24DEB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1256" w:type="dxa"/>
                  <w:tcBorders>
                    <w:top w:val="single" w:color="auto" w:sz="4" w:space="0"/>
                    <w:left w:val="single" w:color="auto" w:sz="4" w:space="0"/>
                    <w:bottom w:val="single" w:color="auto" w:sz="4" w:space="0"/>
                    <w:right w:val="single" w:color="auto" w:sz="4" w:space="0"/>
                  </w:tcBorders>
                  <w:noWrap w:val="0"/>
                  <w:vAlign w:val="center"/>
                </w:tcPr>
                <w:p w14:paraId="58D153F6">
                  <w:pPr>
                    <w:jc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color w:val="auto"/>
                      <w:sz w:val="18"/>
                      <w:szCs w:val="18"/>
                      <w:highlight w:val="none"/>
                      <w:lang w:val="en-US" w:eastAsia="zh-CN"/>
                    </w:rPr>
                    <w:t>水泥筒仓</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0B7A180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61.02</w:t>
                  </w:r>
                </w:p>
              </w:tc>
              <w:tc>
                <w:tcPr>
                  <w:tcW w:w="645" w:type="dxa"/>
                  <w:tcBorders>
                    <w:top w:val="single" w:color="auto" w:sz="4" w:space="0"/>
                    <w:left w:val="single" w:color="auto" w:sz="4" w:space="0"/>
                    <w:bottom w:val="single" w:color="auto" w:sz="4" w:space="0"/>
                    <w:right w:val="single" w:color="auto" w:sz="4" w:space="0"/>
                  </w:tcBorders>
                  <w:noWrap w:val="0"/>
                  <w:vAlign w:val="center"/>
                </w:tcPr>
                <w:p w14:paraId="32E01C4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25.5</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1E3B30F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44.2</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289128D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1.2</w:t>
                  </w:r>
                </w:p>
              </w:tc>
              <w:tc>
                <w:tcPr>
                  <w:tcW w:w="660" w:type="dxa"/>
                  <w:tcBorders>
                    <w:top w:val="single" w:color="auto" w:sz="4" w:space="0"/>
                    <w:left w:val="single" w:color="auto" w:sz="4" w:space="0"/>
                    <w:bottom w:val="single" w:color="auto" w:sz="4" w:space="0"/>
                    <w:right w:val="single" w:color="auto" w:sz="4" w:space="0"/>
                  </w:tcBorders>
                  <w:noWrap w:val="0"/>
                  <w:vAlign w:val="center"/>
                </w:tcPr>
                <w:p w14:paraId="68EBE9B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58.8</w:t>
                  </w:r>
                </w:p>
              </w:tc>
              <w:tc>
                <w:tcPr>
                  <w:tcW w:w="630" w:type="dxa"/>
                  <w:tcBorders>
                    <w:top w:val="single" w:color="auto" w:sz="4" w:space="0"/>
                    <w:left w:val="single" w:color="auto" w:sz="4" w:space="0"/>
                    <w:bottom w:val="single" w:color="auto" w:sz="4" w:space="0"/>
                    <w:right w:val="single" w:color="auto" w:sz="4" w:space="0"/>
                  </w:tcBorders>
                  <w:noWrap w:val="0"/>
                  <w:vAlign w:val="center"/>
                </w:tcPr>
                <w:p w14:paraId="55EAB6A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13.6</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1862B0F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76.7</w:t>
                  </w:r>
                </w:p>
              </w:tc>
              <w:tc>
                <w:tcPr>
                  <w:tcW w:w="675" w:type="dxa"/>
                  <w:tcBorders>
                    <w:top w:val="single" w:color="auto" w:sz="4" w:space="0"/>
                    <w:left w:val="single" w:color="auto" w:sz="4" w:space="0"/>
                    <w:bottom w:val="single" w:color="auto" w:sz="4" w:space="0"/>
                    <w:right w:val="single" w:color="auto" w:sz="4" w:space="0"/>
                  </w:tcBorders>
                  <w:noWrap w:val="0"/>
                  <w:vAlign w:val="center"/>
                </w:tcPr>
                <w:p w14:paraId="1EEE5F6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49.1</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117D6A5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49.1</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67BB852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49.1</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022F8D9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49.1</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5D3DEC7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58.8</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36B70C4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5B7C7C6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09A7A19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1B942F4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437D7E8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18.1</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7F25E5E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18.1</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0CAC1B8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18.1</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214FBCE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18.1</w:t>
                  </w:r>
                </w:p>
              </w:tc>
              <w:tc>
                <w:tcPr>
                  <w:tcW w:w="597" w:type="dxa"/>
                  <w:tcBorders>
                    <w:top w:val="single" w:color="auto" w:sz="4" w:space="0"/>
                    <w:left w:val="single" w:color="auto" w:sz="4" w:space="0"/>
                    <w:bottom w:val="single" w:color="auto" w:sz="4" w:space="0"/>
                    <w:right w:val="single" w:color="auto" w:sz="4" w:space="0"/>
                  </w:tcBorders>
                  <w:noWrap w:val="0"/>
                  <w:vAlign w:val="center"/>
                </w:tcPr>
                <w:p w14:paraId="0D0C580C">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Arial" w:cs="Times New Roman"/>
                      <w:color w:val="auto"/>
                      <w:sz w:val="18"/>
                      <w:szCs w:val="18"/>
                      <w:highlight w:val="none"/>
                    </w:rPr>
                  </w:pPr>
                  <w:r>
                    <w:rPr>
                      <w:rFonts w:hint="default" w:ascii="Times New Roman" w:hAnsi="Times New Roman" w:eastAsia="Arial" w:cs="Times New Roman"/>
                      <w:color w:val="auto"/>
                      <w:sz w:val="18"/>
                      <w:szCs w:val="18"/>
                      <w:highlight w:val="none"/>
                    </w:rPr>
                    <w:t>1</w:t>
                  </w:r>
                </w:p>
              </w:tc>
            </w:tr>
            <w:tr w14:paraId="02C43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1256" w:type="dxa"/>
                  <w:tcBorders>
                    <w:top w:val="single" w:color="auto" w:sz="4" w:space="0"/>
                    <w:left w:val="single" w:color="auto" w:sz="4" w:space="0"/>
                    <w:bottom w:val="single" w:color="auto" w:sz="4" w:space="0"/>
                    <w:right w:val="single" w:color="auto" w:sz="4" w:space="0"/>
                  </w:tcBorders>
                  <w:noWrap w:val="0"/>
                  <w:vAlign w:val="center"/>
                </w:tcPr>
                <w:p w14:paraId="19DEC473">
                  <w:pPr>
                    <w:jc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color w:val="auto"/>
                      <w:sz w:val="18"/>
                      <w:szCs w:val="18"/>
                      <w:highlight w:val="none"/>
                      <w:lang w:val="en-US" w:eastAsia="zh-CN"/>
                    </w:rPr>
                    <w:t>粉煤灰筒仓</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3DEFE3E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58.02</w:t>
                  </w:r>
                </w:p>
              </w:tc>
              <w:tc>
                <w:tcPr>
                  <w:tcW w:w="645" w:type="dxa"/>
                  <w:tcBorders>
                    <w:top w:val="single" w:color="auto" w:sz="4" w:space="0"/>
                    <w:left w:val="single" w:color="auto" w:sz="4" w:space="0"/>
                    <w:bottom w:val="single" w:color="auto" w:sz="4" w:space="0"/>
                    <w:right w:val="single" w:color="auto" w:sz="4" w:space="0"/>
                  </w:tcBorders>
                  <w:noWrap w:val="0"/>
                  <w:vAlign w:val="center"/>
                </w:tcPr>
                <w:p w14:paraId="0771E55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25.5</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76B6D02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44.2</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2A156DB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1.2</w:t>
                  </w:r>
                </w:p>
              </w:tc>
              <w:tc>
                <w:tcPr>
                  <w:tcW w:w="660" w:type="dxa"/>
                  <w:tcBorders>
                    <w:top w:val="single" w:color="auto" w:sz="4" w:space="0"/>
                    <w:left w:val="single" w:color="auto" w:sz="4" w:space="0"/>
                    <w:bottom w:val="single" w:color="auto" w:sz="4" w:space="0"/>
                    <w:right w:val="single" w:color="auto" w:sz="4" w:space="0"/>
                  </w:tcBorders>
                  <w:noWrap w:val="0"/>
                  <w:vAlign w:val="center"/>
                </w:tcPr>
                <w:p w14:paraId="0A8E4D0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58.8</w:t>
                  </w:r>
                </w:p>
              </w:tc>
              <w:tc>
                <w:tcPr>
                  <w:tcW w:w="630" w:type="dxa"/>
                  <w:tcBorders>
                    <w:top w:val="single" w:color="auto" w:sz="4" w:space="0"/>
                    <w:left w:val="single" w:color="auto" w:sz="4" w:space="0"/>
                    <w:bottom w:val="single" w:color="auto" w:sz="4" w:space="0"/>
                    <w:right w:val="single" w:color="auto" w:sz="4" w:space="0"/>
                  </w:tcBorders>
                  <w:noWrap w:val="0"/>
                  <w:vAlign w:val="center"/>
                </w:tcPr>
                <w:p w14:paraId="65428E6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13.6</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448DDD7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76.7</w:t>
                  </w:r>
                </w:p>
              </w:tc>
              <w:tc>
                <w:tcPr>
                  <w:tcW w:w="675" w:type="dxa"/>
                  <w:tcBorders>
                    <w:top w:val="single" w:color="auto" w:sz="4" w:space="0"/>
                    <w:left w:val="single" w:color="auto" w:sz="4" w:space="0"/>
                    <w:bottom w:val="single" w:color="auto" w:sz="4" w:space="0"/>
                    <w:right w:val="single" w:color="auto" w:sz="4" w:space="0"/>
                  </w:tcBorders>
                  <w:noWrap w:val="0"/>
                  <w:vAlign w:val="center"/>
                </w:tcPr>
                <w:p w14:paraId="7968B76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49.1</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155C62B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49.1</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0600D32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49.1</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245538F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49.1</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2B82D2D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58.8</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7680913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6C02C7A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034E494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3902191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0EFE595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18.1</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74D4C8A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18.1</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37B6EE3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18.1</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00D29DB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18.1</w:t>
                  </w:r>
                </w:p>
              </w:tc>
              <w:tc>
                <w:tcPr>
                  <w:tcW w:w="597" w:type="dxa"/>
                  <w:tcBorders>
                    <w:top w:val="single" w:color="auto" w:sz="4" w:space="0"/>
                    <w:left w:val="single" w:color="auto" w:sz="4" w:space="0"/>
                    <w:bottom w:val="single" w:color="auto" w:sz="4" w:space="0"/>
                    <w:right w:val="single" w:color="auto" w:sz="4" w:space="0"/>
                  </w:tcBorders>
                  <w:noWrap w:val="0"/>
                  <w:vAlign w:val="center"/>
                </w:tcPr>
                <w:p w14:paraId="4E814DA9">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Arial" w:cs="Times New Roman"/>
                      <w:color w:val="auto"/>
                      <w:sz w:val="18"/>
                      <w:szCs w:val="18"/>
                      <w:highlight w:val="none"/>
                    </w:rPr>
                  </w:pPr>
                  <w:r>
                    <w:rPr>
                      <w:rFonts w:hint="default" w:ascii="Times New Roman" w:hAnsi="Times New Roman" w:eastAsia="Arial" w:cs="Times New Roman"/>
                      <w:color w:val="auto"/>
                      <w:sz w:val="18"/>
                      <w:szCs w:val="18"/>
                      <w:highlight w:val="none"/>
                    </w:rPr>
                    <w:t>1</w:t>
                  </w:r>
                </w:p>
              </w:tc>
            </w:tr>
            <w:tr w14:paraId="31BD3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1256" w:type="dxa"/>
                  <w:tcBorders>
                    <w:top w:val="single" w:color="auto" w:sz="4" w:space="0"/>
                    <w:left w:val="single" w:color="auto" w:sz="4" w:space="0"/>
                    <w:bottom w:val="single" w:color="auto" w:sz="4" w:space="0"/>
                    <w:right w:val="single" w:color="auto" w:sz="4" w:space="0"/>
                  </w:tcBorders>
                  <w:noWrap w:val="0"/>
                  <w:vAlign w:val="center"/>
                </w:tcPr>
                <w:p w14:paraId="355D33DA">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浇筑振捣机</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1223B03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98.01</w:t>
                  </w:r>
                </w:p>
              </w:tc>
              <w:tc>
                <w:tcPr>
                  <w:tcW w:w="645" w:type="dxa"/>
                  <w:tcBorders>
                    <w:top w:val="single" w:color="auto" w:sz="4" w:space="0"/>
                    <w:left w:val="single" w:color="auto" w:sz="4" w:space="0"/>
                    <w:bottom w:val="single" w:color="auto" w:sz="4" w:space="0"/>
                    <w:right w:val="single" w:color="auto" w:sz="4" w:space="0"/>
                  </w:tcBorders>
                  <w:noWrap w:val="0"/>
                  <w:vAlign w:val="center"/>
                </w:tcPr>
                <w:p w14:paraId="635B324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0.6</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5B0FBCD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64.8</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5842AB2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w:t>
                  </w:r>
                </w:p>
              </w:tc>
              <w:tc>
                <w:tcPr>
                  <w:tcW w:w="660" w:type="dxa"/>
                  <w:tcBorders>
                    <w:top w:val="single" w:color="auto" w:sz="4" w:space="0"/>
                    <w:left w:val="single" w:color="auto" w:sz="4" w:space="0"/>
                    <w:bottom w:val="single" w:color="auto" w:sz="4" w:space="0"/>
                    <w:right w:val="single" w:color="auto" w:sz="4" w:space="0"/>
                  </w:tcBorders>
                  <w:noWrap w:val="0"/>
                  <w:vAlign w:val="center"/>
                </w:tcPr>
                <w:p w14:paraId="0E9A9F0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13.6</w:t>
                  </w:r>
                </w:p>
              </w:tc>
              <w:tc>
                <w:tcPr>
                  <w:tcW w:w="630" w:type="dxa"/>
                  <w:tcBorders>
                    <w:top w:val="single" w:color="auto" w:sz="4" w:space="0"/>
                    <w:left w:val="single" w:color="auto" w:sz="4" w:space="0"/>
                    <w:bottom w:val="single" w:color="auto" w:sz="4" w:space="0"/>
                    <w:right w:val="single" w:color="auto" w:sz="4" w:space="0"/>
                  </w:tcBorders>
                  <w:noWrap w:val="0"/>
                  <w:vAlign w:val="center"/>
                </w:tcPr>
                <w:p w14:paraId="20F88BD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217.8</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40D069E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37.3</w:t>
                  </w:r>
                </w:p>
              </w:tc>
              <w:tc>
                <w:tcPr>
                  <w:tcW w:w="675" w:type="dxa"/>
                  <w:tcBorders>
                    <w:top w:val="single" w:color="auto" w:sz="4" w:space="0"/>
                    <w:left w:val="single" w:color="auto" w:sz="4" w:space="0"/>
                    <w:bottom w:val="single" w:color="auto" w:sz="4" w:space="0"/>
                    <w:right w:val="single" w:color="auto" w:sz="4" w:space="0"/>
                  </w:tcBorders>
                  <w:noWrap w:val="0"/>
                  <w:vAlign w:val="center"/>
                </w:tcPr>
                <w:p w14:paraId="7B60E5B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91.7</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77BED3D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78.5</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6EF568E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78.4</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0522C0A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78.4</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2ED8254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78.4</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03FEADD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557B668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0AB91AC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2251A26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44933B5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47.5</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733E51E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47.4</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50040AC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47.4</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44B86FB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47.4</w:t>
                  </w:r>
                </w:p>
              </w:tc>
              <w:tc>
                <w:tcPr>
                  <w:tcW w:w="597" w:type="dxa"/>
                  <w:tcBorders>
                    <w:top w:val="single" w:color="auto" w:sz="4" w:space="0"/>
                    <w:left w:val="single" w:color="auto" w:sz="4" w:space="0"/>
                    <w:bottom w:val="single" w:color="auto" w:sz="4" w:space="0"/>
                    <w:right w:val="single" w:color="auto" w:sz="4" w:space="0"/>
                  </w:tcBorders>
                  <w:noWrap w:val="0"/>
                  <w:vAlign w:val="center"/>
                </w:tcPr>
                <w:p w14:paraId="1E601928">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Arial" w:cs="Times New Roman"/>
                      <w:color w:val="auto"/>
                      <w:sz w:val="18"/>
                      <w:szCs w:val="18"/>
                      <w:highlight w:val="none"/>
                    </w:rPr>
                    <w:t>1</w:t>
                  </w:r>
                </w:p>
              </w:tc>
            </w:tr>
            <w:tr w14:paraId="5FC9E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256" w:type="dxa"/>
                  <w:tcBorders>
                    <w:top w:val="single" w:color="auto" w:sz="4" w:space="0"/>
                    <w:left w:val="single" w:color="auto" w:sz="4" w:space="0"/>
                    <w:bottom w:val="single" w:color="auto" w:sz="4" w:space="0"/>
                    <w:right w:val="single" w:color="auto" w:sz="4" w:space="0"/>
                  </w:tcBorders>
                  <w:noWrap w:val="0"/>
                  <w:vAlign w:val="center"/>
                </w:tcPr>
                <w:p w14:paraId="618F4C01">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行吊（室内）</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35AF495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69.77</w:t>
                  </w:r>
                </w:p>
              </w:tc>
              <w:tc>
                <w:tcPr>
                  <w:tcW w:w="645" w:type="dxa"/>
                  <w:tcBorders>
                    <w:top w:val="single" w:color="auto" w:sz="4" w:space="0"/>
                    <w:left w:val="single" w:color="auto" w:sz="4" w:space="0"/>
                    <w:bottom w:val="single" w:color="auto" w:sz="4" w:space="0"/>
                    <w:right w:val="single" w:color="auto" w:sz="4" w:space="0"/>
                  </w:tcBorders>
                  <w:noWrap w:val="0"/>
                  <w:vAlign w:val="center"/>
                </w:tcPr>
                <w:p w14:paraId="75CCD1C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16.8</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658D455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106.3</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79A4DC7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6</w:t>
                  </w:r>
                </w:p>
              </w:tc>
              <w:tc>
                <w:tcPr>
                  <w:tcW w:w="660" w:type="dxa"/>
                  <w:tcBorders>
                    <w:top w:val="single" w:color="auto" w:sz="4" w:space="0"/>
                    <w:left w:val="single" w:color="auto" w:sz="4" w:space="0"/>
                    <w:bottom w:val="single" w:color="auto" w:sz="4" w:space="0"/>
                    <w:right w:val="single" w:color="auto" w:sz="4" w:space="0"/>
                  </w:tcBorders>
                  <w:noWrap w:val="0"/>
                  <w:vAlign w:val="center"/>
                </w:tcPr>
                <w:p w14:paraId="492E530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22.1</w:t>
                  </w:r>
                </w:p>
              </w:tc>
              <w:tc>
                <w:tcPr>
                  <w:tcW w:w="630" w:type="dxa"/>
                  <w:tcBorders>
                    <w:top w:val="single" w:color="auto" w:sz="4" w:space="0"/>
                    <w:left w:val="single" w:color="auto" w:sz="4" w:space="0"/>
                    <w:bottom w:val="single" w:color="auto" w:sz="4" w:space="0"/>
                    <w:right w:val="single" w:color="auto" w:sz="4" w:space="0"/>
                  </w:tcBorders>
                  <w:noWrap w:val="0"/>
                  <w:vAlign w:val="center"/>
                </w:tcPr>
                <w:p w14:paraId="20DA7F2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261.5</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20AEE90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28.8</w:t>
                  </w:r>
                </w:p>
              </w:tc>
              <w:tc>
                <w:tcPr>
                  <w:tcW w:w="675" w:type="dxa"/>
                  <w:tcBorders>
                    <w:top w:val="single" w:color="auto" w:sz="4" w:space="0"/>
                    <w:left w:val="single" w:color="auto" w:sz="4" w:space="0"/>
                    <w:bottom w:val="single" w:color="auto" w:sz="4" w:space="0"/>
                    <w:right w:val="single" w:color="auto" w:sz="4" w:space="0"/>
                  </w:tcBorders>
                  <w:noWrap w:val="0"/>
                  <w:vAlign w:val="center"/>
                </w:tcPr>
                <w:p w14:paraId="0DB1C9A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48.0</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51EE02B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50.2</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7EEF8B2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50.1</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6BC5C65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50.2</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1A93894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50.1</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5060F77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2A3ECF6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4F8D18E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5092FC7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32E58E5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19.2</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7813DA0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19.1</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170D428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19.2</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231BFA7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19.1</w:t>
                  </w:r>
                </w:p>
              </w:tc>
              <w:tc>
                <w:tcPr>
                  <w:tcW w:w="597" w:type="dxa"/>
                  <w:tcBorders>
                    <w:top w:val="single" w:color="auto" w:sz="4" w:space="0"/>
                    <w:left w:val="single" w:color="auto" w:sz="4" w:space="0"/>
                    <w:bottom w:val="single" w:color="auto" w:sz="4" w:space="0"/>
                    <w:right w:val="single" w:color="auto" w:sz="4" w:space="0"/>
                  </w:tcBorders>
                  <w:noWrap w:val="0"/>
                  <w:vAlign w:val="center"/>
                </w:tcPr>
                <w:p w14:paraId="315A365E">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Arial" w:cs="Times New Roman"/>
                      <w:color w:val="auto"/>
                      <w:sz w:val="18"/>
                      <w:szCs w:val="18"/>
                      <w:highlight w:val="none"/>
                    </w:rPr>
                    <w:t>1</w:t>
                  </w:r>
                </w:p>
              </w:tc>
            </w:tr>
            <w:tr w14:paraId="58233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256" w:type="dxa"/>
                  <w:tcBorders>
                    <w:top w:val="single" w:color="auto" w:sz="4" w:space="0"/>
                    <w:left w:val="single" w:color="auto" w:sz="4" w:space="0"/>
                    <w:bottom w:val="single" w:color="auto" w:sz="4" w:space="0"/>
                    <w:right w:val="single" w:color="auto" w:sz="4" w:space="0"/>
                  </w:tcBorders>
                  <w:noWrap w:val="0"/>
                  <w:vAlign w:val="center"/>
                </w:tcPr>
                <w:p w14:paraId="2777E4E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1t/h燃天然气锅炉</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3FC379D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78.01</w:t>
                  </w:r>
                </w:p>
              </w:tc>
              <w:tc>
                <w:tcPr>
                  <w:tcW w:w="645" w:type="dxa"/>
                  <w:tcBorders>
                    <w:top w:val="single" w:color="auto" w:sz="4" w:space="0"/>
                    <w:left w:val="single" w:color="auto" w:sz="4" w:space="0"/>
                    <w:bottom w:val="single" w:color="auto" w:sz="4" w:space="0"/>
                    <w:right w:val="single" w:color="auto" w:sz="4" w:space="0"/>
                  </w:tcBorders>
                  <w:noWrap w:val="0"/>
                  <w:vAlign w:val="center"/>
                </w:tcPr>
                <w:p w14:paraId="1DDAADD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68.2</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13F9EA4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97.1</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7588A44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w:t>
                  </w:r>
                </w:p>
              </w:tc>
              <w:tc>
                <w:tcPr>
                  <w:tcW w:w="660" w:type="dxa"/>
                  <w:tcBorders>
                    <w:top w:val="single" w:color="auto" w:sz="4" w:space="0"/>
                    <w:left w:val="single" w:color="auto" w:sz="4" w:space="0"/>
                    <w:bottom w:val="single" w:color="auto" w:sz="4" w:space="0"/>
                    <w:right w:val="single" w:color="auto" w:sz="4" w:space="0"/>
                  </w:tcBorders>
                  <w:noWrap w:val="0"/>
                  <w:vAlign w:val="center"/>
                </w:tcPr>
                <w:p w14:paraId="05B2174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7.6</w:t>
                  </w:r>
                </w:p>
              </w:tc>
              <w:tc>
                <w:tcPr>
                  <w:tcW w:w="630" w:type="dxa"/>
                  <w:tcBorders>
                    <w:top w:val="single" w:color="auto" w:sz="4" w:space="0"/>
                    <w:left w:val="single" w:color="auto" w:sz="4" w:space="0"/>
                    <w:bottom w:val="single" w:color="auto" w:sz="4" w:space="0"/>
                    <w:right w:val="single" w:color="auto" w:sz="4" w:space="0"/>
                  </w:tcBorders>
                  <w:noWrap w:val="0"/>
                  <w:vAlign w:val="center"/>
                </w:tcPr>
                <w:p w14:paraId="16FCC4A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8.7</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7A85EA2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23.1</w:t>
                  </w:r>
                </w:p>
              </w:tc>
              <w:tc>
                <w:tcPr>
                  <w:tcW w:w="675" w:type="dxa"/>
                  <w:tcBorders>
                    <w:top w:val="single" w:color="auto" w:sz="4" w:space="0"/>
                    <w:left w:val="single" w:color="auto" w:sz="4" w:space="0"/>
                    <w:bottom w:val="single" w:color="auto" w:sz="4" w:space="0"/>
                    <w:right w:val="single" w:color="auto" w:sz="4" w:space="0"/>
                  </w:tcBorders>
                  <w:noWrap w:val="0"/>
                  <w:vAlign w:val="center"/>
                </w:tcPr>
                <w:p w14:paraId="2B6FDBA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9.1</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6CBA25F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66.2</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1D73099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66.2</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26DB7F2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66.1</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2BF842B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66.2</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65A1D7A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6658591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6DAE648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56F79BA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08FE809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35.2</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5C1BC38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35.2</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46F845D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35.1</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5044579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35.2</w:t>
                  </w:r>
                </w:p>
              </w:tc>
              <w:tc>
                <w:tcPr>
                  <w:tcW w:w="597" w:type="dxa"/>
                  <w:tcBorders>
                    <w:top w:val="single" w:color="auto" w:sz="4" w:space="0"/>
                    <w:left w:val="single" w:color="auto" w:sz="4" w:space="0"/>
                    <w:bottom w:val="single" w:color="auto" w:sz="4" w:space="0"/>
                    <w:right w:val="single" w:color="auto" w:sz="4" w:space="0"/>
                  </w:tcBorders>
                  <w:noWrap w:val="0"/>
                  <w:vAlign w:val="center"/>
                </w:tcPr>
                <w:p w14:paraId="44C83D3F">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Arial" w:cs="Times New Roman"/>
                      <w:color w:val="auto"/>
                      <w:sz w:val="18"/>
                      <w:szCs w:val="18"/>
                      <w:highlight w:val="none"/>
                    </w:rPr>
                    <w:t>1</w:t>
                  </w:r>
                </w:p>
              </w:tc>
            </w:tr>
            <w:tr w14:paraId="03CB3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1256" w:type="dxa"/>
                  <w:tcBorders>
                    <w:top w:val="single" w:color="auto" w:sz="4" w:space="0"/>
                    <w:left w:val="single" w:color="auto" w:sz="4" w:space="0"/>
                    <w:bottom w:val="single" w:color="auto" w:sz="4" w:space="0"/>
                    <w:right w:val="single" w:color="auto" w:sz="4" w:space="0"/>
                  </w:tcBorders>
                  <w:noWrap w:val="0"/>
                  <w:vAlign w:val="center"/>
                </w:tcPr>
                <w:p w14:paraId="021247A4">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软水制备机</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371B44F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75.00</w:t>
                  </w:r>
                </w:p>
              </w:tc>
              <w:tc>
                <w:tcPr>
                  <w:tcW w:w="645" w:type="dxa"/>
                  <w:tcBorders>
                    <w:top w:val="single" w:color="auto" w:sz="4" w:space="0"/>
                    <w:left w:val="single" w:color="auto" w:sz="4" w:space="0"/>
                    <w:bottom w:val="single" w:color="auto" w:sz="4" w:space="0"/>
                    <w:right w:val="single" w:color="auto" w:sz="4" w:space="0"/>
                  </w:tcBorders>
                  <w:noWrap w:val="0"/>
                  <w:vAlign w:val="center"/>
                </w:tcPr>
                <w:p w14:paraId="248E188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60.5</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0C5620E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100.9</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7F066F2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1.5</w:t>
                  </w:r>
                </w:p>
              </w:tc>
              <w:tc>
                <w:tcPr>
                  <w:tcW w:w="660" w:type="dxa"/>
                  <w:tcBorders>
                    <w:top w:val="single" w:color="auto" w:sz="4" w:space="0"/>
                    <w:left w:val="single" w:color="auto" w:sz="4" w:space="0"/>
                    <w:bottom w:val="single" w:color="auto" w:sz="4" w:space="0"/>
                    <w:right w:val="single" w:color="auto" w:sz="4" w:space="0"/>
                  </w:tcBorders>
                  <w:noWrap w:val="0"/>
                  <w:vAlign w:val="center"/>
                </w:tcPr>
                <w:p w14:paraId="2922B56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16.1</w:t>
                  </w:r>
                </w:p>
              </w:tc>
              <w:tc>
                <w:tcPr>
                  <w:tcW w:w="630" w:type="dxa"/>
                  <w:tcBorders>
                    <w:top w:val="single" w:color="auto" w:sz="4" w:space="0"/>
                    <w:left w:val="single" w:color="auto" w:sz="4" w:space="0"/>
                    <w:bottom w:val="single" w:color="auto" w:sz="4" w:space="0"/>
                    <w:right w:val="single" w:color="auto" w:sz="4" w:space="0"/>
                  </w:tcBorders>
                  <w:noWrap w:val="0"/>
                  <w:vAlign w:val="center"/>
                </w:tcPr>
                <w:p w14:paraId="11B2EEA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7.8</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259AE26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14.6</w:t>
                  </w:r>
                </w:p>
              </w:tc>
              <w:tc>
                <w:tcPr>
                  <w:tcW w:w="675" w:type="dxa"/>
                  <w:tcBorders>
                    <w:top w:val="single" w:color="auto" w:sz="4" w:space="0"/>
                    <w:left w:val="single" w:color="auto" w:sz="4" w:space="0"/>
                    <w:bottom w:val="single" w:color="auto" w:sz="4" w:space="0"/>
                    <w:right w:val="single" w:color="auto" w:sz="4" w:space="0"/>
                  </w:tcBorders>
                  <w:noWrap w:val="0"/>
                  <w:vAlign w:val="center"/>
                </w:tcPr>
                <w:p w14:paraId="720037E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10.1</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73B8F4F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63.1</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34AF4F5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63.2</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63965E5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63.1</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476C94E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63.1</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714FBAD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32C7F21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429CEC5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2ABBAA5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226F09F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32.1</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3FF679E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32.2</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5A661DF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32.1</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22DC8C0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32.1</w:t>
                  </w:r>
                </w:p>
              </w:tc>
              <w:tc>
                <w:tcPr>
                  <w:tcW w:w="597" w:type="dxa"/>
                  <w:tcBorders>
                    <w:top w:val="single" w:color="auto" w:sz="4" w:space="0"/>
                    <w:left w:val="single" w:color="auto" w:sz="4" w:space="0"/>
                    <w:bottom w:val="single" w:color="auto" w:sz="4" w:space="0"/>
                    <w:right w:val="single" w:color="auto" w:sz="4" w:space="0"/>
                  </w:tcBorders>
                  <w:noWrap w:val="0"/>
                  <w:vAlign w:val="center"/>
                </w:tcPr>
                <w:p w14:paraId="180153BB">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Arial" w:cs="Times New Roman"/>
                      <w:color w:val="auto"/>
                      <w:sz w:val="18"/>
                      <w:szCs w:val="18"/>
                      <w:highlight w:val="none"/>
                    </w:rPr>
                    <w:t>1</w:t>
                  </w:r>
                </w:p>
              </w:tc>
            </w:tr>
            <w:tr w14:paraId="57CB5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1256" w:type="dxa"/>
                  <w:tcBorders>
                    <w:top w:val="single" w:color="auto" w:sz="4" w:space="0"/>
                    <w:left w:val="single" w:color="auto" w:sz="4" w:space="0"/>
                    <w:bottom w:val="single" w:color="auto" w:sz="4" w:space="0"/>
                    <w:right w:val="single" w:color="auto" w:sz="4" w:space="0"/>
                  </w:tcBorders>
                  <w:noWrap w:val="0"/>
                  <w:vAlign w:val="center"/>
                </w:tcPr>
                <w:p w14:paraId="1DCB3307">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实验室设备</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00904D0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65.00</w:t>
                  </w:r>
                </w:p>
              </w:tc>
              <w:tc>
                <w:tcPr>
                  <w:tcW w:w="645" w:type="dxa"/>
                  <w:tcBorders>
                    <w:top w:val="single" w:color="auto" w:sz="4" w:space="0"/>
                    <w:left w:val="single" w:color="auto" w:sz="4" w:space="0"/>
                    <w:bottom w:val="single" w:color="auto" w:sz="4" w:space="0"/>
                    <w:right w:val="single" w:color="auto" w:sz="4" w:space="0"/>
                  </w:tcBorders>
                  <w:noWrap w:val="0"/>
                  <w:vAlign w:val="center"/>
                </w:tcPr>
                <w:p w14:paraId="02BADD2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-131.6</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0185A83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-92.9</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49A940A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1.2</w:t>
                  </w:r>
                </w:p>
              </w:tc>
              <w:tc>
                <w:tcPr>
                  <w:tcW w:w="660" w:type="dxa"/>
                  <w:tcBorders>
                    <w:top w:val="single" w:color="auto" w:sz="4" w:space="0"/>
                    <w:left w:val="single" w:color="auto" w:sz="4" w:space="0"/>
                    <w:bottom w:val="single" w:color="auto" w:sz="4" w:space="0"/>
                    <w:right w:val="single" w:color="auto" w:sz="4" w:space="0"/>
                  </w:tcBorders>
                  <w:noWrap w:val="0"/>
                  <w:vAlign w:val="center"/>
                </w:tcPr>
                <w:p w14:paraId="3702BA1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40.9</w:t>
                  </w:r>
                </w:p>
              </w:tc>
              <w:tc>
                <w:tcPr>
                  <w:tcW w:w="630" w:type="dxa"/>
                  <w:tcBorders>
                    <w:top w:val="single" w:color="auto" w:sz="4" w:space="0"/>
                    <w:left w:val="single" w:color="auto" w:sz="4" w:space="0"/>
                    <w:bottom w:val="single" w:color="auto" w:sz="4" w:space="0"/>
                    <w:right w:val="single" w:color="auto" w:sz="4" w:space="0"/>
                  </w:tcBorders>
                  <w:noWrap w:val="0"/>
                  <w:vAlign w:val="center"/>
                </w:tcPr>
                <w:p w14:paraId="5D825B3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14.1</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7A7717E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9.6</w:t>
                  </w:r>
                </w:p>
              </w:tc>
              <w:tc>
                <w:tcPr>
                  <w:tcW w:w="675" w:type="dxa"/>
                  <w:tcBorders>
                    <w:top w:val="single" w:color="auto" w:sz="4" w:space="0"/>
                    <w:left w:val="single" w:color="auto" w:sz="4" w:space="0"/>
                    <w:bottom w:val="single" w:color="auto" w:sz="4" w:space="0"/>
                    <w:right w:val="single" w:color="auto" w:sz="4" w:space="0"/>
                  </w:tcBorders>
                  <w:noWrap w:val="0"/>
                  <w:vAlign w:val="center"/>
                </w:tcPr>
                <w:p w14:paraId="4499CB4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295.3</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02F4874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45.4</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0D1B2A3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45.5</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46C62F7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45.7</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7281B65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45.4</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54AD0D1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57D42AC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5AFC849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698D056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7C96FCB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14.4</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76DA484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14.5</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4232A0E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14.7</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2E89934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14.4</w:t>
                  </w:r>
                </w:p>
              </w:tc>
              <w:tc>
                <w:tcPr>
                  <w:tcW w:w="597" w:type="dxa"/>
                  <w:tcBorders>
                    <w:top w:val="single" w:color="auto" w:sz="4" w:space="0"/>
                    <w:left w:val="single" w:color="auto" w:sz="4" w:space="0"/>
                    <w:bottom w:val="single" w:color="auto" w:sz="4" w:space="0"/>
                    <w:right w:val="single" w:color="auto" w:sz="4" w:space="0"/>
                  </w:tcBorders>
                  <w:noWrap w:val="0"/>
                  <w:vAlign w:val="center"/>
                </w:tcPr>
                <w:p w14:paraId="1E5C8BDA">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Arial" w:cs="Times New Roman"/>
                      <w:color w:val="auto"/>
                      <w:sz w:val="18"/>
                      <w:szCs w:val="18"/>
                      <w:highlight w:val="none"/>
                    </w:rPr>
                    <w:t>1</w:t>
                  </w:r>
                </w:p>
              </w:tc>
            </w:tr>
            <w:tr w14:paraId="4FCA9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1256" w:type="dxa"/>
                  <w:tcBorders>
                    <w:top w:val="single" w:color="auto" w:sz="4" w:space="0"/>
                    <w:left w:val="single" w:color="auto" w:sz="4" w:space="0"/>
                    <w:bottom w:val="single" w:color="auto" w:sz="4" w:space="0"/>
                    <w:right w:val="single" w:color="auto" w:sz="4" w:space="0"/>
                  </w:tcBorders>
                  <w:noWrap w:val="0"/>
                  <w:vAlign w:val="center"/>
                </w:tcPr>
                <w:p w14:paraId="565A53CE">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空压机</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749013D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88.01</w:t>
                  </w:r>
                </w:p>
              </w:tc>
              <w:tc>
                <w:tcPr>
                  <w:tcW w:w="645" w:type="dxa"/>
                  <w:tcBorders>
                    <w:top w:val="single" w:color="auto" w:sz="4" w:space="0"/>
                    <w:left w:val="single" w:color="auto" w:sz="4" w:space="0"/>
                    <w:bottom w:val="single" w:color="auto" w:sz="4" w:space="0"/>
                    <w:right w:val="single" w:color="auto" w:sz="4" w:space="0"/>
                  </w:tcBorders>
                  <w:noWrap w:val="0"/>
                  <w:vAlign w:val="center"/>
                </w:tcPr>
                <w:p w14:paraId="61B7360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-69.9</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358E685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-82</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46ED510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w:t>
                  </w:r>
                </w:p>
              </w:tc>
              <w:tc>
                <w:tcPr>
                  <w:tcW w:w="660" w:type="dxa"/>
                  <w:tcBorders>
                    <w:top w:val="single" w:color="auto" w:sz="4" w:space="0"/>
                    <w:left w:val="single" w:color="auto" w:sz="4" w:space="0"/>
                    <w:bottom w:val="single" w:color="auto" w:sz="4" w:space="0"/>
                    <w:right w:val="single" w:color="auto" w:sz="4" w:space="0"/>
                  </w:tcBorders>
                  <w:noWrap w:val="0"/>
                  <w:vAlign w:val="center"/>
                </w:tcPr>
                <w:p w14:paraId="0562F68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3.3</w:t>
                  </w:r>
                </w:p>
              </w:tc>
              <w:tc>
                <w:tcPr>
                  <w:tcW w:w="630" w:type="dxa"/>
                  <w:tcBorders>
                    <w:top w:val="single" w:color="auto" w:sz="4" w:space="0"/>
                    <w:left w:val="single" w:color="auto" w:sz="4" w:space="0"/>
                    <w:bottom w:val="single" w:color="auto" w:sz="4" w:space="0"/>
                    <w:right w:val="single" w:color="auto" w:sz="4" w:space="0"/>
                  </w:tcBorders>
                  <w:noWrap w:val="0"/>
                  <w:vAlign w:val="center"/>
                </w:tcPr>
                <w:p w14:paraId="51C27F9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3.3</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0EAD6CD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4.1</w:t>
                  </w:r>
                </w:p>
              </w:tc>
              <w:tc>
                <w:tcPr>
                  <w:tcW w:w="675" w:type="dxa"/>
                  <w:tcBorders>
                    <w:top w:val="single" w:color="auto" w:sz="4" w:space="0"/>
                    <w:left w:val="single" w:color="auto" w:sz="4" w:space="0"/>
                    <w:bottom w:val="single" w:color="auto" w:sz="4" w:space="0"/>
                    <w:right w:val="single" w:color="auto" w:sz="4" w:space="0"/>
                  </w:tcBorders>
                  <w:noWrap w:val="0"/>
                  <w:vAlign w:val="center"/>
                </w:tcPr>
                <w:p w14:paraId="1CD63E9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2.6</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5D14744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84.8</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0DDFB1E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84.8</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4C6731F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84.8</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1CCFD97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84.8</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66B5BDB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6368CF6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1692BCD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5D5413E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31.0</w:t>
                  </w:r>
                </w:p>
              </w:tc>
              <w:tc>
                <w:tcPr>
                  <w:tcW w:w="585" w:type="dxa"/>
                  <w:tcBorders>
                    <w:top w:val="single" w:color="auto" w:sz="4" w:space="0"/>
                    <w:left w:val="single" w:color="auto" w:sz="4" w:space="0"/>
                    <w:bottom w:val="single" w:color="auto" w:sz="4" w:space="0"/>
                    <w:right w:val="single" w:color="auto" w:sz="4" w:space="0"/>
                  </w:tcBorders>
                  <w:noWrap w:val="0"/>
                  <w:vAlign w:val="center"/>
                </w:tcPr>
                <w:p w14:paraId="0669300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53.8</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7C43C4B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53.8</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5920EAD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53.8</w:t>
                  </w:r>
                </w:p>
              </w:tc>
              <w:tc>
                <w:tcPr>
                  <w:tcW w:w="555" w:type="dxa"/>
                  <w:tcBorders>
                    <w:top w:val="single" w:color="auto" w:sz="4" w:space="0"/>
                    <w:left w:val="single" w:color="auto" w:sz="4" w:space="0"/>
                    <w:bottom w:val="single" w:color="auto" w:sz="4" w:space="0"/>
                    <w:right w:val="single" w:color="auto" w:sz="4" w:space="0"/>
                  </w:tcBorders>
                  <w:noWrap w:val="0"/>
                  <w:vAlign w:val="center"/>
                </w:tcPr>
                <w:p w14:paraId="432323D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53.8</w:t>
                  </w:r>
                </w:p>
              </w:tc>
              <w:tc>
                <w:tcPr>
                  <w:tcW w:w="597" w:type="dxa"/>
                  <w:tcBorders>
                    <w:top w:val="single" w:color="auto" w:sz="4" w:space="0"/>
                    <w:left w:val="single" w:color="auto" w:sz="4" w:space="0"/>
                    <w:bottom w:val="single" w:color="auto" w:sz="4" w:space="0"/>
                    <w:right w:val="single" w:color="auto" w:sz="4" w:space="0"/>
                  </w:tcBorders>
                  <w:noWrap w:val="0"/>
                  <w:vAlign w:val="center"/>
                </w:tcPr>
                <w:p w14:paraId="6D611DAE">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Arial" w:cs="Times New Roman"/>
                      <w:color w:val="auto"/>
                      <w:sz w:val="18"/>
                      <w:szCs w:val="18"/>
                      <w:highlight w:val="none"/>
                    </w:rPr>
                    <w:t>1</w:t>
                  </w:r>
                </w:p>
              </w:tc>
            </w:tr>
          </w:tbl>
          <w:p w14:paraId="705B964A">
            <w:pPr>
              <w:pStyle w:val="32"/>
              <w:rPr>
                <w:rFonts w:hint="default" w:ascii="Times New Roman" w:hAnsi="Times New Roman" w:cs="Times New Roman"/>
                <w:b/>
                <w:bCs/>
                <w:color w:val="auto"/>
                <w:highlight w:val="none"/>
                <w:lang w:val="en-US" w:eastAsia="zh-CN"/>
              </w:rPr>
            </w:pPr>
          </w:p>
        </w:tc>
      </w:tr>
    </w:tbl>
    <w:p w14:paraId="1E1CB1CF">
      <w:pPr>
        <w:pStyle w:val="43"/>
        <w:rPr>
          <w:rFonts w:hint="default" w:ascii="Times New Roman" w:hAnsi="Times New Roman" w:cs="Times New Roman"/>
          <w:color w:val="auto"/>
          <w:highlight w:val="yellow"/>
        </w:rPr>
        <w:sectPr>
          <w:pgSz w:w="16838" w:h="11906" w:orient="landscape"/>
          <w:pgMar w:top="1247" w:right="1440" w:bottom="1247" w:left="1440" w:header="851" w:footer="851" w:gutter="0"/>
          <w:pgNumType w:fmt="decimal"/>
          <w:cols w:space="720" w:num="1"/>
          <w:docGrid w:linePitch="312" w:charSpace="0"/>
        </w:sectPr>
      </w:pPr>
    </w:p>
    <w:tbl>
      <w:tblPr>
        <w:tblStyle w:val="34"/>
        <w:tblW w:w="965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90"/>
        <w:gridCol w:w="9364"/>
      </w:tblGrid>
      <w:tr w14:paraId="0CD47A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58" w:hRule="atLeast"/>
          <w:jc w:val="center"/>
        </w:trPr>
        <w:tc>
          <w:tcPr>
            <w:tcW w:w="290" w:type="dxa"/>
            <w:noWrap w:val="0"/>
            <w:tcMar>
              <w:left w:w="28" w:type="dxa"/>
              <w:right w:w="28" w:type="dxa"/>
            </w:tcMar>
            <w:vAlign w:val="center"/>
          </w:tcPr>
          <w:p w14:paraId="191FA0EC">
            <w:pPr>
              <w:adjustRightInd w:val="0"/>
              <w:snapToGrid w:val="0"/>
              <w:jc w:val="center"/>
              <w:rPr>
                <w:rFonts w:hint="default" w:ascii="Times New Roman" w:hAnsi="Times New Roman" w:cs="Times New Roman"/>
                <w:bCs/>
                <w:color w:val="auto"/>
                <w:sz w:val="24"/>
                <w:szCs w:val="21"/>
                <w:highlight w:val="none"/>
              </w:rPr>
            </w:pPr>
            <w:r>
              <w:rPr>
                <w:rFonts w:hint="default" w:ascii="Times New Roman" w:hAnsi="Times New Roman" w:cs="Times New Roman"/>
                <w:bCs/>
                <w:color w:val="auto"/>
                <w:sz w:val="24"/>
                <w:szCs w:val="21"/>
                <w:highlight w:val="none"/>
              </w:rPr>
              <w:t>运营</w:t>
            </w:r>
          </w:p>
          <w:p w14:paraId="3E32AD50">
            <w:pPr>
              <w:adjustRightInd w:val="0"/>
              <w:snapToGrid w:val="0"/>
              <w:jc w:val="center"/>
              <w:rPr>
                <w:rFonts w:hint="default" w:ascii="Times New Roman" w:hAnsi="Times New Roman" w:cs="Times New Roman"/>
                <w:bCs/>
                <w:color w:val="auto"/>
                <w:sz w:val="24"/>
                <w:szCs w:val="21"/>
                <w:highlight w:val="none"/>
              </w:rPr>
            </w:pPr>
            <w:r>
              <w:rPr>
                <w:rFonts w:hint="default" w:ascii="Times New Roman" w:hAnsi="Times New Roman" w:cs="Times New Roman"/>
                <w:bCs/>
                <w:color w:val="auto"/>
                <w:sz w:val="24"/>
                <w:szCs w:val="21"/>
                <w:highlight w:val="none"/>
              </w:rPr>
              <w:t>期环</w:t>
            </w:r>
          </w:p>
          <w:p w14:paraId="0C0A4BE6">
            <w:pPr>
              <w:adjustRightInd w:val="0"/>
              <w:snapToGrid w:val="0"/>
              <w:jc w:val="center"/>
              <w:rPr>
                <w:rFonts w:hint="default" w:ascii="Times New Roman" w:hAnsi="Times New Roman" w:cs="Times New Roman"/>
                <w:bCs/>
                <w:color w:val="auto"/>
                <w:sz w:val="24"/>
                <w:szCs w:val="21"/>
                <w:highlight w:val="none"/>
              </w:rPr>
            </w:pPr>
            <w:r>
              <w:rPr>
                <w:rFonts w:hint="default" w:ascii="Times New Roman" w:hAnsi="Times New Roman" w:cs="Times New Roman"/>
                <w:bCs/>
                <w:color w:val="auto"/>
                <w:sz w:val="24"/>
                <w:szCs w:val="21"/>
                <w:highlight w:val="none"/>
              </w:rPr>
              <w:t>境影</w:t>
            </w:r>
          </w:p>
          <w:p w14:paraId="3F47B23F">
            <w:pPr>
              <w:adjustRightInd w:val="0"/>
              <w:snapToGrid w:val="0"/>
              <w:jc w:val="center"/>
              <w:rPr>
                <w:rFonts w:hint="default" w:ascii="Times New Roman" w:hAnsi="Times New Roman" w:cs="Times New Roman"/>
                <w:bCs/>
                <w:color w:val="auto"/>
                <w:sz w:val="24"/>
                <w:szCs w:val="21"/>
                <w:highlight w:val="none"/>
              </w:rPr>
            </w:pPr>
            <w:r>
              <w:rPr>
                <w:rFonts w:hint="default" w:ascii="Times New Roman" w:hAnsi="Times New Roman" w:cs="Times New Roman"/>
                <w:bCs/>
                <w:color w:val="auto"/>
                <w:sz w:val="24"/>
                <w:szCs w:val="21"/>
                <w:highlight w:val="none"/>
              </w:rPr>
              <w:t>响和</w:t>
            </w:r>
          </w:p>
          <w:p w14:paraId="17A8C849">
            <w:pPr>
              <w:adjustRightInd w:val="0"/>
              <w:snapToGrid w:val="0"/>
              <w:jc w:val="center"/>
              <w:rPr>
                <w:rFonts w:hint="default" w:ascii="Times New Roman" w:hAnsi="Times New Roman" w:cs="Times New Roman"/>
                <w:bCs/>
                <w:color w:val="auto"/>
                <w:sz w:val="24"/>
                <w:szCs w:val="21"/>
                <w:highlight w:val="none"/>
              </w:rPr>
            </w:pPr>
            <w:r>
              <w:rPr>
                <w:rFonts w:hint="default" w:ascii="Times New Roman" w:hAnsi="Times New Roman" w:cs="Times New Roman"/>
                <w:bCs/>
                <w:color w:val="auto"/>
                <w:sz w:val="24"/>
                <w:szCs w:val="21"/>
                <w:highlight w:val="none"/>
              </w:rPr>
              <w:t>保护</w:t>
            </w:r>
          </w:p>
          <w:p w14:paraId="2FDEB907">
            <w:pPr>
              <w:pStyle w:val="29"/>
              <w:widowControl w:val="0"/>
              <w:adjustRightInd w:val="0"/>
              <w:snapToGrid w:val="0"/>
              <w:spacing w:before="0" w:beforeAutospacing="0" w:after="0" w:afterAutospacing="0"/>
              <w:jc w:val="center"/>
              <w:rPr>
                <w:rFonts w:hint="default" w:ascii="Times New Roman" w:hAnsi="Times New Roman" w:cs="Times New Roman"/>
                <w:color w:val="auto"/>
                <w:kern w:val="2"/>
                <w:szCs w:val="21"/>
                <w:highlight w:val="none"/>
              </w:rPr>
            </w:pPr>
            <w:r>
              <w:rPr>
                <w:rFonts w:hint="default" w:ascii="Times New Roman" w:hAnsi="Times New Roman" w:cs="Times New Roman"/>
                <w:bCs/>
                <w:color w:val="auto"/>
                <w:szCs w:val="21"/>
                <w:highlight w:val="none"/>
              </w:rPr>
              <w:t>措施</w:t>
            </w:r>
          </w:p>
        </w:tc>
        <w:tc>
          <w:tcPr>
            <w:tcW w:w="9364" w:type="dxa"/>
            <w:noWrap w:val="0"/>
            <w:vAlign w:val="center"/>
          </w:tcPr>
          <w:p w14:paraId="3C751FED">
            <w:pPr>
              <w:spacing w:line="240" w:lineRule="auto"/>
              <w:ind w:right="57" w:rightChars="27" w:firstLine="422"/>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 w:val="21"/>
                <w:szCs w:val="21"/>
                <w:highlight w:val="none"/>
                <w:lang w:bidi="ar"/>
              </w:rPr>
              <w:t>表</w:t>
            </w:r>
            <w:r>
              <w:rPr>
                <w:rFonts w:hint="default" w:ascii="Times New Roman" w:hAnsi="Times New Roman" w:cs="Times New Roman"/>
                <w:b/>
                <w:bCs/>
                <w:color w:val="auto"/>
                <w:sz w:val="21"/>
                <w:szCs w:val="21"/>
                <w:highlight w:val="none"/>
                <w:lang w:val="en-US" w:eastAsia="zh-CN" w:bidi="ar"/>
              </w:rPr>
              <w:t xml:space="preserve">4-18 </w:t>
            </w:r>
            <w:r>
              <w:rPr>
                <w:rFonts w:hint="default" w:ascii="Times New Roman" w:hAnsi="Times New Roman" w:cs="Times New Roman"/>
                <w:b/>
                <w:bCs/>
                <w:color w:val="auto"/>
                <w:sz w:val="21"/>
                <w:szCs w:val="21"/>
                <w:highlight w:val="none"/>
                <w:lang w:bidi="ar"/>
              </w:rPr>
              <w:t>企业噪声源调查清单 （室</w:t>
            </w:r>
            <w:r>
              <w:rPr>
                <w:rFonts w:hint="default" w:ascii="Times New Roman" w:hAnsi="Times New Roman" w:cs="Times New Roman"/>
                <w:b/>
                <w:bCs/>
                <w:color w:val="auto"/>
                <w:sz w:val="21"/>
                <w:szCs w:val="21"/>
                <w:highlight w:val="none"/>
                <w:lang w:val="en-US" w:eastAsia="zh-CN" w:bidi="ar"/>
              </w:rPr>
              <w:t>外</w:t>
            </w:r>
            <w:r>
              <w:rPr>
                <w:rFonts w:hint="default" w:ascii="Times New Roman" w:hAnsi="Times New Roman" w:cs="Times New Roman"/>
                <w:b/>
                <w:bCs/>
                <w:color w:val="auto"/>
                <w:sz w:val="21"/>
                <w:szCs w:val="21"/>
                <w:highlight w:val="none"/>
                <w:lang w:bidi="ar"/>
              </w:rPr>
              <w:t>声源）</w:t>
            </w:r>
          </w:p>
          <w:tbl>
            <w:tblPr>
              <w:tblStyle w:val="35"/>
              <w:tblW w:w="9278" w:type="dxa"/>
              <w:tblInd w:w="-6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0"/>
              <w:gridCol w:w="1742"/>
              <w:gridCol w:w="1225"/>
              <w:gridCol w:w="1195"/>
              <w:gridCol w:w="1663"/>
              <w:gridCol w:w="2303"/>
            </w:tblGrid>
            <w:tr w14:paraId="504C1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1150" w:type="dxa"/>
                  <w:vMerge w:val="restart"/>
                  <w:noWrap w:val="0"/>
                  <w:vAlign w:val="center"/>
                </w:tcPr>
                <w:p w14:paraId="7505A453">
                  <w:pPr>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序号</w:t>
                  </w:r>
                </w:p>
              </w:tc>
              <w:tc>
                <w:tcPr>
                  <w:tcW w:w="1742" w:type="dxa"/>
                  <w:vMerge w:val="restart"/>
                  <w:noWrap w:val="0"/>
                  <w:vAlign w:val="center"/>
                </w:tcPr>
                <w:p w14:paraId="2D53128F">
                  <w:pPr>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声源名称</w:t>
                  </w:r>
                </w:p>
              </w:tc>
              <w:tc>
                <w:tcPr>
                  <w:tcW w:w="4083" w:type="dxa"/>
                  <w:gridSpan w:val="3"/>
                  <w:noWrap w:val="0"/>
                  <w:vAlign w:val="center"/>
                </w:tcPr>
                <w:p w14:paraId="5FF9433A">
                  <w:pPr>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空间相对位置/m</w:t>
                  </w:r>
                </w:p>
              </w:tc>
              <w:tc>
                <w:tcPr>
                  <w:tcW w:w="2303" w:type="dxa"/>
                  <w:vMerge w:val="restart"/>
                  <w:noWrap w:val="0"/>
                  <w:vAlign w:val="center"/>
                </w:tcPr>
                <w:p w14:paraId="19A5B476">
                  <w:pPr>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lang w:val="en-US" w:eastAsia="zh-CN"/>
                    </w:rPr>
                    <w:t>声压</w:t>
                  </w:r>
                  <w:r>
                    <w:rPr>
                      <w:rFonts w:hint="default" w:ascii="Times New Roman" w:hAnsi="Times New Roman" w:cs="Times New Roman"/>
                      <w:b/>
                      <w:bCs/>
                      <w:color w:val="auto"/>
                      <w:sz w:val="21"/>
                      <w:szCs w:val="21"/>
                      <w:highlight w:val="none"/>
                    </w:rPr>
                    <w:t>级/dB(A)</w:t>
                  </w:r>
                </w:p>
              </w:tc>
            </w:tr>
            <w:tr w14:paraId="15E6F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150" w:type="dxa"/>
                  <w:vMerge w:val="continue"/>
                  <w:noWrap w:val="0"/>
                  <w:vAlign w:val="center"/>
                </w:tcPr>
                <w:p w14:paraId="1C9D4A68">
                  <w:pPr>
                    <w:ind w:firstLine="0" w:firstLineChars="0"/>
                    <w:jc w:val="center"/>
                    <w:rPr>
                      <w:rFonts w:hint="default" w:ascii="Times New Roman" w:hAnsi="Times New Roman" w:cs="Times New Roman"/>
                      <w:color w:val="auto"/>
                      <w:sz w:val="21"/>
                      <w:szCs w:val="21"/>
                      <w:highlight w:val="none"/>
                    </w:rPr>
                  </w:pPr>
                </w:p>
              </w:tc>
              <w:tc>
                <w:tcPr>
                  <w:tcW w:w="1742" w:type="dxa"/>
                  <w:vMerge w:val="continue"/>
                  <w:noWrap w:val="0"/>
                  <w:vAlign w:val="center"/>
                </w:tcPr>
                <w:p w14:paraId="606A00F8">
                  <w:pPr>
                    <w:ind w:firstLine="0" w:firstLineChars="0"/>
                    <w:jc w:val="center"/>
                    <w:rPr>
                      <w:rFonts w:hint="default" w:ascii="Times New Roman" w:hAnsi="Times New Roman" w:cs="Times New Roman"/>
                      <w:color w:val="auto"/>
                      <w:sz w:val="21"/>
                      <w:szCs w:val="21"/>
                      <w:highlight w:val="none"/>
                    </w:rPr>
                  </w:pPr>
                </w:p>
              </w:tc>
              <w:tc>
                <w:tcPr>
                  <w:tcW w:w="1225" w:type="dxa"/>
                  <w:noWrap w:val="0"/>
                  <w:vAlign w:val="center"/>
                </w:tcPr>
                <w:p w14:paraId="4369D63D">
                  <w:pPr>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X</w:t>
                  </w:r>
                </w:p>
              </w:tc>
              <w:tc>
                <w:tcPr>
                  <w:tcW w:w="1195" w:type="dxa"/>
                  <w:tcBorders>
                    <w:top w:val="single" w:color="auto" w:sz="4" w:space="0"/>
                    <w:left w:val="single" w:color="auto" w:sz="4" w:space="0"/>
                    <w:bottom w:val="single" w:color="auto" w:sz="4" w:space="0"/>
                    <w:right w:val="single" w:color="auto" w:sz="4" w:space="0"/>
                  </w:tcBorders>
                  <w:noWrap w:val="0"/>
                  <w:vAlign w:val="center"/>
                </w:tcPr>
                <w:p w14:paraId="350C9D48">
                  <w:pPr>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Y</w:t>
                  </w:r>
                </w:p>
              </w:tc>
              <w:tc>
                <w:tcPr>
                  <w:tcW w:w="1663" w:type="dxa"/>
                  <w:tcBorders>
                    <w:top w:val="single" w:color="auto" w:sz="4" w:space="0"/>
                    <w:left w:val="single" w:color="auto" w:sz="4" w:space="0"/>
                    <w:bottom w:val="single" w:color="auto" w:sz="4" w:space="0"/>
                    <w:right w:val="single" w:color="auto" w:sz="4" w:space="0"/>
                  </w:tcBorders>
                  <w:noWrap w:val="0"/>
                  <w:vAlign w:val="center"/>
                </w:tcPr>
                <w:p w14:paraId="5A65C3EF">
                  <w:pPr>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Z</w:t>
                  </w:r>
                </w:p>
              </w:tc>
              <w:tc>
                <w:tcPr>
                  <w:tcW w:w="2303" w:type="dxa"/>
                  <w:vMerge w:val="continue"/>
                  <w:noWrap w:val="0"/>
                  <w:vAlign w:val="center"/>
                </w:tcPr>
                <w:p w14:paraId="40A4188F">
                  <w:pPr>
                    <w:ind w:firstLine="0" w:firstLineChars="0"/>
                    <w:jc w:val="center"/>
                    <w:rPr>
                      <w:rFonts w:hint="default" w:ascii="Times New Roman" w:hAnsi="Times New Roman" w:cs="Times New Roman"/>
                      <w:color w:val="auto"/>
                      <w:sz w:val="21"/>
                      <w:szCs w:val="21"/>
                      <w:highlight w:val="none"/>
                    </w:rPr>
                  </w:pPr>
                </w:p>
              </w:tc>
            </w:tr>
            <w:tr w14:paraId="6EC55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150" w:type="dxa"/>
                  <w:noWrap w:val="0"/>
                  <w:vAlign w:val="center"/>
                </w:tcPr>
                <w:p w14:paraId="6076D2C5">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1742" w:type="dxa"/>
                  <w:noWrap w:val="0"/>
                  <w:vAlign w:val="center"/>
                </w:tcPr>
                <w:p w14:paraId="169AF786">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行吊（室外）</w:t>
                  </w:r>
                </w:p>
              </w:tc>
              <w:tc>
                <w:tcPr>
                  <w:tcW w:w="1225" w:type="dxa"/>
                  <w:noWrap w:val="0"/>
                  <w:vAlign w:val="center"/>
                </w:tcPr>
                <w:p w14:paraId="7FAEF60E">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63.7</w:t>
                  </w:r>
                </w:p>
              </w:tc>
              <w:tc>
                <w:tcPr>
                  <w:tcW w:w="1195" w:type="dxa"/>
                  <w:tcBorders>
                    <w:top w:val="single" w:color="auto" w:sz="4" w:space="0"/>
                    <w:left w:val="single" w:color="auto" w:sz="4" w:space="0"/>
                    <w:bottom w:val="single" w:color="auto" w:sz="4" w:space="0"/>
                    <w:right w:val="single" w:color="auto" w:sz="4" w:space="0"/>
                  </w:tcBorders>
                  <w:noWrap w:val="0"/>
                  <w:vAlign w:val="center"/>
                </w:tcPr>
                <w:p w14:paraId="1E1AF20D">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29</w:t>
                  </w:r>
                </w:p>
              </w:tc>
              <w:tc>
                <w:tcPr>
                  <w:tcW w:w="1663" w:type="dxa"/>
                  <w:tcBorders>
                    <w:top w:val="single" w:color="auto" w:sz="4" w:space="0"/>
                    <w:left w:val="single" w:color="auto" w:sz="4" w:space="0"/>
                    <w:bottom w:val="single" w:color="auto" w:sz="4" w:space="0"/>
                    <w:right w:val="single" w:color="auto" w:sz="4" w:space="0"/>
                  </w:tcBorders>
                  <w:noWrap w:val="0"/>
                  <w:vAlign w:val="center"/>
                </w:tcPr>
                <w:p w14:paraId="033A5BFF">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6</w:t>
                  </w:r>
                </w:p>
              </w:tc>
              <w:tc>
                <w:tcPr>
                  <w:tcW w:w="2303" w:type="dxa"/>
                  <w:noWrap w:val="0"/>
                  <w:vAlign w:val="center"/>
                </w:tcPr>
                <w:p w14:paraId="3FE0F188">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69.77</w:t>
                  </w:r>
                </w:p>
              </w:tc>
            </w:tr>
            <w:tr w14:paraId="4DF62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150" w:type="dxa"/>
                  <w:noWrap w:val="0"/>
                  <w:vAlign w:val="center"/>
                </w:tcPr>
                <w:p w14:paraId="47C8016B">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1742" w:type="dxa"/>
                  <w:noWrap w:val="0"/>
                  <w:vAlign w:val="center"/>
                </w:tcPr>
                <w:p w14:paraId="72097328">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叉车</w:t>
                  </w:r>
                </w:p>
              </w:tc>
              <w:tc>
                <w:tcPr>
                  <w:tcW w:w="1225" w:type="dxa"/>
                  <w:noWrap w:val="0"/>
                  <w:vAlign w:val="center"/>
                </w:tcPr>
                <w:p w14:paraId="1869F7AB">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10.4</w:t>
                  </w:r>
                </w:p>
              </w:tc>
              <w:tc>
                <w:tcPr>
                  <w:tcW w:w="1195" w:type="dxa"/>
                  <w:tcBorders>
                    <w:top w:val="single" w:color="auto" w:sz="4" w:space="0"/>
                    <w:left w:val="single" w:color="auto" w:sz="4" w:space="0"/>
                    <w:bottom w:val="single" w:color="auto" w:sz="4" w:space="0"/>
                    <w:right w:val="single" w:color="auto" w:sz="4" w:space="0"/>
                  </w:tcBorders>
                  <w:noWrap w:val="0"/>
                  <w:vAlign w:val="center"/>
                </w:tcPr>
                <w:p w14:paraId="7ED32F0F">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-36.1</w:t>
                  </w:r>
                </w:p>
              </w:tc>
              <w:tc>
                <w:tcPr>
                  <w:tcW w:w="1663" w:type="dxa"/>
                  <w:tcBorders>
                    <w:top w:val="single" w:color="auto" w:sz="4" w:space="0"/>
                    <w:left w:val="single" w:color="auto" w:sz="4" w:space="0"/>
                    <w:bottom w:val="single" w:color="auto" w:sz="4" w:space="0"/>
                    <w:right w:val="single" w:color="auto" w:sz="4" w:space="0"/>
                  </w:tcBorders>
                  <w:noWrap w:val="0"/>
                  <w:vAlign w:val="center"/>
                </w:tcPr>
                <w:p w14:paraId="2B060A77">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1.2</w:t>
                  </w:r>
                </w:p>
              </w:tc>
              <w:tc>
                <w:tcPr>
                  <w:tcW w:w="2303" w:type="dxa"/>
                  <w:noWrap w:val="0"/>
                  <w:vAlign w:val="center"/>
                </w:tcPr>
                <w:p w14:paraId="04232021">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78.01</w:t>
                  </w:r>
                </w:p>
              </w:tc>
            </w:tr>
            <w:tr w14:paraId="159E0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50" w:type="dxa"/>
                  <w:noWrap w:val="0"/>
                  <w:vAlign w:val="center"/>
                </w:tcPr>
                <w:p w14:paraId="31359D8D">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w:t>
                  </w:r>
                </w:p>
              </w:tc>
              <w:tc>
                <w:tcPr>
                  <w:tcW w:w="1742" w:type="dxa"/>
                  <w:noWrap w:val="0"/>
                  <w:vAlign w:val="center"/>
                </w:tcPr>
                <w:p w14:paraId="0144B9AC">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铲车</w:t>
                  </w:r>
                </w:p>
              </w:tc>
              <w:tc>
                <w:tcPr>
                  <w:tcW w:w="1225" w:type="dxa"/>
                  <w:noWrap w:val="0"/>
                  <w:vAlign w:val="center"/>
                </w:tcPr>
                <w:p w14:paraId="41A7BCC3">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-13.1</w:t>
                  </w:r>
                </w:p>
              </w:tc>
              <w:tc>
                <w:tcPr>
                  <w:tcW w:w="1195" w:type="dxa"/>
                  <w:tcBorders>
                    <w:top w:val="single" w:color="auto" w:sz="4" w:space="0"/>
                    <w:left w:val="single" w:color="auto" w:sz="4" w:space="0"/>
                    <w:bottom w:val="single" w:color="auto" w:sz="4" w:space="0"/>
                    <w:right w:val="single" w:color="auto" w:sz="4" w:space="0"/>
                  </w:tcBorders>
                  <w:noWrap w:val="0"/>
                  <w:vAlign w:val="center"/>
                </w:tcPr>
                <w:p w14:paraId="5E831674">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-81.3</w:t>
                  </w:r>
                </w:p>
              </w:tc>
              <w:tc>
                <w:tcPr>
                  <w:tcW w:w="1663" w:type="dxa"/>
                  <w:tcBorders>
                    <w:top w:val="single" w:color="auto" w:sz="4" w:space="0"/>
                    <w:left w:val="single" w:color="auto" w:sz="4" w:space="0"/>
                    <w:bottom w:val="single" w:color="auto" w:sz="4" w:space="0"/>
                    <w:right w:val="single" w:color="auto" w:sz="4" w:space="0"/>
                  </w:tcBorders>
                  <w:noWrap w:val="0"/>
                  <w:vAlign w:val="center"/>
                </w:tcPr>
                <w:p w14:paraId="5570CFA3">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1.5</w:t>
                  </w:r>
                </w:p>
              </w:tc>
              <w:tc>
                <w:tcPr>
                  <w:tcW w:w="2303" w:type="dxa"/>
                  <w:noWrap w:val="0"/>
                  <w:vAlign w:val="center"/>
                </w:tcPr>
                <w:p w14:paraId="14EDED0D">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79.77</w:t>
                  </w:r>
                </w:p>
              </w:tc>
            </w:tr>
          </w:tbl>
          <w:p w14:paraId="10566DFA">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b/>
                <w:bCs/>
                <w:color w:val="auto"/>
                <w:sz w:val="24"/>
                <w:highlight w:val="none"/>
                <w:lang w:eastAsia="zh-CN"/>
              </w:rPr>
            </w:pPr>
            <w:r>
              <w:rPr>
                <w:rFonts w:hint="default" w:ascii="Times New Roman" w:hAnsi="Times New Roman" w:cs="Times New Roman"/>
                <w:b/>
                <w:bCs/>
                <w:color w:val="auto"/>
                <w:sz w:val="24"/>
                <w:highlight w:val="none"/>
              </w:rPr>
              <w:t>3.</w:t>
            </w:r>
            <w:r>
              <w:rPr>
                <w:rFonts w:hint="default" w:ascii="Times New Roman" w:hAnsi="Times New Roman" w:cs="Times New Roman"/>
                <w:b/>
                <w:bCs/>
                <w:color w:val="auto"/>
                <w:sz w:val="24"/>
                <w:highlight w:val="none"/>
                <w:lang w:val="en-US" w:eastAsia="zh-CN"/>
              </w:rPr>
              <w:t xml:space="preserve">2 </w:t>
            </w:r>
            <w:r>
              <w:rPr>
                <w:rFonts w:hint="default" w:ascii="Times New Roman" w:hAnsi="Times New Roman" w:cs="Times New Roman"/>
                <w:b/>
                <w:bCs/>
                <w:color w:val="auto"/>
                <w:sz w:val="24"/>
                <w:highlight w:val="none"/>
              </w:rPr>
              <w:t>噪声</w:t>
            </w:r>
            <w:r>
              <w:rPr>
                <w:rFonts w:hint="default" w:ascii="Times New Roman" w:hAnsi="Times New Roman" w:cs="Times New Roman"/>
                <w:b/>
                <w:bCs/>
                <w:color w:val="auto"/>
                <w:sz w:val="24"/>
                <w:highlight w:val="none"/>
                <w:lang w:eastAsia="zh-CN"/>
              </w:rPr>
              <w:t>预测模式及达标情况分析</w:t>
            </w:r>
          </w:p>
          <w:p w14:paraId="6A5A2070">
            <w:pPr>
              <w:keepNext w:val="0"/>
              <w:keepLines w:val="0"/>
              <w:pageBreakBefore w:val="0"/>
              <w:widowControl w:val="0"/>
              <w:kinsoku/>
              <w:wordWrap/>
              <w:overflowPunct/>
              <w:topLinePunct w:val="0"/>
              <w:autoSpaceDE/>
              <w:autoSpaceDN/>
              <w:bidi w:val="0"/>
              <w:adjustRightInd w:val="0"/>
              <w:snapToGrid w:val="0"/>
              <w:spacing w:after="0" w:line="360" w:lineRule="auto"/>
              <w:ind w:right="57" w:rightChars="27" w:firstLine="480" w:firstLineChars="200"/>
              <w:jc w:val="both"/>
              <w:textAlignment w:val="auto"/>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eastAsia="宋体" w:cs="Times New Roman"/>
                <w:color w:val="auto"/>
                <w:kern w:val="2"/>
                <w:sz w:val="24"/>
                <w:szCs w:val="24"/>
                <w:highlight w:val="none"/>
              </w:rPr>
              <w:t>根据《环境影响评价技术导则-声环</w:t>
            </w:r>
            <w:r>
              <w:rPr>
                <w:rFonts w:hint="default" w:ascii="Times New Roman" w:hAnsi="Times New Roman" w:eastAsia="宋体" w:cs="Times New Roman"/>
                <w:color w:val="auto"/>
                <w:kern w:val="2"/>
                <w:sz w:val="21"/>
                <w:szCs w:val="21"/>
                <w:highlight w:val="none"/>
              </w:rPr>
              <w:t>境》（HJ2.4-20</w:t>
            </w:r>
            <w:r>
              <w:rPr>
                <w:rFonts w:hint="default" w:ascii="Times New Roman" w:hAnsi="Times New Roman" w:eastAsia="宋体" w:cs="Times New Roman"/>
                <w:color w:val="auto"/>
                <w:kern w:val="2"/>
                <w:sz w:val="21"/>
                <w:szCs w:val="21"/>
                <w:highlight w:val="none"/>
                <w:lang w:val="en-US" w:eastAsia="zh-CN"/>
              </w:rPr>
              <w:t>21</w:t>
            </w:r>
            <w:r>
              <w:rPr>
                <w:rFonts w:hint="default" w:ascii="Times New Roman" w:hAnsi="Times New Roman" w:eastAsia="宋体" w:cs="Times New Roman"/>
                <w:color w:val="auto"/>
                <w:kern w:val="2"/>
                <w:sz w:val="21"/>
                <w:szCs w:val="21"/>
                <w:highlight w:val="none"/>
              </w:rPr>
              <w:t>）对室内声源的预测方法，声源位于室内，</w:t>
            </w:r>
            <w:r>
              <w:rPr>
                <w:rFonts w:hint="default" w:ascii="Times New Roman" w:hAnsi="Times New Roman" w:eastAsia="宋体" w:cs="Times New Roman"/>
                <w:color w:val="auto"/>
                <w:kern w:val="2"/>
                <w:sz w:val="21"/>
                <w:szCs w:val="21"/>
                <w:highlight w:val="none"/>
                <w:lang w:val="en-US" w:eastAsia="zh-CN"/>
              </w:rPr>
              <w:t>室内声源可采用等效室外</w:t>
            </w:r>
            <w:r>
              <w:rPr>
                <w:rFonts w:hint="default" w:ascii="Times New Roman" w:hAnsi="Times New Roman" w:eastAsia="宋体" w:cs="Times New Roman"/>
                <w:color w:val="auto"/>
                <w:kern w:val="2"/>
                <w:sz w:val="24"/>
                <w:szCs w:val="24"/>
                <w:highlight w:val="none"/>
                <w:lang w:val="en-US" w:eastAsia="zh-CN"/>
              </w:rPr>
              <w:t>声源声功率级法进行计算。设靠近开口处 （或窗户）室内、室外某倍频带的声压级或A声级分别为Lp1和Lp2。若声源所在室内声场为近似扩散声场，则室外的倍频带声压级可按下式近似求出：</w:t>
            </w:r>
          </w:p>
          <w:p w14:paraId="6B97C227">
            <w:pPr>
              <w:widowControl w:val="0"/>
              <w:adjustRightInd/>
              <w:snapToGrid/>
              <w:spacing w:after="0" w:line="360" w:lineRule="auto"/>
              <w:ind w:right="57" w:rightChars="27" w:firstLine="480" w:firstLineChars="20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rPr>
              <w:drawing>
                <wp:inline distT="0" distB="0" distL="114300" distR="114300">
                  <wp:extent cx="1818640" cy="283210"/>
                  <wp:effectExtent l="0" t="0" r="10160" b="2540"/>
                  <wp:docPr id="125" name="图片 25" descr="1cdd2accfa121a508bdf4d9ac3d6a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25" descr="1cdd2accfa121a508bdf4d9ac3d6a52"/>
                          <pic:cNvPicPr>
                            <a:picLocks noChangeAspect="1"/>
                          </pic:cNvPicPr>
                        </pic:nvPicPr>
                        <pic:blipFill>
                          <a:blip r:embed="rId26"/>
                          <a:stretch>
                            <a:fillRect/>
                          </a:stretch>
                        </pic:blipFill>
                        <pic:spPr>
                          <a:xfrm>
                            <a:off x="0" y="0"/>
                            <a:ext cx="1818640" cy="283210"/>
                          </a:xfrm>
                          <a:prstGeom prst="rect">
                            <a:avLst/>
                          </a:prstGeom>
                          <a:noFill/>
                          <a:ln>
                            <a:noFill/>
                          </a:ln>
                        </pic:spPr>
                      </pic:pic>
                    </a:graphicData>
                  </a:graphic>
                </wp:inline>
              </w:drawing>
            </w:r>
          </w:p>
          <w:p w14:paraId="744C33D8">
            <w:pPr>
              <w:widowControl w:val="0"/>
              <w:adjustRightInd/>
              <w:snapToGrid/>
              <w:spacing w:after="0" w:line="360" w:lineRule="auto"/>
              <w:ind w:right="57" w:rightChars="27" w:firstLine="480" w:firstLineChars="200"/>
              <w:jc w:val="both"/>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eastAsia="宋体" w:cs="Times New Roman"/>
                <w:color w:val="auto"/>
                <w:kern w:val="2"/>
                <w:sz w:val="24"/>
                <w:szCs w:val="24"/>
                <w:highlight w:val="none"/>
                <w:lang w:val="en-US" w:eastAsia="zh-CN"/>
              </w:rPr>
              <w:t>式中：</w:t>
            </w:r>
          </w:p>
          <w:p w14:paraId="036F73BF">
            <w:pPr>
              <w:widowControl w:val="0"/>
              <w:adjustRightInd/>
              <w:snapToGrid/>
              <w:spacing w:after="0" w:line="360" w:lineRule="auto"/>
              <w:ind w:right="57" w:rightChars="27"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rPr>
              <w:t>L</w:t>
            </w:r>
            <w:r>
              <w:rPr>
                <w:rFonts w:hint="default" w:ascii="Times New Roman" w:hAnsi="Times New Roman" w:eastAsia="宋体" w:cs="Times New Roman"/>
                <w:color w:val="auto"/>
                <w:kern w:val="2"/>
                <w:sz w:val="24"/>
                <w:szCs w:val="24"/>
                <w:highlight w:val="none"/>
                <w:vertAlign w:val="subscript"/>
                <w:lang w:val="en-US" w:eastAsia="zh-CN"/>
              </w:rPr>
              <w:t>p1</w:t>
            </w:r>
            <w:r>
              <w:rPr>
                <w:rFonts w:hint="default" w:ascii="Times New Roman" w:hAnsi="Times New Roman" w:eastAsia="宋体" w:cs="Times New Roman"/>
                <w:color w:val="auto"/>
                <w:kern w:val="2"/>
                <w:sz w:val="24"/>
                <w:szCs w:val="24"/>
                <w:highlight w:val="none"/>
                <w:lang w:val="en-US" w:eastAsia="zh-CN"/>
              </w:rPr>
              <w:t xml:space="preserve">——靠近开口处（或窗户）室内某倍频带的声压级或A声级，dB； </w:t>
            </w:r>
          </w:p>
          <w:p w14:paraId="411FA4D3">
            <w:pPr>
              <w:widowControl w:val="0"/>
              <w:adjustRightInd/>
              <w:snapToGrid/>
              <w:spacing w:after="0" w:line="360" w:lineRule="auto"/>
              <w:ind w:right="57" w:rightChars="27"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rPr>
              <w:t>L</w:t>
            </w:r>
            <w:r>
              <w:rPr>
                <w:rFonts w:hint="default" w:ascii="Times New Roman" w:hAnsi="Times New Roman" w:eastAsia="宋体" w:cs="Times New Roman"/>
                <w:color w:val="auto"/>
                <w:kern w:val="2"/>
                <w:sz w:val="24"/>
                <w:szCs w:val="24"/>
                <w:highlight w:val="none"/>
                <w:vertAlign w:val="subscript"/>
                <w:lang w:val="en-US" w:eastAsia="zh-CN"/>
              </w:rPr>
              <w:t>p2</w:t>
            </w:r>
            <w:r>
              <w:rPr>
                <w:rFonts w:hint="default" w:ascii="Times New Roman" w:hAnsi="Times New Roman" w:eastAsia="宋体" w:cs="Times New Roman"/>
                <w:color w:val="auto"/>
                <w:kern w:val="2"/>
                <w:sz w:val="24"/>
                <w:szCs w:val="24"/>
                <w:highlight w:val="none"/>
                <w:lang w:val="en-US" w:eastAsia="zh-CN"/>
              </w:rPr>
              <w:t xml:space="preserve">——靠近开口处（或窗户）室外某倍频带的声压级或A声级，dB； </w:t>
            </w:r>
          </w:p>
          <w:p w14:paraId="6ACC74BA">
            <w:pPr>
              <w:widowControl w:val="0"/>
              <w:adjustRightInd/>
              <w:snapToGrid/>
              <w:spacing w:after="0" w:line="360" w:lineRule="auto"/>
              <w:ind w:right="57" w:rightChars="27" w:firstLine="480" w:firstLineChars="200"/>
              <w:jc w:val="both"/>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eastAsia="宋体" w:cs="Times New Roman"/>
                <w:color w:val="auto"/>
                <w:kern w:val="2"/>
                <w:sz w:val="24"/>
                <w:szCs w:val="24"/>
                <w:highlight w:val="none"/>
                <w:lang w:val="en-US" w:eastAsia="zh-CN"/>
              </w:rPr>
              <w:t xml:space="preserve">TL——隔墙（或窗户）倍频带或A声级的隔声量，dB。 </w:t>
            </w:r>
          </w:p>
          <w:p w14:paraId="760C6DA7">
            <w:pPr>
              <w:pStyle w:val="43"/>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drawing>
                <wp:inline distT="0" distB="0" distL="114300" distR="114300">
                  <wp:extent cx="2227580" cy="1079500"/>
                  <wp:effectExtent l="0" t="0" r="1270" b="6350"/>
                  <wp:docPr id="1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26"/>
                          <pic:cNvPicPr>
                            <a:picLocks noChangeAspect="1"/>
                          </pic:cNvPicPr>
                        </pic:nvPicPr>
                        <pic:blipFill>
                          <a:blip r:embed="rId27"/>
                          <a:stretch>
                            <a:fillRect/>
                          </a:stretch>
                        </pic:blipFill>
                        <pic:spPr>
                          <a:xfrm>
                            <a:off x="0" y="0"/>
                            <a:ext cx="2227580" cy="1079500"/>
                          </a:xfrm>
                          <a:prstGeom prst="rect">
                            <a:avLst/>
                          </a:prstGeom>
                          <a:noFill/>
                          <a:ln>
                            <a:noFill/>
                          </a:ln>
                        </pic:spPr>
                      </pic:pic>
                    </a:graphicData>
                  </a:graphic>
                </wp:inline>
              </w:drawing>
            </w:r>
          </w:p>
          <w:p w14:paraId="2BE6C26E">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kern w:val="0"/>
                <w:sz w:val="21"/>
                <w:szCs w:val="21"/>
                <w:highlight w:val="none"/>
                <w:lang w:val="en-US" w:eastAsia="zh-CN" w:bidi="ar"/>
              </w:rPr>
              <w:t>图4-1 室内声源等效为室外声源图例</w:t>
            </w:r>
          </w:p>
          <w:p w14:paraId="6D27AF76">
            <w:pPr>
              <w:widowControl w:val="0"/>
              <w:adjustRightInd/>
              <w:snapToGrid/>
              <w:spacing w:after="0" w:line="360" w:lineRule="auto"/>
              <w:ind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①</w:t>
            </w:r>
            <w:r>
              <w:rPr>
                <w:rFonts w:hint="default" w:ascii="Times New Roman" w:hAnsi="Times New Roman" w:eastAsia="宋体" w:cs="Times New Roman"/>
                <w:color w:val="auto"/>
                <w:kern w:val="2"/>
                <w:sz w:val="24"/>
                <w:szCs w:val="24"/>
                <w:highlight w:val="none"/>
                <w:lang w:val="en-US" w:eastAsia="zh-CN"/>
              </w:rPr>
              <w:t xml:space="preserve">计算某一室内声源靠近围护结构处产生的倍频带声压级或A声级： </w:t>
            </w:r>
          </w:p>
          <w:p w14:paraId="79BBACAA">
            <w:pPr>
              <w:widowControl w:val="0"/>
              <w:adjustRightInd/>
              <w:snapToGrid/>
              <w:spacing w:after="0" w:line="360" w:lineRule="auto"/>
              <w:ind w:right="416" w:firstLine="480" w:firstLineChars="20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position w:val="-24"/>
                <w:sz w:val="24"/>
                <w:szCs w:val="24"/>
                <w:highlight w:val="none"/>
              </w:rPr>
              <w:object>
                <v:shape id="_x0000_i1025" o:spt="75" type="#_x0000_t75" style="height:37.25pt;width:156.2pt;" o:ole="t" filled="f" o:preferrelative="t" stroked="f" coordsize="21600,21600">
                  <v:path/>
                  <v:fill on="f" focussize="0,0"/>
                  <v:stroke on="f"/>
                  <v:imagedata r:id="rId29" o:title=""/>
                  <o:lock v:ext="edit" aspectratio="t"/>
                  <w10:wrap type="none"/>
                  <w10:anchorlock/>
                </v:shape>
                <o:OLEObject Type="Embed" ProgID="Equation.DSMT4" ShapeID="_x0000_i1025" DrawAspect="Content" ObjectID="_1468075725" r:id="rId28">
                  <o:LockedField>false</o:LockedField>
                </o:OLEObject>
              </w:object>
            </w:r>
          </w:p>
          <w:p w14:paraId="42E64E01">
            <w:pPr>
              <w:keepNext w:val="0"/>
              <w:keepLines w:val="0"/>
              <w:pageBreakBefore w:val="0"/>
              <w:widowControl w:val="0"/>
              <w:kinsoku/>
              <w:wordWrap/>
              <w:overflowPunct/>
              <w:topLinePunct w:val="0"/>
              <w:autoSpaceDE/>
              <w:autoSpaceDN/>
              <w:bidi w:val="0"/>
              <w:adjustRightInd w:val="0"/>
              <w:snapToGrid w:val="0"/>
              <w:spacing w:after="0" w:line="360" w:lineRule="auto"/>
              <w:ind w:right="0" w:firstLine="480" w:firstLineChars="200"/>
              <w:jc w:val="left"/>
              <w:textAlignment w:val="auto"/>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 xml:space="preserve">式中：               </w:t>
            </w:r>
          </w:p>
          <w:p w14:paraId="0D4A7FE2">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L</w:t>
            </w:r>
            <w:r>
              <w:rPr>
                <w:rFonts w:hint="default" w:ascii="Times New Roman" w:hAnsi="Times New Roman" w:eastAsia="宋体" w:cs="Times New Roman"/>
                <w:color w:val="auto"/>
                <w:kern w:val="2"/>
                <w:sz w:val="24"/>
                <w:szCs w:val="24"/>
                <w:highlight w:val="none"/>
                <w:vertAlign w:val="subscript"/>
                <w:lang w:val="en-US" w:eastAsia="zh-CN" w:bidi="ar-SA"/>
              </w:rPr>
              <w:t>P1</w:t>
            </w:r>
            <w:r>
              <w:rPr>
                <w:rFonts w:hint="default" w:ascii="Times New Roman" w:hAnsi="Times New Roman" w:eastAsia="宋体" w:cs="Times New Roman"/>
                <w:color w:val="auto"/>
                <w:kern w:val="2"/>
                <w:sz w:val="24"/>
                <w:szCs w:val="24"/>
                <w:highlight w:val="none"/>
                <w:lang w:val="en-US" w:eastAsia="zh-CN" w:bidi="ar-SA"/>
              </w:rPr>
              <w:t>－靠近开口处（或窗户）室内某倍频带的声压级或A声级，dB；</w:t>
            </w:r>
          </w:p>
          <w:p w14:paraId="370CCBC7">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cs="Times New Roman"/>
                <w:color w:val="auto"/>
                <w:highlight w:val="none"/>
                <w:lang w:val="en-US" w:eastAsia="zh-CN"/>
              </w:rPr>
            </w:pPr>
            <w:r>
              <w:rPr>
                <w:rFonts w:hint="default" w:ascii="Times New Roman" w:hAnsi="Times New Roman" w:eastAsia="宋体" w:cs="Times New Roman"/>
                <w:color w:val="auto"/>
                <w:kern w:val="2"/>
                <w:sz w:val="24"/>
                <w:szCs w:val="24"/>
                <w:highlight w:val="none"/>
                <w:lang w:val="en-US" w:eastAsia="zh-CN" w:bidi="ar-SA"/>
              </w:rPr>
              <w:t>Lw－点声源声功率级（A计权或倍频带），dB；</w:t>
            </w:r>
          </w:p>
          <w:p w14:paraId="75AEC2E8">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Q－指向性因数：通常对无指向性声源，当声源放在房间中心时，Q=1；当放在一面墙的中心时，Q=2；当放在两面墙夹角时，Q=4；当放在三面墙夹角处时，Q=8。</w:t>
            </w:r>
          </w:p>
          <w:p w14:paraId="6FCCC2CB">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R－房间常数：R=Sa/(1-a)，S为房间内表面面积，m</w:t>
            </w:r>
            <w:r>
              <w:rPr>
                <w:rFonts w:hint="default" w:ascii="Times New Roman" w:hAnsi="Times New Roman" w:eastAsia="宋体" w:cs="Times New Roman"/>
                <w:color w:val="auto"/>
                <w:kern w:val="2"/>
                <w:sz w:val="24"/>
                <w:szCs w:val="24"/>
                <w:highlight w:val="none"/>
                <w:vertAlign w:val="superscript"/>
                <w:lang w:val="en-US" w:eastAsia="zh-CN" w:bidi="ar-SA"/>
              </w:rPr>
              <w:t>2</w:t>
            </w:r>
            <w:r>
              <w:rPr>
                <w:rFonts w:hint="default" w:ascii="Times New Roman" w:hAnsi="Times New Roman" w:eastAsia="宋体" w:cs="Times New Roman"/>
                <w:color w:val="auto"/>
                <w:kern w:val="2"/>
                <w:sz w:val="24"/>
                <w:szCs w:val="24"/>
                <w:highlight w:val="none"/>
                <w:lang w:val="en-US" w:eastAsia="zh-CN" w:bidi="ar-SA"/>
              </w:rPr>
              <w:t>；a为平均吸声系数。</w:t>
            </w:r>
          </w:p>
          <w:p w14:paraId="1AF929ED">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r－声源到靠近围护结构某点处的距离，m。</w:t>
            </w:r>
          </w:p>
          <w:p w14:paraId="1ED2740B">
            <w:pPr>
              <w:keepNext w:val="0"/>
              <w:keepLines w:val="0"/>
              <w:pageBreakBefore w:val="0"/>
              <w:widowControl/>
              <w:kinsoku/>
              <w:wordWrap/>
              <w:overflowPunct/>
              <w:topLinePunct w:val="0"/>
              <w:autoSpaceDE/>
              <w:autoSpaceDN/>
              <w:bidi w:val="0"/>
              <w:adjustRightInd w:val="0"/>
              <w:snapToGrid w:val="0"/>
              <w:spacing w:after="0" w:line="360" w:lineRule="auto"/>
              <w:ind w:right="113" w:firstLine="480" w:firstLineChars="200"/>
              <w:jc w:val="both"/>
              <w:textAlignment w:val="auto"/>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4"/>
                <w:szCs w:val="24"/>
                <w:highlight w:val="none"/>
                <w:lang w:val="en-US" w:eastAsia="zh-CN" w:bidi="ar-SA"/>
              </w:rPr>
              <w:t>计算出所有室内声源在围护结构处产生的i倍频带叠加声压级：</w:t>
            </w:r>
          </w:p>
          <w:p w14:paraId="19368253">
            <w:pPr>
              <w:widowControl/>
              <w:snapToGrid w:val="0"/>
              <w:spacing w:before="60" w:after="0" w:line="360" w:lineRule="auto"/>
              <w:ind w:right="113" w:firstLine="480" w:firstLineChars="200"/>
              <w:jc w:val="center"/>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4"/>
                <w:szCs w:val="24"/>
                <w:highlight w:val="none"/>
                <w:lang w:val="en-US" w:eastAsia="zh-CN" w:bidi="ar-SA"/>
              </w:rPr>
              <w:drawing>
                <wp:inline distT="0" distB="0" distL="114300" distR="114300">
                  <wp:extent cx="1814195" cy="529590"/>
                  <wp:effectExtent l="0" t="0" r="14605" b="3810"/>
                  <wp:docPr id="127" name="图片 28" descr="a2f76f25173b934c3e320706ead2a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28" descr="a2f76f25173b934c3e320706ead2a23"/>
                          <pic:cNvPicPr>
                            <a:picLocks noChangeAspect="1"/>
                          </pic:cNvPicPr>
                        </pic:nvPicPr>
                        <pic:blipFill>
                          <a:blip r:embed="rId30"/>
                          <a:stretch>
                            <a:fillRect/>
                          </a:stretch>
                        </pic:blipFill>
                        <pic:spPr>
                          <a:xfrm>
                            <a:off x="0" y="0"/>
                            <a:ext cx="1814195" cy="529590"/>
                          </a:xfrm>
                          <a:prstGeom prst="rect">
                            <a:avLst/>
                          </a:prstGeom>
                          <a:noFill/>
                          <a:ln>
                            <a:noFill/>
                          </a:ln>
                        </pic:spPr>
                      </pic:pic>
                    </a:graphicData>
                  </a:graphic>
                </wp:inline>
              </w:drawing>
            </w:r>
          </w:p>
          <w:p w14:paraId="0291856C">
            <w:pPr>
              <w:keepNext w:val="0"/>
              <w:keepLines w:val="0"/>
              <w:pageBreakBefore w:val="0"/>
              <w:widowControl/>
              <w:kinsoku/>
              <w:wordWrap/>
              <w:overflowPunct/>
              <w:topLinePunct w:val="0"/>
              <w:autoSpaceDE/>
              <w:autoSpaceDN/>
              <w:bidi w:val="0"/>
              <w:adjustRightInd w:val="0"/>
              <w:snapToGrid w:val="0"/>
              <w:spacing w:after="0" w:line="360" w:lineRule="auto"/>
              <w:ind w:right="113" w:firstLine="480" w:firstLineChars="200"/>
              <w:jc w:val="both"/>
              <w:textAlignment w:val="auto"/>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4"/>
                <w:szCs w:val="24"/>
                <w:highlight w:val="none"/>
                <w:lang w:val="en-US" w:eastAsia="zh-CN" w:bidi="ar-SA"/>
              </w:rPr>
              <w:t xml:space="preserve">式中：                </w:t>
            </w:r>
          </w:p>
          <w:p w14:paraId="6457AE3A">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Times New Roman" w:cs="Times New Roman"/>
                <w:color w:val="auto"/>
                <w:kern w:val="2"/>
                <w:sz w:val="24"/>
                <w:szCs w:val="24"/>
                <w:highlight w:val="none"/>
                <w:lang w:val="en-US" w:eastAsia="zh-CN" w:bidi="ar-SA"/>
              </w:rPr>
              <w:t>L</w:t>
            </w:r>
            <w:r>
              <w:rPr>
                <w:rFonts w:hint="default" w:ascii="Times New Roman" w:hAnsi="Times New Roman" w:eastAsia="Times New Roman" w:cs="Times New Roman"/>
                <w:color w:val="auto"/>
                <w:kern w:val="2"/>
                <w:sz w:val="24"/>
                <w:szCs w:val="24"/>
                <w:highlight w:val="none"/>
                <w:vertAlign w:val="subscript"/>
                <w:lang w:val="en-US" w:eastAsia="zh-CN" w:bidi="ar-SA"/>
              </w:rPr>
              <w:t>p</w:t>
            </w:r>
            <w:r>
              <w:rPr>
                <w:rFonts w:hint="default" w:ascii="Times New Roman" w:hAnsi="Times New Roman" w:eastAsia="Times New Roman" w:cs="Times New Roman"/>
                <w:color w:val="auto"/>
                <w:kern w:val="2"/>
                <w:position w:val="-2"/>
                <w:sz w:val="24"/>
                <w:szCs w:val="24"/>
                <w:highlight w:val="none"/>
                <w:vertAlign w:val="subscript"/>
                <w:lang w:val="en-US" w:eastAsia="zh-CN" w:bidi="ar-SA"/>
              </w:rPr>
              <w:t>1i</w:t>
            </w:r>
            <w:r>
              <w:rPr>
                <w:rFonts w:hint="default" w:ascii="Times New Roman" w:hAnsi="Times New Roman" w:eastAsia="Times New Roman" w:cs="Times New Roman"/>
                <w:color w:val="auto"/>
                <w:kern w:val="2"/>
                <w:sz w:val="24"/>
                <w:szCs w:val="24"/>
                <w:highlight w:val="none"/>
                <w:lang w:val="en-US" w:eastAsia="zh-CN" w:bidi="ar-SA"/>
              </w:rPr>
              <w:t>(T)</w:t>
            </w:r>
            <w:r>
              <w:rPr>
                <w:rFonts w:hint="default" w:ascii="Times New Roman" w:hAnsi="Times New Roman" w:eastAsia="宋体" w:cs="Times New Roman"/>
                <w:color w:val="auto"/>
                <w:kern w:val="2"/>
                <w:sz w:val="24"/>
                <w:szCs w:val="24"/>
                <w:highlight w:val="none"/>
                <w:lang w:val="en-US" w:eastAsia="zh-CN" w:bidi="ar-SA"/>
              </w:rPr>
              <w:t>－靠近围护结构处室内N个声源i倍频带的叠加声压级，dB；</w:t>
            </w:r>
          </w:p>
          <w:p w14:paraId="4024B5B4">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outlineLvl w:val="0"/>
              <w:rPr>
                <w:rFonts w:hint="default" w:ascii="Times New Roman" w:hAnsi="Times New Roman" w:eastAsia="宋体" w:cs="Times New Roman"/>
                <w:color w:val="auto"/>
                <w:kern w:val="2"/>
                <w:sz w:val="24"/>
                <w:szCs w:val="24"/>
                <w:highlight w:val="none"/>
                <w:lang w:val="en-US" w:eastAsia="zh-CN" w:bidi="ar-SA"/>
              </w:rPr>
            </w:pPr>
            <w:bookmarkStart w:id="8" w:name="_Toc2658"/>
            <w:bookmarkStart w:id="9" w:name="_Toc5088"/>
            <w:bookmarkStart w:id="10" w:name="_Toc20423"/>
            <w:r>
              <w:rPr>
                <w:rFonts w:hint="default" w:ascii="Times New Roman" w:hAnsi="Times New Roman" w:eastAsia="Times New Roman" w:cs="Times New Roman"/>
                <w:color w:val="auto"/>
                <w:kern w:val="2"/>
                <w:sz w:val="24"/>
                <w:szCs w:val="24"/>
                <w:highlight w:val="none"/>
                <w:lang w:val="en-US" w:eastAsia="zh-CN" w:bidi="ar-SA"/>
              </w:rPr>
              <w:t>L</w:t>
            </w:r>
            <w:r>
              <w:rPr>
                <w:rFonts w:hint="default" w:ascii="Times New Roman" w:hAnsi="Times New Roman" w:eastAsia="Times New Roman" w:cs="Times New Roman"/>
                <w:color w:val="auto"/>
                <w:kern w:val="2"/>
                <w:sz w:val="24"/>
                <w:szCs w:val="24"/>
                <w:highlight w:val="none"/>
                <w:vertAlign w:val="subscript"/>
                <w:lang w:val="en-US" w:eastAsia="zh-CN" w:bidi="ar-SA"/>
              </w:rPr>
              <w:t>p</w:t>
            </w:r>
            <w:r>
              <w:rPr>
                <w:rFonts w:hint="default" w:ascii="Times New Roman" w:hAnsi="Times New Roman" w:eastAsia="Times New Roman" w:cs="Times New Roman"/>
                <w:color w:val="auto"/>
                <w:kern w:val="2"/>
                <w:position w:val="-2"/>
                <w:sz w:val="24"/>
                <w:szCs w:val="24"/>
                <w:highlight w:val="none"/>
                <w:vertAlign w:val="subscript"/>
                <w:lang w:val="en-US" w:eastAsia="zh-CN" w:bidi="ar-SA"/>
              </w:rPr>
              <w:t>1j</w:t>
            </w:r>
            <w:r>
              <w:rPr>
                <w:rFonts w:hint="default" w:ascii="Times New Roman" w:hAnsi="Times New Roman" w:eastAsia="宋体" w:cs="Times New Roman"/>
                <w:color w:val="auto"/>
                <w:kern w:val="2"/>
                <w:sz w:val="24"/>
                <w:szCs w:val="24"/>
                <w:highlight w:val="none"/>
                <w:lang w:val="en-US" w:eastAsia="zh-CN" w:bidi="ar-SA"/>
              </w:rPr>
              <w:t>－室内j声源i倍频带的声压级，dB；</w:t>
            </w:r>
            <w:bookmarkEnd w:id="8"/>
            <w:bookmarkEnd w:id="9"/>
            <w:bookmarkEnd w:id="10"/>
          </w:p>
          <w:p w14:paraId="3CD6FE12">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outlineLvl w:val="0"/>
              <w:rPr>
                <w:rFonts w:hint="default" w:ascii="Times New Roman" w:hAnsi="Times New Roman" w:eastAsia="宋体" w:cs="Times New Roman"/>
                <w:color w:val="auto"/>
                <w:kern w:val="2"/>
                <w:sz w:val="24"/>
                <w:szCs w:val="24"/>
                <w:highlight w:val="none"/>
                <w:lang w:val="en-US" w:eastAsia="zh-CN" w:bidi="ar-SA"/>
              </w:rPr>
            </w:pPr>
            <w:bookmarkStart w:id="11" w:name="_Toc22117"/>
            <w:bookmarkStart w:id="12" w:name="_Toc6606"/>
            <w:bookmarkStart w:id="13" w:name="_Toc5303"/>
            <w:r>
              <w:rPr>
                <w:rFonts w:hint="default" w:ascii="Times New Roman" w:hAnsi="Times New Roman" w:eastAsia="宋体" w:cs="Times New Roman"/>
                <w:color w:val="auto"/>
                <w:kern w:val="2"/>
                <w:sz w:val="24"/>
                <w:szCs w:val="24"/>
                <w:highlight w:val="none"/>
                <w:lang w:val="en-US" w:eastAsia="zh-CN" w:bidi="ar-SA"/>
              </w:rPr>
              <w:t>N－室内声源总数。</w:t>
            </w:r>
            <w:bookmarkEnd w:id="11"/>
            <w:bookmarkEnd w:id="12"/>
            <w:bookmarkEnd w:id="13"/>
            <w:r>
              <w:rPr>
                <w:rFonts w:hint="default" w:ascii="Times New Roman" w:hAnsi="Times New Roman" w:eastAsia="宋体" w:cs="Times New Roman"/>
                <w:color w:val="auto"/>
                <w:kern w:val="2"/>
                <w:sz w:val="24"/>
                <w:szCs w:val="24"/>
                <w:highlight w:val="none"/>
                <w:lang w:val="en-US" w:eastAsia="zh-CN" w:bidi="ar-SA"/>
              </w:rPr>
              <w:t xml:space="preserve"> </w:t>
            </w:r>
          </w:p>
          <w:p w14:paraId="2E07B1E7">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outlineLvl w:val="0"/>
              <w:rPr>
                <w:rFonts w:hint="default" w:ascii="Times New Roman" w:hAnsi="Times New Roman" w:eastAsia="宋体" w:cs="Times New Roman"/>
                <w:color w:val="auto"/>
                <w:kern w:val="2"/>
                <w:sz w:val="24"/>
                <w:szCs w:val="24"/>
                <w:highlight w:val="none"/>
                <w:lang w:val="en-US" w:eastAsia="zh-CN" w:bidi="ar-SA"/>
              </w:rPr>
            </w:pPr>
            <w:bookmarkStart w:id="14" w:name="_Toc9663"/>
            <w:bookmarkStart w:id="15" w:name="_Toc6233"/>
            <w:bookmarkStart w:id="16" w:name="_Toc26907"/>
            <w:r>
              <w:rPr>
                <w:rFonts w:hint="default" w:ascii="Times New Roman" w:hAnsi="Times New Roman" w:eastAsia="宋体" w:cs="Times New Roman"/>
                <w:color w:val="auto"/>
                <w:kern w:val="2"/>
                <w:sz w:val="24"/>
                <w:szCs w:val="24"/>
                <w:highlight w:val="none"/>
                <w:lang w:val="en-US" w:eastAsia="zh-CN" w:bidi="ar-SA"/>
              </w:rPr>
              <w:t>项目噪声预测结果见下表：</w:t>
            </w:r>
          </w:p>
          <w:bookmarkEnd w:id="14"/>
          <w:bookmarkEnd w:id="15"/>
          <w:bookmarkEnd w:id="16"/>
          <w:p w14:paraId="361F24C0">
            <w:pPr>
              <w:adjustRightInd w:val="0"/>
              <w:snapToGrid w:val="0"/>
              <w:spacing w:line="240" w:lineRule="auto"/>
              <w:ind w:firstLine="422"/>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表</w:t>
            </w:r>
            <w:r>
              <w:rPr>
                <w:rFonts w:hint="default" w:ascii="Times New Roman" w:hAnsi="Times New Roman" w:cs="Times New Roman"/>
                <w:b/>
                <w:bCs/>
                <w:color w:val="auto"/>
                <w:sz w:val="21"/>
                <w:szCs w:val="21"/>
                <w:highlight w:val="none"/>
                <w:lang w:val="en-US" w:eastAsia="zh-CN"/>
              </w:rPr>
              <w:t>4</w:t>
            </w:r>
            <w:r>
              <w:rPr>
                <w:rFonts w:hint="default" w:ascii="Times New Roman" w:hAnsi="Times New Roman" w:cs="Times New Roman"/>
                <w:b/>
                <w:bCs/>
                <w:color w:val="auto"/>
                <w:sz w:val="21"/>
                <w:szCs w:val="21"/>
                <w:highlight w:val="none"/>
              </w:rPr>
              <w:t>-</w:t>
            </w:r>
            <w:r>
              <w:rPr>
                <w:rFonts w:hint="default" w:ascii="Times New Roman" w:hAnsi="Times New Roman" w:cs="Times New Roman"/>
                <w:b/>
                <w:bCs/>
                <w:color w:val="auto"/>
                <w:sz w:val="21"/>
                <w:szCs w:val="21"/>
                <w:highlight w:val="none"/>
                <w:lang w:val="en-US" w:eastAsia="zh-CN"/>
              </w:rPr>
              <w:t xml:space="preserve">19 </w:t>
            </w:r>
            <w:r>
              <w:rPr>
                <w:rFonts w:hint="default" w:ascii="Times New Roman" w:hAnsi="Times New Roman" w:cs="Times New Roman"/>
                <w:b/>
                <w:bCs/>
                <w:color w:val="auto"/>
                <w:sz w:val="21"/>
                <w:szCs w:val="21"/>
                <w:highlight w:val="none"/>
              </w:rPr>
              <w:t>项目厂界</w:t>
            </w:r>
            <w:r>
              <w:rPr>
                <w:rFonts w:hint="default" w:ascii="Times New Roman" w:hAnsi="Times New Roman" w:cs="Times New Roman"/>
                <w:b/>
                <w:bCs/>
                <w:color w:val="auto"/>
                <w:sz w:val="21"/>
                <w:szCs w:val="21"/>
                <w:highlight w:val="none"/>
                <w:lang w:val="en-US" w:eastAsia="zh-CN"/>
              </w:rPr>
              <w:t>噪声贡献值</w:t>
            </w:r>
            <w:r>
              <w:rPr>
                <w:rFonts w:hint="default" w:ascii="Times New Roman" w:hAnsi="Times New Roman" w:cs="Times New Roman"/>
                <w:b/>
                <w:bCs/>
                <w:color w:val="auto"/>
                <w:sz w:val="21"/>
                <w:szCs w:val="21"/>
                <w:highlight w:val="none"/>
              </w:rPr>
              <w:t>预测结果</w:t>
            </w:r>
            <w:r>
              <w:rPr>
                <w:rFonts w:hint="default" w:ascii="Times New Roman" w:hAnsi="Times New Roman" w:cs="Times New Roman"/>
                <w:b/>
                <w:bCs/>
                <w:color w:val="auto"/>
                <w:sz w:val="21"/>
                <w:szCs w:val="21"/>
                <w:highlight w:val="none"/>
                <w:lang w:val="en-US" w:eastAsia="zh-CN"/>
              </w:rPr>
              <w:t xml:space="preserve"> </w:t>
            </w:r>
            <w:r>
              <w:rPr>
                <w:rFonts w:hint="default" w:ascii="Times New Roman" w:hAnsi="Times New Roman" w:cs="Times New Roman"/>
                <w:b/>
                <w:bCs/>
                <w:color w:val="auto"/>
                <w:sz w:val="21"/>
                <w:szCs w:val="21"/>
                <w:highlight w:val="none"/>
              </w:rPr>
              <w:t>单位：dB(A)</w:t>
            </w:r>
          </w:p>
          <w:tbl>
            <w:tblPr>
              <w:tblStyle w:val="35"/>
              <w:tblW w:w="91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1143"/>
              <w:gridCol w:w="1143"/>
              <w:gridCol w:w="1143"/>
              <w:gridCol w:w="1144"/>
              <w:gridCol w:w="1144"/>
              <w:gridCol w:w="1144"/>
              <w:gridCol w:w="1144"/>
            </w:tblGrid>
            <w:tr w14:paraId="306B8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3" w:type="dxa"/>
                  <w:vMerge w:val="restart"/>
                  <w:vAlign w:val="center"/>
                </w:tcPr>
                <w:p w14:paraId="2A5DFB21">
                  <w:pPr>
                    <w:adjustRightInd w:val="0"/>
                    <w:snapToGrid w:val="0"/>
                    <w:spacing w:line="240" w:lineRule="auto"/>
                    <w:jc w:val="center"/>
                    <w:rPr>
                      <w:rFonts w:hint="default" w:ascii="Times New Roman" w:hAnsi="Times New Roman" w:cs="Times New Roman"/>
                      <w:b/>
                      <w:bCs/>
                      <w:color w:val="auto"/>
                      <w:sz w:val="21"/>
                      <w:szCs w:val="21"/>
                      <w:highlight w:val="none"/>
                      <w:vertAlign w:val="baseline"/>
                    </w:rPr>
                  </w:pPr>
                  <w:r>
                    <w:rPr>
                      <w:rFonts w:hint="default" w:ascii="Times New Roman" w:hAnsi="Times New Roman" w:cs="Times New Roman"/>
                      <w:b/>
                      <w:bCs/>
                      <w:color w:val="auto"/>
                      <w:sz w:val="21"/>
                      <w:szCs w:val="21"/>
                      <w:highlight w:val="none"/>
                    </w:rPr>
                    <w:t>预测方位</w:t>
                  </w:r>
                </w:p>
              </w:tc>
              <w:tc>
                <w:tcPr>
                  <w:tcW w:w="3429" w:type="dxa"/>
                  <w:gridSpan w:val="3"/>
                  <w:vAlign w:val="center"/>
                </w:tcPr>
                <w:p w14:paraId="385F5E6C">
                  <w:pPr>
                    <w:adjustRightInd w:val="0"/>
                    <w:snapToGrid w:val="0"/>
                    <w:spacing w:line="240" w:lineRule="auto"/>
                    <w:jc w:val="center"/>
                    <w:rPr>
                      <w:rFonts w:hint="default" w:ascii="Times New Roman" w:hAnsi="Times New Roman" w:cs="Times New Roman"/>
                      <w:b/>
                      <w:bCs/>
                      <w:color w:val="auto"/>
                      <w:sz w:val="21"/>
                      <w:szCs w:val="21"/>
                      <w:highlight w:val="none"/>
                      <w:vertAlign w:val="baseline"/>
                    </w:rPr>
                  </w:pPr>
                  <w:r>
                    <w:rPr>
                      <w:rFonts w:hint="default" w:ascii="Times New Roman" w:hAnsi="Times New Roman" w:cs="Times New Roman"/>
                      <w:b/>
                      <w:bCs/>
                      <w:color w:val="auto"/>
                      <w:sz w:val="21"/>
                      <w:szCs w:val="21"/>
                      <w:highlight w:val="none"/>
                      <w:lang w:val="en-US" w:eastAsia="zh-CN"/>
                    </w:rPr>
                    <w:t>最大值点</w:t>
                  </w:r>
                  <w:r>
                    <w:rPr>
                      <w:rFonts w:hint="default" w:ascii="Times New Roman" w:hAnsi="Times New Roman" w:cs="Times New Roman"/>
                      <w:b/>
                      <w:bCs/>
                      <w:color w:val="auto"/>
                      <w:sz w:val="21"/>
                      <w:szCs w:val="21"/>
                      <w:highlight w:val="none"/>
                    </w:rPr>
                    <w:t>空间相对位置/m</w:t>
                  </w:r>
                </w:p>
              </w:tc>
              <w:tc>
                <w:tcPr>
                  <w:tcW w:w="1144" w:type="dxa"/>
                  <w:vMerge w:val="restart"/>
                  <w:vAlign w:val="center"/>
                </w:tcPr>
                <w:p w14:paraId="5310E4CE">
                  <w:pPr>
                    <w:adjustRightInd w:val="0"/>
                    <w:snapToGrid w:val="0"/>
                    <w:spacing w:line="240" w:lineRule="auto"/>
                    <w:jc w:val="center"/>
                    <w:rPr>
                      <w:rFonts w:hint="default" w:ascii="Times New Roman" w:hAnsi="Times New Roman" w:cs="Times New Roman"/>
                      <w:b/>
                      <w:bCs/>
                      <w:color w:val="auto"/>
                      <w:sz w:val="21"/>
                      <w:szCs w:val="21"/>
                      <w:highlight w:val="none"/>
                      <w:vertAlign w:val="baseline"/>
                    </w:rPr>
                  </w:pPr>
                  <w:r>
                    <w:rPr>
                      <w:rFonts w:hint="default" w:ascii="Times New Roman" w:hAnsi="Times New Roman" w:cs="Times New Roman"/>
                      <w:b/>
                      <w:bCs/>
                      <w:color w:val="auto"/>
                      <w:sz w:val="21"/>
                      <w:szCs w:val="21"/>
                      <w:highlight w:val="none"/>
                    </w:rPr>
                    <w:t>时段</w:t>
                  </w:r>
                </w:p>
              </w:tc>
              <w:tc>
                <w:tcPr>
                  <w:tcW w:w="1144" w:type="dxa"/>
                  <w:vMerge w:val="restart"/>
                  <w:vAlign w:val="center"/>
                </w:tcPr>
                <w:p w14:paraId="1C44713C">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center"/>
                    <w:rPr>
                      <w:rFonts w:hint="default" w:ascii="Times New Roman" w:hAnsi="Times New Roman" w:cs="Times New Roman"/>
                      <w:b/>
                      <w:bCs/>
                      <w:color w:val="auto"/>
                      <w:sz w:val="21"/>
                      <w:szCs w:val="21"/>
                      <w:highlight w:val="none"/>
                      <w:vertAlign w:val="baseline"/>
                    </w:rPr>
                  </w:pPr>
                  <w:r>
                    <w:rPr>
                      <w:rFonts w:hint="default" w:ascii="Times New Roman" w:hAnsi="Times New Roman" w:cs="Times New Roman"/>
                      <w:b/>
                      <w:bCs/>
                      <w:color w:val="auto"/>
                      <w:sz w:val="21"/>
                      <w:szCs w:val="21"/>
                      <w:highlight w:val="none"/>
                    </w:rPr>
                    <w:t>贡献值（dB(A)）</w:t>
                  </w:r>
                </w:p>
              </w:tc>
              <w:tc>
                <w:tcPr>
                  <w:tcW w:w="1144" w:type="dxa"/>
                  <w:vMerge w:val="restart"/>
                  <w:vAlign w:val="center"/>
                </w:tcPr>
                <w:p w14:paraId="642947B9">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center"/>
                    <w:rPr>
                      <w:rFonts w:hint="default" w:ascii="Times New Roman" w:hAnsi="Times New Roman" w:cs="Times New Roman"/>
                      <w:b/>
                      <w:bCs/>
                      <w:color w:val="auto"/>
                      <w:sz w:val="21"/>
                      <w:szCs w:val="21"/>
                      <w:highlight w:val="none"/>
                      <w:vertAlign w:val="baseline"/>
                    </w:rPr>
                  </w:pPr>
                  <w:r>
                    <w:rPr>
                      <w:rFonts w:hint="default" w:ascii="Times New Roman" w:hAnsi="Times New Roman" w:cs="Times New Roman"/>
                      <w:b/>
                      <w:bCs/>
                      <w:color w:val="auto"/>
                      <w:sz w:val="21"/>
                      <w:szCs w:val="21"/>
                      <w:highlight w:val="none"/>
                    </w:rPr>
                    <w:t>标准限值（dB(A)）</w:t>
                  </w:r>
                </w:p>
              </w:tc>
              <w:tc>
                <w:tcPr>
                  <w:tcW w:w="1144" w:type="dxa"/>
                  <w:vMerge w:val="restart"/>
                  <w:vAlign w:val="center"/>
                </w:tcPr>
                <w:p w14:paraId="3B9A8910">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center"/>
                    <w:rPr>
                      <w:rFonts w:hint="default" w:ascii="Times New Roman" w:hAnsi="Times New Roman" w:cs="Times New Roman"/>
                      <w:b/>
                      <w:bCs/>
                      <w:color w:val="auto"/>
                      <w:sz w:val="21"/>
                      <w:szCs w:val="21"/>
                      <w:highlight w:val="none"/>
                      <w:vertAlign w:val="baseline"/>
                    </w:rPr>
                  </w:pPr>
                  <w:r>
                    <w:rPr>
                      <w:rFonts w:hint="default" w:ascii="Times New Roman" w:hAnsi="Times New Roman" w:cs="Times New Roman"/>
                      <w:b/>
                      <w:bCs/>
                      <w:color w:val="auto"/>
                      <w:sz w:val="21"/>
                      <w:szCs w:val="21"/>
                      <w:highlight w:val="none"/>
                    </w:rPr>
                    <w:t>达标情况</w:t>
                  </w:r>
                </w:p>
              </w:tc>
            </w:tr>
            <w:tr w14:paraId="53E69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3" w:type="dxa"/>
                  <w:vMerge w:val="continue"/>
                  <w:vAlign w:val="center"/>
                </w:tcPr>
                <w:p w14:paraId="012316FC">
                  <w:pPr>
                    <w:adjustRightInd w:val="0"/>
                    <w:snapToGrid w:val="0"/>
                    <w:spacing w:line="240" w:lineRule="auto"/>
                    <w:jc w:val="center"/>
                    <w:rPr>
                      <w:rFonts w:hint="default" w:ascii="Times New Roman" w:hAnsi="Times New Roman" w:cs="Times New Roman"/>
                      <w:b/>
                      <w:bCs/>
                      <w:color w:val="auto"/>
                      <w:sz w:val="21"/>
                      <w:szCs w:val="21"/>
                      <w:highlight w:val="none"/>
                      <w:vertAlign w:val="baseline"/>
                    </w:rPr>
                  </w:pPr>
                </w:p>
              </w:tc>
              <w:tc>
                <w:tcPr>
                  <w:tcW w:w="1143" w:type="dxa"/>
                  <w:vAlign w:val="center"/>
                </w:tcPr>
                <w:p w14:paraId="57D08AE4">
                  <w:pPr>
                    <w:keepNext w:val="0"/>
                    <w:keepLines w:val="0"/>
                    <w:pageBreakBefore w:val="0"/>
                    <w:widowControl w:val="0"/>
                    <w:kinsoku w:val="0"/>
                    <w:wordWrap/>
                    <w:overflowPunct w:val="0"/>
                    <w:topLinePunct w:val="0"/>
                    <w:autoSpaceDE w:val="0"/>
                    <w:autoSpaceDN w:val="0"/>
                    <w:bidi w:val="0"/>
                    <w:adjustRightInd w:val="0"/>
                    <w:snapToGrid w:val="0"/>
                    <w:jc w:val="center"/>
                    <w:textAlignment w:val="center"/>
                    <w:rPr>
                      <w:rFonts w:hint="default" w:ascii="Times New Roman" w:hAnsi="Times New Roman" w:cs="Times New Roman"/>
                      <w:b/>
                      <w:bCs/>
                      <w:color w:val="auto"/>
                      <w:sz w:val="21"/>
                      <w:szCs w:val="21"/>
                      <w:highlight w:val="none"/>
                      <w:vertAlign w:val="baseline"/>
                    </w:rPr>
                  </w:pPr>
                  <w:r>
                    <w:rPr>
                      <w:rFonts w:hint="default" w:ascii="Times New Roman" w:hAnsi="Times New Roman" w:cs="Times New Roman"/>
                      <w:color w:val="auto"/>
                      <w:sz w:val="21"/>
                      <w:szCs w:val="21"/>
                      <w:highlight w:val="none"/>
                      <w:lang w:eastAsia="zh-CN"/>
                    </w:rPr>
                    <w:t>X</w:t>
                  </w:r>
                </w:p>
              </w:tc>
              <w:tc>
                <w:tcPr>
                  <w:tcW w:w="1143" w:type="dxa"/>
                  <w:vAlign w:val="center"/>
                </w:tcPr>
                <w:p w14:paraId="5BD33D3D">
                  <w:pPr>
                    <w:keepNext w:val="0"/>
                    <w:keepLines w:val="0"/>
                    <w:pageBreakBefore w:val="0"/>
                    <w:widowControl w:val="0"/>
                    <w:kinsoku w:val="0"/>
                    <w:wordWrap/>
                    <w:overflowPunct w:val="0"/>
                    <w:topLinePunct w:val="0"/>
                    <w:autoSpaceDE w:val="0"/>
                    <w:autoSpaceDN w:val="0"/>
                    <w:bidi w:val="0"/>
                    <w:adjustRightInd w:val="0"/>
                    <w:snapToGrid w:val="0"/>
                    <w:jc w:val="center"/>
                    <w:textAlignment w:val="center"/>
                    <w:rPr>
                      <w:rFonts w:hint="default" w:ascii="Times New Roman" w:hAnsi="Times New Roman" w:cs="Times New Roman"/>
                      <w:b/>
                      <w:bCs/>
                      <w:color w:val="auto"/>
                      <w:sz w:val="21"/>
                      <w:szCs w:val="21"/>
                      <w:highlight w:val="none"/>
                      <w:vertAlign w:val="baseline"/>
                    </w:rPr>
                  </w:pPr>
                  <w:r>
                    <w:rPr>
                      <w:rFonts w:hint="default" w:ascii="Times New Roman" w:hAnsi="Times New Roman" w:eastAsia="宋体" w:cs="Times New Roman"/>
                      <w:color w:val="auto"/>
                      <w:sz w:val="21"/>
                      <w:szCs w:val="21"/>
                      <w:highlight w:val="none"/>
                      <w:lang w:eastAsia="zh-CN"/>
                    </w:rPr>
                    <w:t>Y</w:t>
                  </w:r>
                </w:p>
              </w:tc>
              <w:tc>
                <w:tcPr>
                  <w:tcW w:w="1143" w:type="dxa"/>
                  <w:vAlign w:val="center"/>
                </w:tcPr>
                <w:p w14:paraId="32E8971B">
                  <w:pPr>
                    <w:keepNext w:val="0"/>
                    <w:keepLines w:val="0"/>
                    <w:pageBreakBefore w:val="0"/>
                    <w:widowControl w:val="0"/>
                    <w:kinsoku w:val="0"/>
                    <w:wordWrap/>
                    <w:overflowPunct w:val="0"/>
                    <w:topLinePunct w:val="0"/>
                    <w:autoSpaceDE w:val="0"/>
                    <w:autoSpaceDN w:val="0"/>
                    <w:bidi w:val="0"/>
                    <w:adjustRightInd w:val="0"/>
                    <w:snapToGrid w:val="0"/>
                    <w:jc w:val="center"/>
                    <w:textAlignment w:val="center"/>
                    <w:rPr>
                      <w:rFonts w:hint="default" w:ascii="Times New Roman" w:hAnsi="Times New Roman" w:cs="Times New Roman"/>
                      <w:b/>
                      <w:bCs/>
                      <w:color w:val="auto"/>
                      <w:sz w:val="21"/>
                      <w:szCs w:val="21"/>
                      <w:highlight w:val="none"/>
                      <w:vertAlign w:val="baseline"/>
                    </w:rPr>
                  </w:pPr>
                  <w:r>
                    <w:rPr>
                      <w:rFonts w:hint="default" w:ascii="Times New Roman" w:hAnsi="Times New Roman" w:cs="Times New Roman"/>
                      <w:color w:val="auto"/>
                      <w:sz w:val="21"/>
                      <w:szCs w:val="21"/>
                      <w:highlight w:val="none"/>
                      <w:lang w:eastAsia="zh-CN"/>
                    </w:rPr>
                    <w:t>Z</w:t>
                  </w:r>
                </w:p>
              </w:tc>
              <w:tc>
                <w:tcPr>
                  <w:tcW w:w="1144" w:type="dxa"/>
                  <w:vMerge w:val="continue"/>
                  <w:vAlign w:val="center"/>
                </w:tcPr>
                <w:p w14:paraId="54C660C0">
                  <w:pPr>
                    <w:adjustRightInd w:val="0"/>
                    <w:snapToGrid w:val="0"/>
                    <w:spacing w:line="240" w:lineRule="auto"/>
                    <w:jc w:val="center"/>
                    <w:rPr>
                      <w:rFonts w:hint="default" w:ascii="Times New Roman" w:hAnsi="Times New Roman" w:cs="Times New Roman"/>
                      <w:b/>
                      <w:bCs/>
                      <w:color w:val="auto"/>
                      <w:sz w:val="21"/>
                      <w:szCs w:val="21"/>
                      <w:highlight w:val="none"/>
                      <w:vertAlign w:val="baseline"/>
                    </w:rPr>
                  </w:pPr>
                </w:p>
              </w:tc>
              <w:tc>
                <w:tcPr>
                  <w:tcW w:w="1144" w:type="dxa"/>
                  <w:vMerge w:val="continue"/>
                  <w:vAlign w:val="center"/>
                </w:tcPr>
                <w:p w14:paraId="3F40D1C6">
                  <w:pPr>
                    <w:adjustRightInd w:val="0"/>
                    <w:snapToGrid w:val="0"/>
                    <w:spacing w:line="240" w:lineRule="auto"/>
                    <w:jc w:val="center"/>
                    <w:rPr>
                      <w:rFonts w:hint="default" w:ascii="Times New Roman" w:hAnsi="Times New Roman" w:cs="Times New Roman"/>
                      <w:b/>
                      <w:bCs/>
                      <w:color w:val="auto"/>
                      <w:sz w:val="21"/>
                      <w:szCs w:val="21"/>
                      <w:highlight w:val="none"/>
                      <w:vertAlign w:val="baseline"/>
                    </w:rPr>
                  </w:pPr>
                </w:p>
              </w:tc>
              <w:tc>
                <w:tcPr>
                  <w:tcW w:w="1144" w:type="dxa"/>
                  <w:vMerge w:val="continue"/>
                  <w:vAlign w:val="center"/>
                </w:tcPr>
                <w:p w14:paraId="49806AFE">
                  <w:pPr>
                    <w:adjustRightInd w:val="0"/>
                    <w:snapToGrid w:val="0"/>
                    <w:spacing w:line="240" w:lineRule="auto"/>
                    <w:jc w:val="center"/>
                    <w:rPr>
                      <w:rFonts w:hint="default" w:ascii="Times New Roman" w:hAnsi="Times New Roman" w:cs="Times New Roman"/>
                      <w:b/>
                      <w:bCs/>
                      <w:color w:val="auto"/>
                      <w:sz w:val="21"/>
                      <w:szCs w:val="21"/>
                      <w:highlight w:val="none"/>
                      <w:vertAlign w:val="baseline"/>
                    </w:rPr>
                  </w:pPr>
                </w:p>
              </w:tc>
              <w:tc>
                <w:tcPr>
                  <w:tcW w:w="1144" w:type="dxa"/>
                  <w:vMerge w:val="continue"/>
                  <w:vAlign w:val="center"/>
                </w:tcPr>
                <w:p w14:paraId="5D54461F">
                  <w:pPr>
                    <w:adjustRightInd w:val="0"/>
                    <w:snapToGrid w:val="0"/>
                    <w:spacing w:line="240" w:lineRule="auto"/>
                    <w:jc w:val="center"/>
                    <w:rPr>
                      <w:rFonts w:hint="default" w:ascii="Times New Roman" w:hAnsi="Times New Roman" w:cs="Times New Roman"/>
                      <w:b/>
                      <w:bCs/>
                      <w:color w:val="auto"/>
                      <w:sz w:val="21"/>
                      <w:szCs w:val="21"/>
                      <w:highlight w:val="none"/>
                      <w:vertAlign w:val="baseline"/>
                    </w:rPr>
                  </w:pPr>
                </w:p>
              </w:tc>
            </w:tr>
            <w:tr w14:paraId="3ABA4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3" w:type="dxa"/>
                  <w:vAlign w:val="center"/>
                </w:tcPr>
                <w:p w14:paraId="3E6A57A0">
                  <w:pPr>
                    <w:keepNext w:val="0"/>
                    <w:keepLines w:val="0"/>
                    <w:pageBreakBefore w:val="0"/>
                    <w:widowControl w:val="0"/>
                    <w:kinsoku w:val="0"/>
                    <w:wordWrap/>
                    <w:overflowPunct w:val="0"/>
                    <w:topLinePunct w:val="0"/>
                    <w:autoSpaceDE w:val="0"/>
                    <w:autoSpaceDN w:val="0"/>
                    <w:bidi w:val="0"/>
                    <w:adjustRightInd w:val="0"/>
                    <w:snapToGrid w:val="0"/>
                    <w:jc w:val="center"/>
                    <w:textAlignment w:val="center"/>
                    <w:rPr>
                      <w:rFonts w:hint="default" w:ascii="Times New Roman" w:hAnsi="Times New Roman" w:cs="Times New Roman"/>
                      <w:b/>
                      <w:bCs/>
                      <w:color w:val="auto"/>
                      <w:sz w:val="21"/>
                      <w:szCs w:val="21"/>
                      <w:highlight w:val="none"/>
                      <w:vertAlign w:val="baseline"/>
                    </w:rPr>
                  </w:pPr>
                  <w:r>
                    <w:rPr>
                      <w:rFonts w:hint="default" w:ascii="Times New Roman" w:hAnsi="Times New Roman" w:cs="Times New Roman"/>
                      <w:color w:val="auto"/>
                      <w:sz w:val="21"/>
                      <w:szCs w:val="21"/>
                      <w:highlight w:val="none"/>
                      <w:lang w:eastAsia="zh-CN"/>
                    </w:rPr>
                    <w:t>东侧</w:t>
                  </w:r>
                </w:p>
              </w:tc>
              <w:tc>
                <w:tcPr>
                  <w:tcW w:w="1143" w:type="dxa"/>
                  <w:vAlign w:val="center"/>
                </w:tcPr>
                <w:p w14:paraId="764BF882">
                  <w:pPr>
                    <w:adjustRightInd w:val="0"/>
                    <w:snapToGrid w:val="0"/>
                    <w:jc w:val="center"/>
                    <w:rPr>
                      <w:rFonts w:hint="default" w:ascii="Times New Roman" w:hAnsi="Times New Roman" w:cs="Times New Roman"/>
                      <w:b/>
                      <w:bCs/>
                      <w:color w:val="auto"/>
                      <w:sz w:val="21"/>
                      <w:szCs w:val="21"/>
                      <w:highlight w:val="none"/>
                      <w:vertAlign w:val="baseline"/>
                    </w:rPr>
                  </w:pPr>
                  <w:r>
                    <w:rPr>
                      <w:rFonts w:hint="default" w:ascii="Times New Roman" w:hAnsi="Times New Roman" w:eastAsia="宋体" w:cs="Times New Roman"/>
                      <w:color w:val="auto"/>
                      <w:sz w:val="21"/>
                      <w:szCs w:val="21"/>
                      <w:highlight w:val="none"/>
                      <w:lang w:val="en-US" w:eastAsia="zh-CN"/>
                    </w:rPr>
                    <w:t>19.9</w:t>
                  </w:r>
                </w:p>
              </w:tc>
              <w:tc>
                <w:tcPr>
                  <w:tcW w:w="1143" w:type="dxa"/>
                  <w:vAlign w:val="center"/>
                </w:tcPr>
                <w:p w14:paraId="2D1B70B3">
                  <w:pPr>
                    <w:adjustRightInd w:val="0"/>
                    <w:snapToGrid w:val="0"/>
                    <w:jc w:val="center"/>
                    <w:rPr>
                      <w:rFonts w:hint="default" w:ascii="Times New Roman" w:hAnsi="Times New Roman" w:cs="Times New Roman"/>
                      <w:b/>
                      <w:bCs/>
                      <w:color w:val="auto"/>
                      <w:sz w:val="21"/>
                      <w:szCs w:val="21"/>
                      <w:highlight w:val="none"/>
                      <w:vertAlign w:val="baseline"/>
                    </w:rPr>
                  </w:pPr>
                  <w:r>
                    <w:rPr>
                      <w:rFonts w:hint="default" w:ascii="Times New Roman" w:hAnsi="Times New Roman" w:eastAsia="宋体" w:cs="Times New Roman"/>
                      <w:color w:val="auto"/>
                      <w:sz w:val="21"/>
                      <w:szCs w:val="21"/>
                      <w:highlight w:val="none"/>
                      <w:lang w:val="en-US" w:eastAsia="zh-CN"/>
                    </w:rPr>
                    <w:t>-104.6</w:t>
                  </w:r>
                </w:p>
              </w:tc>
              <w:tc>
                <w:tcPr>
                  <w:tcW w:w="1143" w:type="dxa"/>
                  <w:vAlign w:val="center"/>
                </w:tcPr>
                <w:p w14:paraId="48CAE9A1">
                  <w:pPr>
                    <w:adjustRightInd w:val="0"/>
                    <w:snapToGrid w:val="0"/>
                    <w:jc w:val="center"/>
                    <w:rPr>
                      <w:rFonts w:hint="default" w:ascii="Times New Roman" w:hAnsi="Times New Roman" w:cs="Times New Roman"/>
                      <w:b/>
                      <w:bCs/>
                      <w:color w:val="auto"/>
                      <w:sz w:val="21"/>
                      <w:szCs w:val="21"/>
                      <w:highlight w:val="none"/>
                      <w:vertAlign w:val="baseline"/>
                    </w:rPr>
                  </w:pPr>
                  <w:r>
                    <w:rPr>
                      <w:rFonts w:hint="default" w:ascii="Times New Roman" w:hAnsi="Times New Roman" w:eastAsia="宋体" w:cs="Times New Roman"/>
                      <w:color w:val="auto"/>
                      <w:sz w:val="21"/>
                      <w:szCs w:val="21"/>
                      <w:highlight w:val="none"/>
                      <w:lang w:val="en-US" w:eastAsia="zh-CN"/>
                    </w:rPr>
                    <w:t>1.2</w:t>
                  </w:r>
                </w:p>
              </w:tc>
              <w:tc>
                <w:tcPr>
                  <w:tcW w:w="1144" w:type="dxa"/>
                  <w:vAlign w:val="center"/>
                </w:tcPr>
                <w:p w14:paraId="28A41055">
                  <w:pPr>
                    <w:keepNext w:val="0"/>
                    <w:keepLines w:val="0"/>
                    <w:pageBreakBefore w:val="0"/>
                    <w:widowControl w:val="0"/>
                    <w:kinsoku w:val="0"/>
                    <w:wordWrap/>
                    <w:overflowPunct w:val="0"/>
                    <w:topLinePunct w:val="0"/>
                    <w:autoSpaceDE w:val="0"/>
                    <w:autoSpaceDN w:val="0"/>
                    <w:bidi w:val="0"/>
                    <w:adjustRightInd w:val="0"/>
                    <w:snapToGrid w:val="0"/>
                    <w:jc w:val="center"/>
                    <w:textAlignment w:val="center"/>
                    <w:rPr>
                      <w:rFonts w:hint="default" w:ascii="Times New Roman" w:hAnsi="Times New Roman" w:cs="Times New Roman"/>
                      <w:b/>
                      <w:bCs/>
                      <w:color w:val="auto"/>
                      <w:sz w:val="21"/>
                      <w:szCs w:val="21"/>
                      <w:highlight w:val="none"/>
                      <w:vertAlign w:val="baseline"/>
                    </w:rPr>
                  </w:pPr>
                  <w:r>
                    <w:rPr>
                      <w:rFonts w:hint="default" w:ascii="Times New Roman" w:hAnsi="Times New Roman" w:eastAsia="宋体" w:cs="Times New Roman"/>
                      <w:color w:val="auto"/>
                      <w:sz w:val="21"/>
                      <w:szCs w:val="21"/>
                      <w:highlight w:val="none"/>
                      <w:lang w:eastAsia="zh-CN"/>
                    </w:rPr>
                    <w:t>昼间</w:t>
                  </w:r>
                </w:p>
              </w:tc>
              <w:tc>
                <w:tcPr>
                  <w:tcW w:w="1144" w:type="dxa"/>
                  <w:vAlign w:val="center"/>
                </w:tcPr>
                <w:p w14:paraId="607A6EB8">
                  <w:pPr>
                    <w:adjustRightInd w:val="0"/>
                    <w:snapToGrid w:val="0"/>
                    <w:jc w:val="center"/>
                    <w:rPr>
                      <w:rFonts w:hint="default" w:ascii="Times New Roman" w:hAnsi="Times New Roman" w:cs="Times New Roman"/>
                      <w:b/>
                      <w:bCs/>
                      <w:color w:val="auto"/>
                      <w:sz w:val="21"/>
                      <w:szCs w:val="21"/>
                      <w:highlight w:val="none"/>
                      <w:vertAlign w:val="baseline"/>
                      <w:lang w:val="en-US"/>
                    </w:rPr>
                  </w:pPr>
                  <w:r>
                    <w:rPr>
                      <w:rFonts w:hint="eastAsia" w:ascii="Times New Roman" w:hAnsi="Times New Roman" w:eastAsia="宋体" w:cs="Times New Roman"/>
                      <w:color w:val="auto"/>
                      <w:sz w:val="21"/>
                      <w:szCs w:val="21"/>
                      <w:highlight w:val="none"/>
                      <w:lang w:val="en-US" w:eastAsia="zh-CN"/>
                    </w:rPr>
                    <w:t>31.0</w:t>
                  </w:r>
                </w:p>
              </w:tc>
              <w:tc>
                <w:tcPr>
                  <w:tcW w:w="1144" w:type="dxa"/>
                  <w:vAlign w:val="center"/>
                </w:tcPr>
                <w:p w14:paraId="796704D6">
                  <w:pPr>
                    <w:keepNext w:val="0"/>
                    <w:keepLines w:val="0"/>
                    <w:pageBreakBefore w:val="0"/>
                    <w:widowControl w:val="0"/>
                    <w:kinsoku w:val="0"/>
                    <w:wordWrap/>
                    <w:overflowPunct w:val="0"/>
                    <w:topLinePunct w:val="0"/>
                    <w:autoSpaceDE w:val="0"/>
                    <w:autoSpaceDN w:val="0"/>
                    <w:bidi w:val="0"/>
                    <w:adjustRightInd w:val="0"/>
                    <w:snapToGrid w:val="0"/>
                    <w:jc w:val="center"/>
                    <w:textAlignment w:val="center"/>
                    <w:rPr>
                      <w:rFonts w:hint="default" w:ascii="Times New Roman" w:hAnsi="Times New Roman" w:cs="Times New Roman"/>
                      <w:b/>
                      <w:bCs/>
                      <w:color w:val="auto"/>
                      <w:sz w:val="21"/>
                      <w:szCs w:val="21"/>
                      <w:highlight w:val="none"/>
                      <w:vertAlign w:val="baseline"/>
                      <w:lang w:val="en-US"/>
                    </w:rPr>
                  </w:pPr>
                  <w:r>
                    <w:rPr>
                      <w:rFonts w:hint="default" w:ascii="Times New Roman" w:hAnsi="Times New Roman" w:eastAsia="宋体" w:cs="Times New Roman"/>
                      <w:color w:val="auto"/>
                      <w:sz w:val="21"/>
                      <w:szCs w:val="21"/>
                      <w:highlight w:val="none"/>
                      <w:lang w:val="en-US" w:eastAsia="zh-CN"/>
                    </w:rPr>
                    <w:t>70</w:t>
                  </w:r>
                </w:p>
              </w:tc>
              <w:tc>
                <w:tcPr>
                  <w:tcW w:w="1144" w:type="dxa"/>
                  <w:vAlign w:val="center"/>
                </w:tcPr>
                <w:p w14:paraId="605CDDBD">
                  <w:pPr>
                    <w:keepNext w:val="0"/>
                    <w:keepLines w:val="0"/>
                    <w:pageBreakBefore w:val="0"/>
                    <w:widowControl w:val="0"/>
                    <w:kinsoku w:val="0"/>
                    <w:wordWrap/>
                    <w:overflowPunct w:val="0"/>
                    <w:topLinePunct w:val="0"/>
                    <w:autoSpaceDE w:val="0"/>
                    <w:autoSpaceDN w:val="0"/>
                    <w:bidi w:val="0"/>
                    <w:adjustRightInd w:val="0"/>
                    <w:snapToGrid w:val="0"/>
                    <w:jc w:val="center"/>
                    <w:textAlignment w:val="center"/>
                    <w:rPr>
                      <w:rFonts w:hint="default" w:ascii="Times New Roman" w:hAnsi="Times New Roman" w:cs="Times New Roman"/>
                      <w:b/>
                      <w:bCs/>
                      <w:color w:val="auto"/>
                      <w:sz w:val="21"/>
                      <w:szCs w:val="21"/>
                      <w:highlight w:val="none"/>
                      <w:vertAlign w:val="baseline"/>
                    </w:rPr>
                  </w:pPr>
                  <w:r>
                    <w:rPr>
                      <w:rFonts w:hint="default" w:ascii="Times New Roman" w:hAnsi="Times New Roman" w:eastAsia="宋体" w:cs="Times New Roman"/>
                      <w:color w:val="auto"/>
                      <w:sz w:val="21"/>
                      <w:szCs w:val="21"/>
                      <w:highlight w:val="none"/>
                      <w:lang w:eastAsia="zh-CN"/>
                    </w:rPr>
                    <w:t>达标</w:t>
                  </w:r>
                </w:p>
              </w:tc>
            </w:tr>
            <w:tr w14:paraId="01A85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3" w:type="dxa"/>
                  <w:vAlign w:val="center"/>
                </w:tcPr>
                <w:p w14:paraId="26F1C0DF">
                  <w:pPr>
                    <w:keepNext w:val="0"/>
                    <w:keepLines w:val="0"/>
                    <w:pageBreakBefore w:val="0"/>
                    <w:widowControl w:val="0"/>
                    <w:kinsoku w:val="0"/>
                    <w:wordWrap/>
                    <w:overflowPunct w:val="0"/>
                    <w:topLinePunct w:val="0"/>
                    <w:autoSpaceDE w:val="0"/>
                    <w:autoSpaceDN w:val="0"/>
                    <w:bidi w:val="0"/>
                    <w:adjustRightInd w:val="0"/>
                    <w:snapToGrid w:val="0"/>
                    <w:jc w:val="center"/>
                    <w:textAlignment w:val="center"/>
                    <w:rPr>
                      <w:rFonts w:hint="default" w:ascii="Times New Roman" w:hAnsi="Times New Roman" w:cs="Times New Roman"/>
                      <w:b/>
                      <w:bCs/>
                      <w:color w:val="auto"/>
                      <w:sz w:val="21"/>
                      <w:szCs w:val="21"/>
                      <w:highlight w:val="none"/>
                      <w:vertAlign w:val="baseline"/>
                    </w:rPr>
                  </w:pPr>
                  <w:r>
                    <w:rPr>
                      <w:rFonts w:hint="default" w:ascii="Times New Roman" w:hAnsi="Times New Roman" w:cs="Times New Roman"/>
                      <w:color w:val="auto"/>
                      <w:sz w:val="21"/>
                      <w:szCs w:val="21"/>
                      <w:highlight w:val="none"/>
                      <w:lang w:eastAsia="zh-CN"/>
                    </w:rPr>
                    <w:t>南侧</w:t>
                  </w:r>
                </w:p>
              </w:tc>
              <w:tc>
                <w:tcPr>
                  <w:tcW w:w="1143" w:type="dxa"/>
                  <w:vAlign w:val="center"/>
                </w:tcPr>
                <w:p w14:paraId="42B1A683">
                  <w:pPr>
                    <w:adjustRightInd w:val="0"/>
                    <w:snapToGrid w:val="0"/>
                    <w:jc w:val="center"/>
                    <w:rPr>
                      <w:rFonts w:hint="default" w:ascii="Times New Roman" w:hAnsi="Times New Roman" w:cs="Times New Roman"/>
                      <w:b/>
                      <w:bCs/>
                      <w:color w:val="auto"/>
                      <w:sz w:val="21"/>
                      <w:szCs w:val="21"/>
                      <w:highlight w:val="none"/>
                      <w:vertAlign w:val="baseline"/>
                    </w:rPr>
                  </w:pPr>
                  <w:r>
                    <w:rPr>
                      <w:rFonts w:hint="default" w:ascii="Times New Roman" w:hAnsi="Times New Roman" w:eastAsia="宋体" w:cs="Times New Roman"/>
                      <w:color w:val="auto"/>
                      <w:sz w:val="21"/>
                      <w:szCs w:val="21"/>
                      <w:highlight w:val="none"/>
                      <w:lang w:val="en-US" w:eastAsia="zh-CN"/>
                    </w:rPr>
                    <w:t>-77.2</w:t>
                  </w:r>
                </w:p>
              </w:tc>
              <w:tc>
                <w:tcPr>
                  <w:tcW w:w="1143" w:type="dxa"/>
                  <w:vAlign w:val="center"/>
                </w:tcPr>
                <w:p w14:paraId="6EFEEC9D">
                  <w:pPr>
                    <w:adjustRightInd w:val="0"/>
                    <w:snapToGrid w:val="0"/>
                    <w:jc w:val="center"/>
                    <w:rPr>
                      <w:rFonts w:hint="default" w:ascii="Times New Roman" w:hAnsi="Times New Roman" w:cs="Times New Roman"/>
                      <w:b/>
                      <w:bCs/>
                      <w:color w:val="auto"/>
                      <w:sz w:val="21"/>
                      <w:szCs w:val="21"/>
                      <w:highlight w:val="none"/>
                      <w:vertAlign w:val="baseline"/>
                    </w:rPr>
                  </w:pPr>
                  <w:r>
                    <w:rPr>
                      <w:rFonts w:hint="default" w:ascii="Times New Roman" w:hAnsi="Times New Roman" w:eastAsia="宋体" w:cs="Times New Roman"/>
                      <w:color w:val="auto"/>
                      <w:sz w:val="21"/>
                      <w:szCs w:val="21"/>
                      <w:highlight w:val="none"/>
                      <w:lang w:val="en-US" w:eastAsia="zh-CN"/>
                    </w:rPr>
                    <w:t>-156.8</w:t>
                  </w:r>
                </w:p>
              </w:tc>
              <w:tc>
                <w:tcPr>
                  <w:tcW w:w="1143" w:type="dxa"/>
                  <w:vAlign w:val="center"/>
                </w:tcPr>
                <w:p w14:paraId="42C0883E">
                  <w:pPr>
                    <w:adjustRightInd w:val="0"/>
                    <w:snapToGrid w:val="0"/>
                    <w:jc w:val="center"/>
                    <w:rPr>
                      <w:rFonts w:hint="default" w:ascii="Times New Roman" w:hAnsi="Times New Roman" w:cs="Times New Roman"/>
                      <w:b/>
                      <w:bCs/>
                      <w:color w:val="auto"/>
                      <w:sz w:val="21"/>
                      <w:szCs w:val="21"/>
                      <w:highlight w:val="none"/>
                      <w:vertAlign w:val="baseline"/>
                    </w:rPr>
                  </w:pPr>
                  <w:r>
                    <w:rPr>
                      <w:rFonts w:hint="default" w:ascii="Times New Roman" w:hAnsi="Times New Roman" w:eastAsia="宋体" w:cs="Times New Roman"/>
                      <w:color w:val="auto"/>
                      <w:sz w:val="21"/>
                      <w:szCs w:val="21"/>
                      <w:highlight w:val="none"/>
                      <w:lang w:val="en-US" w:eastAsia="zh-CN"/>
                    </w:rPr>
                    <w:t>1.2</w:t>
                  </w:r>
                </w:p>
              </w:tc>
              <w:tc>
                <w:tcPr>
                  <w:tcW w:w="1144" w:type="dxa"/>
                  <w:vAlign w:val="center"/>
                </w:tcPr>
                <w:p w14:paraId="212DF618">
                  <w:pPr>
                    <w:keepNext w:val="0"/>
                    <w:keepLines w:val="0"/>
                    <w:pageBreakBefore w:val="0"/>
                    <w:widowControl w:val="0"/>
                    <w:kinsoku w:val="0"/>
                    <w:wordWrap/>
                    <w:overflowPunct w:val="0"/>
                    <w:topLinePunct w:val="0"/>
                    <w:autoSpaceDE w:val="0"/>
                    <w:autoSpaceDN w:val="0"/>
                    <w:bidi w:val="0"/>
                    <w:adjustRightInd w:val="0"/>
                    <w:snapToGrid w:val="0"/>
                    <w:jc w:val="center"/>
                    <w:textAlignment w:val="center"/>
                    <w:rPr>
                      <w:rFonts w:hint="default" w:ascii="Times New Roman" w:hAnsi="Times New Roman" w:cs="Times New Roman"/>
                      <w:b/>
                      <w:bCs/>
                      <w:color w:val="auto"/>
                      <w:sz w:val="21"/>
                      <w:szCs w:val="21"/>
                      <w:highlight w:val="none"/>
                      <w:vertAlign w:val="baseline"/>
                    </w:rPr>
                  </w:pPr>
                  <w:r>
                    <w:rPr>
                      <w:rFonts w:hint="default" w:ascii="Times New Roman" w:hAnsi="Times New Roman" w:eastAsia="宋体" w:cs="Times New Roman"/>
                      <w:color w:val="auto"/>
                      <w:sz w:val="21"/>
                      <w:szCs w:val="21"/>
                      <w:highlight w:val="none"/>
                      <w:lang w:eastAsia="zh-CN"/>
                    </w:rPr>
                    <w:t>昼间</w:t>
                  </w:r>
                </w:p>
              </w:tc>
              <w:tc>
                <w:tcPr>
                  <w:tcW w:w="1144" w:type="dxa"/>
                  <w:vAlign w:val="center"/>
                </w:tcPr>
                <w:p w14:paraId="36C3F4FB">
                  <w:pPr>
                    <w:adjustRightInd w:val="0"/>
                    <w:snapToGrid w:val="0"/>
                    <w:jc w:val="center"/>
                    <w:rPr>
                      <w:rFonts w:hint="default" w:ascii="Times New Roman" w:hAnsi="Times New Roman" w:cs="Times New Roman"/>
                      <w:b/>
                      <w:bCs/>
                      <w:color w:val="auto"/>
                      <w:sz w:val="21"/>
                      <w:szCs w:val="21"/>
                      <w:highlight w:val="none"/>
                      <w:vertAlign w:val="baseline"/>
                      <w:lang w:val="en-US"/>
                    </w:rPr>
                  </w:pPr>
                  <w:r>
                    <w:rPr>
                      <w:rFonts w:hint="eastAsia" w:ascii="Times New Roman" w:hAnsi="Times New Roman" w:eastAsia="宋体" w:cs="Times New Roman"/>
                      <w:color w:val="auto"/>
                      <w:sz w:val="21"/>
                      <w:szCs w:val="21"/>
                      <w:highlight w:val="none"/>
                      <w:lang w:val="en-US" w:eastAsia="zh-CN"/>
                    </w:rPr>
                    <w:t>18.6</w:t>
                  </w:r>
                </w:p>
              </w:tc>
              <w:tc>
                <w:tcPr>
                  <w:tcW w:w="1144" w:type="dxa"/>
                  <w:vAlign w:val="center"/>
                </w:tcPr>
                <w:p w14:paraId="516F0213">
                  <w:pPr>
                    <w:keepNext w:val="0"/>
                    <w:keepLines w:val="0"/>
                    <w:pageBreakBefore w:val="0"/>
                    <w:widowControl w:val="0"/>
                    <w:kinsoku w:val="0"/>
                    <w:wordWrap/>
                    <w:overflowPunct w:val="0"/>
                    <w:topLinePunct w:val="0"/>
                    <w:autoSpaceDE w:val="0"/>
                    <w:autoSpaceDN w:val="0"/>
                    <w:bidi w:val="0"/>
                    <w:adjustRightInd w:val="0"/>
                    <w:snapToGrid w:val="0"/>
                    <w:jc w:val="center"/>
                    <w:textAlignment w:val="center"/>
                    <w:rPr>
                      <w:rFonts w:hint="default" w:ascii="Times New Roman" w:hAnsi="Times New Roman" w:cs="Times New Roman"/>
                      <w:b/>
                      <w:bCs/>
                      <w:color w:val="auto"/>
                      <w:sz w:val="21"/>
                      <w:szCs w:val="21"/>
                      <w:highlight w:val="none"/>
                      <w:vertAlign w:val="baseline"/>
                    </w:rPr>
                  </w:pPr>
                  <w:r>
                    <w:rPr>
                      <w:rFonts w:hint="default" w:ascii="Times New Roman" w:hAnsi="Times New Roman" w:eastAsia="宋体" w:cs="Times New Roman"/>
                      <w:color w:val="auto"/>
                      <w:sz w:val="21"/>
                      <w:szCs w:val="21"/>
                      <w:highlight w:val="none"/>
                      <w:lang w:val="en-US" w:eastAsia="zh-CN"/>
                    </w:rPr>
                    <w:t>65</w:t>
                  </w:r>
                </w:p>
              </w:tc>
              <w:tc>
                <w:tcPr>
                  <w:tcW w:w="1144" w:type="dxa"/>
                  <w:vAlign w:val="center"/>
                </w:tcPr>
                <w:p w14:paraId="2B0F130F">
                  <w:pPr>
                    <w:keepNext w:val="0"/>
                    <w:keepLines w:val="0"/>
                    <w:pageBreakBefore w:val="0"/>
                    <w:widowControl w:val="0"/>
                    <w:kinsoku w:val="0"/>
                    <w:wordWrap/>
                    <w:overflowPunct w:val="0"/>
                    <w:topLinePunct w:val="0"/>
                    <w:autoSpaceDE w:val="0"/>
                    <w:autoSpaceDN w:val="0"/>
                    <w:bidi w:val="0"/>
                    <w:adjustRightInd w:val="0"/>
                    <w:snapToGrid w:val="0"/>
                    <w:jc w:val="center"/>
                    <w:textAlignment w:val="center"/>
                    <w:rPr>
                      <w:rFonts w:hint="default" w:ascii="Times New Roman" w:hAnsi="Times New Roman" w:cs="Times New Roman"/>
                      <w:b/>
                      <w:bCs/>
                      <w:color w:val="auto"/>
                      <w:sz w:val="21"/>
                      <w:szCs w:val="21"/>
                      <w:highlight w:val="none"/>
                      <w:vertAlign w:val="baseline"/>
                    </w:rPr>
                  </w:pPr>
                  <w:r>
                    <w:rPr>
                      <w:rFonts w:hint="default" w:ascii="Times New Roman" w:hAnsi="Times New Roman" w:eastAsia="宋体" w:cs="Times New Roman"/>
                      <w:color w:val="auto"/>
                      <w:sz w:val="21"/>
                      <w:szCs w:val="21"/>
                      <w:highlight w:val="none"/>
                      <w:lang w:eastAsia="zh-CN"/>
                    </w:rPr>
                    <w:t>达标</w:t>
                  </w:r>
                </w:p>
              </w:tc>
            </w:tr>
            <w:tr w14:paraId="42F39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3" w:type="dxa"/>
                  <w:vAlign w:val="center"/>
                </w:tcPr>
                <w:p w14:paraId="7585311B">
                  <w:pPr>
                    <w:keepNext w:val="0"/>
                    <w:keepLines w:val="0"/>
                    <w:pageBreakBefore w:val="0"/>
                    <w:widowControl w:val="0"/>
                    <w:kinsoku w:val="0"/>
                    <w:wordWrap/>
                    <w:overflowPunct w:val="0"/>
                    <w:topLinePunct w:val="0"/>
                    <w:autoSpaceDE w:val="0"/>
                    <w:autoSpaceDN w:val="0"/>
                    <w:bidi w:val="0"/>
                    <w:adjustRightInd w:val="0"/>
                    <w:snapToGrid w:val="0"/>
                    <w:jc w:val="center"/>
                    <w:textAlignment w:val="center"/>
                    <w:rPr>
                      <w:rFonts w:hint="default" w:ascii="Times New Roman" w:hAnsi="Times New Roman" w:cs="Times New Roman"/>
                      <w:b/>
                      <w:bCs/>
                      <w:color w:val="auto"/>
                      <w:sz w:val="21"/>
                      <w:szCs w:val="21"/>
                      <w:highlight w:val="none"/>
                      <w:vertAlign w:val="baseline"/>
                    </w:rPr>
                  </w:pPr>
                  <w:r>
                    <w:rPr>
                      <w:rFonts w:hint="default" w:ascii="Times New Roman" w:hAnsi="Times New Roman" w:cs="Times New Roman"/>
                      <w:color w:val="auto"/>
                      <w:sz w:val="21"/>
                      <w:szCs w:val="21"/>
                      <w:highlight w:val="none"/>
                      <w:lang w:eastAsia="zh-CN"/>
                    </w:rPr>
                    <w:t>西侧</w:t>
                  </w:r>
                </w:p>
              </w:tc>
              <w:tc>
                <w:tcPr>
                  <w:tcW w:w="1143" w:type="dxa"/>
                  <w:vAlign w:val="center"/>
                </w:tcPr>
                <w:p w14:paraId="77E21785">
                  <w:pPr>
                    <w:adjustRightInd w:val="0"/>
                    <w:snapToGrid w:val="0"/>
                    <w:jc w:val="center"/>
                    <w:rPr>
                      <w:rFonts w:hint="default" w:ascii="Times New Roman" w:hAnsi="Times New Roman" w:cs="Times New Roman"/>
                      <w:b/>
                      <w:bCs/>
                      <w:color w:val="auto"/>
                      <w:sz w:val="21"/>
                      <w:szCs w:val="21"/>
                      <w:highlight w:val="none"/>
                      <w:vertAlign w:val="baseline"/>
                    </w:rPr>
                  </w:pPr>
                  <w:r>
                    <w:rPr>
                      <w:rFonts w:hint="default" w:ascii="Times New Roman" w:hAnsi="Times New Roman" w:eastAsia="宋体" w:cs="Times New Roman"/>
                      <w:color w:val="auto"/>
                      <w:sz w:val="21"/>
                      <w:szCs w:val="21"/>
                      <w:highlight w:val="none"/>
                      <w:lang w:val="en-US" w:eastAsia="zh-CN"/>
                    </w:rPr>
                    <w:t>-35.4</w:t>
                  </w:r>
                </w:p>
              </w:tc>
              <w:tc>
                <w:tcPr>
                  <w:tcW w:w="1143" w:type="dxa"/>
                  <w:vAlign w:val="center"/>
                </w:tcPr>
                <w:p w14:paraId="20213453">
                  <w:pPr>
                    <w:adjustRightInd w:val="0"/>
                    <w:snapToGrid w:val="0"/>
                    <w:jc w:val="center"/>
                    <w:rPr>
                      <w:rFonts w:hint="default" w:ascii="Times New Roman" w:hAnsi="Times New Roman" w:cs="Times New Roman"/>
                      <w:b/>
                      <w:bCs/>
                      <w:color w:val="auto"/>
                      <w:sz w:val="21"/>
                      <w:szCs w:val="21"/>
                      <w:highlight w:val="none"/>
                      <w:vertAlign w:val="baseline"/>
                    </w:rPr>
                  </w:pPr>
                  <w:r>
                    <w:rPr>
                      <w:rFonts w:hint="default" w:ascii="Times New Roman" w:hAnsi="Times New Roman" w:eastAsia="宋体" w:cs="Times New Roman"/>
                      <w:color w:val="auto"/>
                      <w:sz w:val="21"/>
                      <w:szCs w:val="21"/>
                      <w:highlight w:val="none"/>
                      <w:lang w:val="en-US" w:eastAsia="zh-CN"/>
                    </w:rPr>
                    <w:t>86.8</w:t>
                  </w:r>
                </w:p>
              </w:tc>
              <w:tc>
                <w:tcPr>
                  <w:tcW w:w="1143" w:type="dxa"/>
                  <w:vAlign w:val="center"/>
                </w:tcPr>
                <w:p w14:paraId="79FA8833">
                  <w:pPr>
                    <w:adjustRightInd w:val="0"/>
                    <w:snapToGrid w:val="0"/>
                    <w:jc w:val="center"/>
                    <w:rPr>
                      <w:rFonts w:hint="default" w:ascii="Times New Roman" w:hAnsi="Times New Roman" w:cs="Times New Roman"/>
                      <w:b/>
                      <w:bCs/>
                      <w:color w:val="auto"/>
                      <w:sz w:val="21"/>
                      <w:szCs w:val="21"/>
                      <w:highlight w:val="none"/>
                      <w:vertAlign w:val="baseline"/>
                    </w:rPr>
                  </w:pPr>
                  <w:r>
                    <w:rPr>
                      <w:rFonts w:hint="default" w:ascii="Times New Roman" w:hAnsi="Times New Roman" w:eastAsia="宋体" w:cs="Times New Roman"/>
                      <w:color w:val="auto"/>
                      <w:sz w:val="21"/>
                      <w:szCs w:val="21"/>
                      <w:highlight w:val="none"/>
                      <w:lang w:val="en-US" w:eastAsia="zh-CN"/>
                    </w:rPr>
                    <w:t>1.2</w:t>
                  </w:r>
                </w:p>
              </w:tc>
              <w:tc>
                <w:tcPr>
                  <w:tcW w:w="1144" w:type="dxa"/>
                  <w:vAlign w:val="center"/>
                </w:tcPr>
                <w:p w14:paraId="30B04A1C">
                  <w:pPr>
                    <w:keepNext w:val="0"/>
                    <w:keepLines w:val="0"/>
                    <w:pageBreakBefore w:val="0"/>
                    <w:widowControl w:val="0"/>
                    <w:kinsoku w:val="0"/>
                    <w:wordWrap/>
                    <w:overflowPunct w:val="0"/>
                    <w:topLinePunct w:val="0"/>
                    <w:autoSpaceDE w:val="0"/>
                    <w:autoSpaceDN w:val="0"/>
                    <w:bidi w:val="0"/>
                    <w:adjustRightInd w:val="0"/>
                    <w:snapToGrid w:val="0"/>
                    <w:jc w:val="center"/>
                    <w:textAlignment w:val="center"/>
                    <w:rPr>
                      <w:rFonts w:hint="default" w:ascii="Times New Roman" w:hAnsi="Times New Roman" w:cs="Times New Roman"/>
                      <w:b/>
                      <w:bCs/>
                      <w:color w:val="auto"/>
                      <w:sz w:val="21"/>
                      <w:szCs w:val="21"/>
                      <w:highlight w:val="none"/>
                      <w:vertAlign w:val="baseline"/>
                    </w:rPr>
                  </w:pPr>
                  <w:r>
                    <w:rPr>
                      <w:rFonts w:hint="default" w:ascii="Times New Roman" w:hAnsi="Times New Roman" w:eastAsia="宋体" w:cs="Times New Roman"/>
                      <w:color w:val="auto"/>
                      <w:sz w:val="21"/>
                      <w:szCs w:val="21"/>
                      <w:highlight w:val="none"/>
                      <w:lang w:eastAsia="zh-CN"/>
                    </w:rPr>
                    <w:t>昼间</w:t>
                  </w:r>
                </w:p>
              </w:tc>
              <w:tc>
                <w:tcPr>
                  <w:tcW w:w="1144" w:type="dxa"/>
                  <w:vAlign w:val="center"/>
                </w:tcPr>
                <w:p w14:paraId="0280E807">
                  <w:pPr>
                    <w:adjustRightInd w:val="0"/>
                    <w:snapToGrid w:val="0"/>
                    <w:jc w:val="center"/>
                    <w:rPr>
                      <w:rFonts w:hint="default" w:ascii="Times New Roman" w:hAnsi="Times New Roman" w:cs="Times New Roman"/>
                      <w:b/>
                      <w:bCs/>
                      <w:color w:val="auto"/>
                      <w:sz w:val="21"/>
                      <w:szCs w:val="21"/>
                      <w:highlight w:val="none"/>
                      <w:vertAlign w:val="baseline"/>
                      <w:lang w:val="en-US"/>
                    </w:rPr>
                  </w:pPr>
                  <w:r>
                    <w:rPr>
                      <w:rFonts w:hint="eastAsia" w:ascii="Times New Roman" w:hAnsi="Times New Roman" w:eastAsia="宋体" w:cs="Times New Roman"/>
                      <w:color w:val="auto"/>
                      <w:sz w:val="21"/>
                      <w:szCs w:val="21"/>
                      <w:highlight w:val="none"/>
                      <w:lang w:val="en-US" w:eastAsia="zh-CN"/>
                    </w:rPr>
                    <w:t>30.4</w:t>
                  </w:r>
                </w:p>
              </w:tc>
              <w:tc>
                <w:tcPr>
                  <w:tcW w:w="1144" w:type="dxa"/>
                  <w:vAlign w:val="center"/>
                </w:tcPr>
                <w:p w14:paraId="6376F2E3">
                  <w:pPr>
                    <w:keepNext w:val="0"/>
                    <w:keepLines w:val="0"/>
                    <w:pageBreakBefore w:val="0"/>
                    <w:widowControl w:val="0"/>
                    <w:kinsoku w:val="0"/>
                    <w:wordWrap/>
                    <w:overflowPunct w:val="0"/>
                    <w:topLinePunct w:val="0"/>
                    <w:autoSpaceDE w:val="0"/>
                    <w:autoSpaceDN w:val="0"/>
                    <w:bidi w:val="0"/>
                    <w:adjustRightInd w:val="0"/>
                    <w:snapToGrid w:val="0"/>
                    <w:jc w:val="center"/>
                    <w:textAlignment w:val="center"/>
                    <w:rPr>
                      <w:rFonts w:hint="default" w:ascii="Times New Roman" w:hAnsi="Times New Roman" w:cs="Times New Roman"/>
                      <w:b/>
                      <w:bCs/>
                      <w:color w:val="auto"/>
                      <w:sz w:val="21"/>
                      <w:szCs w:val="21"/>
                      <w:highlight w:val="none"/>
                      <w:vertAlign w:val="baseline"/>
                    </w:rPr>
                  </w:pPr>
                  <w:r>
                    <w:rPr>
                      <w:rFonts w:hint="default" w:ascii="Times New Roman" w:hAnsi="Times New Roman" w:eastAsia="宋体" w:cs="Times New Roman"/>
                      <w:color w:val="auto"/>
                      <w:sz w:val="21"/>
                      <w:szCs w:val="21"/>
                      <w:highlight w:val="none"/>
                      <w:lang w:val="en-US" w:eastAsia="zh-CN"/>
                    </w:rPr>
                    <w:t>65</w:t>
                  </w:r>
                </w:p>
              </w:tc>
              <w:tc>
                <w:tcPr>
                  <w:tcW w:w="1144" w:type="dxa"/>
                  <w:vAlign w:val="center"/>
                </w:tcPr>
                <w:p w14:paraId="56A994E1">
                  <w:pPr>
                    <w:keepNext w:val="0"/>
                    <w:keepLines w:val="0"/>
                    <w:pageBreakBefore w:val="0"/>
                    <w:widowControl w:val="0"/>
                    <w:kinsoku w:val="0"/>
                    <w:wordWrap/>
                    <w:overflowPunct w:val="0"/>
                    <w:topLinePunct w:val="0"/>
                    <w:autoSpaceDE w:val="0"/>
                    <w:autoSpaceDN w:val="0"/>
                    <w:bidi w:val="0"/>
                    <w:adjustRightInd w:val="0"/>
                    <w:snapToGrid w:val="0"/>
                    <w:jc w:val="center"/>
                    <w:textAlignment w:val="center"/>
                    <w:rPr>
                      <w:rFonts w:hint="default" w:ascii="Times New Roman" w:hAnsi="Times New Roman" w:cs="Times New Roman"/>
                      <w:b/>
                      <w:bCs/>
                      <w:color w:val="auto"/>
                      <w:sz w:val="21"/>
                      <w:szCs w:val="21"/>
                      <w:highlight w:val="none"/>
                      <w:vertAlign w:val="baseline"/>
                    </w:rPr>
                  </w:pPr>
                  <w:r>
                    <w:rPr>
                      <w:rFonts w:hint="default" w:ascii="Times New Roman" w:hAnsi="Times New Roman" w:eastAsia="宋体" w:cs="Times New Roman"/>
                      <w:color w:val="auto"/>
                      <w:sz w:val="21"/>
                      <w:szCs w:val="21"/>
                      <w:highlight w:val="none"/>
                      <w:lang w:eastAsia="zh-CN"/>
                    </w:rPr>
                    <w:t>达标</w:t>
                  </w:r>
                </w:p>
              </w:tc>
            </w:tr>
            <w:tr w14:paraId="322D2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3" w:type="dxa"/>
                  <w:vAlign w:val="center"/>
                </w:tcPr>
                <w:p w14:paraId="72377435">
                  <w:pPr>
                    <w:keepNext w:val="0"/>
                    <w:keepLines w:val="0"/>
                    <w:pageBreakBefore w:val="0"/>
                    <w:widowControl w:val="0"/>
                    <w:kinsoku w:val="0"/>
                    <w:wordWrap/>
                    <w:overflowPunct w:val="0"/>
                    <w:topLinePunct w:val="0"/>
                    <w:autoSpaceDE w:val="0"/>
                    <w:autoSpaceDN w:val="0"/>
                    <w:bidi w:val="0"/>
                    <w:adjustRightInd w:val="0"/>
                    <w:snapToGrid w:val="0"/>
                    <w:jc w:val="center"/>
                    <w:textAlignment w:val="center"/>
                    <w:rPr>
                      <w:rFonts w:hint="default" w:ascii="Times New Roman" w:hAnsi="Times New Roman" w:cs="Times New Roman"/>
                      <w:b/>
                      <w:bCs/>
                      <w:color w:val="auto"/>
                      <w:sz w:val="21"/>
                      <w:szCs w:val="21"/>
                      <w:highlight w:val="none"/>
                      <w:vertAlign w:val="baseline"/>
                    </w:rPr>
                  </w:pPr>
                  <w:r>
                    <w:rPr>
                      <w:rFonts w:hint="default" w:ascii="Times New Roman" w:hAnsi="Times New Roman" w:cs="Times New Roman"/>
                      <w:color w:val="auto"/>
                      <w:sz w:val="21"/>
                      <w:szCs w:val="21"/>
                      <w:highlight w:val="none"/>
                      <w:lang w:eastAsia="zh-CN"/>
                    </w:rPr>
                    <w:t>北侧</w:t>
                  </w:r>
                </w:p>
              </w:tc>
              <w:tc>
                <w:tcPr>
                  <w:tcW w:w="1143" w:type="dxa"/>
                  <w:vAlign w:val="center"/>
                </w:tcPr>
                <w:p w14:paraId="1328BA2D">
                  <w:pPr>
                    <w:adjustRightInd w:val="0"/>
                    <w:snapToGrid w:val="0"/>
                    <w:jc w:val="center"/>
                    <w:rPr>
                      <w:rFonts w:hint="default" w:ascii="Times New Roman" w:hAnsi="Times New Roman" w:cs="Times New Roman"/>
                      <w:b/>
                      <w:bCs/>
                      <w:color w:val="auto"/>
                      <w:sz w:val="21"/>
                      <w:szCs w:val="21"/>
                      <w:highlight w:val="none"/>
                      <w:vertAlign w:val="baseline"/>
                    </w:rPr>
                  </w:pPr>
                  <w:r>
                    <w:rPr>
                      <w:rFonts w:hint="default" w:ascii="Times New Roman" w:hAnsi="Times New Roman" w:eastAsia="宋体" w:cs="Times New Roman"/>
                      <w:color w:val="auto"/>
                      <w:sz w:val="21"/>
                      <w:szCs w:val="21"/>
                      <w:highlight w:val="none"/>
                      <w:lang w:val="en-US" w:eastAsia="zh-CN"/>
                    </w:rPr>
                    <w:t>88.3</w:t>
                  </w:r>
                </w:p>
              </w:tc>
              <w:tc>
                <w:tcPr>
                  <w:tcW w:w="1143" w:type="dxa"/>
                  <w:vAlign w:val="center"/>
                </w:tcPr>
                <w:p w14:paraId="58C3006C">
                  <w:pPr>
                    <w:adjustRightInd w:val="0"/>
                    <w:snapToGrid w:val="0"/>
                    <w:jc w:val="center"/>
                    <w:rPr>
                      <w:rFonts w:hint="default" w:ascii="Times New Roman" w:hAnsi="Times New Roman" w:cs="Times New Roman"/>
                      <w:b/>
                      <w:bCs/>
                      <w:color w:val="auto"/>
                      <w:sz w:val="21"/>
                      <w:szCs w:val="21"/>
                      <w:highlight w:val="none"/>
                      <w:vertAlign w:val="baseline"/>
                    </w:rPr>
                  </w:pPr>
                  <w:r>
                    <w:rPr>
                      <w:rFonts w:hint="default" w:ascii="Times New Roman" w:hAnsi="Times New Roman" w:eastAsia="宋体" w:cs="Times New Roman"/>
                      <w:color w:val="auto"/>
                      <w:sz w:val="21"/>
                      <w:szCs w:val="21"/>
                      <w:highlight w:val="none"/>
                      <w:lang w:val="en-US" w:eastAsia="zh-CN"/>
                    </w:rPr>
                    <w:t>143.1</w:t>
                  </w:r>
                </w:p>
              </w:tc>
              <w:tc>
                <w:tcPr>
                  <w:tcW w:w="1143" w:type="dxa"/>
                  <w:vAlign w:val="center"/>
                </w:tcPr>
                <w:p w14:paraId="548FE51C">
                  <w:pPr>
                    <w:adjustRightInd w:val="0"/>
                    <w:snapToGrid w:val="0"/>
                    <w:jc w:val="center"/>
                    <w:rPr>
                      <w:rFonts w:hint="default" w:ascii="Times New Roman" w:hAnsi="Times New Roman" w:cs="Times New Roman"/>
                      <w:b/>
                      <w:bCs/>
                      <w:color w:val="auto"/>
                      <w:sz w:val="21"/>
                      <w:szCs w:val="21"/>
                      <w:highlight w:val="none"/>
                      <w:vertAlign w:val="baseline"/>
                    </w:rPr>
                  </w:pPr>
                  <w:r>
                    <w:rPr>
                      <w:rFonts w:hint="default" w:ascii="Times New Roman" w:hAnsi="Times New Roman" w:eastAsia="宋体" w:cs="Times New Roman"/>
                      <w:color w:val="auto"/>
                      <w:sz w:val="21"/>
                      <w:szCs w:val="21"/>
                      <w:highlight w:val="none"/>
                      <w:lang w:val="en-US" w:eastAsia="zh-CN"/>
                    </w:rPr>
                    <w:t>1.2</w:t>
                  </w:r>
                </w:p>
              </w:tc>
              <w:tc>
                <w:tcPr>
                  <w:tcW w:w="1144" w:type="dxa"/>
                  <w:vAlign w:val="center"/>
                </w:tcPr>
                <w:p w14:paraId="2125E4A4">
                  <w:pPr>
                    <w:keepNext w:val="0"/>
                    <w:keepLines w:val="0"/>
                    <w:pageBreakBefore w:val="0"/>
                    <w:widowControl w:val="0"/>
                    <w:kinsoku w:val="0"/>
                    <w:wordWrap/>
                    <w:overflowPunct w:val="0"/>
                    <w:topLinePunct w:val="0"/>
                    <w:autoSpaceDE w:val="0"/>
                    <w:autoSpaceDN w:val="0"/>
                    <w:bidi w:val="0"/>
                    <w:adjustRightInd w:val="0"/>
                    <w:snapToGrid w:val="0"/>
                    <w:jc w:val="center"/>
                    <w:textAlignment w:val="center"/>
                    <w:rPr>
                      <w:rFonts w:hint="default" w:ascii="Times New Roman" w:hAnsi="Times New Roman" w:cs="Times New Roman"/>
                      <w:b/>
                      <w:bCs/>
                      <w:color w:val="auto"/>
                      <w:sz w:val="21"/>
                      <w:szCs w:val="21"/>
                      <w:highlight w:val="none"/>
                      <w:vertAlign w:val="baseline"/>
                    </w:rPr>
                  </w:pPr>
                  <w:r>
                    <w:rPr>
                      <w:rFonts w:hint="default" w:ascii="Times New Roman" w:hAnsi="Times New Roman" w:eastAsia="宋体" w:cs="Times New Roman"/>
                      <w:color w:val="auto"/>
                      <w:sz w:val="21"/>
                      <w:szCs w:val="21"/>
                      <w:highlight w:val="none"/>
                      <w:lang w:eastAsia="zh-CN"/>
                    </w:rPr>
                    <w:t>昼间</w:t>
                  </w:r>
                </w:p>
              </w:tc>
              <w:tc>
                <w:tcPr>
                  <w:tcW w:w="1144" w:type="dxa"/>
                  <w:vAlign w:val="center"/>
                </w:tcPr>
                <w:p w14:paraId="3006FC63">
                  <w:pPr>
                    <w:adjustRightInd w:val="0"/>
                    <w:snapToGrid w:val="0"/>
                    <w:jc w:val="center"/>
                    <w:rPr>
                      <w:rFonts w:hint="default" w:ascii="Times New Roman" w:hAnsi="Times New Roman" w:cs="Times New Roman"/>
                      <w:b/>
                      <w:bCs/>
                      <w:color w:val="auto"/>
                      <w:sz w:val="21"/>
                      <w:szCs w:val="21"/>
                      <w:highlight w:val="none"/>
                      <w:vertAlign w:val="baseline"/>
                      <w:lang w:val="en-US"/>
                    </w:rPr>
                  </w:pPr>
                  <w:r>
                    <w:rPr>
                      <w:rFonts w:hint="eastAsia" w:ascii="Times New Roman" w:hAnsi="Times New Roman" w:eastAsia="宋体" w:cs="Times New Roman"/>
                      <w:color w:val="auto"/>
                      <w:sz w:val="21"/>
                      <w:szCs w:val="21"/>
                      <w:highlight w:val="none"/>
                      <w:lang w:val="en-US" w:eastAsia="zh-CN"/>
                    </w:rPr>
                    <w:t>20.8</w:t>
                  </w:r>
                </w:p>
              </w:tc>
              <w:tc>
                <w:tcPr>
                  <w:tcW w:w="1144" w:type="dxa"/>
                  <w:vAlign w:val="center"/>
                </w:tcPr>
                <w:p w14:paraId="51E458CF">
                  <w:pPr>
                    <w:keepNext w:val="0"/>
                    <w:keepLines w:val="0"/>
                    <w:pageBreakBefore w:val="0"/>
                    <w:widowControl w:val="0"/>
                    <w:kinsoku w:val="0"/>
                    <w:wordWrap/>
                    <w:overflowPunct w:val="0"/>
                    <w:topLinePunct w:val="0"/>
                    <w:autoSpaceDE w:val="0"/>
                    <w:autoSpaceDN w:val="0"/>
                    <w:bidi w:val="0"/>
                    <w:adjustRightInd w:val="0"/>
                    <w:snapToGrid w:val="0"/>
                    <w:jc w:val="center"/>
                    <w:textAlignment w:val="center"/>
                    <w:rPr>
                      <w:rFonts w:hint="default" w:ascii="Times New Roman" w:hAnsi="Times New Roman" w:cs="Times New Roman"/>
                      <w:b/>
                      <w:bCs/>
                      <w:color w:val="auto"/>
                      <w:sz w:val="21"/>
                      <w:szCs w:val="21"/>
                      <w:highlight w:val="none"/>
                      <w:vertAlign w:val="baseline"/>
                    </w:rPr>
                  </w:pPr>
                  <w:r>
                    <w:rPr>
                      <w:rFonts w:hint="default" w:ascii="Times New Roman" w:hAnsi="Times New Roman" w:eastAsia="宋体" w:cs="Times New Roman"/>
                      <w:color w:val="auto"/>
                      <w:sz w:val="21"/>
                      <w:szCs w:val="21"/>
                      <w:highlight w:val="none"/>
                      <w:lang w:val="en-US" w:eastAsia="zh-CN"/>
                    </w:rPr>
                    <w:t>65</w:t>
                  </w:r>
                </w:p>
              </w:tc>
              <w:tc>
                <w:tcPr>
                  <w:tcW w:w="1144" w:type="dxa"/>
                  <w:vAlign w:val="center"/>
                </w:tcPr>
                <w:p w14:paraId="0DB24A7A">
                  <w:pPr>
                    <w:keepNext w:val="0"/>
                    <w:keepLines w:val="0"/>
                    <w:pageBreakBefore w:val="0"/>
                    <w:widowControl w:val="0"/>
                    <w:kinsoku w:val="0"/>
                    <w:wordWrap/>
                    <w:overflowPunct w:val="0"/>
                    <w:topLinePunct w:val="0"/>
                    <w:autoSpaceDE w:val="0"/>
                    <w:autoSpaceDN w:val="0"/>
                    <w:bidi w:val="0"/>
                    <w:adjustRightInd w:val="0"/>
                    <w:snapToGrid w:val="0"/>
                    <w:jc w:val="center"/>
                    <w:textAlignment w:val="center"/>
                    <w:rPr>
                      <w:rFonts w:hint="default" w:ascii="Times New Roman" w:hAnsi="Times New Roman" w:cs="Times New Roman"/>
                      <w:b/>
                      <w:bCs/>
                      <w:color w:val="auto"/>
                      <w:sz w:val="21"/>
                      <w:szCs w:val="21"/>
                      <w:highlight w:val="none"/>
                      <w:vertAlign w:val="baseline"/>
                    </w:rPr>
                  </w:pPr>
                  <w:r>
                    <w:rPr>
                      <w:rFonts w:hint="default" w:ascii="Times New Roman" w:hAnsi="Times New Roman" w:eastAsia="宋体" w:cs="Times New Roman"/>
                      <w:color w:val="auto"/>
                      <w:sz w:val="21"/>
                      <w:szCs w:val="21"/>
                      <w:highlight w:val="none"/>
                      <w:lang w:eastAsia="zh-CN"/>
                    </w:rPr>
                    <w:t>达标</w:t>
                  </w:r>
                </w:p>
              </w:tc>
            </w:tr>
          </w:tbl>
          <w:p w14:paraId="775937A4">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ar-SA"/>
              </w:rPr>
            </w:pPr>
          </w:p>
          <w:p w14:paraId="693E2EE0">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表中坐标以厂界中心（E114.426963°，N23.231654°）为坐标原点，正东向为X轴正方向，正北向为Y轴正方向。</w:t>
            </w:r>
          </w:p>
          <w:p w14:paraId="1ED73D6F">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由上表可知，正常工况下，</w:t>
            </w:r>
            <w:r>
              <w:rPr>
                <w:rFonts w:hint="default" w:ascii="Times New Roman" w:hAnsi="Times New Roman" w:eastAsia="宋体" w:cs="Times New Roman"/>
                <w:b w:val="0"/>
                <w:bCs/>
                <w:color w:val="auto"/>
                <w:kern w:val="2"/>
                <w:sz w:val="24"/>
                <w:szCs w:val="24"/>
                <w:highlight w:val="none"/>
                <w:lang w:val="en-US" w:eastAsia="zh-CN"/>
              </w:rPr>
              <w:t>本</w:t>
            </w:r>
            <w:r>
              <w:rPr>
                <w:rFonts w:hint="default" w:ascii="Times New Roman" w:hAnsi="Times New Roman" w:eastAsia="宋体" w:cs="Times New Roman"/>
                <w:color w:val="auto"/>
                <w:kern w:val="2"/>
                <w:sz w:val="24"/>
                <w:szCs w:val="24"/>
                <w:highlight w:val="none"/>
                <w:lang w:val="en-US" w:eastAsia="zh-CN" w:bidi="ar-SA"/>
              </w:rPr>
              <w:t>项目厂界北面、西面及南面噪声满足《工业企业厂界环境噪声排放标准》（GB12348.2008）3类标准，厂界东面噪声满足《工业企业厂界环境噪声排放标准》（GB12348.2008）4a类标准。</w:t>
            </w:r>
          </w:p>
          <w:p w14:paraId="45CAA5A2">
            <w:pPr>
              <w:pStyle w:val="43"/>
              <w:rPr>
                <w:rFonts w:hint="default" w:ascii="Times New Roman" w:hAnsi="Times New Roman" w:cs="Times New Roman"/>
                <w:color w:val="auto"/>
                <w:highlight w:val="none"/>
                <w:lang w:val="en-US" w:eastAsia="zh-CN"/>
              </w:rPr>
            </w:pPr>
            <w:r>
              <w:rPr>
                <w:rFonts w:hint="default" w:ascii="Times New Roman" w:hAnsi="Times New Roman" w:cs="Times New Roman"/>
                <w:color w:val="auto"/>
                <w:kern w:val="2"/>
                <w:sz w:val="24"/>
                <w:szCs w:val="24"/>
                <w:highlight w:val="none"/>
                <w:lang w:val="en-US" w:eastAsia="zh-CN" w:bidi="ar-SA"/>
              </w:rPr>
              <w:t xml:space="preserve">   </w:t>
            </w:r>
            <w:r>
              <w:rPr>
                <w:rFonts w:hint="default" w:ascii="Times New Roman" w:hAnsi="Times New Roman" w:eastAsia="宋体" w:cs="Times New Roman"/>
                <w:b w:val="0"/>
                <w:bCs/>
                <w:color w:val="auto"/>
                <w:kern w:val="2"/>
                <w:sz w:val="24"/>
                <w:szCs w:val="24"/>
                <w:highlight w:val="none"/>
                <w:lang w:val="en-US" w:eastAsia="zh-CN"/>
              </w:rPr>
              <w:t>本</w:t>
            </w:r>
            <w:r>
              <w:rPr>
                <w:rFonts w:hint="default" w:ascii="Times New Roman" w:hAnsi="Times New Roman" w:cs="Times New Roman"/>
                <w:color w:val="auto"/>
                <w:kern w:val="2"/>
                <w:sz w:val="24"/>
                <w:szCs w:val="24"/>
                <w:highlight w:val="none"/>
                <w:lang w:val="en-US" w:eastAsia="zh-CN" w:bidi="ar-SA"/>
              </w:rPr>
              <w:t xml:space="preserve">项目的等声级线图如下：          </w:t>
            </w:r>
          </w:p>
          <w:p w14:paraId="7861DDAD">
            <w:pPr>
              <w:adjustRightInd w:val="0"/>
              <w:snapToGrid w:val="0"/>
              <w:spacing w:line="360" w:lineRule="auto"/>
              <w:jc w:val="both"/>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drawing>
                <wp:inline distT="0" distB="0" distL="114300" distR="114300">
                  <wp:extent cx="5800090" cy="4980305"/>
                  <wp:effectExtent l="0" t="0" r="10160" b="10795"/>
                  <wp:docPr id="14" name="图片 14" descr="6e3eaceb944b2b037234acec4703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6e3eaceb944b2b037234acec4703627"/>
                          <pic:cNvPicPr>
                            <a:picLocks noChangeAspect="1"/>
                          </pic:cNvPicPr>
                        </pic:nvPicPr>
                        <pic:blipFill>
                          <a:blip r:embed="rId31"/>
                          <a:stretch>
                            <a:fillRect/>
                          </a:stretch>
                        </pic:blipFill>
                        <pic:spPr>
                          <a:xfrm>
                            <a:off x="0" y="0"/>
                            <a:ext cx="5800090" cy="4980305"/>
                          </a:xfrm>
                          <a:prstGeom prst="rect">
                            <a:avLst/>
                          </a:prstGeom>
                        </pic:spPr>
                      </pic:pic>
                    </a:graphicData>
                  </a:graphic>
                </wp:inline>
              </w:drawing>
            </w:r>
          </w:p>
          <w:p w14:paraId="1C31ED4B">
            <w:pPr>
              <w:keepNext w:val="0"/>
              <w:keepLines w:val="0"/>
              <w:pageBreakBefore w:val="0"/>
              <w:widowControl/>
              <w:suppressLineNumbers w:val="0"/>
              <w:kinsoku/>
              <w:wordWrap/>
              <w:overflowPunct/>
              <w:topLinePunct w:val="0"/>
              <w:autoSpaceDE/>
              <w:autoSpaceDN/>
              <w:bidi w:val="0"/>
              <w:adjustRightInd w:val="0"/>
              <w:snapToGrid w:val="0"/>
              <w:spacing w:after="0" w:line="360" w:lineRule="auto"/>
              <w:jc w:val="center"/>
              <w:textAlignment w:val="auto"/>
              <w:rPr>
                <w:rFonts w:hint="default" w:ascii="Times New Roman" w:hAnsi="Times New Roman" w:eastAsia="宋体" w:cs="Times New Roman"/>
                <w:b/>
                <w:bCs/>
                <w:color w:val="auto"/>
                <w:sz w:val="21"/>
                <w:szCs w:val="21"/>
                <w:highlight w:val="none"/>
                <w:lang w:val="en-US"/>
              </w:rPr>
            </w:pPr>
            <w:r>
              <w:rPr>
                <w:rFonts w:hint="default" w:ascii="Times New Roman" w:hAnsi="Times New Roman" w:eastAsia="宋体" w:cs="Times New Roman"/>
                <w:b/>
                <w:bCs/>
                <w:color w:val="auto"/>
                <w:kern w:val="0"/>
                <w:sz w:val="21"/>
                <w:szCs w:val="21"/>
                <w:highlight w:val="none"/>
                <w:lang w:val="en-US" w:eastAsia="zh-CN" w:bidi="ar"/>
              </w:rPr>
              <w:t>图4-1 项目噪声预测等声级线图</w:t>
            </w:r>
          </w:p>
          <w:p w14:paraId="4F69FA0F">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 w:val="0"/>
                <w:bCs/>
                <w:color w:val="auto"/>
                <w:kern w:val="2"/>
                <w:sz w:val="24"/>
                <w:szCs w:val="24"/>
                <w:highlight w:val="none"/>
                <w:lang w:val="en-US" w:eastAsia="zh-CN"/>
              </w:rPr>
              <w:t>本</w:t>
            </w:r>
            <w:r>
              <w:rPr>
                <w:rFonts w:hint="default" w:ascii="Times New Roman" w:hAnsi="Times New Roman" w:cs="Times New Roman"/>
                <w:color w:val="auto"/>
                <w:sz w:val="24"/>
                <w:szCs w:val="24"/>
                <w:highlight w:val="none"/>
                <w:lang w:val="en-US" w:eastAsia="zh-CN"/>
              </w:rPr>
              <w:t>项目</w:t>
            </w:r>
            <w:r>
              <w:rPr>
                <w:rFonts w:hint="default" w:ascii="Times New Roman" w:hAnsi="Times New Roman" w:cs="Times New Roman"/>
                <w:color w:val="auto"/>
                <w:sz w:val="24"/>
                <w:szCs w:val="24"/>
                <w:highlight w:val="none"/>
                <w:lang w:eastAsia="zh-CN"/>
              </w:rPr>
              <w:t>昼间</w:t>
            </w:r>
            <w:r>
              <w:rPr>
                <w:rFonts w:hint="default" w:ascii="Times New Roman" w:hAnsi="Times New Roman" w:eastAsia="宋体" w:cs="Times New Roman"/>
                <w:color w:val="auto"/>
                <w:sz w:val="24"/>
                <w:szCs w:val="24"/>
                <w:highlight w:val="none"/>
              </w:rPr>
              <w:t>运营</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项目</w:t>
            </w:r>
            <w:r>
              <w:rPr>
                <w:rFonts w:hint="default" w:ascii="Times New Roman" w:hAnsi="Times New Roman" w:eastAsia="宋体" w:cs="Times New Roman"/>
                <w:color w:val="auto"/>
                <w:sz w:val="24"/>
                <w:szCs w:val="24"/>
                <w:highlight w:val="none"/>
              </w:rPr>
              <w:t>50m范围内无声环境保护目标，无需考虑声环境保护目标。</w:t>
            </w:r>
            <w:r>
              <w:rPr>
                <w:rFonts w:hint="default" w:ascii="Times New Roman" w:hAnsi="Times New Roman" w:eastAsia="宋体" w:cs="Times New Roman"/>
                <w:color w:val="auto"/>
                <w:sz w:val="24"/>
                <w:szCs w:val="24"/>
                <w:highlight w:val="none"/>
                <w:lang w:val="en-US" w:eastAsia="zh-CN"/>
              </w:rPr>
              <w:t>项目</w:t>
            </w:r>
            <w:r>
              <w:rPr>
                <w:rFonts w:hint="default" w:ascii="Times New Roman" w:hAnsi="Times New Roman" w:eastAsia="宋体" w:cs="Times New Roman"/>
                <w:color w:val="auto"/>
                <w:sz w:val="24"/>
                <w:szCs w:val="24"/>
                <w:highlight w:val="none"/>
              </w:rPr>
              <w:t>噪声源经以上防护措施及墙体隔声和距离的自然衰减后，</w:t>
            </w:r>
            <w:r>
              <w:rPr>
                <w:rFonts w:hint="default" w:ascii="Times New Roman" w:hAnsi="Times New Roman" w:eastAsia="宋体" w:cs="Times New Roman"/>
                <w:color w:val="auto"/>
                <w:sz w:val="24"/>
                <w:szCs w:val="24"/>
                <w:highlight w:val="none"/>
                <w:lang w:val="en-US" w:eastAsia="zh-CN"/>
              </w:rPr>
              <w:t>项目</w:t>
            </w:r>
            <w:r>
              <w:rPr>
                <w:rFonts w:hint="default" w:ascii="Times New Roman" w:hAnsi="Times New Roman" w:cs="Times New Roman"/>
                <w:color w:val="auto"/>
                <w:sz w:val="24"/>
                <w:szCs w:val="24"/>
                <w:highlight w:val="none"/>
                <w:lang w:val="en-US" w:eastAsia="zh-CN"/>
              </w:rPr>
              <w:t>厂界北面、西面、南面</w:t>
            </w:r>
            <w:r>
              <w:rPr>
                <w:rFonts w:hint="default" w:ascii="Times New Roman" w:hAnsi="Times New Roman" w:cs="Times New Roman"/>
                <w:color w:val="auto"/>
                <w:sz w:val="24"/>
                <w:szCs w:val="24"/>
                <w:highlight w:val="none"/>
              </w:rPr>
              <w:t>噪声</w:t>
            </w:r>
            <w:r>
              <w:rPr>
                <w:rFonts w:hint="default" w:ascii="Times New Roman" w:hAnsi="Times New Roman" w:cs="Times New Roman"/>
                <w:color w:val="auto"/>
                <w:sz w:val="24"/>
                <w:szCs w:val="24"/>
                <w:highlight w:val="none"/>
                <w:lang w:val="en-US" w:eastAsia="zh-CN"/>
              </w:rPr>
              <w:t>满足</w:t>
            </w:r>
            <w:r>
              <w:rPr>
                <w:rFonts w:hint="default" w:ascii="Times New Roman" w:hAnsi="Times New Roman" w:cs="Times New Roman"/>
                <w:color w:val="auto"/>
                <w:sz w:val="24"/>
                <w:szCs w:val="24"/>
                <w:highlight w:val="none"/>
              </w:rPr>
              <w:t>《工业企业厂界环境噪声排放标准》（GB12348-2008）中的</w:t>
            </w:r>
            <w:r>
              <w:rPr>
                <w:rFonts w:hint="default" w:ascii="Times New Roman" w:hAnsi="Times New Roman" w:cs="Times New Roman"/>
                <w:color w:val="auto"/>
                <w:sz w:val="24"/>
                <w:szCs w:val="24"/>
                <w:highlight w:val="none"/>
                <w:lang w:val="en-US" w:eastAsia="zh-CN"/>
              </w:rPr>
              <w:t>3</w:t>
            </w:r>
            <w:r>
              <w:rPr>
                <w:rFonts w:hint="default" w:ascii="Times New Roman" w:hAnsi="Times New Roman" w:cs="Times New Roman"/>
                <w:color w:val="auto"/>
                <w:sz w:val="24"/>
                <w:szCs w:val="24"/>
                <w:highlight w:val="none"/>
              </w:rPr>
              <w:t>类标准，</w:t>
            </w:r>
            <w:r>
              <w:rPr>
                <w:rFonts w:hint="default" w:ascii="Times New Roman" w:hAnsi="Times New Roman" w:cs="Times New Roman"/>
                <w:color w:val="auto"/>
                <w:sz w:val="24"/>
                <w:szCs w:val="24"/>
                <w:highlight w:val="none"/>
                <w:lang w:val="en-US" w:eastAsia="zh-CN"/>
              </w:rPr>
              <w:t>厂界东面</w:t>
            </w:r>
            <w:r>
              <w:rPr>
                <w:rFonts w:hint="default" w:ascii="Times New Roman" w:hAnsi="Times New Roman" w:cs="Times New Roman"/>
                <w:color w:val="auto"/>
                <w:sz w:val="24"/>
                <w:szCs w:val="24"/>
                <w:highlight w:val="none"/>
              </w:rPr>
              <w:t>噪声</w:t>
            </w:r>
            <w:r>
              <w:rPr>
                <w:rFonts w:hint="default" w:ascii="Times New Roman" w:hAnsi="Times New Roman" w:cs="Times New Roman"/>
                <w:color w:val="auto"/>
                <w:sz w:val="24"/>
                <w:szCs w:val="24"/>
                <w:highlight w:val="none"/>
                <w:lang w:val="en-US" w:eastAsia="zh-CN"/>
              </w:rPr>
              <w:t>满足</w:t>
            </w:r>
            <w:r>
              <w:rPr>
                <w:rFonts w:hint="default" w:ascii="Times New Roman" w:hAnsi="Times New Roman" w:cs="Times New Roman"/>
                <w:color w:val="auto"/>
                <w:sz w:val="24"/>
                <w:szCs w:val="24"/>
                <w:highlight w:val="none"/>
              </w:rPr>
              <w:t>《工业企业厂界环境噪声排放标准》（GB12348-2008）中的</w:t>
            </w:r>
            <w:r>
              <w:rPr>
                <w:rFonts w:hint="default" w:ascii="Times New Roman" w:hAnsi="Times New Roman" w:cs="Times New Roman"/>
                <w:color w:val="auto"/>
                <w:sz w:val="24"/>
                <w:szCs w:val="24"/>
                <w:highlight w:val="none"/>
                <w:lang w:val="en-US" w:eastAsia="zh-CN"/>
              </w:rPr>
              <w:t>4a</w:t>
            </w:r>
            <w:r>
              <w:rPr>
                <w:rFonts w:hint="default" w:ascii="Times New Roman" w:hAnsi="Times New Roman" w:cs="Times New Roman"/>
                <w:color w:val="auto"/>
                <w:sz w:val="24"/>
                <w:szCs w:val="24"/>
                <w:highlight w:val="none"/>
              </w:rPr>
              <w:t>类标准</w:t>
            </w:r>
            <w:r>
              <w:rPr>
                <w:rFonts w:hint="default" w:ascii="Times New Roman" w:hAnsi="Times New Roman" w:eastAsia="宋体" w:cs="Times New Roman"/>
                <w:color w:val="auto"/>
                <w:sz w:val="24"/>
                <w:szCs w:val="24"/>
                <w:highlight w:val="none"/>
              </w:rPr>
              <w:t>，不会对周围声环境及内部造成明显影响。</w:t>
            </w:r>
          </w:p>
          <w:p w14:paraId="06F25F97">
            <w:pPr>
              <w:adjustRightInd w:val="0"/>
              <w:snapToGrid w:val="0"/>
              <w:spacing w:line="360" w:lineRule="auto"/>
              <w:ind w:firstLine="482" w:firstLineChars="200"/>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lang w:val="en-US" w:eastAsia="zh-CN"/>
              </w:rPr>
              <w:t>3.3</w:t>
            </w:r>
            <w:r>
              <w:rPr>
                <w:rFonts w:hint="default" w:ascii="Times New Roman" w:hAnsi="Times New Roman" w:cs="Times New Roman"/>
                <w:b/>
                <w:bCs/>
                <w:color w:val="auto"/>
                <w:sz w:val="24"/>
                <w:highlight w:val="none"/>
              </w:rPr>
              <w:t>降噪措施</w:t>
            </w:r>
          </w:p>
          <w:p w14:paraId="7DFAAADA">
            <w:pPr>
              <w:widowControl/>
              <w:adjustRightInd w:val="0"/>
              <w:snapToGrid w:val="0"/>
              <w:spacing w:line="360" w:lineRule="auto"/>
              <w:ind w:firstLine="480" w:firstLineChars="200"/>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为了降低</w:t>
            </w:r>
            <w:r>
              <w:rPr>
                <w:rFonts w:hint="default" w:ascii="Times New Roman" w:hAnsi="Times New Roman" w:cs="Times New Roman"/>
                <w:color w:val="auto"/>
                <w:sz w:val="24"/>
                <w:highlight w:val="none"/>
                <w:lang w:val="en-US" w:eastAsia="zh-CN"/>
              </w:rPr>
              <w:t>本项目</w:t>
            </w:r>
            <w:r>
              <w:rPr>
                <w:rFonts w:hint="default" w:ascii="Times New Roman" w:hAnsi="Times New Roman" w:cs="Times New Roman"/>
                <w:color w:val="auto"/>
                <w:sz w:val="24"/>
                <w:highlight w:val="none"/>
              </w:rPr>
              <w:t>噪声对其产生的影响，建设单位拟采取如下的噪声污染防治措施，具体如下：</w:t>
            </w:r>
          </w:p>
          <w:p w14:paraId="41984977">
            <w:pPr>
              <w:widowControl/>
              <w:adjustRightInd w:val="0"/>
              <w:snapToGrid w:val="0"/>
              <w:spacing w:before="0" w:after="0" w:line="360" w:lineRule="auto"/>
              <w:ind w:right="0" w:firstLine="480" w:firstLineChars="200"/>
              <w:jc w:val="both"/>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4"/>
                <w:szCs w:val="24"/>
                <w:highlight w:val="none"/>
                <w:lang w:val="en-US" w:eastAsia="zh-CN" w:bidi="ar-SA"/>
              </w:rPr>
              <w:t>1）在设备选型方面，在满足工艺生产的前提下，选用精度高、装配质量好、噪声低的设备；对于混凝土输送泵车、铲车等设备运行时由振动产生的噪声，应对设备基础进行隔振、减振，以此减少噪声；</w:t>
            </w:r>
          </w:p>
          <w:p w14:paraId="0788AA71">
            <w:pPr>
              <w:widowControl/>
              <w:adjustRightInd w:val="0"/>
              <w:snapToGrid w:val="0"/>
              <w:spacing w:before="0" w:after="0" w:line="360" w:lineRule="auto"/>
              <w:ind w:right="0" w:firstLine="480" w:firstLineChars="200"/>
              <w:jc w:val="both"/>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4"/>
                <w:szCs w:val="24"/>
                <w:highlight w:val="none"/>
                <w:lang w:val="en-US" w:eastAsia="zh-CN" w:bidi="ar-SA"/>
              </w:rPr>
              <w:t>2）厂区运输车辆应控制减少响鸣，减少慢怠速；对于厂区内流动声源（汽车），应强化行车管理制度，进入厂区低速行使，最大限度减少流动噪声源；</w:t>
            </w:r>
          </w:p>
          <w:p w14:paraId="2FD14AF4">
            <w:pPr>
              <w:widowControl/>
              <w:adjustRightInd w:val="0"/>
              <w:snapToGrid w:val="0"/>
              <w:spacing w:before="0" w:after="0" w:line="360" w:lineRule="auto"/>
              <w:ind w:right="0" w:firstLine="480" w:firstLineChars="200"/>
              <w:jc w:val="both"/>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4"/>
                <w:szCs w:val="24"/>
                <w:highlight w:val="none"/>
                <w:lang w:val="en-US" w:eastAsia="zh-CN" w:bidi="ar-SA"/>
              </w:rPr>
              <w:t>3）加强管理建立设备定期维护、保养的管理制度，以防止设备故障形成的非生产噪声，同时确保环保措施发挥最有效的功能；加强职工环保意识教育，提倡文明生产，防止人为噪声；</w:t>
            </w:r>
          </w:p>
          <w:p w14:paraId="60C3F1F5">
            <w:pPr>
              <w:widowControl/>
              <w:adjustRightInd w:val="0"/>
              <w:snapToGrid w:val="0"/>
              <w:spacing w:before="0" w:after="0" w:line="360" w:lineRule="auto"/>
              <w:ind w:right="0" w:firstLine="480" w:firstLineChars="200"/>
              <w:jc w:val="both"/>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4"/>
                <w:szCs w:val="24"/>
                <w:highlight w:val="none"/>
                <w:lang w:val="en-US" w:eastAsia="zh-CN" w:bidi="ar-SA"/>
              </w:rPr>
              <w:t>4）对于主要产生噪声的搅拌车间，可对厂房墙体装饰吸声材料，如多孔材料、柔性材料、膜状与板状材料。另外，可在空间悬挂适当的吸声体，以吸收厂房内的一部分反射声；</w:t>
            </w:r>
          </w:p>
          <w:p w14:paraId="02F2217B">
            <w:pPr>
              <w:pStyle w:val="33"/>
              <w:keepNext w:val="0"/>
              <w:keepLines w:val="0"/>
              <w:pageBreakBefore w:val="0"/>
              <w:widowControl/>
              <w:kinsoku/>
              <w:wordWrap/>
              <w:overflowPunct/>
              <w:topLinePunct w:val="0"/>
              <w:autoSpaceDE/>
              <w:autoSpaceDN/>
              <w:bidi w:val="0"/>
              <w:adjustRightInd w:val="0"/>
              <w:snapToGrid w:val="0"/>
              <w:spacing w:after="0" w:line="360" w:lineRule="auto"/>
              <w:ind w:left="0" w:leftChars="0" w:firstLine="480" w:firstLineChars="200"/>
              <w:jc w:val="both"/>
              <w:textAlignment w:val="auto"/>
              <w:rPr>
                <w:rFonts w:hint="default" w:ascii="Times New Roman" w:hAnsi="Times New Roman" w:eastAsia="宋体" w:cs="Times New Roman"/>
                <w:b/>
                <w:bCs/>
                <w:color w:val="auto"/>
                <w:kern w:val="2"/>
                <w:sz w:val="24"/>
                <w:szCs w:val="24"/>
                <w:highlight w:val="none"/>
                <w:lang w:val="en-US" w:eastAsia="zh-CN"/>
              </w:rPr>
            </w:pPr>
            <w:r>
              <w:rPr>
                <w:rFonts w:hint="default" w:ascii="Times New Roman" w:hAnsi="Times New Roman" w:eastAsia="宋体" w:cs="Times New Roman"/>
                <w:color w:val="auto"/>
                <w:kern w:val="2"/>
                <w:sz w:val="24"/>
                <w:szCs w:val="24"/>
                <w:highlight w:val="none"/>
                <w:lang w:val="en-US" w:eastAsia="zh-CN"/>
              </w:rPr>
              <w:t>本项目</w:t>
            </w:r>
            <w:r>
              <w:rPr>
                <w:rFonts w:hint="default" w:ascii="Times New Roman" w:hAnsi="Times New Roman" w:cs="Times New Roman"/>
                <w:color w:val="auto"/>
                <w:sz w:val="24"/>
                <w:szCs w:val="24"/>
                <w:highlight w:val="none"/>
                <w:lang w:val="en-US" w:eastAsia="zh-CN"/>
              </w:rPr>
              <w:t>工作时间为8:30-20:30，</w:t>
            </w:r>
            <w:r>
              <w:rPr>
                <w:rFonts w:hint="default" w:ascii="Times New Roman" w:hAnsi="Times New Roman" w:eastAsia="宋体" w:cs="Times New Roman"/>
                <w:color w:val="auto"/>
                <w:kern w:val="2"/>
                <w:sz w:val="24"/>
                <w:szCs w:val="24"/>
                <w:highlight w:val="none"/>
                <w:lang w:val="en-US" w:eastAsia="zh-CN"/>
              </w:rPr>
              <w:t>夜间不运营，经以上防护措施及墙体隔声和距离的自然衰减后，项目厂界四周均满足《工业企业厂界环境噪声排放标准》（GB12348-2008）中2类标准要求，不会对周围声环境及内部造成明显影响。</w:t>
            </w:r>
          </w:p>
          <w:p w14:paraId="1CA853EE">
            <w:pPr>
              <w:adjustRightInd w:val="0"/>
              <w:snapToGrid w:val="0"/>
              <w:spacing w:line="360" w:lineRule="auto"/>
              <w:ind w:firstLine="482" w:firstLineChars="200"/>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3.</w:t>
            </w:r>
            <w:r>
              <w:rPr>
                <w:rFonts w:hint="default" w:ascii="Times New Roman" w:hAnsi="Times New Roman" w:cs="Times New Roman"/>
                <w:b/>
                <w:bCs/>
                <w:color w:val="auto"/>
                <w:sz w:val="24"/>
                <w:highlight w:val="none"/>
                <w:lang w:val="en-US" w:eastAsia="zh-CN"/>
              </w:rPr>
              <w:t>4</w:t>
            </w:r>
            <w:r>
              <w:rPr>
                <w:rFonts w:hint="default" w:ascii="Times New Roman" w:hAnsi="Times New Roman" w:cs="Times New Roman"/>
                <w:b/>
                <w:bCs/>
                <w:color w:val="auto"/>
                <w:sz w:val="24"/>
                <w:highlight w:val="none"/>
              </w:rPr>
              <w:t>监测计划</w:t>
            </w:r>
          </w:p>
          <w:p w14:paraId="128B825E">
            <w:pPr>
              <w:adjustRightInd w:val="0"/>
              <w:snapToGrid w:val="0"/>
              <w:spacing w:line="360" w:lineRule="auto"/>
              <w:ind w:firstLine="480" w:firstLineChars="200"/>
              <w:rPr>
                <w:rFonts w:hint="default" w:ascii="Times New Roman" w:hAnsi="Times New Roman" w:cs="Times New Roman"/>
                <w:b/>
                <w:bCs/>
                <w:color w:val="auto"/>
                <w:szCs w:val="21"/>
                <w:highlight w:val="none"/>
              </w:rPr>
            </w:pPr>
            <w:r>
              <w:rPr>
                <w:rFonts w:hint="default" w:ascii="Times New Roman" w:hAnsi="Times New Roman" w:cs="Times New Roman"/>
                <w:color w:val="auto"/>
                <w:sz w:val="24"/>
                <w:highlight w:val="none"/>
              </w:rPr>
              <w:t>根据《排污单位自行监测技术指南 总则》（HJ819-2017）</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《排污单位自行监测技术指南 水泥工业》（HJ848-2017）、《排污许可证申请与核发技术规范 工业噪声》（HJ1301-2023），制定</w:t>
            </w:r>
            <w:r>
              <w:rPr>
                <w:rFonts w:hint="default" w:ascii="Times New Roman" w:hAnsi="Times New Roman" w:cs="Times New Roman"/>
                <w:color w:val="auto"/>
                <w:sz w:val="24"/>
                <w:highlight w:val="none"/>
                <w:lang w:eastAsia="zh-CN"/>
              </w:rPr>
              <w:t>本项目</w:t>
            </w:r>
            <w:r>
              <w:rPr>
                <w:rFonts w:hint="default" w:ascii="Times New Roman" w:hAnsi="Times New Roman" w:cs="Times New Roman"/>
                <w:color w:val="auto"/>
                <w:sz w:val="24"/>
                <w:highlight w:val="none"/>
              </w:rPr>
              <w:t>噪声监测计划如下：</w:t>
            </w:r>
          </w:p>
          <w:p w14:paraId="27A60EBF">
            <w:pPr>
              <w:adjustRightInd w:val="0"/>
              <w:snapToGrid w:val="0"/>
              <w:ind w:firstLine="422" w:firstLineChars="20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表</w:t>
            </w:r>
            <w:r>
              <w:rPr>
                <w:rFonts w:hint="default" w:ascii="Times New Roman" w:hAnsi="Times New Roman" w:cs="Times New Roman"/>
                <w:b/>
                <w:bCs/>
                <w:color w:val="auto"/>
                <w:szCs w:val="21"/>
                <w:highlight w:val="none"/>
                <w:lang w:val="en-US" w:eastAsia="zh-CN"/>
              </w:rPr>
              <w:t xml:space="preserve">4-20 </w:t>
            </w:r>
            <w:r>
              <w:rPr>
                <w:rFonts w:hint="default" w:ascii="Times New Roman" w:hAnsi="Times New Roman" w:cs="Times New Roman"/>
                <w:b/>
                <w:bCs/>
                <w:color w:val="auto"/>
                <w:szCs w:val="21"/>
                <w:highlight w:val="none"/>
              </w:rPr>
              <w:t>项目噪声监测计划表</w:t>
            </w:r>
          </w:p>
          <w:tbl>
            <w:tblPr>
              <w:tblStyle w:val="34"/>
              <w:tblW w:w="9299" w:type="dxa"/>
              <w:tblInd w:w="-8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397"/>
              <w:gridCol w:w="1773"/>
              <w:gridCol w:w="3297"/>
              <w:gridCol w:w="2157"/>
            </w:tblGrid>
            <w:tr w14:paraId="2EF4E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675" w:type="dxa"/>
                  <w:noWrap w:val="0"/>
                  <w:vAlign w:val="center"/>
                </w:tcPr>
                <w:p w14:paraId="7624FF45">
                  <w:pPr>
                    <w:adjustRightInd w:val="0"/>
                    <w:snapToGrid w:val="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类别</w:t>
                  </w:r>
                </w:p>
              </w:tc>
              <w:tc>
                <w:tcPr>
                  <w:tcW w:w="1397" w:type="dxa"/>
                  <w:noWrap w:val="0"/>
                  <w:vAlign w:val="center"/>
                </w:tcPr>
                <w:p w14:paraId="37364097">
                  <w:pPr>
                    <w:adjustRightInd w:val="0"/>
                    <w:snapToGrid w:val="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监测点位</w:t>
                  </w:r>
                </w:p>
              </w:tc>
              <w:tc>
                <w:tcPr>
                  <w:tcW w:w="1773" w:type="dxa"/>
                  <w:noWrap w:val="0"/>
                  <w:vAlign w:val="center"/>
                </w:tcPr>
                <w:p w14:paraId="52296AAA">
                  <w:pPr>
                    <w:adjustRightInd w:val="0"/>
                    <w:snapToGrid w:val="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监测项目</w:t>
                  </w:r>
                </w:p>
              </w:tc>
              <w:tc>
                <w:tcPr>
                  <w:tcW w:w="3297" w:type="dxa"/>
                  <w:noWrap w:val="0"/>
                  <w:vAlign w:val="center"/>
                </w:tcPr>
                <w:p w14:paraId="16B80681">
                  <w:pPr>
                    <w:adjustRightInd w:val="0"/>
                    <w:snapToGrid w:val="0"/>
                    <w:jc w:val="center"/>
                    <w:rPr>
                      <w:rFonts w:hint="default" w:ascii="Times New Roman" w:hAnsi="Times New Roman" w:eastAsia="宋体" w:cs="Times New Roman"/>
                      <w:b/>
                      <w:bCs/>
                      <w:color w:val="auto"/>
                      <w:szCs w:val="21"/>
                      <w:highlight w:val="none"/>
                      <w:lang w:eastAsia="zh-CN"/>
                    </w:rPr>
                  </w:pPr>
                  <w:r>
                    <w:rPr>
                      <w:rFonts w:hint="default" w:ascii="Times New Roman" w:hAnsi="Times New Roman" w:cs="Times New Roman"/>
                      <w:b/>
                      <w:bCs/>
                      <w:color w:val="auto"/>
                      <w:szCs w:val="21"/>
                      <w:highlight w:val="none"/>
                      <w:lang w:eastAsia="zh-CN"/>
                    </w:rPr>
                    <w:t>执行标准</w:t>
                  </w:r>
                </w:p>
              </w:tc>
              <w:tc>
                <w:tcPr>
                  <w:tcW w:w="2157" w:type="dxa"/>
                  <w:noWrap w:val="0"/>
                  <w:vAlign w:val="center"/>
                </w:tcPr>
                <w:p w14:paraId="139D1630">
                  <w:pPr>
                    <w:adjustRightInd w:val="0"/>
                    <w:snapToGrid w:val="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监测频率</w:t>
                  </w:r>
                </w:p>
              </w:tc>
            </w:tr>
            <w:tr w14:paraId="5D65D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675" w:type="dxa"/>
                  <w:vMerge w:val="restart"/>
                  <w:noWrap w:val="0"/>
                  <w:vAlign w:val="center"/>
                </w:tcPr>
                <w:p w14:paraId="153A9794">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厂界噪声</w:t>
                  </w:r>
                </w:p>
              </w:tc>
              <w:tc>
                <w:tcPr>
                  <w:tcW w:w="1397" w:type="dxa"/>
                  <w:noWrap w:val="0"/>
                  <w:vAlign w:val="center"/>
                </w:tcPr>
                <w:p w14:paraId="33F77280">
                  <w:pPr>
                    <w:adjustRightInd w:val="0"/>
                    <w:snapToGrid w:val="0"/>
                    <w:ind w:firstLine="210" w:firstLineChars="100"/>
                    <w:jc w:val="center"/>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lang w:val="en-US" w:eastAsia="zh-CN"/>
                    </w:rPr>
                    <w:t>南、西北</w:t>
                  </w:r>
                  <w:r>
                    <w:rPr>
                      <w:rFonts w:hint="default" w:ascii="Times New Roman" w:hAnsi="Times New Roman" w:cs="Times New Roman"/>
                      <w:color w:val="auto"/>
                      <w:szCs w:val="21"/>
                      <w:highlight w:val="none"/>
                    </w:rPr>
                    <w:t>厂界</w:t>
                  </w:r>
                  <w:r>
                    <w:rPr>
                      <w:rFonts w:hint="default" w:ascii="Times New Roman" w:hAnsi="Times New Roman" w:cs="Times New Roman"/>
                      <w:color w:val="auto"/>
                      <w:szCs w:val="21"/>
                      <w:highlight w:val="none"/>
                      <w:lang w:val="en-US" w:eastAsia="zh-CN"/>
                    </w:rPr>
                    <w:t>外1m处</w:t>
                  </w:r>
                </w:p>
              </w:tc>
              <w:tc>
                <w:tcPr>
                  <w:tcW w:w="1773" w:type="dxa"/>
                  <w:noWrap w:val="0"/>
                  <w:vAlign w:val="center"/>
                </w:tcPr>
                <w:p w14:paraId="7C547455">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等效连续A声级</w:t>
                  </w:r>
                </w:p>
              </w:tc>
              <w:tc>
                <w:tcPr>
                  <w:tcW w:w="3297" w:type="dxa"/>
                  <w:noWrap w:val="0"/>
                  <w:vAlign w:val="center"/>
                </w:tcPr>
                <w:p w14:paraId="7244A450">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szCs w:val="21"/>
                      <w:highlight w:val="none"/>
                    </w:rPr>
                    <w:t>《工业企业厂界环境噪声排放标准》（GB12348-2008）</w:t>
                  </w:r>
                  <w:r>
                    <w:rPr>
                      <w:rFonts w:hint="default" w:ascii="Times New Roman" w:hAnsi="Times New Roman" w:eastAsia="宋体" w:cs="Times New Roman"/>
                      <w:color w:val="auto"/>
                      <w:szCs w:val="21"/>
                      <w:highlight w:val="none"/>
                      <w:lang w:val="en-US" w:eastAsia="zh-CN"/>
                    </w:rPr>
                    <w:t>3类</w:t>
                  </w:r>
                </w:p>
              </w:tc>
              <w:tc>
                <w:tcPr>
                  <w:tcW w:w="2157" w:type="dxa"/>
                  <w:vMerge w:val="restart"/>
                  <w:noWrap w:val="0"/>
                  <w:vAlign w:val="center"/>
                </w:tcPr>
                <w:p w14:paraId="04480348">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1次/季度，</w:t>
                  </w:r>
                  <w:r>
                    <w:rPr>
                      <w:rFonts w:hint="default" w:ascii="Times New Roman" w:hAnsi="Times New Roman" w:cs="Times New Roman"/>
                      <w:color w:val="auto"/>
                      <w:szCs w:val="21"/>
                      <w:highlight w:val="none"/>
                      <w:lang w:val="en-US" w:eastAsia="zh-CN"/>
                    </w:rPr>
                    <w:t>项目工作时间为</w:t>
                  </w:r>
                  <w:r>
                    <w:rPr>
                      <w:rFonts w:hint="default" w:ascii="Times New Roman" w:hAnsi="Times New Roman" w:cs="Times New Roman"/>
                      <w:color w:val="auto"/>
                      <w:sz w:val="21"/>
                      <w:szCs w:val="21"/>
                      <w:highlight w:val="none"/>
                      <w:lang w:val="en-US" w:eastAsia="zh-CN"/>
                    </w:rPr>
                    <w:t>8:30-</w:t>
                  </w:r>
                  <w:r>
                    <w:rPr>
                      <w:rFonts w:hint="default" w:ascii="Times New Roman" w:hAnsi="Times New Roman" w:cs="Times New Roman"/>
                      <w:color w:val="auto"/>
                      <w:szCs w:val="21"/>
                      <w:highlight w:val="none"/>
                      <w:lang w:val="en-US" w:eastAsia="zh-CN"/>
                    </w:rPr>
                    <w:t>20:30，</w:t>
                  </w:r>
                  <w:r>
                    <w:rPr>
                      <w:rFonts w:hint="default" w:ascii="Times New Roman" w:hAnsi="Times New Roman" w:cs="Times New Roman"/>
                      <w:color w:val="auto"/>
                      <w:szCs w:val="21"/>
                      <w:highlight w:val="none"/>
                    </w:rPr>
                    <w:t>夜间不生产，只监测昼间噪声</w:t>
                  </w:r>
                </w:p>
              </w:tc>
            </w:tr>
            <w:tr w14:paraId="6CD14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675" w:type="dxa"/>
                  <w:vMerge w:val="continue"/>
                  <w:noWrap w:val="0"/>
                  <w:vAlign w:val="center"/>
                </w:tcPr>
                <w:p w14:paraId="1A248F75">
                  <w:pPr>
                    <w:adjustRightInd w:val="0"/>
                    <w:snapToGrid w:val="0"/>
                    <w:jc w:val="center"/>
                    <w:rPr>
                      <w:rFonts w:hint="default" w:ascii="Times New Roman" w:hAnsi="Times New Roman" w:cs="Times New Roman"/>
                      <w:color w:val="auto"/>
                      <w:szCs w:val="21"/>
                      <w:highlight w:val="none"/>
                    </w:rPr>
                  </w:pPr>
                </w:p>
              </w:tc>
              <w:tc>
                <w:tcPr>
                  <w:tcW w:w="1397" w:type="dxa"/>
                  <w:noWrap w:val="0"/>
                  <w:vAlign w:val="center"/>
                </w:tcPr>
                <w:p w14:paraId="2B5B7F41">
                  <w:pPr>
                    <w:adjustRightInd w:val="0"/>
                    <w:snapToGrid w:val="0"/>
                    <w:ind w:firstLine="210" w:firstLineChars="10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东</w:t>
                  </w:r>
                  <w:r>
                    <w:rPr>
                      <w:rFonts w:hint="default" w:ascii="Times New Roman" w:hAnsi="Times New Roman" w:cs="Times New Roman"/>
                      <w:color w:val="auto"/>
                      <w:szCs w:val="21"/>
                      <w:highlight w:val="none"/>
                    </w:rPr>
                    <w:t>厂界</w:t>
                  </w:r>
                  <w:r>
                    <w:rPr>
                      <w:rFonts w:hint="default" w:ascii="Times New Roman" w:hAnsi="Times New Roman" w:cs="Times New Roman"/>
                      <w:color w:val="auto"/>
                      <w:szCs w:val="21"/>
                      <w:highlight w:val="none"/>
                      <w:lang w:val="en-US" w:eastAsia="zh-CN"/>
                    </w:rPr>
                    <w:t>外1m处</w:t>
                  </w:r>
                </w:p>
              </w:tc>
              <w:tc>
                <w:tcPr>
                  <w:tcW w:w="1773" w:type="dxa"/>
                  <w:noWrap w:val="0"/>
                  <w:vAlign w:val="center"/>
                </w:tcPr>
                <w:p w14:paraId="6D98D20F">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等效连续A声级</w:t>
                  </w:r>
                </w:p>
              </w:tc>
              <w:tc>
                <w:tcPr>
                  <w:tcW w:w="3297" w:type="dxa"/>
                  <w:noWrap w:val="0"/>
                  <w:vAlign w:val="center"/>
                </w:tcPr>
                <w:p w14:paraId="7B6B1BC9">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《工业企业厂界环境噪声排放标准》（GB12348-2008）</w:t>
                  </w:r>
                  <w:r>
                    <w:rPr>
                      <w:rFonts w:hint="default" w:ascii="Times New Roman" w:hAnsi="Times New Roman" w:eastAsia="宋体" w:cs="Times New Roman"/>
                      <w:color w:val="auto"/>
                      <w:szCs w:val="21"/>
                      <w:highlight w:val="none"/>
                      <w:lang w:val="en-US" w:eastAsia="zh-CN"/>
                    </w:rPr>
                    <w:t>4a类</w:t>
                  </w:r>
                </w:p>
              </w:tc>
              <w:tc>
                <w:tcPr>
                  <w:tcW w:w="2157" w:type="dxa"/>
                  <w:vMerge w:val="continue"/>
                  <w:noWrap w:val="0"/>
                  <w:vAlign w:val="center"/>
                </w:tcPr>
                <w:p w14:paraId="65113E02">
                  <w:pPr>
                    <w:adjustRightInd w:val="0"/>
                    <w:snapToGrid w:val="0"/>
                    <w:jc w:val="center"/>
                    <w:rPr>
                      <w:rFonts w:hint="default" w:ascii="Times New Roman" w:hAnsi="Times New Roman" w:cs="Times New Roman"/>
                      <w:color w:val="auto"/>
                      <w:szCs w:val="21"/>
                      <w:highlight w:val="none"/>
                    </w:rPr>
                  </w:pPr>
                </w:p>
              </w:tc>
            </w:tr>
          </w:tbl>
          <w:p w14:paraId="3A7145F8">
            <w:pPr>
              <w:adjustRightInd w:val="0"/>
              <w:snapToGrid w:val="0"/>
              <w:spacing w:line="360" w:lineRule="auto"/>
              <w:ind w:firstLine="480" w:firstLineChars="200"/>
              <w:rPr>
                <w:rFonts w:hint="default" w:ascii="Times New Roman" w:hAnsi="Times New Roman" w:cs="Times New Roman"/>
                <w:b/>
                <w:bCs/>
                <w:color w:val="auto"/>
                <w:sz w:val="24"/>
                <w:highlight w:val="none"/>
              </w:rPr>
            </w:pPr>
            <w:r>
              <w:rPr>
                <w:rFonts w:hint="default" w:ascii="Times New Roman" w:hAnsi="Times New Roman" w:cs="Times New Roman"/>
                <w:color w:val="auto"/>
                <w:sz w:val="24"/>
                <w:highlight w:val="none"/>
                <w:lang w:eastAsia="zh-CN"/>
              </w:rPr>
              <w:t>本</w:t>
            </w:r>
            <w:r>
              <w:rPr>
                <w:rFonts w:hint="default" w:ascii="Times New Roman" w:hAnsi="Times New Roman" w:cs="Times New Roman"/>
                <w:color w:val="auto"/>
                <w:sz w:val="24"/>
                <w:highlight w:val="none"/>
              </w:rPr>
              <w:t>项目</w:t>
            </w:r>
            <w:r>
              <w:rPr>
                <w:rFonts w:hint="default" w:ascii="Times New Roman" w:hAnsi="Times New Roman" w:eastAsia="宋体" w:cs="Times New Roman"/>
                <w:color w:val="auto"/>
                <w:sz w:val="24"/>
                <w:highlight w:val="none"/>
              </w:rPr>
              <w:t>夜间不运营，</w:t>
            </w:r>
            <w:r>
              <w:rPr>
                <w:rFonts w:hint="default" w:ascii="Times New Roman" w:hAnsi="Times New Roman" w:eastAsia="宋体" w:cs="Times New Roman"/>
                <w:color w:val="auto"/>
                <w:kern w:val="2"/>
                <w:sz w:val="24"/>
                <w:szCs w:val="20"/>
                <w:highlight w:val="none"/>
                <w:lang w:val="en-US" w:eastAsia="zh-CN" w:bidi="ar"/>
              </w:rPr>
              <w:t>厂界50m范围内无声环境保护目标</w:t>
            </w:r>
            <w:r>
              <w:rPr>
                <w:rFonts w:hint="default" w:ascii="Times New Roman" w:hAnsi="Times New Roman" w:cs="Times New Roman"/>
                <w:color w:val="auto"/>
                <w:sz w:val="24"/>
                <w:highlight w:val="none"/>
              </w:rPr>
              <w:t>，无需考虑声环境保护目标。项目噪声源经以上防护措施及墙体隔声和距离的自然衰减后，</w:t>
            </w:r>
            <w:r>
              <w:rPr>
                <w:rFonts w:hint="default" w:ascii="Times New Roman" w:hAnsi="Times New Roman" w:cs="Times New Roman"/>
                <w:color w:val="auto"/>
                <w:sz w:val="24"/>
                <w:highlight w:val="none"/>
                <w:lang w:eastAsia="zh-CN"/>
              </w:rPr>
              <w:t>项目</w:t>
            </w:r>
            <w:r>
              <w:rPr>
                <w:rFonts w:hint="default" w:ascii="Times New Roman" w:hAnsi="Times New Roman" w:cs="Times New Roman"/>
                <w:color w:val="auto"/>
                <w:sz w:val="24"/>
                <w:szCs w:val="24"/>
                <w:highlight w:val="none"/>
                <w:lang w:val="en-US" w:eastAsia="zh-CN"/>
              </w:rPr>
              <w:t>厂界北面、西面、南面</w:t>
            </w:r>
            <w:r>
              <w:rPr>
                <w:rFonts w:hint="default" w:ascii="Times New Roman" w:hAnsi="Times New Roman" w:cs="Times New Roman"/>
                <w:color w:val="auto"/>
                <w:sz w:val="24"/>
                <w:szCs w:val="24"/>
                <w:highlight w:val="none"/>
              </w:rPr>
              <w:t>噪声</w:t>
            </w:r>
            <w:r>
              <w:rPr>
                <w:rFonts w:hint="default" w:ascii="Times New Roman" w:hAnsi="Times New Roman" w:cs="Times New Roman"/>
                <w:color w:val="auto"/>
                <w:sz w:val="24"/>
                <w:szCs w:val="24"/>
                <w:highlight w:val="none"/>
                <w:lang w:val="en-US" w:eastAsia="zh-CN"/>
              </w:rPr>
              <w:t>满足</w:t>
            </w:r>
            <w:r>
              <w:rPr>
                <w:rFonts w:hint="default" w:ascii="Times New Roman" w:hAnsi="Times New Roman" w:cs="Times New Roman"/>
                <w:color w:val="auto"/>
                <w:sz w:val="24"/>
                <w:szCs w:val="24"/>
                <w:highlight w:val="none"/>
              </w:rPr>
              <w:t>《工业企业厂界环境噪声排放标准》（GB12348-2008）中的</w:t>
            </w:r>
            <w:r>
              <w:rPr>
                <w:rFonts w:hint="default" w:ascii="Times New Roman" w:hAnsi="Times New Roman" w:cs="Times New Roman"/>
                <w:color w:val="auto"/>
                <w:sz w:val="24"/>
                <w:szCs w:val="24"/>
                <w:highlight w:val="none"/>
                <w:lang w:val="en-US" w:eastAsia="zh-CN"/>
              </w:rPr>
              <w:t>3</w:t>
            </w:r>
            <w:r>
              <w:rPr>
                <w:rFonts w:hint="default" w:ascii="Times New Roman" w:hAnsi="Times New Roman" w:cs="Times New Roman"/>
                <w:color w:val="auto"/>
                <w:sz w:val="24"/>
                <w:szCs w:val="24"/>
                <w:highlight w:val="none"/>
              </w:rPr>
              <w:t>类标准，</w:t>
            </w:r>
            <w:r>
              <w:rPr>
                <w:rFonts w:hint="default" w:ascii="Times New Roman" w:hAnsi="Times New Roman" w:cs="Times New Roman"/>
                <w:color w:val="auto"/>
                <w:sz w:val="24"/>
                <w:szCs w:val="24"/>
                <w:highlight w:val="none"/>
                <w:lang w:val="en-US" w:eastAsia="zh-CN"/>
              </w:rPr>
              <w:t>厂界东面</w:t>
            </w:r>
            <w:r>
              <w:rPr>
                <w:rFonts w:hint="default" w:ascii="Times New Roman" w:hAnsi="Times New Roman" w:cs="Times New Roman"/>
                <w:color w:val="auto"/>
                <w:sz w:val="24"/>
                <w:szCs w:val="24"/>
                <w:highlight w:val="none"/>
              </w:rPr>
              <w:t>噪声</w:t>
            </w:r>
            <w:r>
              <w:rPr>
                <w:rFonts w:hint="default" w:ascii="Times New Roman" w:hAnsi="Times New Roman" w:cs="Times New Roman"/>
                <w:color w:val="auto"/>
                <w:sz w:val="24"/>
                <w:szCs w:val="24"/>
                <w:highlight w:val="none"/>
                <w:lang w:val="en-US" w:eastAsia="zh-CN"/>
              </w:rPr>
              <w:t>满足</w:t>
            </w:r>
            <w:r>
              <w:rPr>
                <w:rFonts w:hint="default" w:ascii="Times New Roman" w:hAnsi="Times New Roman" w:cs="Times New Roman"/>
                <w:color w:val="auto"/>
                <w:sz w:val="24"/>
                <w:szCs w:val="24"/>
                <w:highlight w:val="none"/>
              </w:rPr>
              <w:t>《工业企业厂界环境噪声排放标准》（GB12348-2008）中的</w:t>
            </w:r>
            <w:r>
              <w:rPr>
                <w:rFonts w:hint="default" w:ascii="Times New Roman" w:hAnsi="Times New Roman" w:cs="Times New Roman"/>
                <w:color w:val="auto"/>
                <w:sz w:val="24"/>
                <w:szCs w:val="24"/>
                <w:highlight w:val="none"/>
                <w:lang w:val="en-US" w:eastAsia="zh-CN"/>
              </w:rPr>
              <w:t>4a</w:t>
            </w:r>
            <w:r>
              <w:rPr>
                <w:rFonts w:hint="default" w:ascii="Times New Roman" w:hAnsi="Times New Roman" w:cs="Times New Roman"/>
                <w:color w:val="auto"/>
                <w:sz w:val="24"/>
                <w:szCs w:val="24"/>
                <w:highlight w:val="none"/>
              </w:rPr>
              <w:t>类标准</w:t>
            </w:r>
            <w:r>
              <w:rPr>
                <w:rFonts w:hint="default" w:ascii="Times New Roman" w:hAnsi="Times New Roman" w:cs="Times New Roman"/>
                <w:color w:val="auto"/>
                <w:sz w:val="24"/>
                <w:highlight w:val="none"/>
              </w:rPr>
              <w:t>，不会对周围声环境及内部造成明显影响。</w:t>
            </w:r>
          </w:p>
          <w:p w14:paraId="161A890A">
            <w:pPr>
              <w:keepNext w:val="0"/>
              <w:keepLines w:val="0"/>
              <w:pageBreakBefore w:val="0"/>
              <w:widowControl w:val="0"/>
              <w:numPr>
                <w:ilvl w:val="0"/>
                <w:numId w:val="5"/>
              </w:numPr>
              <w:kinsoku/>
              <w:wordWrap/>
              <w:overflowPunct/>
              <w:topLinePunct w:val="0"/>
              <w:autoSpaceDE/>
              <w:autoSpaceDN/>
              <w:bidi w:val="0"/>
              <w:adjustRightInd w:val="0"/>
              <w:snapToGrid w:val="0"/>
              <w:spacing w:line="360" w:lineRule="auto"/>
              <w:ind w:left="-62" w:leftChars="0" w:firstLine="482" w:firstLineChars="0"/>
              <w:textAlignment w:val="auto"/>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固体废物</w:t>
            </w:r>
          </w:p>
          <w:p w14:paraId="0EB31C8E">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4.1固体废物产生情况</w:t>
            </w:r>
          </w:p>
          <w:p w14:paraId="34591AE7">
            <w:pPr>
              <w:adjustRightInd w:val="0"/>
              <w:snapToGrid w:val="0"/>
              <w:spacing w:line="360" w:lineRule="auto"/>
              <w:ind w:firstLine="480" w:firstLineChars="200"/>
              <w:rPr>
                <w:rFonts w:hint="default" w:ascii="Times New Roman" w:hAnsi="Times New Roman" w:eastAsia="宋体" w:cs="Times New Roman"/>
                <w:bCs/>
                <w:color w:val="auto"/>
                <w:sz w:val="24"/>
                <w:szCs w:val="22"/>
                <w:highlight w:val="none"/>
                <w:lang w:eastAsia="zh-CN"/>
              </w:rPr>
            </w:pPr>
            <w:r>
              <w:rPr>
                <w:rFonts w:hint="default" w:ascii="Times New Roman" w:hAnsi="Times New Roman" w:cs="Times New Roman"/>
                <w:bCs/>
                <w:color w:val="auto"/>
                <w:sz w:val="24"/>
                <w:highlight w:val="none"/>
              </w:rPr>
              <w:t>项目运营期产生的固体废物主要来源于</w:t>
            </w:r>
            <w:r>
              <w:rPr>
                <w:rFonts w:hint="default" w:ascii="Times New Roman" w:hAnsi="Times New Roman" w:cs="Times New Roman"/>
                <w:color w:val="auto"/>
                <w:sz w:val="24"/>
                <w:highlight w:val="none"/>
              </w:rPr>
              <w:t>生活垃圾、一般固体废物（布袋收集的粉尘、沉淀池沉渣、废塑料膜、废模具、焊渣、废滤袋、雨水沉渣</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废混凝土块、</w:t>
            </w:r>
            <w:r>
              <w:rPr>
                <w:rFonts w:hint="default" w:ascii="Times New Roman" w:hAnsi="Times New Roman" w:cs="Times New Roman"/>
                <w:color w:val="auto"/>
                <w:sz w:val="24"/>
                <w:highlight w:val="none"/>
              </w:rPr>
              <w:t>钢材边角料</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废包装材料、</w:t>
            </w:r>
            <w:r>
              <w:rPr>
                <w:rFonts w:hint="default" w:ascii="Times New Roman" w:hAnsi="Times New Roman" w:eastAsia="宋体" w:cs="Times New Roman"/>
                <w:color w:val="auto"/>
                <w:sz w:val="24"/>
                <w:highlight w:val="none"/>
                <w:lang w:eastAsia="zh-CN"/>
              </w:rPr>
              <w:t>废</w:t>
            </w:r>
            <w:r>
              <w:rPr>
                <w:rFonts w:hint="default" w:ascii="Times New Roman" w:hAnsi="Times New Roman" w:cs="Times New Roman"/>
                <w:color w:val="auto"/>
                <w:sz w:val="24"/>
                <w:highlight w:val="none"/>
                <w:lang w:val="en-US" w:eastAsia="zh-CN"/>
              </w:rPr>
              <w:t>脱模剂</w:t>
            </w:r>
            <w:r>
              <w:rPr>
                <w:rFonts w:hint="default" w:ascii="Times New Roman" w:hAnsi="Times New Roman" w:eastAsia="宋体" w:cs="Times New Roman"/>
                <w:color w:val="auto"/>
                <w:sz w:val="24"/>
                <w:highlight w:val="none"/>
                <w:lang w:eastAsia="zh-CN"/>
              </w:rPr>
              <w:t>桶</w:t>
            </w:r>
            <w:r>
              <w:rPr>
                <w:rFonts w:hint="default" w:ascii="Times New Roman" w:hAnsi="Times New Roman" w:cs="Times New Roman"/>
                <w:bCs/>
                <w:color w:val="auto"/>
                <w:sz w:val="24"/>
                <w:highlight w:val="none"/>
              </w:rPr>
              <w:t>等）和危险废物（</w:t>
            </w:r>
            <w:r>
              <w:rPr>
                <w:rFonts w:hint="default" w:ascii="Times New Roman" w:hAnsi="Times New Roman" w:cs="Times New Roman"/>
                <w:color w:val="auto"/>
                <w:sz w:val="24"/>
                <w:highlight w:val="none"/>
                <w:lang w:eastAsia="zh-CN"/>
              </w:rPr>
              <w:t>含油手套及废抹布</w:t>
            </w:r>
            <w:r>
              <w:rPr>
                <w:rFonts w:hint="default" w:ascii="Times New Roman" w:hAnsi="Times New Roman" w:cs="Times New Roman"/>
                <w:color w:val="auto"/>
                <w:sz w:val="24"/>
                <w:highlight w:val="none"/>
              </w:rPr>
              <w:t>、废机油、废机油桶、</w:t>
            </w:r>
            <w:r>
              <w:rPr>
                <w:rFonts w:hint="default" w:ascii="Times New Roman" w:hAnsi="Times New Roman" w:cs="Times New Roman"/>
                <w:color w:val="auto"/>
                <w:sz w:val="24"/>
                <w:highlight w:val="none"/>
                <w:lang w:val="en-US" w:eastAsia="zh-CN"/>
              </w:rPr>
              <w:t>废包装桶</w:t>
            </w:r>
            <w:r>
              <w:rPr>
                <w:rFonts w:hint="default" w:ascii="Times New Roman" w:hAnsi="Times New Roman" w:cs="Times New Roman"/>
                <w:bCs/>
                <w:color w:val="auto"/>
                <w:sz w:val="24"/>
                <w:highlight w:val="none"/>
              </w:rPr>
              <w:t>等危险废物等）</w:t>
            </w:r>
            <w:r>
              <w:rPr>
                <w:rFonts w:hint="default" w:ascii="Times New Roman" w:hAnsi="Times New Roman" w:cs="Times New Roman"/>
                <w:bCs/>
                <w:color w:val="auto"/>
                <w:sz w:val="24"/>
                <w:szCs w:val="22"/>
                <w:highlight w:val="none"/>
                <w:lang w:eastAsia="zh-CN"/>
              </w:rPr>
              <w:t>。</w:t>
            </w:r>
          </w:p>
          <w:p w14:paraId="66D21F4F">
            <w:pPr>
              <w:keepNext w:val="0"/>
              <w:keepLines w:val="0"/>
              <w:pageBreakBefore w:val="0"/>
              <w:widowControl w:val="0"/>
              <w:kinsoku/>
              <w:wordWrap/>
              <w:overflowPunct/>
              <w:topLinePunct w:val="0"/>
              <w:bidi w:val="0"/>
              <w:adjustRightInd w:val="0"/>
              <w:snapToGrid w:val="0"/>
              <w:spacing w:line="360" w:lineRule="auto"/>
              <w:ind w:firstLine="482" w:firstLineChars="200"/>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4.1.1一般固体废物</w:t>
            </w:r>
          </w:p>
          <w:p w14:paraId="4BAEF8E9">
            <w:pPr>
              <w:pStyle w:val="43"/>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baseline"/>
              <w:rPr>
                <w:rFonts w:hint="default" w:ascii="Times New Roman" w:hAnsi="Times New Roman" w:eastAsia="宋体" w:cs="Times New Roman"/>
                <w:color w:val="auto"/>
                <w:kern w:val="2"/>
                <w:szCs w:val="21"/>
                <w:highlight w:val="none"/>
              </w:rPr>
            </w:pPr>
            <w:r>
              <w:rPr>
                <w:rFonts w:hint="default" w:ascii="Times New Roman" w:hAnsi="Times New Roman" w:cs="Times New Roman"/>
                <w:bCs/>
                <w:color w:val="auto"/>
                <w:kern w:val="2"/>
                <w:sz w:val="24"/>
                <w:szCs w:val="24"/>
                <w:highlight w:val="none"/>
                <w:lang w:val="en-US" w:eastAsia="zh-CN" w:bidi="ar-SA"/>
              </w:rPr>
              <w:t>布袋收集的粉尘</w:t>
            </w:r>
            <w:r>
              <w:rPr>
                <w:rFonts w:hint="default" w:ascii="Times New Roman" w:hAnsi="Times New Roman" w:eastAsia="宋体" w:cs="Times New Roman"/>
                <w:bCs/>
                <w:color w:val="auto"/>
                <w:kern w:val="2"/>
                <w:sz w:val="24"/>
                <w:szCs w:val="24"/>
                <w:highlight w:val="none"/>
                <w:lang w:val="en-US" w:eastAsia="zh-CN" w:bidi="ar-SA"/>
              </w:rPr>
              <w:t>：项目</w:t>
            </w:r>
            <w:r>
              <w:rPr>
                <w:rFonts w:hint="default" w:ascii="Times New Roman" w:hAnsi="Times New Roman" w:cs="Times New Roman"/>
                <w:bCs/>
                <w:color w:val="auto"/>
                <w:kern w:val="2"/>
                <w:sz w:val="24"/>
                <w:szCs w:val="24"/>
                <w:highlight w:val="none"/>
                <w:lang w:val="en-US" w:eastAsia="zh-CN" w:bidi="ar-SA"/>
              </w:rPr>
              <w:t>筒仓呼吸及搅拌机自带的脉冲布袋除尘器会收集一定量的粉尘，根据源强核算可知，</w:t>
            </w:r>
            <w:r>
              <w:rPr>
                <w:rFonts w:hint="default" w:ascii="Times New Roman" w:hAnsi="Times New Roman" w:eastAsia="宋体" w:cs="Times New Roman"/>
                <w:bCs/>
                <w:color w:val="auto"/>
                <w:kern w:val="2"/>
                <w:sz w:val="24"/>
                <w:szCs w:val="24"/>
                <w:highlight w:val="none"/>
                <w:lang w:val="en-US" w:eastAsia="zh-CN" w:bidi="ar-SA"/>
              </w:rPr>
              <w:t>布袋收集粉尘为</w:t>
            </w:r>
            <w:r>
              <w:rPr>
                <w:rFonts w:hint="eastAsia" w:ascii="Times New Roman" w:cs="Times New Roman"/>
                <w:bCs/>
                <w:color w:val="auto"/>
                <w:szCs w:val="21"/>
                <w:highlight w:val="none"/>
                <w:lang w:val="en-US" w:eastAsia="zh-CN"/>
              </w:rPr>
              <w:t>295.943</w:t>
            </w:r>
            <w:r>
              <w:rPr>
                <w:rFonts w:hint="default" w:ascii="Times New Roman" w:hAnsi="Times New Roman" w:eastAsia="宋体" w:cs="Times New Roman"/>
                <w:bCs/>
                <w:color w:val="auto"/>
                <w:kern w:val="2"/>
                <w:sz w:val="24"/>
                <w:szCs w:val="24"/>
                <w:highlight w:val="none"/>
                <w:lang w:val="en-US" w:eastAsia="zh-CN" w:bidi="ar-SA"/>
              </w:rPr>
              <w:t>t/a</w:t>
            </w:r>
            <w:r>
              <w:rPr>
                <w:rFonts w:hint="default" w:ascii="Times New Roman" w:hAnsi="Times New Roman" w:cs="Times New Roman"/>
                <w:color w:val="auto"/>
                <w:sz w:val="24"/>
                <w:szCs w:val="21"/>
                <w:highlight w:val="none"/>
              </w:rPr>
              <w:t>，</w:t>
            </w:r>
            <w:r>
              <w:rPr>
                <w:rFonts w:hint="default" w:ascii="Times New Roman" w:hAnsi="Times New Roman" w:cs="Times New Roman"/>
                <w:color w:val="auto"/>
                <w:sz w:val="24"/>
                <w:szCs w:val="21"/>
                <w:highlight w:val="none"/>
                <w:lang w:val="en-US" w:eastAsia="zh-CN"/>
              </w:rPr>
              <w:t>布袋收集的粉尘</w:t>
            </w:r>
            <w:r>
              <w:rPr>
                <w:rFonts w:hint="default" w:ascii="Times New Roman" w:hAnsi="Times New Roman" w:eastAsia="宋体" w:cs="Times New Roman"/>
                <w:color w:val="auto"/>
                <w:sz w:val="24"/>
                <w:szCs w:val="24"/>
                <w:highlight w:val="none"/>
                <w:lang w:val="en-US" w:eastAsia="zh-CN"/>
              </w:rPr>
              <w:t>属于一般固体废物，</w:t>
            </w:r>
            <w:r>
              <w:rPr>
                <w:rFonts w:hint="default" w:ascii="Times New Roman" w:hAnsi="Times New Roman" w:cs="Times New Roman"/>
                <w:color w:val="auto"/>
                <w:sz w:val="24"/>
                <w:szCs w:val="24"/>
                <w:highlight w:val="none"/>
                <w:lang w:eastAsia="zh-CN"/>
              </w:rPr>
              <w:t>根据</w:t>
            </w:r>
            <w:r>
              <w:rPr>
                <w:rFonts w:hint="default" w:ascii="Times New Roman" w:hAnsi="Times New Roman" w:cs="Times New Roman"/>
                <w:b w:val="0"/>
                <w:bCs w:val="0"/>
                <w:color w:val="auto"/>
                <w:sz w:val="24"/>
                <w:szCs w:val="24"/>
                <w:highlight w:val="none"/>
                <w:lang w:val="en-US" w:eastAsia="zh-CN"/>
              </w:rPr>
              <w:t>《关于发布&lt;固体废物分类与代码目录&gt;的公告》（公告 2024年 第4号）</w:t>
            </w:r>
            <w:r>
              <w:rPr>
                <w:rFonts w:hint="default" w:ascii="Times New Roman" w:hAnsi="Times New Roman" w:cs="Times New Roman"/>
                <w:color w:val="auto"/>
                <w:sz w:val="24"/>
                <w:szCs w:val="24"/>
                <w:highlight w:val="none"/>
                <w:lang w:eastAsia="zh-CN"/>
              </w:rPr>
              <w:t>，布袋收集的粉尘属于</w:t>
            </w:r>
            <w:r>
              <w:rPr>
                <w:rFonts w:hint="default" w:ascii="Times New Roman" w:hAnsi="Times New Roman" w:cs="Times New Roman"/>
                <w:b w:val="0"/>
                <w:bCs w:val="0"/>
                <w:color w:val="auto"/>
                <w:sz w:val="24"/>
                <w:szCs w:val="24"/>
                <w:highlight w:val="none"/>
                <w:lang w:val="en-US" w:eastAsia="zh-CN"/>
              </w:rPr>
              <w:t>SW17可再生类废物，废物代码为900-099-S17，</w:t>
            </w:r>
            <w:r>
              <w:rPr>
                <w:rFonts w:hint="default" w:ascii="Times New Roman" w:hAnsi="Times New Roman" w:cs="Times New Roman"/>
                <w:bCs/>
                <w:color w:val="auto"/>
                <w:kern w:val="0"/>
                <w:sz w:val="24"/>
                <w:highlight w:val="none"/>
                <w:lang w:val="en-US" w:eastAsia="zh-CN"/>
              </w:rPr>
              <w:t>布袋收集的粉尘</w:t>
            </w:r>
            <w:r>
              <w:rPr>
                <w:rFonts w:hint="default" w:ascii="Times New Roman" w:hAnsi="Times New Roman" w:eastAsia="宋体" w:cs="Times New Roman"/>
                <w:color w:val="auto"/>
                <w:kern w:val="2"/>
                <w:szCs w:val="21"/>
                <w:highlight w:val="none"/>
              </w:rPr>
              <w:t>经收集后</w:t>
            </w:r>
            <w:r>
              <w:rPr>
                <w:rFonts w:hint="default" w:ascii="Times New Roman" w:hAnsi="Times New Roman" w:cs="Times New Roman"/>
                <w:color w:val="auto"/>
                <w:kern w:val="2"/>
                <w:szCs w:val="21"/>
                <w:highlight w:val="none"/>
                <w:lang w:val="en-US" w:eastAsia="zh-CN"/>
              </w:rPr>
              <w:t>回用于生产</w:t>
            </w:r>
            <w:r>
              <w:rPr>
                <w:rFonts w:hint="default" w:ascii="Times New Roman" w:hAnsi="Times New Roman" w:eastAsia="宋体" w:cs="Times New Roman"/>
                <w:color w:val="auto"/>
                <w:kern w:val="2"/>
                <w:szCs w:val="21"/>
                <w:highlight w:val="none"/>
              </w:rPr>
              <w:t>。</w:t>
            </w:r>
          </w:p>
          <w:p w14:paraId="7E69D652">
            <w:pPr>
              <w:pStyle w:val="43"/>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baseline"/>
              <w:rPr>
                <w:rFonts w:hint="default" w:ascii="Times New Roman" w:hAnsi="Times New Roman" w:cs="Times New Roman"/>
                <w:bCs/>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1"/>
                <w:highlight w:val="none"/>
                <w:lang w:val="en-US" w:eastAsia="zh-CN" w:bidi="ar-SA"/>
              </w:rPr>
              <w:t>废混凝土块：</w:t>
            </w:r>
            <w:r>
              <w:rPr>
                <w:rFonts w:hint="default" w:ascii="Times New Roman" w:hAnsi="Times New Roman" w:eastAsia="宋体" w:cs="Times New Roman"/>
                <w:color w:val="auto"/>
                <w:kern w:val="0"/>
                <w:sz w:val="24"/>
                <w:szCs w:val="24"/>
                <w:highlight w:val="none"/>
                <w:lang w:val="en-US" w:eastAsia="zh-CN" w:bidi="ar"/>
              </w:rPr>
              <w:t>根据</w:t>
            </w:r>
            <w:r>
              <w:rPr>
                <w:rFonts w:hint="default" w:ascii="Times New Roman" w:hAnsi="Times New Roman" w:cs="Times New Roman"/>
                <w:color w:val="auto"/>
                <w:sz w:val="24"/>
                <w:szCs w:val="21"/>
                <w:highlight w:val="none"/>
                <w:lang w:val="en-US" w:eastAsia="zh-CN"/>
              </w:rPr>
              <w:t>业主提供的信息</w:t>
            </w:r>
            <w:r>
              <w:rPr>
                <w:rFonts w:hint="default" w:ascii="Times New Roman" w:hAnsi="Times New Roman" w:cs="Times New Roman"/>
                <w:color w:val="auto"/>
                <w:sz w:val="24"/>
                <w:szCs w:val="21"/>
                <w:highlight w:val="none"/>
              </w:rPr>
              <w:t>，</w:t>
            </w:r>
            <w:r>
              <w:rPr>
                <w:rFonts w:hint="default" w:ascii="Times New Roman" w:hAnsi="Times New Roman" w:eastAsia="宋体" w:cs="Times New Roman"/>
                <w:color w:val="auto"/>
                <w:kern w:val="0"/>
                <w:sz w:val="24"/>
                <w:szCs w:val="24"/>
                <w:highlight w:val="none"/>
                <w:lang w:val="en-US" w:eastAsia="zh-CN" w:bidi="ar"/>
              </w:rPr>
              <w:t>项目混凝土</w:t>
            </w:r>
            <w:r>
              <w:rPr>
                <w:rFonts w:hint="default" w:ascii="Times New Roman" w:hAnsi="Times New Roman" w:cs="Times New Roman"/>
                <w:color w:val="auto"/>
                <w:kern w:val="0"/>
                <w:sz w:val="24"/>
                <w:szCs w:val="24"/>
                <w:highlight w:val="none"/>
                <w:lang w:val="en-US" w:eastAsia="zh-CN" w:bidi="ar"/>
              </w:rPr>
              <w:t>生产过程会</w:t>
            </w:r>
            <w:r>
              <w:rPr>
                <w:rFonts w:hint="default" w:ascii="Times New Roman" w:hAnsi="Times New Roman" w:eastAsia="宋体" w:cs="Times New Roman"/>
                <w:color w:val="auto"/>
                <w:kern w:val="0"/>
                <w:sz w:val="24"/>
                <w:szCs w:val="24"/>
                <w:highlight w:val="none"/>
                <w:lang w:val="en-US" w:eastAsia="zh-CN" w:bidi="ar"/>
              </w:rPr>
              <w:t>产生废混凝土</w:t>
            </w:r>
            <w:r>
              <w:rPr>
                <w:rFonts w:hint="default" w:ascii="Times New Roman" w:hAnsi="Times New Roman" w:cs="Times New Roman"/>
                <w:color w:val="auto"/>
                <w:kern w:val="0"/>
                <w:sz w:val="24"/>
                <w:szCs w:val="24"/>
                <w:highlight w:val="none"/>
                <w:lang w:val="en-US" w:eastAsia="zh-CN" w:bidi="ar"/>
              </w:rPr>
              <w:t>块</w:t>
            </w:r>
            <w:r>
              <w:rPr>
                <w:rFonts w:hint="default" w:ascii="Times New Roman" w:hAnsi="Times New Roman" w:eastAsia="宋体" w:cs="Times New Roman"/>
                <w:color w:val="auto"/>
                <w:kern w:val="0"/>
                <w:sz w:val="24"/>
                <w:szCs w:val="24"/>
                <w:highlight w:val="none"/>
                <w:lang w:val="en-US" w:eastAsia="zh-CN" w:bidi="ar"/>
              </w:rPr>
              <w:t>，产生量约</w:t>
            </w:r>
            <w:r>
              <w:rPr>
                <w:rFonts w:hint="default" w:ascii="Times New Roman" w:hAnsi="Times New Roman" w:cs="Times New Roman"/>
                <w:color w:val="auto"/>
                <w:kern w:val="0"/>
                <w:sz w:val="24"/>
                <w:szCs w:val="24"/>
                <w:highlight w:val="none"/>
                <w:lang w:val="en-US" w:eastAsia="zh-CN" w:bidi="ar"/>
              </w:rPr>
              <w:t>120</w:t>
            </w:r>
            <w:r>
              <w:rPr>
                <w:rFonts w:hint="default" w:ascii="Times New Roman" w:hAnsi="Times New Roman" w:eastAsia="宋体" w:cs="Times New Roman"/>
                <w:color w:val="auto"/>
                <w:kern w:val="0"/>
                <w:sz w:val="24"/>
                <w:szCs w:val="24"/>
                <w:highlight w:val="none"/>
                <w:lang w:val="en-US" w:eastAsia="zh-CN" w:bidi="ar"/>
              </w:rPr>
              <w:t>t/</w:t>
            </w:r>
            <w:r>
              <w:rPr>
                <w:rFonts w:hint="default" w:ascii="Times New Roman" w:hAnsi="Times New Roman" w:cs="Times New Roman"/>
                <w:color w:val="auto"/>
                <w:kern w:val="0"/>
                <w:sz w:val="24"/>
                <w:szCs w:val="24"/>
                <w:highlight w:val="none"/>
                <w:lang w:val="en-US" w:eastAsia="zh-CN" w:bidi="ar"/>
              </w:rPr>
              <w:t>a，</w:t>
            </w:r>
            <w:r>
              <w:rPr>
                <w:rFonts w:hint="default" w:ascii="Times New Roman" w:hAnsi="Times New Roman" w:eastAsia="宋体" w:cs="Times New Roman"/>
                <w:color w:val="auto"/>
                <w:kern w:val="2"/>
                <w:sz w:val="24"/>
                <w:szCs w:val="21"/>
                <w:highlight w:val="none"/>
                <w:lang w:val="en-US" w:eastAsia="zh-CN" w:bidi="ar-SA"/>
              </w:rPr>
              <w:t>废混凝土块</w:t>
            </w:r>
            <w:r>
              <w:rPr>
                <w:rFonts w:hint="default" w:ascii="Times New Roman" w:hAnsi="Times New Roman" w:cs="Times New Roman"/>
                <w:color w:val="auto"/>
                <w:kern w:val="2"/>
                <w:sz w:val="24"/>
                <w:szCs w:val="21"/>
                <w:highlight w:val="none"/>
                <w:lang w:val="en-US" w:eastAsia="zh-CN" w:bidi="ar-SA"/>
              </w:rPr>
              <w:t>属于一般固体废物，</w:t>
            </w:r>
            <w:r>
              <w:rPr>
                <w:rFonts w:hint="default" w:ascii="Times New Roman" w:hAnsi="Times New Roman" w:cs="Times New Roman"/>
                <w:color w:val="auto"/>
                <w:sz w:val="24"/>
                <w:szCs w:val="24"/>
                <w:highlight w:val="none"/>
                <w:lang w:eastAsia="zh-CN"/>
              </w:rPr>
              <w:t>根据</w:t>
            </w:r>
            <w:r>
              <w:rPr>
                <w:rFonts w:hint="default" w:ascii="Times New Roman" w:hAnsi="Times New Roman" w:cs="Times New Roman"/>
                <w:b w:val="0"/>
                <w:bCs w:val="0"/>
                <w:color w:val="auto"/>
                <w:sz w:val="24"/>
                <w:szCs w:val="24"/>
                <w:highlight w:val="none"/>
                <w:lang w:val="en-US" w:eastAsia="zh-CN"/>
              </w:rPr>
              <w:t>《关于发布&lt;固体废物分类与代码目录&gt;的公告》（公告 2024年 第4号）</w:t>
            </w:r>
            <w:r>
              <w:rPr>
                <w:rFonts w:hint="default" w:ascii="Times New Roman" w:hAnsi="Times New Roman" w:cs="Times New Roman"/>
                <w:color w:val="auto"/>
                <w:sz w:val="24"/>
                <w:szCs w:val="24"/>
                <w:highlight w:val="none"/>
                <w:lang w:eastAsia="zh-CN"/>
              </w:rPr>
              <w:t>，</w:t>
            </w:r>
            <w:r>
              <w:rPr>
                <w:rFonts w:hint="default" w:ascii="Times New Roman" w:hAnsi="Times New Roman" w:eastAsia="宋体" w:cs="Times New Roman"/>
                <w:color w:val="auto"/>
                <w:kern w:val="2"/>
                <w:sz w:val="24"/>
                <w:szCs w:val="21"/>
                <w:highlight w:val="none"/>
                <w:lang w:val="en-US" w:eastAsia="zh-CN" w:bidi="ar-SA"/>
              </w:rPr>
              <w:t>废混凝土块</w:t>
            </w:r>
            <w:r>
              <w:rPr>
                <w:rFonts w:hint="default" w:ascii="Times New Roman" w:hAnsi="Times New Roman" w:cs="Times New Roman"/>
                <w:color w:val="auto"/>
                <w:sz w:val="24"/>
                <w:szCs w:val="24"/>
                <w:highlight w:val="none"/>
                <w:lang w:eastAsia="zh-CN"/>
              </w:rPr>
              <w:t>属于</w:t>
            </w:r>
            <w:r>
              <w:rPr>
                <w:rFonts w:hint="default" w:ascii="Times New Roman" w:hAnsi="Times New Roman" w:cs="Times New Roman"/>
                <w:b w:val="0"/>
                <w:bCs w:val="0"/>
                <w:color w:val="auto"/>
                <w:sz w:val="24"/>
                <w:szCs w:val="24"/>
                <w:highlight w:val="none"/>
                <w:lang w:val="en-US" w:eastAsia="zh-CN"/>
              </w:rPr>
              <w:t>SW17可再生类废物，废物代码为900-099-S17，</w:t>
            </w:r>
            <w:r>
              <w:rPr>
                <w:rFonts w:hint="default" w:ascii="Times New Roman" w:hAnsi="Times New Roman" w:eastAsia="宋体" w:cs="Times New Roman"/>
                <w:b w:val="0"/>
                <w:bCs/>
                <w:color w:val="auto"/>
                <w:kern w:val="2"/>
                <w:sz w:val="24"/>
                <w:szCs w:val="24"/>
                <w:highlight w:val="none"/>
                <w:lang w:val="en-US" w:eastAsia="zh-CN"/>
              </w:rPr>
              <w:t>产生的</w:t>
            </w:r>
            <w:r>
              <w:rPr>
                <w:rFonts w:hint="default" w:ascii="Times New Roman" w:hAnsi="Times New Roman" w:eastAsia="宋体" w:cs="Times New Roman"/>
                <w:color w:val="auto"/>
                <w:kern w:val="2"/>
                <w:sz w:val="24"/>
                <w:szCs w:val="21"/>
                <w:highlight w:val="none"/>
                <w:lang w:val="en-US" w:eastAsia="zh-CN" w:bidi="ar-SA"/>
              </w:rPr>
              <w:t>废混凝土块交专业回收公司处理</w:t>
            </w:r>
            <w:r>
              <w:rPr>
                <w:rFonts w:hint="default" w:ascii="Times New Roman" w:hAnsi="Times New Roman" w:eastAsia="宋体" w:cs="Times New Roman"/>
                <w:color w:val="auto"/>
                <w:kern w:val="2"/>
                <w:sz w:val="24"/>
                <w:szCs w:val="24"/>
                <w:highlight w:val="none"/>
                <w:lang w:val="en-US" w:eastAsia="zh-CN"/>
              </w:rPr>
              <w:t>。</w:t>
            </w:r>
          </w:p>
          <w:p w14:paraId="2D920B4A">
            <w:pPr>
              <w:keepNext w:val="0"/>
              <w:keepLines w:val="0"/>
              <w:pageBreakBefore w:val="0"/>
              <w:widowControl w:val="0"/>
              <w:kinsoku/>
              <w:wordWrap/>
              <w:overflowPunct/>
              <w:topLinePunct w:val="0"/>
              <w:autoSpaceDE w:val="0"/>
              <w:autoSpaceDN w:val="0"/>
              <w:bidi w:val="0"/>
              <w:adjustRightInd w:val="0"/>
              <w:snapToGrid w:val="0"/>
              <w:spacing w:after="0" w:line="360" w:lineRule="auto"/>
              <w:ind w:firstLine="480" w:firstLineChars="200"/>
              <w:jc w:val="both"/>
              <w:textAlignment w:val="baseline"/>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cs="Times New Roman"/>
                <w:color w:val="auto"/>
                <w:sz w:val="24"/>
                <w:szCs w:val="21"/>
                <w:highlight w:val="none"/>
                <w:lang w:val="en-US" w:eastAsia="zh-CN"/>
              </w:rPr>
              <w:t>沉淀池沉渣</w:t>
            </w:r>
            <w:r>
              <w:rPr>
                <w:rFonts w:hint="default" w:ascii="Times New Roman" w:hAnsi="Times New Roman" w:cs="Times New Roman"/>
                <w:color w:val="auto"/>
                <w:sz w:val="24"/>
                <w:szCs w:val="21"/>
                <w:highlight w:val="none"/>
                <w:lang w:eastAsia="zh-CN"/>
              </w:rPr>
              <w:t>：</w:t>
            </w:r>
            <w:r>
              <w:rPr>
                <w:rFonts w:hint="default" w:ascii="Times New Roman" w:hAnsi="Times New Roman" w:cs="Times New Roman"/>
                <w:color w:val="auto"/>
                <w:sz w:val="24"/>
                <w:szCs w:val="21"/>
                <w:highlight w:val="none"/>
              </w:rPr>
              <w:t>根据</w:t>
            </w:r>
            <w:r>
              <w:rPr>
                <w:rFonts w:hint="default" w:ascii="Times New Roman" w:hAnsi="Times New Roman" w:cs="Times New Roman"/>
                <w:color w:val="auto"/>
                <w:sz w:val="24"/>
                <w:szCs w:val="21"/>
                <w:highlight w:val="none"/>
                <w:lang w:val="en-US" w:eastAsia="zh-CN"/>
              </w:rPr>
              <w:t>业主提供的信息</w:t>
            </w:r>
            <w:r>
              <w:rPr>
                <w:rFonts w:hint="default" w:ascii="Times New Roman" w:hAnsi="Times New Roman" w:cs="Times New Roman"/>
                <w:color w:val="auto"/>
                <w:sz w:val="24"/>
                <w:szCs w:val="21"/>
                <w:highlight w:val="none"/>
              </w:rPr>
              <w:t>，项目</w:t>
            </w:r>
            <w:r>
              <w:rPr>
                <w:rFonts w:hint="default" w:ascii="Times New Roman" w:hAnsi="Times New Roman" w:cs="Times New Roman"/>
                <w:color w:val="auto"/>
                <w:sz w:val="24"/>
                <w:szCs w:val="21"/>
                <w:highlight w:val="none"/>
                <w:lang w:val="en-US" w:eastAsia="zh-CN"/>
              </w:rPr>
              <w:t>三级</w:t>
            </w:r>
            <w:r>
              <w:rPr>
                <w:rFonts w:hint="default" w:ascii="Times New Roman" w:hAnsi="Times New Roman" w:cs="Times New Roman"/>
                <w:color w:val="auto"/>
                <w:sz w:val="24"/>
                <w:szCs w:val="21"/>
                <w:highlight w:val="none"/>
              </w:rPr>
              <w:t>沉淀池捞渣产生沉渣，</w:t>
            </w:r>
            <w:r>
              <w:rPr>
                <w:rFonts w:hint="eastAsia" w:ascii="Times New Roman" w:hAnsi="Times New Roman" w:cs="Times New Roman"/>
                <w:color w:val="auto"/>
                <w:sz w:val="24"/>
                <w:szCs w:val="21"/>
                <w:highlight w:val="none"/>
                <w:lang w:val="en-US" w:eastAsia="zh-CN"/>
              </w:rPr>
              <w:t>根据前文物料平衡，可知沉淀池沉渣</w:t>
            </w:r>
            <w:r>
              <w:rPr>
                <w:rFonts w:hint="default" w:ascii="Times New Roman" w:hAnsi="Times New Roman" w:cs="Times New Roman"/>
                <w:color w:val="auto"/>
                <w:sz w:val="24"/>
                <w:szCs w:val="21"/>
                <w:highlight w:val="none"/>
              </w:rPr>
              <w:t xml:space="preserve">产生量约为 </w:t>
            </w:r>
            <w:r>
              <w:rPr>
                <w:rFonts w:hint="default" w:ascii="Times New Roman" w:hAnsi="Times New Roman" w:cs="Times New Roman"/>
                <w:color w:val="auto"/>
                <w:sz w:val="24"/>
                <w:szCs w:val="21"/>
                <w:highlight w:val="none"/>
                <w:lang w:val="en-US" w:eastAsia="zh-CN"/>
              </w:rPr>
              <w:t>4</w:t>
            </w:r>
            <w:r>
              <w:rPr>
                <w:rFonts w:hint="eastAsia" w:ascii="Times New Roman" w:hAnsi="Times New Roman" w:cs="Times New Roman"/>
                <w:color w:val="auto"/>
                <w:sz w:val="24"/>
                <w:szCs w:val="21"/>
                <w:highlight w:val="none"/>
                <w:lang w:val="en-US" w:eastAsia="zh-CN"/>
              </w:rPr>
              <w:t>5</w:t>
            </w:r>
            <w:r>
              <w:rPr>
                <w:rFonts w:hint="default" w:ascii="Times New Roman" w:hAnsi="Times New Roman" w:cs="Times New Roman"/>
                <w:color w:val="auto"/>
                <w:sz w:val="24"/>
                <w:szCs w:val="21"/>
                <w:highlight w:val="none"/>
                <w:lang w:val="en-US" w:eastAsia="zh-CN"/>
              </w:rPr>
              <w:t>.</w:t>
            </w:r>
            <w:r>
              <w:rPr>
                <w:rFonts w:hint="eastAsia" w:ascii="Times New Roman" w:hAnsi="Times New Roman" w:cs="Times New Roman"/>
                <w:color w:val="auto"/>
                <w:sz w:val="24"/>
                <w:szCs w:val="21"/>
                <w:highlight w:val="none"/>
                <w:lang w:val="en-US" w:eastAsia="zh-CN"/>
              </w:rPr>
              <w:t>529</w:t>
            </w:r>
            <w:r>
              <w:rPr>
                <w:rFonts w:hint="default" w:ascii="Times New Roman" w:hAnsi="Times New Roman" w:cs="Times New Roman"/>
                <w:color w:val="auto"/>
                <w:sz w:val="24"/>
                <w:szCs w:val="21"/>
                <w:highlight w:val="none"/>
                <w:lang w:val="en-US" w:eastAsia="zh-CN"/>
              </w:rPr>
              <w:t>t</w:t>
            </w:r>
            <w:r>
              <w:rPr>
                <w:rFonts w:hint="default" w:ascii="Times New Roman" w:hAnsi="Times New Roman" w:cs="Times New Roman"/>
                <w:color w:val="auto"/>
                <w:sz w:val="24"/>
                <w:szCs w:val="21"/>
                <w:highlight w:val="none"/>
              </w:rPr>
              <w:t>/a</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沉淀池沉渣属于一般固体废物，</w:t>
            </w:r>
            <w:r>
              <w:rPr>
                <w:rFonts w:hint="default" w:ascii="Times New Roman" w:hAnsi="Times New Roman" w:cs="Times New Roman"/>
                <w:color w:val="auto"/>
                <w:sz w:val="24"/>
                <w:szCs w:val="24"/>
                <w:highlight w:val="none"/>
                <w:lang w:eastAsia="zh-CN"/>
              </w:rPr>
              <w:t>根据</w:t>
            </w:r>
            <w:r>
              <w:rPr>
                <w:rFonts w:hint="default" w:ascii="Times New Roman" w:hAnsi="Times New Roman" w:cs="Times New Roman"/>
                <w:b w:val="0"/>
                <w:bCs w:val="0"/>
                <w:color w:val="auto"/>
                <w:sz w:val="24"/>
                <w:szCs w:val="24"/>
                <w:highlight w:val="none"/>
                <w:lang w:val="en-US" w:eastAsia="zh-CN"/>
              </w:rPr>
              <w:t>《关于发布&lt;固体废物分类与代码目录&gt;的公告》（公告 2024年 第4号）</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沉淀池沉渣</w:t>
            </w:r>
            <w:r>
              <w:rPr>
                <w:rFonts w:hint="default" w:ascii="Times New Roman" w:hAnsi="Times New Roman" w:cs="Times New Roman"/>
                <w:color w:val="auto"/>
                <w:sz w:val="24"/>
                <w:szCs w:val="24"/>
                <w:highlight w:val="none"/>
                <w:lang w:eastAsia="zh-CN"/>
              </w:rPr>
              <w:t>属于</w:t>
            </w:r>
            <w:r>
              <w:rPr>
                <w:rFonts w:hint="default" w:ascii="Times New Roman" w:hAnsi="Times New Roman" w:cs="Times New Roman"/>
                <w:b w:val="0"/>
                <w:bCs w:val="0"/>
                <w:color w:val="auto"/>
                <w:sz w:val="24"/>
                <w:szCs w:val="24"/>
                <w:highlight w:val="none"/>
                <w:lang w:val="en-US" w:eastAsia="zh-CN"/>
              </w:rPr>
              <w:t>SW07污泥，废物代码为900-099-S07，</w:t>
            </w:r>
            <w:r>
              <w:rPr>
                <w:rFonts w:hint="default" w:ascii="Times New Roman" w:hAnsi="Times New Roman" w:eastAsia="宋体" w:cs="Times New Roman"/>
                <w:b w:val="0"/>
                <w:bCs/>
                <w:color w:val="auto"/>
                <w:kern w:val="2"/>
                <w:sz w:val="24"/>
                <w:szCs w:val="24"/>
                <w:highlight w:val="none"/>
                <w:lang w:val="en-US" w:eastAsia="zh-CN"/>
              </w:rPr>
              <w:t>产生的沉淀池沉渣</w:t>
            </w:r>
            <w:r>
              <w:rPr>
                <w:rFonts w:hint="default" w:ascii="Times New Roman" w:hAnsi="Times New Roman" w:eastAsia="宋体" w:cs="Times New Roman"/>
                <w:color w:val="auto"/>
                <w:kern w:val="2"/>
                <w:sz w:val="24"/>
                <w:szCs w:val="24"/>
                <w:highlight w:val="none"/>
                <w:lang w:val="en-US" w:eastAsia="zh-CN"/>
              </w:rPr>
              <w:t>经收集后交给专业回收公司处理。</w:t>
            </w:r>
          </w:p>
          <w:p w14:paraId="74BA876D">
            <w:pPr>
              <w:pStyle w:val="43"/>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baseline"/>
              <w:rPr>
                <w:rFonts w:hint="default" w:ascii="Times New Roman" w:hAnsi="Times New Roman" w:eastAsia="宋体" w:cs="Times New Roman"/>
                <w:color w:val="auto"/>
                <w:kern w:val="2"/>
                <w:szCs w:val="21"/>
                <w:highlight w:val="none"/>
              </w:rPr>
            </w:pPr>
            <w:r>
              <w:rPr>
                <w:rFonts w:hint="default" w:ascii="Times New Roman" w:hAnsi="Times New Roman" w:cs="Times New Roman"/>
                <w:color w:val="auto"/>
                <w:sz w:val="24"/>
                <w:highlight w:val="none"/>
              </w:rPr>
              <w:t>废塑料膜</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项目自然养护/蒸养过程会使用塑料膜，塑料膜在脱模后不能重复使用，故产生废塑料膜，废塑料膜的产生量为3t/a，废塑料膜属于一般固体废物，</w:t>
            </w:r>
            <w:r>
              <w:rPr>
                <w:rFonts w:hint="default" w:ascii="Times New Roman" w:hAnsi="Times New Roman" w:cs="Times New Roman"/>
                <w:color w:val="auto"/>
                <w:sz w:val="24"/>
                <w:szCs w:val="24"/>
                <w:highlight w:val="none"/>
                <w:lang w:eastAsia="zh-CN"/>
              </w:rPr>
              <w:t>根据</w:t>
            </w:r>
            <w:r>
              <w:rPr>
                <w:rFonts w:hint="default" w:ascii="Times New Roman" w:hAnsi="Times New Roman" w:cs="Times New Roman"/>
                <w:b w:val="0"/>
                <w:bCs w:val="0"/>
                <w:color w:val="auto"/>
                <w:sz w:val="24"/>
                <w:szCs w:val="24"/>
                <w:highlight w:val="none"/>
                <w:lang w:val="en-US" w:eastAsia="zh-CN"/>
              </w:rPr>
              <w:t>《关于发布&lt;固体废物分类与代码目录&gt;的公告》（公告 2024年 第4号）</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highlight w:val="none"/>
              </w:rPr>
              <w:t>废塑料膜</w:t>
            </w:r>
            <w:r>
              <w:rPr>
                <w:rFonts w:hint="default" w:ascii="Times New Roman" w:hAnsi="Times New Roman" w:cs="Times New Roman"/>
                <w:color w:val="auto"/>
                <w:sz w:val="24"/>
                <w:szCs w:val="24"/>
                <w:highlight w:val="none"/>
                <w:lang w:eastAsia="zh-CN"/>
              </w:rPr>
              <w:t>属于</w:t>
            </w:r>
            <w:r>
              <w:rPr>
                <w:rFonts w:hint="default" w:ascii="Times New Roman" w:hAnsi="Times New Roman" w:cs="Times New Roman"/>
                <w:b w:val="0"/>
                <w:bCs w:val="0"/>
                <w:color w:val="auto"/>
                <w:sz w:val="24"/>
                <w:szCs w:val="24"/>
                <w:highlight w:val="none"/>
                <w:lang w:val="en-US" w:eastAsia="zh-CN"/>
              </w:rPr>
              <w:t>SW17可再生类废物，废物代码为900-003-S17，</w:t>
            </w:r>
            <w:r>
              <w:rPr>
                <w:rFonts w:hint="default" w:ascii="Times New Roman" w:hAnsi="Times New Roman" w:cs="Times New Roman"/>
                <w:color w:val="auto"/>
                <w:sz w:val="24"/>
                <w:highlight w:val="none"/>
              </w:rPr>
              <w:t>废塑料膜</w:t>
            </w:r>
            <w:r>
              <w:rPr>
                <w:rFonts w:hint="default" w:ascii="Times New Roman" w:hAnsi="Times New Roman" w:eastAsia="宋体" w:cs="Times New Roman"/>
                <w:color w:val="auto"/>
                <w:kern w:val="2"/>
                <w:szCs w:val="21"/>
                <w:highlight w:val="none"/>
              </w:rPr>
              <w:t>经收集后</w:t>
            </w:r>
            <w:r>
              <w:rPr>
                <w:rFonts w:hint="default" w:ascii="Times New Roman" w:hAnsi="Times New Roman" w:cs="Times New Roman"/>
                <w:color w:val="auto"/>
                <w:kern w:val="2"/>
                <w:szCs w:val="21"/>
                <w:highlight w:val="none"/>
                <w:lang w:val="en-US" w:eastAsia="zh-CN"/>
              </w:rPr>
              <w:t>交给专业回收公司处理</w:t>
            </w:r>
            <w:r>
              <w:rPr>
                <w:rFonts w:hint="default" w:ascii="Times New Roman" w:hAnsi="Times New Roman" w:eastAsia="宋体" w:cs="Times New Roman"/>
                <w:color w:val="auto"/>
                <w:kern w:val="2"/>
                <w:szCs w:val="21"/>
                <w:highlight w:val="none"/>
              </w:rPr>
              <w:t>。</w:t>
            </w:r>
          </w:p>
          <w:p w14:paraId="1301B856">
            <w:pPr>
              <w:keepNext w:val="0"/>
              <w:keepLines w:val="0"/>
              <w:pageBreakBefore w:val="0"/>
              <w:widowControl w:val="0"/>
              <w:kinsoku/>
              <w:wordWrap/>
              <w:overflowPunct/>
              <w:topLinePunct w:val="0"/>
              <w:autoSpaceDE w:val="0"/>
              <w:autoSpaceDN w:val="0"/>
              <w:bidi w:val="0"/>
              <w:adjustRightInd w:val="0"/>
              <w:snapToGrid w:val="0"/>
              <w:spacing w:after="0" w:line="360" w:lineRule="auto"/>
              <w:ind w:firstLine="480" w:firstLineChars="200"/>
              <w:jc w:val="both"/>
              <w:textAlignment w:val="baseline"/>
              <w:rPr>
                <w:rFonts w:hint="default" w:ascii="Times New Roman" w:hAnsi="Times New Roman" w:cs="Times New Roman" w:eastAsiaTheme="minorEastAsia"/>
                <w:color w:val="auto"/>
                <w:sz w:val="24"/>
                <w:highlight w:val="none"/>
                <w:lang w:eastAsia="zh-CN"/>
              </w:rPr>
            </w:pPr>
            <w:r>
              <w:rPr>
                <w:rFonts w:hint="default" w:ascii="Times New Roman" w:hAnsi="Times New Roman" w:cs="Times New Roman"/>
                <w:color w:val="auto"/>
                <w:sz w:val="24"/>
                <w:highlight w:val="none"/>
              </w:rPr>
              <w:t>废模具</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项目模具可重复使用，脱模后少量模具会出现破损等情况从而产生废模具，</w:t>
            </w:r>
            <w:r>
              <w:rPr>
                <w:rFonts w:hint="default" w:ascii="Times New Roman" w:hAnsi="Times New Roman" w:cs="Times New Roman"/>
                <w:color w:val="auto"/>
                <w:sz w:val="24"/>
                <w:highlight w:val="none"/>
              </w:rPr>
              <w:t>废</w:t>
            </w:r>
            <w:r>
              <w:rPr>
                <w:rFonts w:hint="default" w:ascii="Times New Roman" w:hAnsi="Times New Roman" w:cs="Times New Roman"/>
                <w:color w:val="auto"/>
                <w:sz w:val="24"/>
                <w:highlight w:val="none"/>
                <w:lang w:val="en-US" w:eastAsia="zh-CN"/>
              </w:rPr>
              <w:t>模具的产生量为100套/年，</w:t>
            </w:r>
            <w:r>
              <w:rPr>
                <w:rFonts w:hint="default" w:ascii="Times New Roman" w:hAnsi="Times New Roman" w:cs="Times New Roman"/>
                <w:color w:val="auto"/>
                <w:sz w:val="24"/>
                <w:highlight w:val="none"/>
              </w:rPr>
              <w:t>废模具</w:t>
            </w:r>
            <w:r>
              <w:rPr>
                <w:rFonts w:hint="default" w:ascii="Times New Roman" w:hAnsi="Times New Roman" w:cs="Times New Roman"/>
                <w:color w:val="auto"/>
                <w:sz w:val="24"/>
                <w:highlight w:val="none"/>
                <w:lang w:val="en-US" w:eastAsia="zh-CN"/>
              </w:rPr>
              <w:t>属于一般固体废物，</w:t>
            </w:r>
            <w:r>
              <w:rPr>
                <w:rFonts w:hint="default" w:ascii="Times New Roman" w:hAnsi="Times New Roman" w:cs="Times New Roman"/>
                <w:color w:val="auto"/>
                <w:sz w:val="24"/>
                <w:szCs w:val="24"/>
                <w:highlight w:val="none"/>
                <w:lang w:eastAsia="zh-CN"/>
              </w:rPr>
              <w:t>根据</w:t>
            </w:r>
            <w:r>
              <w:rPr>
                <w:rFonts w:hint="default" w:ascii="Times New Roman" w:hAnsi="Times New Roman" w:cs="Times New Roman"/>
                <w:b w:val="0"/>
                <w:bCs w:val="0"/>
                <w:color w:val="auto"/>
                <w:sz w:val="24"/>
                <w:szCs w:val="24"/>
                <w:highlight w:val="none"/>
                <w:lang w:val="en-US" w:eastAsia="zh-CN"/>
              </w:rPr>
              <w:t>《关于发布&lt;固体废物分类与代码目录&gt;的公告》（公告 2024年 第4号）</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highlight w:val="none"/>
              </w:rPr>
              <w:t>废模具</w:t>
            </w:r>
            <w:r>
              <w:rPr>
                <w:rFonts w:hint="default" w:ascii="Times New Roman" w:hAnsi="Times New Roman" w:cs="Times New Roman"/>
                <w:color w:val="auto"/>
                <w:sz w:val="24"/>
                <w:szCs w:val="24"/>
                <w:highlight w:val="none"/>
                <w:lang w:eastAsia="zh-CN"/>
              </w:rPr>
              <w:t>属于</w:t>
            </w:r>
            <w:r>
              <w:rPr>
                <w:rFonts w:hint="default" w:ascii="Times New Roman" w:hAnsi="Times New Roman" w:cs="Times New Roman"/>
                <w:b w:val="0"/>
                <w:bCs w:val="0"/>
                <w:color w:val="auto"/>
                <w:sz w:val="24"/>
                <w:szCs w:val="24"/>
                <w:highlight w:val="none"/>
                <w:lang w:val="en-US" w:eastAsia="zh-CN"/>
              </w:rPr>
              <w:t>SW17可再生类废物，废物代码为900-013-S17，</w:t>
            </w:r>
            <w:r>
              <w:rPr>
                <w:rFonts w:hint="default" w:ascii="Times New Roman" w:hAnsi="Times New Roman" w:cs="Times New Roman"/>
                <w:color w:val="auto"/>
                <w:sz w:val="24"/>
                <w:highlight w:val="none"/>
              </w:rPr>
              <w:t>废模具</w:t>
            </w:r>
            <w:r>
              <w:rPr>
                <w:rFonts w:hint="default" w:ascii="Times New Roman" w:hAnsi="Times New Roman" w:eastAsia="宋体" w:cs="Times New Roman"/>
                <w:color w:val="auto"/>
                <w:kern w:val="0"/>
                <w:sz w:val="24"/>
                <w:szCs w:val="20"/>
                <w:highlight w:val="none"/>
                <w:lang w:val="en-US" w:eastAsia="zh-CN" w:bidi="ar-SA"/>
              </w:rPr>
              <w:t>经收集后交给专业回收公司处理。</w:t>
            </w:r>
          </w:p>
          <w:p w14:paraId="14F04ED5">
            <w:pPr>
              <w:keepNext w:val="0"/>
              <w:keepLines w:val="0"/>
              <w:pageBreakBefore w:val="0"/>
              <w:widowControl w:val="0"/>
              <w:kinsoku/>
              <w:wordWrap/>
              <w:overflowPunct/>
              <w:topLinePunct w:val="0"/>
              <w:autoSpaceDE w:val="0"/>
              <w:autoSpaceDN w:val="0"/>
              <w:bidi w:val="0"/>
              <w:adjustRightInd w:val="0"/>
              <w:snapToGrid w:val="0"/>
              <w:spacing w:after="0" w:line="360" w:lineRule="auto"/>
              <w:ind w:firstLine="480" w:firstLineChars="200"/>
              <w:jc w:val="both"/>
              <w:textAlignment w:val="baseline"/>
              <w:rPr>
                <w:rFonts w:hint="default" w:ascii="Times New Roman" w:hAnsi="Times New Roman" w:cs="Times New Roman" w:eastAsiaTheme="minorEastAsia"/>
                <w:color w:val="auto"/>
                <w:sz w:val="24"/>
                <w:highlight w:val="none"/>
                <w:lang w:eastAsia="zh-CN"/>
              </w:rPr>
            </w:pPr>
            <w:r>
              <w:rPr>
                <w:rFonts w:hint="default" w:ascii="Times New Roman" w:hAnsi="Times New Roman" w:cs="Times New Roman"/>
                <w:color w:val="auto"/>
                <w:sz w:val="24"/>
                <w:highlight w:val="none"/>
              </w:rPr>
              <w:t>焊渣</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项目焊接过程使用到</w:t>
            </w:r>
            <w:r>
              <w:rPr>
                <w:rFonts w:hint="eastAsia" w:ascii="Times New Roman" w:hAnsi="Times New Roman" w:cs="Times New Roman"/>
                <w:color w:val="auto"/>
                <w:sz w:val="24"/>
                <w:highlight w:val="none"/>
                <w:lang w:val="en-US" w:eastAsia="zh-CN"/>
              </w:rPr>
              <w:t>无铅实心焊丝</w:t>
            </w:r>
            <w:r>
              <w:rPr>
                <w:rFonts w:hint="default" w:ascii="Times New Roman" w:hAnsi="Times New Roman" w:cs="Times New Roman"/>
                <w:color w:val="auto"/>
                <w:sz w:val="24"/>
                <w:highlight w:val="none"/>
                <w:lang w:val="en-US" w:eastAsia="zh-CN"/>
              </w:rPr>
              <w:t>，会产生少量的焊渣，</w:t>
            </w:r>
            <w:r>
              <w:rPr>
                <w:rFonts w:hint="default" w:ascii="Times New Roman" w:hAnsi="Times New Roman" w:cs="Times New Roman"/>
                <w:color w:val="auto"/>
                <w:sz w:val="24"/>
                <w:highlight w:val="none"/>
              </w:rPr>
              <w:t>焊渣</w:t>
            </w:r>
            <w:r>
              <w:rPr>
                <w:rFonts w:hint="default" w:ascii="Times New Roman" w:hAnsi="Times New Roman" w:cs="Times New Roman"/>
                <w:color w:val="auto"/>
                <w:sz w:val="24"/>
                <w:highlight w:val="none"/>
                <w:lang w:val="en-US" w:eastAsia="zh-CN"/>
              </w:rPr>
              <w:t>的产生量约为0.5t/a，</w:t>
            </w:r>
            <w:r>
              <w:rPr>
                <w:rFonts w:hint="default" w:ascii="Times New Roman" w:hAnsi="Times New Roman" w:cs="Times New Roman"/>
                <w:color w:val="auto"/>
                <w:sz w:val="24"/>
                <w:highlight w:val="none"/>
              </w:rPr>
              <w:t>焊渣</w:t>
            </w:r>
            <w:r>
              <w:rPr>
                <w:rFonts w:hint="default" w:ascii="Times New Roman" w:hAnsi="Times New Roman" w:cs="Times New Roman"/>
                <w:color w:val="auto"/>
                <w:sz w:val="24"/>
                <w:highlight w:val="none"/>
                <w:lang w:val="en-US" w:eastAsia="zh-CN"/>
              </w:rPr>
              <w:t>属于一般固体废物，根据</w:t>
            </w:r>
            <w:r>
              <w:rPr>
                <w:rFonts w:hint="default" w:ascii="Times New Roman" w:hAnsi="Times New Roman" w:cs="Times New Roman"/>
                <w:b w:val="0"/>
                <w:bCs w:val="0"/>
                <w:color w:val="auto"/>
                <w:sz w:val="24"/>
                <w:szCs w:val="24"/>
                <w:highlight w:val="none"/>
                <w:lang w:val="en-US" w:eastAsia="zh-CN"/>
              </w:rPr>
              <w:t>《关于发布&lt;固体废物分类与代码目录&gt;的公告》（公告 2024年 第4号）</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highlight w:val="none"/>
              </w:rPr>
              <w:t>焊渣</w:t>
            </w:r>
            <w:r>
              <w:rPr>
                <w:rFonts w:hint="default" w:ascii="Times New Roman" w:hAnsi="Times New Roman" w:cs="Times New Roman"/>
                <w:color w:val="auto"/>
                <w:sz w:val="24"/>
                <w:szCs w:val="24"/>
                <w:highlight w:val="none"/>
                <w:lang w:eastAsia="zh-CN"/>
              </w:rPr>
              <w:t>属于</w:t>
            </w:r>
            <w:r>
              <w:rPr>
                <w:rFonts w:hint="default" w:ascii="Times New Roman" w:hAnsi="Times New Roman" w:cs="Times New Roman"/>
                <w:b w:val="0"/>
                <w:bCs w:val="0"/>
                <w:color w:val="auto"/>
                <w:sz w:val="24"/>
                <w:szCs w:val="24"/>
                <w:highlight w:val="none"/>
                <w:lang w:val="en-US" w:eastAsia="zh-CN"/>
              </w:rPr>
              <w:t>SW59其他工业固体废物，废物代码为900-099-S59，</w:t>
            </w:r>
            <w:r>
              <w:rPr>
                <w:rFonts w:hint="default" w:ascii="Times New Roman" w:hAnsi="Times New Roman" w:cs="Times New Roman"/>
                <w:color w:val="auto"/>
                <w:sz w:val="24"/>
                <w:highlight w:val="none"/>
              </w:rPr>
              <w:t>焊渣</w:t>
            </w:r>
            <w:r>
              <w:rPr>
                <w:rFonts w:hint="default" w:ascii="Times New Roman" w:hAnsi="Times New Roman" w:eastAsia="宋体" w:cs="Times New Roman"/>
                <w:color w:val="auto"/>
                <w:kern w:val="0"/>
                <w:sz w:val="24"/>
                <w:szCs w:val="20"/>
                <w:highlight w:val="none"/>
                <w:lang w:val="en-US" w:eastAsia="zh-CN" w:bidi="ar-SA"/>
              </w:rPr>
              <w:t>经收集后交给专业回收公司处理。</w:t>
            </w:r>
          </w:p>
          <w:p w14:paraId="3C33C254">
            <w:pPr>
              <w:keepNext w:val="0"/>
              <w:keepLines w:val="0"/>
              <w:pageBreakBefore w:val="0"/>
              <w:widowControl w:val="0"/>
              <w:kinsoku/>
              <w:wordWrap/>
              <w:overflowPunct/>
              <w:topLinePunct w:val="0"/>
              <w:autoSpaceDE w:val="0"/>
              <w:autoSpaceDN w:val="0"/>
              <w:bidi w:val="0"/>
              <w:adjustRightInd w:val="0"/>
              <w:snapToGrid w:val="0"/>
              <w:spacing w:after="0" w:line="360" w:lineRule="auto"/>
              <w:ind w:firstLine="480" w:firstLineChars="200"/>
              <w:jc w:val="both"/>
              <w:textAlignment w:val="baseline"/>
              <w:rPr>
                <w:rFonts w:hint="default" w:ascii="Times New Roman" w:hAnsi="Times New Roman" w:cs="Times New Roman" w:eastAsiaTheme="minorEastAsia"/>
                <w:color w:val="auto"/>
                <w:sz w:val="24"/>
                <w:highlight w:val="none"/>
                <w:lang w:eastAsia="zh-CN"/>
              </w:rPr>
            </w:pPr>
            <w:r>
              <w:rPr>
                <w:rFonts w:hint="default" w:ascii="Times New Roman" w:hAnsi="Times New Roman" w:cs="Times New Roman"/>
                <w:color w:val="auto"/>
                <w:sz w:val="24"/>
                <w:highlight w:val="none"/>
              </w:rPr>
              <w:t>废滤袋</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项目设备自带脉冲布袋除尘器，使用年限较久后可能出现破损的情况，约5年更换一次，</w:t>
            </w:r>
            <w:r>
              <w:rPr>
                <w:rFonts w:hint="default" w:ascii="Times New Roman" w:hAnsi="Times New Roman" w:cs="Times New Roman"/>
                <w:color w:val="auto"/>
                <w:sz w:val="24"/>
                <w:highlight w:val="none"/>
              </w:rPr>
              <w:t>废滤袋</w:t>
            </w:r>
            <w:r>
              <w:rPr>
                <w:rFonts w:hint="default" w:ascii="Times New Roman" w:hAnsi="Times New Roman" w:cs="Times New Roman"/>
                <w:color w:val="auto"/>
                <w:sz w:val="24"/>
                <w:highlight w:val="none"/>
                <w:lang w:val="en-US" w:eastAsia="zh-CN"/>
              </w:rPr>
              <w:t>属于一般固体废物，根据</w:t>
            </w:r>
            <w:r>
              <w:rPr>
                <w:rFonts w:hint="default" w:ascii="Times New Roman" w:hAnsi="Times New Roman" w:cs="Times New Roman"/>
                <w:b w:val="0"/>
                <w:bCs w:val="0"/>
                <w:color w:val="auto"/>
                <w:sz w:val="24"/>
                <w:szCs w:val="24"/>
                <w:highlight w:val="none"/>
                <w:lang w:val="en-US" w:eastAsia="zh-CN"/>
              </w:rPr>
              <w:t>《关于发布&lt;固体废物分类与代码目录&gt;的公告》（公告 2024年 第4号）</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highlight w:val="none"/>
              </w:rPr>
              <w:t>废滤袋</w:t>
            </w:r>
            <w:r>
              <w:rPr>
                <w:rFonts w:hint="default" w:ascii="Times New Roman" w:hAnsi="Times New Roman" w:cs="Times New Roman"/>
                <w:color w:val="auto"/>
                <w:sz w:val="24"/>
                <w:szCs w:val="24"/>
                <w:highlight w:val="none"/>
                <w:lang w:eastAsia="zh-CN"/>
              </w:rPr>
              <w:t>属于</w:t>
            </w:r>
            <w:r>
              <w:rPr>
                <w:rFonts w:hint="default" w:ascii="Times New Roman" w:hAnsi="Times New Roman" w:cs="Times New Roman"/>
                <w:b w:val="0"/>
                <w:bCs w:val="0"/>
                <w:color w:val="auto"/>
                <w:sz w:val="24"/>
                <w:szCs w:val="24"/>
                <w:highlight w:val="none"/>
                <w:lang w:val="en-US" w:eastAsia="zh-CN"/>
              </w:rPr>
              <w:t>SW59其他工业固体废物，废物代码为900-099-S59，</w:t>
            </w:r>
            <w:r>
              <w:rPr>
                <w:rFonts w:hint="default" w:ascii="Times New Roman" w:hAnsi="Times New Roman" w:cs="Times New Roman"/>
                <w:color w:val="auto"/>
                <w:sz w:val="24"/>
                <w:highlight w:val="none"/>
              </w:rPr>
              <w:t>废滤袋</w:t>
            </w:r>
            <w:r>
              <w:rPr>
                <w:rFonts w:hint="default" w:ascii="Times New Roman" w:hAnsi="Times New Roman" w:eastAsia="宋体" w:cs="Times New Roman"/>
                <w:color w:val="auto"/>
                <w:kern w:val="0"/>
                <w:sz w:val="24"/>
                <w:szCs w:val="20"/>
                <w:highlight w:val="none"/>
                <w:lang w:val="en-US" w:eastAsia="zh-CN" w:bidi="ar-SA"/>
              </w:rPr>
              <w:t>经收集后交给专业回收公司处理。</w:t>
            </w:r>
          </w:p>
          <w:p w14:paraId="3BCF71DD">
            <w:pPr>
              <w:keepNext w:val="0"/>
              <w:keepLines w:val="0"/>
              <w:pageBreakBefore w:val="0"/>
              <w:widowControl w:val="0"/>
              <w:kinsoku/>
              <w:wordWrap/>
              <w:overflowPunct/>
              <w:topLinePunct w:val="0"/>
              <w:autoSpaceDE w:val="0"/>
              <w:autoSpaceDN w:val="0"/>
              <w:bidi w:val="0"/>
              <w:adjustRightInd w:val="0"/>
              <w:snapToGrid w:val="0"/>
              <w:spacing w:after="0" w:line="360" w:lineRule="auto"/>
              <w:ind w:firstLine="480" w:firstLineChars="200"/>
              <w:jc w:val="both"/>
              <w:textAlignment w:val="baseline"/>
              <w:rPr>
                <w:rFonts w:hint="default" w:ascii="Times New Roman" w:hAnsi="Times New Roman" w:cs="Times New Roman" w:eastAsiaTheme="minorEastAsia"/>
                <w:color w:val="auto"/>
                <w:sz w:val="24"/>
                <w:highlight w:val="none"/>
                <w:lang w:eastAsia="zh-CN"/>
              </w:rPr>
            </w:pPr>
            <w:r>
              <w:rPr>
                <w:rFonts w:hint="default" w:ascii="Times New Roman" w:hAnsi="Times New Roman" w:cs="Times New Roman"/>
                <w:color w:val="auto"/>
                <w:sz w:val="24"/>
                <w:highlight w:val="none"/>
              </w:rPr>
              <w:t>雨水沉渣</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项目雨水收集池会收集一定量的沉渣，产生量约1.5t/a，雨水沉渣属于一般固体废物，根据</w:t>
            </w:r>
            <w:r>
              <w:rPr>
                <w:rFonts w:hint="default" w:ascii="Times New Roman" w:hAnsi="Times New Roman" w:cs="Times New Roman"/>
                <w:b w:val="0"/>
                <w:bCs w:val="0"/>
                <w:color w:val="auto"/>
                <w:sz w:val="24"/>
                <w:szCs w:val="24"/>
                <w:highlight w:val="none"/>
                <w:lang w:val="en-US" w:eastAsia="zh-CN"/>
              </w:rPr>
              <w:t>《关于发布&lt;固体废物分类与代码目录&gt;的公告》（公告 2024年 第4号）</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highlight w:val="none"/>
              </w:rPr>
              <w:t>雨水沉渣</w:t>
            </w:r>
            <w:r>
              <w:rPr>
                <w:rFonts w:hint="default" w:ascii="Times New Roman" w:hAnsi="Times New Roman" w:cs="Times New Roman"/>
                <w:color w:val="auto"/>
                <w:sz w:val="24"/>
                <w:szCs w:val="24"/>
                <w:highlight w:val="none"/>
                <w:lang w:eastAsia="zh-CN"/>
              </w:rPr>
              <w:t>属于</w:t>
            </w:r>
            <w:r>
              <w:rPr>
                <w:rFonts w:hint="default" w:ascii="Times New Roman" w:hAnsi="Times New Roman" w:cs="Times New Roman"/>
                <w:b w:val="0"/>
                <w:bCs w:val="0"/>
                <w:color w:val="auto"/>
                <w:sz w:val="24"/>
                <w:szCs w:val="24"/>
                <w:highlight w:val="none"/>
                <w:lang w:val="en-US" w:eastAsia="zh-CN"/>
              </w:rPr>
              <w:t>SW59其他工业固体废物，废物代码为900-099-S59，</w:t>
            </w:r>
            <w:r>
              <w:rPr>
                <w:rFonts w:hint="default" w:ascii="Times New Roman" w:hAnsi="Times New Roman" w:cs="Times New Roman"/>
                <w:color w:val="auto"/>
                <w:sz w:val="24"/>
                <w:highlight w:val="none"/>
              </w:rPr>
              <w:t>雨水沉渣</w:t>
            </w:r>
            <w:r>
              <w:rPr>
                <w:rFonts w:hint="default" w:ascii="Times New Roman" w:hAnsi="Times New Roman" w:eastAsia="宋体" w:cs="Times New Roman"/>
                <w:color w:val="auto"/>
                <w:kern w:val="0"/>
                <w:sz w:val="24"/>
                <w:szCs w:val="20"/>
                <w:highlight w:val="none"/>
                <w:lang w:val="en-US" w:eastAsia="zh-CN" w:bidi="ar-SA"/>
              </w:rPr>
              <w:t>经收集后交给专业回收公司处理。</w:t>
            </w:r>
          </w:p>
          <w:p w14:paraId="52D52548">
            <w:pPr>
              <w:keepNext w:val="0"/>
              <w:keepLines w:val="0"/>
              <w:pageBreakBefore w:val="0"/>
              <w:widowControl w:val="0"/>
              <w:kinsoku/>
              <w:wordWrap/>
              <w:overflowPunct/>
              <w:topLinePunct w:val="0"/>
              <w:autoSpaceDE w:val="0"/>
              <w:autoSpaceDN w:val="0"/>
              <w:bidi w:val="0"/>
              <w:adjustRightInd w:val="0"/>
              <w:snapToGrid w:val="0"/>
              <w:spacing w:after="0" w:line="360" w:lineRule="auto"/>
              <w:ind w:firstLine="480" w:firstLineChars="200"/>
              <w:jc w:val="both"/>
              <w:textAlignment w:val="baseline"/>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eastAsia="宋体" w:cs="Times New Roman"/>
                <w:color w:val="auto"/>
                <w:kern w:val="2"/>
                <w:sz w:val="24"/>
                <w:szCs w:val="21"/>
                <w:highlight w:val="none"/>
                <w:lang w:val="en-US" w:eastAsia="zh-CN" w:bidi="ar-SA"/>
              </w:rPr>
              <w:t>钢材边角料：项目钢筋笼加工过程产生的废钢筋边角料，大部分跟原料供应商进行置换，少部分作为一般固体废物收集后交由专业公司回收利用，根据建设单位提供资料，废钢筋边角料的产生量约10t/a，</w:t>
            </w:r>
            <w:r>
              <w:rPr>
                <w:rFonts w:hint="default" w:ascii="Times New Roman" w:hAnsi="Times New Roman" w:cs="Times New Roman"/>
                <w:color w:val="auto"/>
                <w:sz w:val="24"/>
                <w:szCs w:val="24"/>
                <w:highlight w:val="none"/>
                <w:lang w:eastAsia="zh-CN"/>
              </w:rPr>
              <w:t>根据</w:t>
            </w:r>
            <w:r>
              <w:rPr>
                <w:rFonts w:hint="default" w:ascii="Times New Roman" w:hAnsi="Times New Roman" w:cs="Times New Roman"/>
                <w:b w:val="0"/>
                <w:bCs w:val="0"/>
                <w:color w:val="auto"/>
                <w:sz w:val="24"/>
                <w:szCs w:val="24"/>
                <w:highlight w:val="none"/>
                <w:lang w:val="en-US" w:eastAsia="zh-CN"/>
              </w:rPr>
              <w:t>《关于发布&lt;固体废物分类与代码目录&gt;的公告》（公告 2024年 第4号）</w:t>
            </w:r>
            <w:r>
              <w:rPr>
                <w:rFonts w:hint="default" w:ascii="Times New Roman" w:hAnsi="Times New Roman" w:cs="Times New Roman"/>
                <w:color w:val="auto"/>
                <w:sz w:val="24"/>
                <w:szCs w:val="24"/>
                <w:highlight w:val="none"/>
                <w:lang w:eastAsia="zh-CN"/>
              </w:rPr>
              <w:t>，</w:t>
            </w:r>
            <w:r>
              <w:rPr>
                <w:rFonts w:hint="default" w:ascii="Times New Roman" w:hAnsi="Times New Roman" w:eastAsia="宋体" w:cs="Times New Roman"/>
                <w:color w:val="auto"/>
                <w:kern w:val="2"/>
                <w:sz w:val="24"/>
                <w:szCs w:val="21"/>
                <w:highlight w:val="none"/>
                <w:lang w:val="en-US" w:eastAsia="zh-CN" w:bidi="ar-SA"/>
              </w:rPr>
              <w:t>钢材边角料</w:t>
            </w:r>
            <w:r>
              <w:rPr>
                <w:rFonts w:hint="default" w:ascii="Times New Roman" w:hAnsi="Times New Roman" w:cs="Times New Roman"/>
                <w:color w:val="auto"/>
                <w:sz w:val="24"/>
                <w:szCs w:val="24"/>
                <w:highlight w:val="none"/>
                <w:lang w:eastAsia="zh-CN"/>
              </w:rPr>
              <w:t>属于</w:t>
            </w:r>
            <w:r>
              <w:rPr>
                <w:rFonts w:hint="default" w:ascii="Times New Roman" w:hAnsi="Times New Roman" w:cs="Times New Roman"/>
                <w:b w:val="0"/>
                <w:bCs w:val="0"/>
                <w:color w:val="auto"/>
                <w:sz w:val="24"/>
                <w:szCs w:val="24"/>
                <w:highlight w:val="none"/>
                <w:lang w:val="en-US" w:eastAsia="zh-CN"/>
              </w:rPr>
              <w:t>SW17可再生类废物，废物代码为900-099-S17，</w:t>
            </w:r>
            <w:r>
              <w:rPr>
                <w:rFonts w:hint="default" w:ascii="Times New Roman" w:hAnsi="Times New Roman" w:eastAsia="宋体" w:cs="Times New Roman"/>
                <w:b w:val="0"/>
                <w:bCs/>
                <w:color w:val="auto"/>
                <w:kern w:val="2"/>
                <w:sz w:val="24"/>
                <w:szCs w:val="24"/>
                <w:highlight w:val="none"/>
                <w:lang w:val="en-US" w:eastAsia="zh-CN"/>
              </w:rPr>
              <w:t>产生的</w:t>
            </w:r>
            <w:r>
              <w:rPr>
                <w:rFonts w:hint="default" w:ascii="Times New Roman" w:hAnsi="Times New Roman" w:eastAsia="宋体" w:cs="Times New Roman"/>
                <w:color w:val="auto"/>
                <w:kern w:val="2"/>
                <w:sz w:val="24"/>
                <w:szCs w:val="21"/>
                <w:highlight w:val="none"/>
                <w:lang w:val="en-US" w:eastAsia="zh-CN" w:bidi="ar-SA"/>
              </w:rPr>
              <w:t>钢材边角料</w:t>
            </w:r>
            <w:r>
              <w:rPr>
                <w:rFonts w:hint="default" w:ascii="Times New Roman" w:hAnsi="Times New Roman" w:eastAsia="宋体" w:cs="Times New Roman"/>
                <w:color w:val="auto"/>
                <w:kern w:val="2"/>
                <w:sz w:val="24"/>
                <w:szCs w:val="24"/>
                <w:highlight w:val="none"/>
                <w:lang w:val="en-US" w:eastAsia="zh-CN"/>
              </w:rPr>
              <w:t>经收集后交给专业回收公司处理。</w:t>
            </w:r>
          </w:p>
          <w:p w14:paraId="7809E1C9">
            <w:pPr>
              <w:keepNext w:val="0"/>
              <w:keepLines w:val="0"/>
              <w:pageBreakBefore w:val="0"/>
              <w:widowControl w:val="0"/>
              <w:kinsoku/>
              <w:wordWrap/>
              <w:overflowPunct/>
              <w:topLinePunct w:val="0"/>
              <w:bidi w:val="0"/>
              <w:adjustRightInd w:val="0"/>
              <w:snapToGrid w:val="0"/>
              <w:spacing w:line="360" w:lineRule="auto"/>
              <w:ind w:right="105" w:rightChars="50" w:firstLine="480" w:firstLineChars="200"/>
              <w:rPr>
                <w:rFonts w:hint="default" w:ascii="Times New Roman" w:hAnsi="Times New Roman" w:eastAsia="宋体" w:cs="Times New Roman"/>
                <w:bCs/>
                <w:color w:val="auto"/>
                <w:kern w:val="0"/>
                <w:sz w:val="24"/>
                <w:highlight w:val="none"/>
              </w:rPr>
            </w:pPr>
            <w:r>
              <w:rPr>
                <w:rFonts w:hint="default" w:ascii="Times New Roman" w:hAnsi="Times New Roman" w:cs="Times New Roman"/>
                <w:color w:val="auto"/>
                <w:sz w:val="24"/>
                <w:szCs w:val="24"/>
                <w:highlight w:val="none"/>
              </w:rPr>
              <w:t>废包装材料：</w:t>
            </w:r>
            <w:r>
              <w:rPr>
                <w:rFonts w:hint="default" w:ascii="Times New Roman" w:hAnsi="Times New Roman" w:cs="Times New Roman"/>
                <w:color w:val="auto"/>
                <w:kern w:val="2"/>
                <w:sz w:val="24"/>
                <w:szCs w:val="24"/>
                <w:highlight w:val="none"/>
                <w:lang w:bidi="ar-SA"/>
              </w:rPr>
              <w:t>项目</w:t>
            </w:r>
            <w:r>
              <w:rPr>
                <w:rFonts w:hint="default" w:ascii="Times New Roman" w:hAnsi="Times New Roman" w:cs="Times New Roman"/>
                <w:color w:val="auto"/>
                <w:kern w:val="2"/>
                <w:sz w:val="24"/>
                <w:szCs w:val="24"/>
                <w:highlight w:val="none"/>
                <w:lang w:val="en-US" w:eastAsia="zh-CN" w:bidi="ar-SA"/>
              </w:rPr>
              <w:t>原辅料拆包</w:t>
            </w:r>
            <w:r>
              <w:rPr>
                <w:rFonts w:hint="default" w:ascii="Times New Roman" w:hAnsi="Times New Roman" w:cs="Times New Roman"/>
                <w:color w:val="auto"/>
                <w:kern w:val="2"/>
                <w:sz w:val="24"/>
                <w:szCs w:val="24"/>
                <w:highlight w:val="none"/>
                <w:lang w:eastAsia="zh-CN" w:bidi="ar-SA"/>
              </w:rPr>
              <w:t>过程</w:t>
            </w:r>
            <w:r>
              <w:rPr>
                <w:rFonts w:hint="default" w:ascii="Times New Roman" w:hAnsi="Times New Roman" w:cs="Times New Roman"/>
                <w:color w:val="auto"/>
                <w:kern w:val="2"/>
                <w:sz w:val="24"/>
                <w:szCs w:val="24"/>
                <w:highlight w:val="none"/>
                <w:lang w:bidi="ar-SA"/>
              </w:rPr>
              <w:t>中会产生一定量的废包装材料，废包装材料产生量约为</w:t>
            </w:r>
            <w:r>
              <w:rPr>
                <w:rFonts w:hint="default" w:ascii="Times New Roman" w:hAnsi="Times New Roman" w:cs="Times New Roman"/>
                <w:color w:val="auto"/>
                <w:kern w:val="2"/>
                <w:sz w:val="24"/>
                <w:szCs w:val="24"/>
                <w:highlight w:val="none"/>
                <w:lang w:val="en-US" w:eastAsia="zh-CN" w:bidi="ar-SA"/>
              </w:rPr>
              <w:t>1</w:t>
            </w:r>
            <w:r>
              <w:rPr>
                <w:rFonts w:hint="default" w:ascii="Times New Roman" w:hAnsi="Times New Roman" w:cs="Times New Roman"/>
                <w:color w:val="auto"/>
                <w:kern w:val="2"/>
                <w:sz w:val="24"/>
                <w:szCs w:val="24"/>
                <w:highlight w:val="none"/>
                <w:lang w:bidi="ar-SA"/>
              </w:rPr>
              <w:t>t/a，</w:t>
            </w:r>
            <w:r>
              <w:rPr>
                <w:rFonts w:hint="default" w:ascii="Times New Roman" w:hAnsi="Times New Roman" w:eastAsia="宋体" w:cs="Times New Roman"/>
                <w:color w:val="auto"/>
                <w:sz w:val="24"/>
                <w:szCs w:val="24"/>
                <w:highlight w:val="none"/>
                <w:lang w:val="en-US" w:eastAsia="zh-CN"/>
              </w:rPr>
              <w:t>属于一般固体废物，</w:t>
            </w:r>
            <w:r>
              <w:rPr>
                <w:rFonts w:hint="default" w:ascii="Times New Roman" w:hAnsi="Times New Roman" w:cs="Times New Roman"/>
                <w:color w:val="auto"/>
                <w:sz w:val="24"/>
                <w:szCs w:val="24"/>
                <w:highlight w:val="none"/>
                <w:lang w:eastAsia="zh-CN"/>
              </w:rPr>
              <w:t>根据</w:t>
            </w:r>
            <w:r>
              <w:rPr>
                <w:rFonts w:hint="default" w:ascii="Times New Roman" w:hAnsi="Times New Roman" w:cs="Times New Roman"/>
                <w:b w:val="0"/>
                <w:bCs w:val="0"/>
                <w:color w:val="auto"/>
                <w:sz w:val="24"/>
                <w:szCs w:val="24"/>
                <w:highlight w:val="none"/>
                <w:lang w:val="en-US" w:eastAsia="zh-CN"/>
              </w:rPr>
              <w:t>《关于发布&lt;固体废物分类与代码目录&gt;的公告》（公告 2024年 第4号）</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废包装材料属于</w:t>
            </w:r>
            <w:r>
              <w:rPr>
                <w:rFonts w:hint="default" w:ascii="Times New Roman" w:hAnsi="Times New Roman" w:cs="Times New Roman"/>
                <w:b w:val="0"/>
                <w:bCs w:val="0"/>
                <w:color w:val="auto"/>
                <w:sz w:val="24"/>
                <w:szCs w:val="24"/>
                <w:highlight w:val="none"/>
                <w:lang w:val="en-US" w:eastAsia="zh-CN"/>
              </w:rPr>
              <w:t>SW59其他工业固体废物，废物代码为900-099-S59，</w:t>
            </w:r>
            <w:r>
              <w:rPr>
                <w:rFonts w:hint="default" w:ascii="Times New Roman" w:hAnsi="Times New Roman" w:eastAsia="宋体" w:cs="Times New Roman"/>
                <w:bCs/>
                <w:color w:val="auto"/>
                <w:kern w:val="0"/>
                <w:sz w:val="24"/>
                <w:highlight w:val="none"/>
                <w:lang w:val="en-US" w:eastAsia="zh-CN"/>
              </w:rPr>
              <w:t>废包装材料</w:t>
            </w:r>
            <w:r>
              <w:rPr>
                <w:rFonts w:hint="default" w:ascii="Times New Roman" w:hAnsi="Times New Roman" w:eastAsia="宋体" w:cs="Times New Roman"/>
                <w:bCs/>
                <w:color w:val="auto"/>
                <w:kern w:val="0"/>
                <w:sz w:val="24"/>
                <w:highlight w:val="none"/>
              </w:rPr>
              <w:t>收集后交由专业回收公司回收处理。</w:t>
            </w:r>
          </w:p>
          <w:p w14:paraId="05AAEAB7">
            <w:pPr>
              <w:keepNext w:val="0"/>
              <w:keepLines w:val="0"/>
              <w:pageBreakBefore w:val="0"/>
              <w:widowControl w:val="0"/>
              <w:kinsoku/>
              <w:wordWrap/>
              <w:overflowPunct/>
              <w:topLinePunct w:val="0"/>
              <w:autoSpaceDE w:val="0"/>
              <w:autoSpaceDN w:val="0"/>
              <w:bidi w:val="0"/>
              <w:adjustRightInd w:val="0"/>
              <w:snapToGrid w:val="0"/>
              <w:spacing w:after="0" w:line="360" w:lineRule="auto"/>
              <w:ind w:firstLine="480" w:firstLineChars="200"/>
              <w:jc w:val="both"/>
              <w:textAlignment w:val="baseline"/>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eastAsia="宋体" w:cs="Times New Roman"/>
                <w:color w:val="auto"/>
                <w:sz w:val="24"/>
                <w:highlight w:val="none"/>
                <w:lang w:eastAsia="zh-CN"/>
              </w:rPr>
              <w:t>废</w:t>
            </w:r>
            <w:r>
              <w:rPr>
                <w:rFonts w:hint="default" w:ascii="Times New Roman" w:hAnsi="Times New Roman" w:cs="Times New Roman"/>
                <w:color w:val="auto"/>
                <w:sz w:val="24"/>
                <w:highlight w:val="none"/>
                <w:lang w:val="en-US" w:eastAsia="zh-CN"/>
              </w:rPr>
              <w:t>脱模剂桶</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项</w:t>
            </w:r>
            <w:r>
              <w:rPr>
                <w:rFonts w:hint="default" w:ascii="Times New Roman" w:hAnsi="Times New Roman" w:cs="Times New Roman"/>
                <w:color w:val="auto"/>
                <w:sz w:val="24"/>
                <w:highlight w:val="none"/>
              </w:rPr>
              <w:t>目在使用</w:t>
            </w:r>
            <w:r>
              <w:rPr>
                <w:rFonts w:hint="default" w:ascii="Times New Roman" w:hAnsi="Times New Roman" w:cs="Times New Roman"/>
                <w:color w:val="auto"/>
                <w:sz w:val="24"/>
                <w:highlight w:val="none"/>
                <w:lang w:eastAsia="zh-CN"/>
              </w:rPr>
              <w:t>完</w:t>
            </w:r>
            <w:r>
              <w:rPr>
                <w:rFonts w:hint="default" w:ascii="Times New Roman" w:hAnsi="Times New Roman" w:cs="Times New Roman"/>
                <w:color w:val="auto"/>
                <w:sz w:val="24"/>
                <w:highlight w:val="none"/>
                <w:lang w:val="en-US" w:eastAsia="zh-CN"/>
              </w:rPr>
              <w:t>脱模剂等</w:t>
            </w:r>
            <w:r>
              <w:rPr>
                <w:rFonts w:hint="default" w:ascii="Times New Roman" w:hAnsi="Times New Roman" w:cs="Times New Roman"/>
                <w:color w:val="auto"/>
                <w:sz w:val="24"/>
                <w:highlight w:val="none"/>
                <w:lang w:eastAsia="zh-CN"/>
              </w:rPr>
              <w:t>后</w:t>
            </w:r>
            <w:r>
              <w:rPr>
                <w:rFonts w:hint="default" w:ascii="Times New Roman" w:hAnsi="Times New Roman" w:cs="Times New Roman"/>
                <w:color w:val="auto"/>
                <w:sz w:val="24"/>
                <w:highlight w:val="none"/>
              </w:rPr>
              <w:t>会产生</w:t>
            </w:r>
            <w:r>
              <w:rPr>
                <w:rFonts w:hint="default" w:ascii="Times New Roman" w:hAnsi="Times New Roman" w:cs="Times New Roman"/>
                <w:color w:val="auto"/>
                <w:sz w:val="24"/>
                <w:highlight w:val="none"/>
                <w:lang w:val="en-US" w:eastAsia="zh-CN"/>
              </w:rPr>
              <w:t>极少量的</w:t>
            </w:r>
            <w:r>
              <w:rPr>
                <w:rFonts w:hint="default" w:ascii="Times New Roman" w:hAnsi="Times New Roman" w:cs="Times New Roman"/>
                <w:color w:val="auto"/>
                <w:sz w:val="24"/>
                <w:highlight w:val="none"/>
              </w:rPr>
              <w:t>废</w:t>
            </w:r>
            <w:r>
              <w:rPr>
                <w:rFonts w:hint="default" w:ascii="Times New Roman" w:hAnsi="Times New Roman" w:cs="Times New Roman"/>
                <w:color w:val="auto"/>
                <w:sz w:val="24"/>
                <w:highlight w:val="none"/>
                <w:lang w:val="en-US" w:eastAsia="zh-CN"/>
              </w:rPr>
              <w:t>包装</w:t>
            </w:r>
            <w:r>
              <w:rPr>
                <w:rFonts w:hint="default" w:ascii="Times New Roman" w:hAnsi="Times New Roman" w:cs="Times New Roman"/>
                <w:color w:val="auto"/>
                <w:sz w:val="24"/>
                <w:highlight w:val="none"/>
              </w:rPr>
              <w:t>桶，其产生量约为</w:t>
            </w:r>
            <w:r>
              <w:rPr>
                <w:rFonts w:hint="default" w:ascii="Times New Roman" w:hAnsi="Times New Roman" w:cs="Times New Roman"/>
                <w:color w:val="auto"/>
                <w:sz w:val="24"/>
                <w:highlight w:val="none"/>
                <w:lang w:val="en-US" w:eastAsia="zh-CN"/>
              </w:rPr>
              <w:t>0.2</w:t>
            </w:r>
            <w:r>
              <w:rPr>
                <w:rFonts w:hint="default" w:ascii="Times New Roman" w:hAnsi="Times New Roman" w:cs="Times New Roman"/>
                <w:color w:val="auto"/>
                <w:sz w:val="24"/>
                <w:highlight w:val="none"/>
              </w:rPr>
              <w:t>t/a，</w:t>
            </w:r>
            <w:r>
              <w:rPr>
                <w:rFonts w:hint="default" w:ascii="Times New Roman" w:hAnsi="Times New Roman" w:cs="Times New Roman"/>
                <w:color w:val="auto"/>
                <w:sz w:val="24"/>
                <w:highlight w:val="none"/>
                <w:lang w:val="en-US" w:eastAsia="zh-CN"/>
              </w:rPr>
              <w:t>废脱模剂桶属于一般固体废物，</w:t>
            </w:r>
            <w:r>
              <w:rPr>
                <w:rFonts w:hint="default" w:ascii="Times New Roman" w:hAnsi="Times New Roman" w:cs="Times New Roman"/>
                <w:color w:val="auto"/>
                <w:sz w:val="24"/>
                <w:szCs w:val="24"/>
                <w:highlight w:val="none"/>
                <w:lang w:eastAsia="zh-CN"/>
              </w:rPr>
              <w:t>根据</w:t>
            </w:r>
            <w:r>
              <w:rPr>
                <w:rFonts w:hint="default" w:ascii="Times New Roman" w:hAnsi="Times New Roman" w:cs="Times New Roman"/>
                <w:b w:val="0"/>
                <w:bCs w:val="0"/>
                <w:color w:val="auto"/>
                <w:sz w:val="24"/>
                <w:szCs w:val="24"/>
                <w:highlight w:val="none"/>
                <w:lang w:val="en-US" w:eastAsia="zh-CN"/>
              </w:rPr>
              <w:t>《关于发布&lt;固体废物分类与代码目录&gt;的公告》（公告 2024年 第4号）</w:t>
            </w:r>
            <w:r>
              <w:rPr>
                <w:rFonts w:hint="default" w:ascii="Times New Roman" w:hAnsi="Times New Roman" w:cs="Times New Roman"/>
                <w:color w:val="auto"/>
                <w:sz w:val="24"/>
                <w:szCs w:val="24"/>
                <w:highlight w:val="none"/>
                <w:lang w:eastAsia="zh-CN"/>
              </w:rPr>
              <w:t>，</w:t>
            </w:r>
            <w:r>
              <w:rPr>
                <w:rFonts w:hint="default" w:ascii="Times New Roman" w:hAnsi="Times New Roman" w:eastAsia="宋体" w:cs="Times New Roman"/>
                <w:color w:val="auto"/>
                <w:sz w:val="24"/>
                <w:highlight w:val="none"/>
                <w:lang w:eastAsia="zh-CN"/>
              </w:rPr>
              <w:t>废</w:t>
            </w:r>
            <w:r>
              <w:rPr>
                <w:rFonts w:hint="default" w:ascii="Times New Roman" w:hAnsi="Times New Roman" w:cs="Times New Roman"/>
                <w:color w:val="auto"/>
                <w:sz w:val="24"/>
                <w:highlight w:val="none"/>
                <w:lang w:val="en-US" w:eastAsia="zh-CN"/>
              </w:rPr>
              <w:t>脱模剂桶</w:t>
            </w:r>
            <w:r>
              <w:rPr>
                <w:rFonts w:hint="default" w:ascii="Times New Roman" w:hAnsi="Times New Roman" w:cs="Times New Roman"/>
                <w:color w:val="auto"/>
                <w:sz w:val="24"/>
                <w:szCs w:val="24"/>
                <w:highlight w:val="none"/>
                <w:lang w:eastAsia="zh-CN"/>
              </w:rPr>
              <w:t>属于</w:t>
            </w:r>
            <w:r>
              <w:rPr>
                <w:rFonts w:hint="default" w:ascii="Times New Roman" w:hAnsi="Times New Roman" w:cs="Times New Roman"/>
                <w:b w:val="0"/>
                <w:bCs w:val="0"/>
                <w:color w:val="auto"/>
                <w:sz w:val="24"/>
                <w:szCs w:val="24"/>
                <w:highlight w:val="none"/>
                <w:lang w:val="en-US" w:eastAsia="zh-CN"/>
              </w:rPr>
              <w:t>SW17可再生类废物，废物代码为900-099-S17，</w:t>
            </w:r>
            <w:r>
              <w:rPr>
                <w:rFonts w:hint="default" w:ascii="Times New Roman" w:hAnsi="Times New Roman" w:eastAsia="宋体" w:cs="Times New Roman"/>
                <w:color w:val="auto"/>
                <w:sz w:val="24"/>
                <w:highlight w:val="none"/>
                <w:lang w:eastAsia="zh-CN"/>
              </w:rPr>
              <w:t>废</w:t>
            </w:r>
            <w:r>
              <w:rPr>
                <w:rFonts w:hint="default" w:ascii="Times New Roman" w:hAnsi="Times New Roman" w:cs="Times New Roman"/>
                <w:color w:val="auto"/>
                <w:sz w:val="24"/>
                <w:highlight w:val="none"/>
                <w:lang w:val="en-US" w:eastAsia="zh-CN"/>
              </w:rPr>
              <w:t>脱模剂桶</w:t>
            </w:r>
            <w:r>
              <w:rPr>
                <w:rFonts w:hint="default" w:ascii="Times New Roman" w:hAnsi="Times New Roman" w:eastAsia="宋体" w:cs="Times New Roman"/>
                <w:color w:val="auto"/>
                <w:kern w:val="2"/>
                <w:sz w:val="24"/>
                <w:szCs w:val="24"/>
                <w:highlight w:val="none"/>
                <w:lang w:val="en-US" w:eastAsia="zh-CN"/>
              </w:rPr>
              <w:t>经收集后交给专业回收公司处理。</w:t>
            </w:r>
          </w:p>
          <w:p w14:paraId="3CD30F2C">
            <w:pPr>
              <w:keepNext w:val="0"/>
              <w:keepLines w:val="0"/>
              <w:pageBreakBefore w:val="0"/>
              <w:widowControl w:val="0"/>
              <w:kinsoku/>
              <w:wordWrap/>
              <w:overflowPunct/>
              <w:topLinePunct w:val="0"/>
              <w:bidi w:val="0"/>
              <w:adjustRightInd w:val="0"/>
              <w:snapToGrid w:val="0"/>
              <w:spacing w:line="360" w:lineRule="auto"/>
              <w:ind w:firstLine="482" w:firstLineChars="200"/>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4.1.2危险废物</w:t>
            </w:r>
          </w:p>
          <w:p w14:paraId="37C12993">
            <w:pPr>
              <w:adjustRightInd w:val="0"/>
              <w:snapToGrid w:val="0"/>
              <w:spacing w:line="360" w:lineRule="auto"/>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含油手套及废抹布：项目设备保养过程会产生</w:t>
            </w:r>
            <w:r>
              <w:rPr>
                <w:rFonts w:hint="default" w:ascii="Times New Roman" w:hAnsi="Times New Roman" w:cs="Times New Roman"/>
                <w:color w:val="auto"/>
                <w:sz w:val="24"/>
                <w:szCs w:val="21"/>
                <w:highlight w:val="none"/>
                <w:lang w:eastAsia="zh-CN"/>
              </w:rPr>
              <w:t>含油手套及废抹布</w:t>
            </w:r>
            <w:r>
              <w:rPr>
                <w:rFonts w:hint="default" w:ascii="Times New Roman" w:hAnsi="Times New Roman" w:cs="Times New Roman"/>
                <w:color w:val="auto"/>
                <w:sz w:val="24"/>
                <w:szCs w:val="21"/>
                <w:highlight w:val="none"/>
              </w:rPr>
              <w:t>，产生量为0.0</w:t>
            </w:r>
            <w:r>
              <w:rPr>
                <w:rFonts w:hint="default" w:ascii="Times New Roman" w:hAnsi="Times New Roman" w:cs="Times New Roman"/>
                <w:color w:val="auto"/>
                <w:sz w:val="24"/>
                <w:szCs w:val="21"/>
                <w:highlight w:val="none"/>
                <w:lang w:val="en-US" w:eastAsia="zh-CN"/>
              </w:rPr>
              <w:t>5</w:t>
            </w:r>
            <w:r>
              <w:rPr>
                <w:rFonts w:hint="default" w:ascii="Times New Roman" w:hAnsi="Times New Roman" w:cs="Times New Roman"/>
                <w:color w:val="auto"/>
                <w:sz w:val="24"/>
                <w:szCs w:val="21"/>
                <w:highlight w:val="none"/>
              </w:rPr>
              <w:t>t/a，</w:t>
            </w:r>
            <w:r>
              <w:rPr>
                <w:rFonts w:hint="default" w:ascii="Times New Roman" w:hAnsi="Times New Roman" w:cs="Times New Roman"/>
                <w:color w:val="auto"/>
                <w:sz w:val="24"/>
                <w:highlight w:val="none"/>
              </w:rPr>
              <w:t>根据《国家危险废物名录》（202</w:t>
            </w:r>
            <w:r>
              <w:rPr>
                <w:rFonts w:hint="default" w:ascii="Times New Roman" w:hAnsi="Times New Roman" w:cs="Times New Roman"/>
                <w:color w:val="auto"/>
                <w:sz w:val="24"/>
                <w:highlight w:val="none"/>
                <w:lang w:val="en-US" w:eastAsia="zh-CN"/>
              </w:rPr>
              <w:t>5年</w:t>
            </w:r>
            <w:r>
              <w:rPr>
                <w:rFonts w:hint="default" w:ascii="Times New Roman" w:hAnsi="Times New Roman" w:cs="Times New Roman"/>
                <w:color w:val="auto"/>
                <w:sz w:val="24"/>
                <w:highlight w:val="none"/>
              </w:rPr>
              <w:t>版），该废物按照危险废物进行管理，废物类别：HW49其他废物，废物代码为900-041-49</w:t>
            </w:r>
            <w:r>
              <w:rPr>
                <w:rFonts w:hint="default" w:ascii="Times New Roman" w:hAnsi="Times New Roman" w:cs="Times New Roman"/>
                <w:color w:val="auto"/>
                <w:sz w:val="24"/>
                <w:highlight w:val="none"/>
                <w:lang w:eastAsia="zh-CN"/>
              </w:rPr>
              <w:t>（含有或沾染毒性、感染性危险废物的废弃包装物、容器、过滤吸附介质）</w:t>
            </w:r>
            <w:r>
              <w:rPr>
                <w:rFonts w:hint="default" w:ascii="Times New Roman" w:hAnsi="Times New Roman" w:cs="Times New Roman"/>
                <w:color w:val="auto"/>
                <w:sz w:val="24"/>
                <w:highlight w:val="none"/>
              </w:rPr>
              <w:t>，</w:t>
            </w:r>
            <w:r>
              <w:rPr>
                <w:rFonts w:hint="default" w:ascii="Times New Roman" w:hAnsi="Times New Roman" w:cs="Times New Roman"/>
                <w:color w:val="auto"/>
                <w:spacing w:val="-10"/>
                <w:sz w:val="24"/>
                <w:szCs w:val="21"/>
                <w:highlight w:val="none"/>
              </w:rPr>
              <w:t>收集后</w:t>
            </w:r>
            <w:r>
              <w:rPr>
                <w:rFonts w:hint="default" w:ascii="Times New Roman" w:hAnsi="Times New Roman" w:cs="Times New Roman"/>
                <w:color w:val="auto"/>
                <w:sz w:val="24"/>
                <w:szCs w:val="21"/>
                <w:highlight w:val="none"/>
              </w:rPr>
              <w:t>交由有危险废物处理资质的单位处理。</w:t>
            </w:r>
          </w:p>
          <w:p w14:paraId="41D13A08">
            <w:pPr>
              <w:keepNext w:val="0"/>
              <w:keepLines w:val="0"/>
              <w:pageBreakBefore w:val="0"/>
              <w:widowControl w:val="0"/>
              <w:kinsoku/>
              <w:wordWrap/>
              <w:overflowPunct/>
              <w:topLinePunct w:val="0"/>
              <w:bidi w:val="0"/>
              <w:adjustRightInd w:val="0"/>
              <w:snapToGrid w:val="0"/>
              <w:spacing w:line="360" w:lineRule="auto"/>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废机油：项目设备保养过程中需使用机油，该过程会产生废机油，产生量约为0.</w:t>
            </w:r>
            <w:r>
              <w:rPr>
                <w:rFonts w:hint="default" w:ascii="Times New Roman" w:hAnsi="Times New Roman" w:cs="Times New Roman"/>
                <w:color w:val="auto"/>
                <w:sz w:val="24"/>
                <w:szCs w:val="21"/>
                <w:highlight w:val="none"/>
                <w:lang w:val="en-US" w:eastAsia="zh-CN"/>
              </w:rPr>
              <w:t>2</w:t>
            </w:r>
            <w:r>
              <w:rPr>
                <w:rFonts w:hint="default" w:ascii="Times New Roman" w:hAnsi="Times New Roman" w:cs="Times New Roman"/>
                <w:color w:val="auto"/>
                <w:sz w:val="24"/>
                <w:szCs w:val="21"/>
                <w:highlight w:val="none"/>
              </w:rPr>
              <w:t>t/a，</w:t>
            </w:r>
            <w:r>
              <w:rPr>
                <w:rFonts w:hint="default" w:ascii="Times New Roman" w:hAnsi="Times New Roman" w:cs="Times New Roman"/>
                <w:color w:val="auto"/>
                <w:sz w:val="24"/>
                <w:highlight w:val="none"/>
              </w:rPr>
              <w:t>根据《国家危险废物名录》（202</w:t>
            </w:r>
            <w:r>
              <w:rPr>
                <w:rFonts w:hint="default" w:ascii="Times New Roman" w:hAnsi="Times New Roman" w:cs="Times New Roman"/>
                <w:color w:val="auto"/>
                <w:sz w:val="24"/>
                <w:highlight w:val="none"/>
                <w:lang w:val="en-US" w:eastAsia="zh-CN"/>
              </w:rPr>
              <w:t>5年</w:t>
            </w:r>
            <w:r>
              <w:rPr>
                <w:rFonts w:hint="default" w:ascii="Times New Roman" w:hAnsi="Times New Roman" w:cs="Times New Roman"/>
                <w:color w:val="auto"/>
                <w:sz w:val="24"/>
                <w:highlight w:val="none"/>
              </w:rPr>
              <w:t>版），该废物按照危险废物进行管理，危废类别：HW08废矿物油与含矿物油废物，废物代码为900-2</w:t>
            </w:r>
            <w:r>
              <w:rPr>
                <w:rFonts w:hint="default" w:ascii="Times New Roman" w:hAnsi="Times New Roman" w:cs="Times New Roman"/>
                <w:color w:val="auto"/>
                <w:sz w:val="24"/>
                <w:highlight w:val="none"/>
                <w:lang w:val="en-US" w:eastAsia="zh-CN"/>
              </w:rPr>
              <w:t>14</w:t>
            </w:r>
            <w:r>
              <w:rPr>
                <w:rFonts w:hint="default" w:ascii="Times New Roman" w:hAnsi="Times New Roman" w:cs="Times New Roman"/>
                <w:color w:val="auto"/>
                <w:sz w:val="24"/>
                <w:highlight w:val="none"/>
              </w:rPr>
              <w:t>-08</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车辆、轮船及其它机械维修过程中产生的废发动机油、制动器油、自动变速器油、齿轮油等废润滑油</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pacing w:val="-10"/>
                <w:sz w:val="24"/>
                <w:szCs w:val="21"/>
                <w:highlight w:val="none"/>
              </w:rPr>
              <w:t>收集后</w:t>
            </w:r>
            <w:r>
              <w:rPr>
                <w:rFonts w:hint="default" w:ascii="Times New Roman" w:hAnsi="Times New Roman" w:cs="Times New Roman"/>
                <w:color w:val="auto"/>
                <w:sz w:val="24"/>
                <w:szCs w:val="21"/>
                <w:highlight w:val="none"/>
              </w:rPr>
              <w:t>交由有危险废物处理资质的单位处理。</w:t>
            </w:r>
          </w:p>
          <w:p w14:paraId="7CA375A3">
            <w:pPr>
              <w:adjustRightInd w:val="0"/>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eastAsia="宋体" w:cs="Times New Roman"/>
                <w:color w:val="auto"/>
                <w:sz w:val="24"/>
                <w:highlight w:val="none"/>
                <w:lang w:eastAsia="zh-CN"/>
              </w:rPr>
              <w:t>废</w:t>
            </w:r>
            <w:r>
              <w:rPr>
                <w:rFonts w:hint="default" w:ascii="Times New Roman" w:hAnsi="Times New Roman" w:cs="Times New Roman"/>
                <w:color w:val="auto"/>
                <w:sz w:val="24"/>
                <w:highlight w:val="none"/>
                <w:lang w:val="en-US" w:eastAsia="zh-CN"/>
              </w:rPr>
              <w:t>机油</w:t>
            </w:r>
            <w:r>
              <w:rPr>
                <w:rFonts w:hint="default" w:ascii="Times New Roman" w:hAnsi="Times New Roman" w:eastAsia="宋体" w:cs="Times New Roman"/>
                <w:color w:val="auto"/>
                <w:sz w:val="24"/>
                <w:highlight w:val="none"/>
                <w:lang w:eastAsia="zh-CN"/>
              </w:rPr>
              <w:t>桶：</w:t>
            </w:r>
            <w:r>
              <w:rPr>
                <w:rFonts w:hint="default" w:ascii="Times New Roman" w:hAnsi="Times New Roman" w:eastAsia="宋体" w:cs="Times New Roman"/>
                <w:color w:val="auto"/>
                <w:sz w:val="24"/>
                <w:highlight w:val="none"/>
              </w:rPr>
              <w:t>项</w:t>
            </w:r>
            <w:r>
              <w:rPr>
                <w:rFonts w:hint="default" w:ascii="Times New Roman" w:hAnsi="Times New Roman" w:cs="Times New Roman"/>
                <w:color w:val="auto"/>
                <w:sz w:val="24"/>
                <w:highlight w:val="none"/>
              </w:rPr>
              <w:t>目在使用</w:t>
            </w:r>
            <w:r>
              <w:rPr>
                <w:rFonts w:hint="default" w:ascii="Times New Roman" w:hAnsi="Times New Roman" w:cs="Times New Roman"/>
                <w:color w:val="auto"/>
                <w:sz w:val="24"/>
                <w:highlight w:val="none"/>
                <w:lang w:eastAsia="zh-CN"/>
              </w:rPr>
              <w:t>完</w:t>
            </w:r>
            <w:r>
              <w:rPr>
                <w:rFonts w:hint="default" w:ascii="Times New Roman" w:hAnsi="Times New Roman" w:cs="Times New Roman"/>
                <w:color w:val="auto"/>
                <w:sz w:val="24"/>
                <w:highlight w:val="none"/>
                <w:lang w:val="en-US" w:eastAsia="zh-CN"/>
              </w:rPr>
              <w:t>机油</w:t>
            </w:r>
            <w:r>
              <w:rPr>
                <w:rFonts w:hint="default" w:ascii="Times New Roman" w:hAnsi="Times New Roman" w:cs="Times New Roman"/>
                <w:color w:val="auto"/>
                <w:sz w:val="24"/>
                <w:highlight w:val="none"/>
                <w:lang w:eastAsia="zh-CN"/>
              </w:rPr>
              <w:t>后</w:t>
            </w:r>
            <w:r>
              <w:rPr>
                <w:rFonts w:hint="default" w:ascii="Times New Roman" w:hAnsi="Times New Roman" w:cs="Times New Roman"/>
                <w:color w:val="auto"/>
                <w:sz w:val="24"/>
                <w:highlight w:val="none"/>
              </w:rPr>
              <w:t>会产生</w:t>
            </w:r>
            <w:r>
              <w:rPr>
                <w:rFonts w:hint="default" w:ascii="Times New Roman" w:hAnsi="Times New Roman" w:cs="Times New Roman"/>
                <w:color w:val="auto"/>
                <w:sz w:val="24"/>
                <w:highlight w:val="none"/>
                <w:lang w:val="en-US" w:eastAsia="zh-CN"/>
              </w:rPr>
              <w:t>极少量的</w:t>
            </w:r>
            <w:r>
              <w:rPr>
                <w:rFonts w:hint="default" w:ascii="Times New Roman" w:hAnsi="Times New Roman" w:cs="Times New Roman"/>
                <w:color w:val="auto"/>
                <w:sz w:val="24"/>
                <w:highlight w:val="none"/>
              </w:rPr>
              <w:t>废</w:t>
            </w:r>
            <w:r>
              <w:rPr>
                <w:rFonts w:hint="default" w:ascii="Times New Roman" w:hAnsi="Times New Roman" w:cs="Times New Roman"/>
                <w:color w:val="auto"/>
                <w:sz w:val="24"/>
                <w:highlight w:val="none"/>
                <w:lang w:val="en-US" w:eastAsia="zh-CN"/>
              </w:rPr>
              <w:t>机油</w:t>
            </w:r>
            <w:r>
              <w:rPr>
                <w:rFonts w:hint="default" w:ascii="Times New Roman" w:hAnsi="Times New Roman" w:cs="Times New Roman"/>
                <w:color w:val="auto"/>
                <w:sz w:val="24"/>
                <w:highlight w:val="none"/>
              </w:rPr>
              <w:t>桶，其产生量约为</w:t>
            </w:r>
            <w:r>
              <w:rPr>
                <w:rFonts w:hint="default" w:ascii="Times New Roman" w:hAnsi="Times New Roman" w:cs="Times New Roman"/>
                <w:color w:val="auto"/>
                <w:sz w:val="24"/>
                <w:highlight w:val="none"/>
                <w:lang w:val="en-US" w:eastAsia="zh-CN"/>
              </w:rPr>
              <w:t>0.05</w:t>
            </w:r>
            <w:r>
              <w:rPr>
                <w:rFonts w:hint="default" w:ascii="Times New Roman" w:hAnsi="Times New Roman" w:cs="Times New Roman"/>
                <w:color w:val="auto"/>
                <w:sz w:val="24"/>
                <w:highlight w:val="none"/>
              </w:rPr>
              <w:t>t/a，根据《国家危险废物名录》（202</w:t>
            </w:r>
            <w:r>
              <w:rPr>
                <w:rFonts w:hint="default" w:ascii="Times New Roman" w:hAnsi="Times New Roman" w:cs="Times New Roman"/>
                <w:color w:val="auto"/>
                <w:sz w:val="24"/>
                <w:highlight w:val="none"/>
                <w:lang w:val="en-US" w:eastAsia="zh-CN"/>
              </w:rPr>
              <w:t>5年</w:t>
            </w:r>
            <w:r>
              <w:rPr>
                <w:rFonts w:hint="default" w:ascii="Times New Roman" w:hAnsi="Times New Roman" w:cs="Times New Roman"/>
                <w:color w:val="auto"/>
                <w:sz w:val="24"/>
                <w:highlight w:val="none"/>
              </w:rPr>
              <w:t>版），该废物按照危险废物进行管理，危废类别</w:t>
            </w:r>
            <w:r>
              <w:rPr>
                <w:rFonts w:hint="default" w:ascii="Times New Roman" w:hAnsi="Times New Roman" w:eastAsia="宋体" w:cs="Times New Roman"/>
                <w:color w:val="auto"/>
                <w:sz w:val="24"/>
                <w:highlight w:val="none"/>
                <w:lang w:val="en-US" w:eastAsia="zh-CN"/>
              </w:rPr>
              <w:t>：HW08废矿物油与含矿物油废物，</w:t>
            </w:r>
            <w:r>
              <w:rPr>
                <w:rFonts w:hint="default" w:ascii="Times New Roman" w:hAnsi="Times New Roman" w:cs="Times New Roman"/>
                <w:color w:val="auto"/>
                <w:sz w:val="24"/>
                <w:highlight w:val="none"/>
              </w:rPr>
              <w:t>废物代码为900-</w:t>
            </w:r>
            <w:r>
              <w:rPr>
                <w:rFonts w:hint="default" w:ascii="Times New Roman" w:hAnsi="Times New Roman" w:cs="Times New Roman"/>
                <w:color w:val="auto"/>
                <w:sz w:val="24"/>
                <w:highlight w:val="none"/>
                <w:lang w:val="en-US" w:eastAsia="zh-CN"/>
              </w:rPr>
              <w:t>249</w:t>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lang w:val="en-US" w:eastAsia="zh-CN"/>
              </w:rPr>
              <w:t>08</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其他生产、销售、使用过程中产生的废矿物油及沾染矿物油的废弃包装物</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，收集后交由有危险废物处理资质的单位处理。</w:t>
            </w:r>
          </w:p>
          <w:p w14:paraId="0C1AA0FB">
            <w:pPr>
              <w:keepNext w:val="0"/>
              <w:keepLines w:val="0"/>
              <w:pageBreakBefore w:val="0"/>
              <w:widowControl w:val="0"/>
              <w:kinsoku/>
              <w:wordWrap/>
              <w:overflowPunct/>
              <w:topLinePunct w:val="0"/>
              <w:bidi w:val="0"/>
              <w:adjustRightInd w:val="0"/>
              <w:snapToGrid w:val="0"/>
              <w:spacing w:line="360" w:lineRule="auto"/>
              <w:ind w:firstLine="482" w:firstLineChars="200"/>
              <w:rPr>
                <w:rFonts w:hint="default" w:ascii="Times New Roman" w:hAnsi="Times New Roman" w:eastAsia="宋体" w:cs="Times New Roman"/>
                <w:b/>
                <w:color w:val="auto"/>
                <w:sz w:val="24"/>
                <w:highlight w:val="none"/>
                <w:lang w:val="en-US" w:eastAsia="zh-CN"/>
              </w:rPr>
            </w:pPr>
            <w:r>
              <w:rPr>
                <w:rFonts w:hint="default" w:ascii="Times New Roman" w:hAnsi="Times New Roman" w:cs="Times New Roman"/>
                <w:b/>
                <w:color w:val="auto"/>
                <w:sz w:val="24"/>
                <w:highlight w:val="none"/>
                <w:lang w:val="en-US" w:eastAsia="zh-CN"/>
              </w:rPr>
              <w:t>4.1.3生活垃圾</w:t>
            </w:r>
          </w:p>
          <w:p w14:paraId="1B1CBD3E">
            <w:pPr>
              <w:pStyle w:val="33"/>
              <w:keepNext w:val="0"/>
              <w:keepLines w:val="0"/>
              <w:pageBreakBefore w:val="0"/>
              <w:widowControl w:val="0"/>
              <w:kinsoku/>
              <w:wordWrap/>
              <w:overflowPunct/>
              <w:topLinePunct w:val="0"/>
              <w:autoSpaceDE/>
              <w:autoSpaceDN/>
              <w:bidi w:val="0"/>
              <w:adjustRightInd w:val="0"/>
              <w:snapToGrid w:val="0"/>
              <w:spacing w:after="0" w:line="360" w:lineRule="auto"/>
              <w:ind w:left="0" w:leftChars="0" w:firstLine="480" w:firstLineChars="20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生活垃圾主要来自员工日常办公，成分主要是废纸张、瓜果皮核、饮料包装瓶、塑料包装纸等，本项目员工60人，年工作300天，根据惠州地区生活垃圾产生统计数据，生活垃圾产生系数为0.5kg/人•d，生活垃圾产生量</w:t>
            </w:r>
            <w:r>
              <w:rPr>
                <w:rFonts w:hint="default" w:ascii="Times New Roman" w:hAnsi="Times New Roman" w:cs="Times New Roman"/>
                <w:color w:val="auto"/>
                <w:kern w:val="2"/>
                <w:sz w:val="24"/>
                <w:szCs w:val="24"/>
                <w:highlight w:val="none"/>
                <w:lang w:val="en-US" w:eastAsia="zh-CN" w:bidi="ar-SA"/>
              </w:rPr>
              <w:t>9</w:t>
            </w:r>
            <w:r>
              <w:rPr>
                <w:rFonts w:hint="default" w:ascii="Times New Roman" w:hAnsi="Times New Roman" w:eastAsia="宋体" w:cs="Times New Roman"/>
                <w:color w:val="auto"/>
                <w:kern w:val="2"/>
                <w:sz w:val="24"/>
                <w:szCs w:val="24"/>
                <w:highlight w:val="none"/>
                <w:lang w:val="en-US" w:eastAsia="zh-CN" w:bidi="ar-SA"/>
              </w:rPr>
              <w:t>t/a，生活垃圾集中收集后交由环卫部门清运处理。</w:t>
            </w:r>
          </w:p>
          <w:p w14:paraId="0E30926B">
            <w:pPr>
              <w:adjustRightInd w:val="0"/>
              <w:snapToGrid w:val="0"/>
              <w:ind w:firstLine="422" w:firstLineChars="20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表</w:t>
            </w:r>
            <w:r>
              <w:rPr>
                <w:rFonts w:hint="default" w:ascii="Times New Roman" w:hAnsi="Times New Roman" w:cs="Times New Roman"/>
                <w:b/>
                <w:color w:val="auto"/>
                <w:szCs w:val="21"/>
                <w:highlight w:val="none"/>
                <w:lang w:val="en-US" w:eastAsia="zh-CN"/>
              </w:rPr>
              <w:t xml:space="preserve">4-21 </w:t>
            </w:r>
            <w:r>
              <w:rPr>
                <w:rFonts w:hint="default" w:ascii="Times New Roman" w:hAnsi="Times New Roman" w:cs="Times New Roman"/>
                <w:b/>
                <w:color w:val="auto"/>
                <w:szCs w:val="21"/>
                <w:highlight w:val="none"/>
              </w:rPr>
              <w:t>固体废物污染强源核算结果一览表</w:t>
            </w:r>
          </w:p>
          <w:tbl>
            <w:tblPr>
              <w:tblStyle w:val="34"/>
              <w:tblW w:w="9294" w:type="dxa"/>
              <w:tblInd w:w="-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9"/>
              <w:gridCol w:w="1918"/>
              <w:gridCol w:w="1095"/>
              <w:gridCol w:w="690"/>
              <w:gridCol w:w="660"/>
              <w:gridCol w:w="1054"/>
              <w:gridCol w:w="1308"/>
              <w:gridCol w:w="863"/>
              <w:gridCol w:w="647"/>
            </w:tblGrid>
            <w:tr w14:paraId="2B0F2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1059" w:type="dxa"/>
                  <w:noWrap w:val="0"/>
                  <w:vAlign w:val="center"/>
                </w:tcPr>
                <w:p w14:paraId="13CD860C">
                  <w:pPr>
                    <w:adjustRightInd w:val="0"/>
                    <w:snapToGrid w:val="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工序/</w:t>
                  </w:r>
                </w:p>
                <w:p w14:paraId="6B9A4C28">
                  <w:pPr>
                    <w:adjustRightInd w:val="0"/>
                    <w:snapToGrid w:val="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生产线</w:t>
                  </w:r>
                </w:p>
              </w:tc>
              <w:tc>
                <w:tcPr>
                  <w:tcW w:w="1918" w:type="dxa"/>
                  <w:noWrap w:val="0"/>
                  <w:vAlign w:val="center"/>
                </w:tcPr>
                <w:p w14:paraId="185045B2">
                  <w:pPr>
                    <w:adjustRightInd w:val="0"/>
                    <w:snapToGrid w:val="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污染源</w:t>
                  </w:r>
                </w:p>
              </w:tc>
              <w:tc>
                <w:tcPr>
                  <w:tcW w:w="1095" w:type="dxa"/>
                  <w:noWrap w:val="0"/>
                  <w:vAlign w:val="center"/>
                </w:tcPr>
                <w:p w14:paraId="35580089">
                  <w:pPr>
                    <w:adjustRightInd w:val="0"/>
                    <w:snapToGrid w:val="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主要有毒有害物质名称</w:t>
                  </w:r>
                </w:p>
              </w:tc>
              <w:tc>
                <w:tcPr>
                  <w:tcW w:w="690" w:type="dxa"/>
                  <w:noWrap w:val="0"/>
                  <w:vAlign w:val="center"/>
                </w:tcPr>
                <w:p w14:paraId="5D61FBD0">
                  <w:pPr>
                    <w:adjustRightInd w:val="0"/>
                    <w:snapToGrid w:val="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固废属性</w:t>
                  </w:r>
                </w:p>
              </w:tc>
              <w:tc>
                <w:tcPr>
                  <w:tcW w:w="660" w:type="dxa"/>
                  <w:noWrap w:val="0"/>
                  <w:vAlign w:val="center"/>
                </w:tcPr>
                <w:p w14:paraId="1AB36AFD">
                  <w:pPr>
                    <w:adjustRightInd w:val="0"/>
                    <w:snapToGrid w:val="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物料性状</w:t>
                  </w:r>
                </w:p>
              </w:tc>
              <w:tc>
                <w:tcPr>
                  <w:tcW w:w="1054" w:type="dxa"/>
                  <w:noWrap w:val="0"/>
                  <w:vAlign w:val="center"/>
                </w:tcPr>
                <w:p w14:paraId="197CA2E8">
                  <w:pPr>
                    <w:adjustRightInd w:val="0"/>
                    <w:snapToGrid w:val="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产生量及处置量t/a</w:t>
                  </w:r>
                </w:p>
              </w:tc>
              <w:tc>
                <w:tcPr>
                  <w:tcW w:w="1308" w:type="dxa"/>
                  <w:noWrap w:val="0"/>
                  <w:vAlign w:val="center"/>
                </w:tcPr>
                <w:p w14:paraId="4A4251FB">
                  <w:pPr>
                    <w:adjustRightInd w:val="0"/>
                    <w:snapToGrid w:val="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处置方式和去向</w:t>
                  </w:r>
                </w:p>
              </w:tc>
              <w:tc>
                <w:tcPr>
                  <w:tcW w:w="863" w:type="dxa"/>
                  <w:noWrap w:val="0"/>
                  <w:vAlign w:val="center"/>
                </w:tcPr>
                <w:p w14:paraId="1F76E2AE">
                  <w:pPr>
                    <w:adjustRightInd w:val="0"/>
                    <w:snapToGrid w:val="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环境管理要求</w:t>
                  </w:r>
                </w:p>
              </w:tc>
              <w:tc>
                <w:tcPr>
                  <w:tcW w:w="647" w:type="dxa"/>
                  <w:noWrap w:val="0"/>
                  <w:vAlign w:val="center"/>
                </w:tcPr>
                <w:p w14:paraId="68160860">
                  <w:pPr>
                    <w:adjustRightInd w:val="0"/>
                    <w:snapToGrid w:val="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最终</w:t>
                  </w:r>
                </w:p>
                <w:p w14:paraId="5B5EF651">
                  <w:pPr>
                    <w:adjustRightInd w:val="0"/>
                    <w:snapToGrid w:val="0"/>
                    <w:jc w:val="center"/>
                    <w:rPr>
                      <w:rFonts w:hint="default" w:ascii="Times New Roman" w:hAnsi="Times New Roman" w:cs="Times New Roman"/>
                      <w:bCs/>
                      <w:color w:val="auto"/>
                      <w:szCs w:val="21"/>
                      <w:highlight w:val="none"/>
                    </w:rPr>
                  </w:pPr>
                  <w:r>
                    <w:rPr>
                      <w:rFonts w:hint="default" w:ascii="Times New Roman" w:hAnsi="Times New Roman" w:cs="Times New Roman"/>
                      <w:b/>
                      <w:color w:val="auto"/>
                      <w:szCs w:val="21"/>
                      <w:highlight w:val="none"/>
                    </w:rPr>
                    <w:t>去向</w:t>
                  </w:r>
                </w:p>
              </w:tc>
            </w:tr>
            <w:tr w14:paraId="46FCC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59" w:type="dxa"/>
                  <w:noWrap w:val="0"/>
                  <w:vAlign w:val="center"/>
                </w:tcPr>
                <w:p w14:paraId="4E162FDE">
                  <w:pPr>
                    <w:jc w:val="center"/>
                    <w:rPr>
                      <w:rFonts w:hint="default" w:ascii="Times New Roman" w:hAnsi="Times New Roman" w:eastAsia="宋体" w:cs="Times New Roman"/>
                      <w:bCs/>
                      <w:color w:val="auto"/>
                      <w:szCs w:val="21"/>
                      <w:highlight w:val="none"/>
                      <w:lang w:eastAsia="zh-CN" w:bidi="ar"/>
                    </w:rPr>
                  </w:pPr>
                  <w:r>
                    <w:rPr>
                      <w:rFonts w:hint="default" w:ascii="Times New Roman" w:hAnsi="Times New Roman" w:eastAsia="宋体" w:cs="Times New Roman"/>
                      <w:bCs/>
                      <w:color w:val="auto"/>
                      <w:szCs w:val="21"/>
                      <w:highlight w:val="none"/>
                      <w:lang w:bidi="ar"/>
                    </w:rPr>
                    <w:t>办公生活</w:t>
                  </w:r>
                </w:p>
              </w:tc>
              <w:tc>
                <w:tcPr>
                  <w:tcW w:w="1918" w:type="dxa"/>
                  <w:noWrap w:val="0"/>
                  <w:vAlign w:val="center"/>
                </w:tcPr>
                <w:p w14:paraId="698EF146">
                  <w:pPr>
                    <w:jc w:val="center"/>
                    <w:rPr>
                      <w:rFonts w:hint="default" w:ascii="Times New Roman" w:hAnsi="Times New Roman" w:eastAsia="宋体" w:cs="Times New Roman"/>
                      <w:bCs/>
                      <w:color w:val="auto"/>
                      <w:szCs w:val="21"/>
                      <w:highlight w:val="none"/>
                      <w:lang w:eastAsia="zh-CN" w:bidi="ar"/>
                    </w:rPr>
                  </w:pPr>
                  <w:r>
                    <w:rPr>
                      <w:rFonts w:hint="default" w:ascii="Times New Roman" w:hAnsi="Times New Roman" w:eastAsia="宋体" w:cs="Times New Roman"/>
                      <w:bCs/>
                      <w:color w:val="auto"/>
                      <w:szCs w:val="21"/>
                      <w:highlight w:val="none"/>
                      <w:lang w:bidi="ar"/>
                    </w:rPr>
                    <w:t>生活垃圾</w:t>
                  </w:r>
                </w:p>
              </w:tc>
              <w:tc>
                <w:tcPr>
                  <w:tcW w:w="1095" w:type="dxa"/>
                  <w:noWrap w:val="0"/>
                  <w:vAlign w:val="center"/>
                </w:tcPr>
                <w:p w14:paraId="64FF452A">
                  <w:pPr>
                    <w:jc w:val="center"/>
                    <w:rPr>
                      <w:rFonts w:hint="default" w:ascii="Times New Roman" w:hAnsi="Times New Roman" w:eastAsia="宋体" w:cs="Times New Roman"/>
                      <w:bCs/>
                      <w:color w:val="auto"/>
                      <w:szCs w:val="21"/>
                      <w:highlight w:val="none"/>
                      <w:lang w:eastAsia="zh-CN" w:bidi="ar"/>
                    </w:rPr>
                  </w:pPr>
                  <w:r>
                    <w:rPr>
                      <w:rFonts w:hint="default" w:ascii="Times New Roman" w:hAnsi="Times New Roman" w:eastAsia="宋体" w:cs="Times New Roman"/>
                      <w:bCs/>
                      <w:color w:val="auto"/>
                      <w:szCs w:val="21"/>
                      <w:highlight w:val="none"/>
                      <w:lang w:val="en-US" w:eastAsia="zh-CN" w:bidi="ar"/>
                    </w:rPr>
                    <w:t>/</w:t>
                  </w:r>
                </w:p>
              </w:tc>
              <w:tc>
                <w:tcPr>
                  <w:tcW w:w="690" w:type="dxa"/>
                  <w:noWrap w:val="0"/>
                  <w:vAlign w:val="center"/>
                </w:tcPr>
                <w:p w14:paraId="0F6DF7FE">
                  <w:pPr>
                    <w:jc w:val="center"/>
                    <w:rPr>
                      <w:rFonts w:hint="default" w:ascii="Times New Roman" w:hAnsi="Times New Roman" w:eastAsia="宋体" w:cs="Times New Roman"/>
                      <w:bCs/>
                      <w:color w:val="auto"/>
                      <w:szCs w:val="21"/>
                      <w:highlight w:val="none"/>
                      <w:lang w:val="en-US" w:eastAsia="zh-CN" w:bidi="ar"/>
                    </w:rPr>
                  </w:pPr>
                  <w:r>
                    <w:rPr>
                      <w:rFonts w:hint="default" w:ascii="Times New Roman" w:hAnsi="Times New Roman" w:eastAsia="宋体" w:cs="Times New Roman"/>
                      <w:bCs/>
                      <w:color w:val="auto"/>
                      <w:szCs w:val="21"/>
                      <w:highlight w:val="none"/>
                      <w:lang w:val="en-US" w:eastAsia="zh-CN" w:bidi="ar"/>
                    </w:rPr>
                    <w:t>生活垃圾</w:t>
                  </w:r>
                </w:p>
              </w:tc>
              <w:tc>
                <w:tcPr>
                  <w:tcW w:w="660" w:type="dxa"/>
                  <w:noWrap w:val="0"/>
                  <w:vAlign w:val="center"/>
                </w:tcPr>
                <w:p w14:paraId="25600CD9">
                  <w:pPr>
                    <w:jc w:val="center"/>
                    <w:rPr>
                      <w:rFonts w:hint="default" w:ascii="Times New Roman" w:hAnsi="Times New Roman" w:eastAsia="宋体" w:cs="Times New Roman"/>
                      <w:bCs/>
                      <w:color w:val="auto"/>
                      <w:szCs w:val="21"/>
                      <w:highlight w:val="none"/>
                      <w:lang w:bidi="ar"/>
                    </w:rPr>
                  </w:pPr>
                  <w:r>
                    <w:rPr>
                      <w:rFonts w:hint="default" w:ascii="Times New Roman" w:hAnsi="Times New Roman" w:eastAsia="宋体" w:cs="Times New Roman"/>
                      <w:bCs/>
                      <w:color w:val="auto"/>
                      <w:szCs w:val="21"/>
                      <w:highlight w:val="none"/>
                      <w:lang w:val="en-US" w:eastAsia="zh-CN" w:bidi="ar"/>
                    </w:rPr>
                    <w:t xml:space="preserve">         </w:t>
                  </w:r>
                  <w:r>
                    <w:rPr>
                      <w:rFonts w:hint="default" w:ascii="Times New Roman" w:hAnsi="Times New Roman" w:eastAsia="宋体" w:cs="Times New Roman"/>
                      <w:bCs/>
                      <w:color w:val="auto"/>
                      <w:szCs w:val="21"/>
                      <w:highlight w:val="none"/>
                      <w:lang w:bidi="ar"/>
                    </w:rPr>
                    <w:t>固态</w:t>
                  </w:r>
                </w:p>
              </w:tc>
              <w:tc>
                <w:tcPr>
                  <w:tcW w:w="1054" w:type="dxa"/>
                  <w:noWrap w:val="0"/>
                  <w:vAlign w:val="center"/>
                </w:tcPr>
                <w:p w14:paraId="39B10860">
                  <w:pPr>
                    <w:jc w:val="center"/>
                    <w:rPr>
                      <w:rFonts w:hint="default" w:ascii="Times New Roman" w:hAnsi="Times New Roman" w:eastAsia="宋体" w:cs="Times New Roman"/>
                      <w:bCs/>
                      <w:color w:val="auto"/>
                      <w:szCs w:val="21"/>
                      <w:highlight w:val="none"/>
                      <w:lang w:val="en-US" w:eastAsia="zh-CN" w:bidi="ar"/>
                    </w:rPr>
                  </w:pPr>
                  <w:r>
                    <w:rPr>
                      <w:rFonts w:hint="default" w:ascii="Times New Roman" w:hAnsi="Times New Roman" w:cs="Times New Roman"/>
                      <w:bCs/>
                      <w:color w:val="auto"/>
                      <w:szCs w:val="21"/>
                      <w:highlight w:val="none"/>
                      <w:lang w:val="en-US" w:eastAsia="zh-CN" w:bidi="ar"/>
                    </w:rPr>
                    <w:t>9</w:t>
                  </w:r>
                </w:p>
              </w:tc>
              <w:tc>
                <w:tcPr>
                  <w:tcW w:w="1308" w:type="dxa"/>
                  <w:noWrap w:val="0"/>
                  <w:vAlign w:val="center"/>
                </w:tcPr>
                <w:p w14:paraId="3C6761D4">
                  <w:pPr>
                    <w:jc w:val="center"/>
                    <w:rPr>
                      <w:rFonts w:hint="default" w:ascii="Times New Roman" w:hAnsi="Times New Roman" w:eastAsia="宋体" w:cs="Times New Roman"/>
                      <w:bCs/>
                      <w:color w:val="auto"/>
                      <w:szCs w:val="21"/>
                      <w:highlight w:val="none"/>
                      <w:lang w:bidi="ar"/>
                    </w:rPr>
                  </w:pPr>
                  <w:r>
                    <w:rPr>
                      <w:rFonts w:hint="default" w:ascii="Times New Roman" w:hAnsi="Times New Roman" w:eastAsia="宋体" w:cs="Times New Roman"/>
                      <w:bCs/>
                      <w:color w:val="auto"/>
                      <w:szCs w:val="21"/>
                      <w:highlight w:val="none"/>
                      <w:lang w:eastAsia="zh-CN" w:bidi="ar"/>
                    </w:rPr>
                    <w:t>交</w:t>
                  </w:r>
                  <w:r>
                    <w:rPr>
                      <w:rFonts w:hint="default" w:ascii="Times New Roman" w:hAnsi="Times New Roman" w:eastAsia="宋体" w:cs="Times New Roman"/>
                      <w:bCs/>
                      <w:color w:val="auto"/>
                      <w:szCs w:val="21"/>
                      <w:highlight w:val="none"/>
                      <w:lang w:bidi="ar"/>
                    </w:rPr>
                    <w:t>环卫</w:t>
                  </w:r>
                </w:p>
                <w:p w14:paraId="5D345705">
                  <w:pPr>
                    <w:jc w:val="center"/>
                    <w:rPr>
                      <w:rFonts w:hint="default" w:ascii="Times New Roman" w:hAnsi="Times New Roman" w:eastAsia="宋体" w:cs="Times New Roman"/>
                      <w:bCs/>
                      <w:color w:val="auto"/>
                      <w:szCs w:val="21"/>
                      <w:highlight w:val="none"/>
                      <w:lang w:val="zh-CN" w:eastAsia="zh-CN" w:bidi="ar"/>
                    </w:rPr>
                  </w:pPr>
                  <w:r>
                    <w:rPr>
                      <w:rFonts w:hint="default" w:ascii="Times New Roman" w:hAnsi="Times New Roman" w:eastAsia="宋体" w:cs="Times New Roman"/>
                      <w:bCs/>
                      <w:color w:val="auto"/>
                      <w:szCs w:val="21"/>
                      <w:highlight w:val="none"/>
                      <w:lang w:bidi="ar"/>
                    </w:rPr>
                    <w:t>部门</w:t>
                  </w:r>
                  <w:r>
                    <w:rPr>
                      <w:rFonts w:hint="default" w:ascii="Times New Roman" w:hAnsi="Times New Roman" w:eastAsia="宋体" w:cs="Times New Roman"/>
                      <w:bCs/>
                      <w:color w:val="auto"/>
                      <w:szCs w:val="21"/>
                      <w:highlight w:val="none"/>
                      <w:lang w:eastAsia="zh-CN" w:bidi="ar"/>
                    </w:rPr>
                    <w:t>清运</w:t>
                  </w:r>
                </w:p>
              </w:tc>
              <w:tc>
                <w:tcPr>
                  <w:tcW w:w="863" w:type="dxa"/>
                  <w:noWrap w:val="0"/>
                  <w:vAlign w:val="center"/>
                </w:tcPr>
                <w:p w14:paraId="0D5087C5">
                  <w:pPr>
                    <w:jc w:val="center"/>
                    <w:rPr>
                      <w:rFonts w:hint="default" w:ascii="Times New Roman" w:hAnsi="Times New Roman" w:eastAsia="宋体" w:cs="Times New Roman"/>
                      <w:bCs/>
                      <w:color w:val="auto"/>
                      <w:szCs w:val="21"/>
                      <w:highlight w:val="none"/>
                      <w:lang w:bidi="ar"/>
                    </w:rPr>
                  </w:pPr>
                  <w:r>
                    <w:rPr>
                      <w:rFonts w:hint="default" w:ascii="Times New Roman" w:hAnsi="Times New Roman" w:eastAsia="宋体" w:cs="Times New Roman"/>
                      <w:bCs/>
                      <w:color w:val="auto"/>
                      <w:szCs w:val="21"/>
                      <w:highlight w:val="none"/>
                      <w:lang w:bidi="ar"/>
                    </w:rPr>
                    <w:t>设生活垃圾收集点</w:t>
                  </w:r>
                </w:p>
              </w:tc>
              <w:tc>
                <w:tcPr>
                  <w:tcW w:w="647" w:type="dxa"/>
                  <w:noWrap w:val="0"/>
                  <w:vAlign w:val="center"/>
                </w:tcPr>
                <w:p w14:paraId="378CFDF2">
                  <w:pPr>
                    <w:jc w:val="center"/>
                    <w:rPr>
                      <w:rFonts w:hint="default" w:ascii="Times New Roman" w:hAnsi="Times New Roman" w:eastAsia="宋体" w:cs="Times New Roman"/>
                      <w:bCs/>
                      <w:color w:val="auto"/>
                      <w:szCs w:val="21"/>
                      <w:highlight w:val="none"/>
                      <w:lang w:bidi="ar"/>
                    </w:rPr>
                  </w:pPr>
                  <w:r>
                    <w:rPr>
                      <w:rFonts w:hint="default" w:ascii="Times New Roman" w:hAnsi="Times New Roman" w:cs="Times New Roman"/>
                      <w:bCs/>
                      <w:color w:val="auto"/>
                      <w:szCs w:val="21"/>
                      <w:highlight w:val="none"/>
                      <w:lang w:bidi="ar"/>
                    </w:rPr>
                    <w:t>无害化处理</w:t>
                  </w:r>
                </w:p>
              </w:tc>
            </w:tr>
            <w:tr w14:paraId="69B74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059" w:type="dxa"/>
                  <w:noWrap w:val="0"/>
                  <w:vAlign w:val="center"/>
                </w:tcPr>
                <w:p w14:paraId="4F0BAB1E">
                  <w:pPr>
                    <w:jc w:val="center"/>
                    <w:rPr>
                      <w:rFonts w:hint="default" w:ascii="Times New Roman" w:hAnsi="Times New Roman" w:eastAsia="宋体" w:cs="Times New Roman"/>
                      <w:bCs/>
                      <w:color w:val="auto"/>
                      <w:szCs w:val="21"/>
                      <w:highlight w:val="none"/>
                      <w:lang w:eastAsia="zh-CN"/>
                    </w:rPr>
                  </w:pPr>
                  <w:r>
                    <w:rPr>
                      <w:rFonts w:hint="default" w:ascii="Times New Roman" w:hAnsi="Times New Roman" w:cs="Times New Roman"/>
                      <w:bCs/>
                      <w:color w:val="auto"/>
                      <w:szCs w:val="21"/>
                      <w:highlight w:val="none"/>
                      <w:lang w:eastAsia="zh-CN"/>
                    </w:rPr>
                    <w:t>废气治理</w:t>
                  </w:r>
                </w:p>
              </w:tc>
              <w:tc>
                <w:tcPr>
                  <w:tcW w:w="1918" w:type="dxa"/>
                  <w:noWrap w:val="0"/>
                  <w:vAlign w:val="center"/>
                </w:tcPr>
                <w:p w14:paraId="0A45BA4D">
                  <w:pPr>
                    <w:jc w:val="center"/>
                    <w:rPr>
                      <w:rFonts w:hint="default" w:ascii="Times New Roman" w:hAnsi="Times New Roman" w:eastAsia="宋体" w:cs="Times New Roman"/>
                      <w:bCs/>
                      <w:color w:val="auto"/>
                      <w:sz w:val="21"/>
                      <w:szCs w:val="21"/>
                      <w:highlight w:val="none"/>
                      <w:lang w:eastAsia="zh-CN"/>
                    </w:rPr>
                  </w:pPr>
                  <w:r>
                    <w:rPr>
                      <w:rFonts w:hint="default" w:ascii="Times New Roman" w:hAnsi="Times New Roman" w:cs="Times New Roman"/>
                      <w:bCs/>
                      <w:color w:val="auto"/>
                      <w:sz w:val="21"/>
                      <w:szCs w:val="21"/>
                      <w:highlight w:val="none"/>
                      <w:lang w:eastAsia="zh-CN"/>
                    </w:rPr>
                    <w:t>布袋收集的粉尘</w:t>
                  </w:r>
                </w:p>
              </w:tc>
              <w:tc>
                <w:tcPr>
                  <w:tcW w:w="1095" w:type="dxa"/>
                  <w:noWrap w:val="0"/>
                  <w:vAlign w:val="center"/>
                </w:tcPr>
                <w:p w14:paraId="46030C76">
                  <w:pPr>
                    <w:jc w:val="center"/>
                    <w:rPr>
                      <w:rFonts w:hint="default" w:ascii="Times New Roman" w:hAnsi="Times New Roman" w:cs="Times New Roman"/>
                      <w:bCs/>
                      <w:color w:val="auto"/>
                      <w:szCs w:val="21"/>
                      <w:highlight w:val="none"/>
                      <w:lang w:bidi="ar"/>
                    </w:rPr>
                  </w:pPr>
                  <w:r>
                    <w:rPr>
                      <w:rFonts w:hint="default" w:ascii="Times New Roman" w:hAnsi="Times New Roman" w:cs="Times New Roman"/>
                      <w:bCs/>
                      <w:color w:val="auto"/>
                      <w:szCs w:val="21"/>
                      <w:highlight w:val="none"/>
                      <w:lang w:bidi="ar"/>
                    </w:rPr>
                    <w:t>/</w:t>
                  </w:r>
                </w:p>
              </w:tc>
              <w:tc>
                <w:tcPr>
                  <w:tcW w:w="690" w:type="dxa"/>
                  <w:vMerge w:val="restart"/>
                  <w:noWrap w:val="0"/>
                  <w:vAlign w:val="center"/>
                </w:tcPr>
                <w:p w14:paraId="770D3D3D">
                  <w:pPr>
                    <w:adjustRightInd w:val="0"/>
                    <w:snapToGrid w:val="0"/>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一般固体废物</w:t>
                  </w:r>
                </w:p>
                <w:p w14:paraId="2CBED6C0">
                  <w:pPr>
                    <w:adjustRightInd w:val="0"/>
                    <w:snapToGrid w:val="0"/>
                    <w:jc w:val="center"/>
                    <w:rPr>
                      <w:rFonts w:hint="default" w:ascii="Times New Roman" w:hAnsi="Times New Roman" w:cs="Times New Roman"/>
                      <w:bCs/>
                      <w:color w:val="auto"/>
                      <w:szCs w:val="21"/>
                      <w:highlight w:val="none"/>
                    </w:rPr>
                  </w:pPr>
                </w:p>
              </w:tc>
              <w:tc>
                <w:tcPr>
                  <w:tcW w:w="660" w:type="dxa"/>
                  <w:noWrap w:val="0"/>
                  <w:vAlign w:val="center"/>
                </w:tcPr>
                <w:p w14:paraId="4E1803A4">
                  <w:pPr>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lang w:bidi="ar"/>
                    </w:rPr>
                    <w:t>固态</w:t>
                  </w:r>
                </w:p>
              </w:tc>
              <w:tc>
                <w:tcPr>
                  <w:tcW w:w="1054" w:type="dxa"/>
                  <w:noWrap w:val="0"/>
                  <w:vAlign w:val="center"/>
                </w:tcPr>
                <w:p w14:paraId="11D14BCF">
                  <w:pPr>
                    <w:jc w:val="center"/>
                    <w:rPr>
                      <w:rFonts w:hint="default" w:ascii="Times New Roman" w:hAnsi="Times New Roman" w:eastAsia="宋体" w:cs="Times New Roman"/>
                      <w:bCs/>
                      <w:color w:val="auto"/>
                      <w:szCs w:val="21"/>
                      <w:highlight w:val="none"/>
                      <w:lang w:val="en-US" w:eastAsia="zh-CN"/>
                    </w:rPr>
                  </w:pPr>
                  <w:r>
                    <w:rPr>
                      <w:rFonts w:hint="eastAsia" w:ascii="Times New Roman" w:cs="Times New Roman"/>
                      <w:bCs/>
                      <w:color w:val="auto"/>
                      <w:szCs w:val="21"/>
                      <w:highlight w:val="none"/>
                      <w:lang w:val="en-US" w:eastAsia="zh-CN"/>
                    </w:rPr>
                    <w:t>295.943</w:t>
                  </w:r>
                </w:p>
              </w:tc>
              <w:tc>
                <w:tcPr>
                  <w:tcW w:w="1308" w:type="dxa"/>
                  <w:noWrap w:val="0"/>
                  <w:vAlign w:val="center"/>
                </w:tcPr>
                <w:p w14:paraId="5346E65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jc w:val="center"/>
                    <w:rPr>
                      <w:rFonts w:hint="default" w:ascii="Times New Roman" w:hAnsi="Times New Roman" w:cs="Times New Roman"/>
                      <w:color w:val="auto"/>
                      <w:highlight w:val="none"/>
                      <w:lang w:val="zh-CN"/>
                    </w:rPr>
                  </w:pPr>
                  <w:r>
                    <w:rPr>
                      <w:rFonts w:hint="default" w:ascii="Times New Roman" w:hAnsi="Times New Roman" w:eastAsia="宋体" w:cs="Times New Roman"/>
                      <w:bCs/>
                      <w:color w:val="auto"/>
                      <w:szCs w:val="21"/>
                      <w:highlight w:val="none"/>
                      <w:lang w:val="en-US" w:eastAsia="zh-CN"/>
                    </w:rPr>
                    <w:t>回用于生产</w:t>
                  </w:r>
                </w:p>
              </w:tc>
              <w:tc>
                <w:tcPr>
                  <w:tcW w:w="863" w:type="dxa"/>
                  <w:vMerge w:val="restart"/>
                  <w:noWrap w:val="0"/>
                  <w:vAlign w:val="center"/>
                </w:tcPr>
                <w:p w14:paraId="4541330D">
                  <w:pPr>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lang w:bidi="ar"/>
                    </w:rPr>
                    <w:t>一般固体废物暂存间</w:t>
                  </w:r>
                </w:p>
              </w:tc>
              <w:tc>
                <w:tcPr>
                  <w:tcW w:w="647" w:type="dxa"/>
                  <w:vMerge w:val="restart"/>
                  <w:noWrap w:val="0"/>
                  <w:vAlign w:val="center"/>
                </w:tcPr>
                <w:p w14:paraId="7E166B69">
                  <w:pPr>
                    <w:jc w:val="center"/>
                    <w:rPr>
                      <w:rFonts w:hint="default" w:ascii="Times New Roman" w:hAnsi="Times New Roman" w:cs="Times New Roman"/>
                      <w:bCs/>
                      <w:color w:val="auto"/>
                      <w:szCs w:val="21"/>
                      <w:highlight w:val="none"/>
                      <w:lang w:bidi="ar"/>
                    </w:rPr>
                  </w:pPr>
                  <w:r>
                    <w:rPr>
                      <w:rFonts w:hint="default" w:ascii="Times New Roman" w:hAnsi="Times New Roman" w:cs="Times New Roman"/>
                      <w:bCs/>
                      <w:color w:val="auto"/>
                      <w:szCs w:val="21"/>
                      <w:highlight w:val="none"/>
                      <w:lang w:bidi="ar"/>
                    </w:rPr>
                    <w:t>资源化利用</w:t>
                  </w:r>
                </w:p>
              </w:tc>
            </w:tr>
            <w:tr w14:paraId="4B0AF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1059" w:type="dxa"/>
                  <w:noWrap w:val="0"/>
                  <w:vAlign w:val="center"/>
                </w:tcPr>
                <w:p w14:paraId="0CEC07C7">
                  <w:pPr>
                    <w:jc w:val="center"/>
                    <w:rPr>
                      <w:rFonts w:hint="default" w:ascii="Times New Roman" w:hAnsi="Times New Roman" w:cs="Times New Roman"/>
                      <w:bCs/>
                      <w:color w:val="auto"/>
                      <w:szCs w:val="21"/>
                      <w:highlight w:val="none"/>
                      <w:lang w:val="en-US" w:eastAsia="zh-CN"/>
                    </w:rPr>
                  </w:pPr>
                  <w:r>
                    <w:rPr>
                      <w:rFonts w:hint="default" w:ascii="Times New Roman" w:hAnsi="Times New Roman" w:cs="Times New Roman"/>
                      <w:bCs/>
                      <w:color w:val="auto"/>
                      <w:szCs w:val="21"/>
                      <w:highlight w:val="none"/>
                      <w:lang w:val="en-US" w:eastAsia="zh-CN"/>
                    </w:rPr>
                    <w:t>雨水沉淀</w:t>
                  </w:r>
                </w:p>
              </w:tc>
              <w:tc>
                <w:tcPr>
                  <w:tcW w:w="1918" w:type="dxa"/>
                  <w:noWrap w:val="0"/>
                  <w:vAlign w:val="center"/>
                </w:tcPr>
                <w:p w14:paraId="38E87105">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雨水沉渣</w:t>
                  </w:r>
                </w:p>
              </w:tc>
              <w:tc>
                <w:tcPr>
                  <w:tcW w:w="1095" w:type="dxa"/>
                  <w:noWrap w:val="0"/>
                  <w:vAlign w:val="center"/>
                </w:tcPr>
                <w:p w14:paraId="5C178A4C">
                  <w:pPr>
                    <w:jc w:val="center"/>
                    <w:rPr>
                      <w:rFonts w:hint="default" w:ascii="Times New Roman" w:hAnsi="Times New Roman" w:cs="Times New Roman"/>
                      <w:bCs/>
                      <w:color w:val="auto"/>
                      <w:szCs w:val="21"/>
                      <w:highlight w:val="none"/>
                      <w:lang w:bidi="ar"/>
                    </w:rPr>
                  </w:pPr>
                  <w:r>
                    <w:rPr>
                      <w:rFonts w:hint="default" w:ascii="Times New Roman" w:hAnsi="Times New Roman" w:cs="Times New Roman"/>
                      <w:bCs/>
                      <w:color w:val="auto"/>
                      <w:szCs w:val="21"/>
                      <w:highlight w:val="none"/>
                      <w:lang w:bidi="ar"/>
                    </w:rPr>
                    <w:t>/</w:t>
                  </w:r>
                </w:p>
              </w:tc>
              <w:tc>
                <w:tcPr>
                  <w:tcW w:w="690" w:type="dxa"/>
                  <w:vMerge w:val="continue"/>
                  <w:noWrap w:val="0"/>
                  <w:vAlign w:val="center"/>
                </w:tcPr>
                <w:p w14:paraId="154FE931">
                  <w:pPr>
                    <w:adjustRightInd w:val="0"/>
                    <w:snapToGrid w:val="0"/>
                    <w:jc w:val="center"/>
                    <w:rPr>
                      <w:rFonts w:hint="default" w:ascii="Times New Roman" w:hAnsi="Times New Roman" w:cs="Times New Roman"/>
                      <w:bCs/>
                      <w:color w:val="auto"/>
                      <w:szCs w:val="21"/>
                      <w:highlight w:val="none"/>
                    </w:rPr>
                  </w:pPr>
                </w:p>
              </w:tc>
              <w:tc>
                <w:tcPr>
                  <w:tcW w:w="660" w:type="dxa"/>
                  <w:noWrap w:val="0"/>
                  <w:vAlign w:val="center"/>
                </w:tcPr>
                <w:p w14:paraId="7BEDEB29">
                  <w:pPr>
                    <w:jc w:val="center"/>
                    <w:rPr>
                      <w:rFonts w:hint="default" w:ascii="Times New Roman" w:hAnsi="Times New Roman" w:cs="Times New Roman"/>
                      <w:bCs/>
                      <w:color w:val="auto"/>
                      <w:szCs w:val="21"/>
                      <w:highlight w:val="none"/>
                      <w:lang w:bidi="ar"/>
                    </w:rPr>
                  </w:pPr>
                  <w:r>
                    <w:rPr>
                      <w:rFonts w:hint="default" w:ascii="Times New Roman" w:hAnsi="Times New Roman" w:cs="Times New Roman"/>
                      <w:bCs/>
                      <w:color w:val="auto"/>
                      <w:szCs w:val="21"/>
                      <w:highlight w:val="none"/>
                      <w:lang w:bidi="ar"/>
                    </w:rPr>
                    <w:t>固态</w:t>
                  </w:r>
                </w:p>
              </w:tc>
              <w:tc>
                <w:tcPr>
                  <w:tcW w:w="1054" w:type="dxa"/>
                  <w:noWrap w:val="0"/>
                  <w:vAlign w:val="center"/>
                </w:tcPr>
                <w:p w14:paraId="73936CD6">
                  <w:pPr>
                    <w:jc w:val="center"/>
                    <w:rPr>
                      <w:rFonts w:hint="default" w:ascii="Times New Roman" w:hAnsi="Times New Roman" w:cs="Times New Roman"/>
                      <w:bCs/>
                      <w:color w:val="auto"/>
                      <w:szCs w:val="21"/>
                      <w:highlight w:val="none"/>
                      <w:lang w:val="en-US" w:eastAsia="zh-CN"/>
                    </w:rPr>
                  </w:pPr>
                  <w:r>
                    <w:rPr>
                      <w:rFonts w:hint="default" w:ascii="Times New Roman" w:hAnsi="Times New Roman" w:cs="Times New Roman"/>
                      <w:bCs/>
                      <w:color w:val="auto"/>
                      <w:szCs w:val="21"/>
                      <w:highlight w:val="none"/>
                      <w:lang w:val="en-US" w:eastAsia="zh-CN"/>
                    </w:rPr>
                    <w:t>1.5</w:t>
                  </w:r>
                </w:p>
              </w:tc>
              <w:tc>
                <w:tcPr>
                  <w:tcW w:w="1308" w:type="dxa"/>
                  <w:vMerge w:val="restart"/>
                  <w:noWrap w:val="0"/>
                  <w:vAlign w:val="center"/>
                </w:tcPr>
                <w:p w14:paraId="0C8F2F40">
                  <w:pPr>
                    <w:adjustRightInd w:val="0"/>
                    <w:snapToGrid w:val="0"/>
                    <w:jc w:val="center"/>
                    <w:rPr>
                      <w:rFonts w:hint="default" w:ascii="Times New Roman" w:hAnsi="Times New Roman" w:cs="Times New Roman"/>
                      <w:bCs/>
                      <w:color w:val="auto"/>
                      <w:szCs w:val="21"/>
                      <w:highlight w:val="none"/>
                      <w:lang w:val="en-US" w:eastAsia="zh-CN"/>
                    </w:rPr>
                  </w:pPr>
                  <w:r>
                    <w:rPr>
                      <w:rFonts w:hint="default" w:ascii="Times New Roman" w:hAnsi="Times New Roman" w:cs="Times New Roman"/>
                      <w:bCs/>
                      <w:color w:val="auto"/>
                      <w:szCs w:val="21"/>
                      <w:highlight w:val="none"/>
                      <w:lang w:val="en-US" w:eastAsia="zh-CN"/>
                    </w:rPr>
                    <w:t>交有相应处理工艺的资质单位处理</w:t>
                  </w:r>
                </w:p>
              </w:tc>
              <w:tc>
                <w:tcPr>
                  <w:tcW w:w="863" w:type="dxa"/>
                  <w:vMerge w:val="continue"/>
                  <w:noWrap w:val="0"/>
                  <w:vAlign w:val="center"/>
                </w:tcPr>
                <w:p w14:paraId="58F9A340">
                  <w:pPr>
                    <w:jc w:val="center"/>
                    <w:rPr>
                      <w:rFonts w:hint="default" w:ascii="Times New Roman" w:hAnsi="Times New Roman" w:cs="Times New Roman"/>
                      <w:bCs/>
                      <w:color w:val="auto"/>
                      <w:szCs w:val="21"/>
                      <w:highlight w:val="none"/>
                    </w:rPr>
                  </w:pPr>
                </w:p>
              </w:tc>
              <w:tc>
                <w:tcPr>
                  <w:tcW w:w="647" w:type="dxa"/>
                  <w:vMerge w:val="continue"/>
                  <w:noWrap w:val="0"/>
                  <w:vAlign w:val="center"/>
                </w:tcPr>
                <w:p w14:paraId="3AB04876">
                  <w:pPr>
                    <w:jc w:val="center"/>
                    <w:rPr>
                      <w:rFonts w:hint="default" w:ascii="Times New Roman" w:hAnsi="Times New Roman" w:cs="Times New Roman"/>
                      <w:bCs/>
                      <w:color w:val="auto"/>
                      <w:szCs w:val="21"/>
                      <w:highlight w:val="none"/>
                      <w:lang w:bidi="ar"/>
                    </w:rPr>
                  </w:pPr>
                </w:p>
              </w:tc>
            </w:tr>
            <w:tr w14:paraId="3140A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1059" w:type="dxa"/>
                  <w:noWrap w:val="0"/>
                  <w:vAlign w:val="center"/>
                </w:tcPr>
                <w:p w14:paraId="6A6CEA4F">
                  <w:pPr>
                    <w:jc w:val="center"/>
                    <w:rPr>
                      <w:rFonts w:hint="default" w:ascii="Times New Roman" w:hAnsi="Times New Roman" w:cs="Times New Roman"/>
                      <w:bCs/>
                      <w:color w:val="auto"/>
                      <w:szCs w:val="21"/>
                      <w:highlight w:val="none"/>
                      <w:lang w:val="en-US" w:eastAsia="zh-CN"/>
                    </w:rPr>
                  </w:pPr>
                  <w:r>
                    <w:rPr>
                      <w:rFonts w:hint="default" w:ascii="Times New Roman" w:hAnsi="Times New Roman" w:cs="Times New Roman"/>
                      <w:bCs/>
                      <w:color w:val="auto"/>
                      <w:szCs w:val="21"/>
                      <w:highlight w:val="none"/>
                      <w:lang w:val="en-US" w:eastAsia="zh-CN"/>
                    </w:rPr>
                    <w:t>废水治理</w:t>
                  </w:r>
                </w:p>
              </w:tc>
              <w:tc>
                <w:tcPr>
                  <w:tcW w:w="1918" w:type="dxa"/>
                  <w:noWrap w:val="0"/>
                  <w:vAlign w:val="center"/>
                </w:tcPr>
                <w:p w14:paraId="2E5B05F3">
                  <w:pPr>
                    <w:jc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kern w:val="2"/>
                      <w:sz w:val="21"/>
                      <w:szCs w:val="21"/>
                      <w:highlight w:val="none"/>
                      <w:lang w:val="en-US" w:eastAsia="zh-CN" w:bidi="ar-SA"/>
                    </w:rPr>
                    <w:t>沉淀池沉渣</w:t>
                  </w:r>
                </w:p>
              </w:tc>
              <w:tc>
                <w:tcPr>
                  <w:tcW w:w="1095" w:type="dxa"/>
                  <w:noWrap w:val="0"/>
                  <w:vAlign w:val="center"/>
                </w:tcPr>
                <w:p w14:paraId="5DD7EA87">
                  <w:pPr>
                    <w:jc w:val="center"/>
                    <w:rPr>
                      <w:rFonts w:hint="default" w:ascii="Times New Roman" w:hAnsi="Times New Roman" w:cs="Times New Roman"/>
                      <w:bCs/>
                      <w:color w:val="auto"/>
                      <w:szCs w:val="21"/>
                      <w:highlight w:val="none"/>
                      <w:lang w:bidi="ar"/>
                    </w:rPr>
                  </w:pPr>
                  <w:r>
                    <w:rPr>
                      <w:rFonts w:hint="default" w:ascii="Times New Roman" w:hAnsi="Times New Roman" w:cs="Times New Roman"/>
                      <w:bCs/>
                      <w:color w:val="auto"/>
                      <w:szCs w:val="21"/>
                      <w:highlight w:val="none"/>
                      <w:lang w:bidi="ar"/>
                    </w:rPr>
                    <w:t>/</w:t>
                  </w:r>
                </w:p>
              </w:tc>
              <w:tc>
                <w:tcPr>
                  <w:tcW w:w="690" w:type="dxa"/>
                  <w:vMerge w:val="continue"/>
                  <w:noWrap w:val="0"/>
                  <w:vAlign w:val="center"/>
                </w:tcPr>
                <w:p w14:paraId="0D089039">
                  <w:pPr>
                    <w:adjustRightInd w:val="0"/>
                    <w:snapToGrid w:val="0"/>
                    <w:jc w:val="center"/>
                    <w:rPr>
                      <w:rFonts w:hint="default" w:ascii="Times New Roman" w:hAnsi="Times New Roman" w:cs="Times New Roman"/>
                      <w:bCs/>
                      <w:color w:val="auto"/>
                      <w:szCs w:val="21"/>
                      <w:highlight w:val="none"/>
                    </w:rPr>
                  </w:pPr>
                </w:p>
              </w:tc>
              <w:tc>
                <w:tcPr>
                  <w:tcW w:w="660" w:type="dxa"/>
                  <w:noWrap w:val="0"/>
                  <w:vAlign w:val="center"/>
                </w:tcPr>
                <w:p w14:paraId="081CAACA">
                  <w:pPr>
                    <w:jc w:val="center"/>
                    <w:rPr>
                      <w:rFonts w:hint="default" w:ascii="Times New Roman" w:hAnsi="Times New Roman" w:cs="Times New Roman"/>
                      <w:bCs/>
                      <w:color w:val="auto"/>
                      <w:szCs w:val="21"/>
                      <w:highlight w:val="none"/>
                      <w:lang w:bidi="ar"/>
                    </w:rPr>
                  </w:pPr>
                  <w:r>
                    <w:rPr>
                      <w:rFonts w:hint="default" w:ascii="Times New Roman" w:hAnsi="Times New Roman" w:cs="Times New Roman"/>
                      <w:bCs/>
                      <w:color w:val="auto"/>
                      <w:szCs w:val="21"/>
                      <w:highlight w:val="none"/>
                      <w:lang w:bidi="ar"/>
                    </w:rPr>
                    <w:t>固态</w:t>
                  </w:r>
                </w:p>
              </w:tc>
              <w:tc>
                <w:tcPr>
                  <w:tcW w:w="1054" w:type="dxa"/>
                  <w:noWrap w:val="0"/>
                  <w:vAlign w:val="center"/>
                </w:tcPr>
                <w:p w14:paraId="477BA9F9">
                  <w:pPr>
                    <w:jc w:val="center"/>
                    <w:rPr>
                      <w:rFonts w:hint="default"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45.529</w:t>
                  </w:r>
                </w:p>
              </w:tc>
              <w:tc>
                <w:tcPr>
                  <w:tcW w:w="1308" w:type="dxa"/>
                  <w:vMerge w:val="continue"/>
                  <w:noWrap w:val="0"/>
                  <w:vAlign w:val="center"/>
                </w:tcPr>
                <w:p w14:paraId="7E8757CC">
                  <w:pPr>
                    <w:adjustRightInd w:val="0"/>
                    <w:snapToGrid w:val="0"/>
                    <w:jc w:val="center"/>
                    <w:rPr>
                      <w:rFonts w:hint="default" w:ascii="Times New Roman" w:hAnsi="Times New Roman" w:cs="Times New Roman"/>
                      <w:bCs/>
                      <w:color w:val="auto"/>
                      <w:szCs w:val="21"/>
                      <w:highlight w:val="none"/>
                      <w:lang w:val="en-US" w:eastAsia="zh-CN"/>
                    </w:rPr>
                  </w:pPr>
                </w:p>
              </w:tc>
              <w:tc>
                <w:tcPr>
                  <w:tcW w:w="863" w:type="dxa"/>
                  <w:vMerge w:val="continue"/>
                  <w:noWrap w:val="0"/>
                  <w:vAlign w:val="center"/>
                </w:tcPr>
                <w:p w14:paraId="17A9C479">
                  <w:pPr>
                    <w:jc w:val="center"/>
                    <w:rPr>
                      <w:rFonts w:hint="default" w:ascii="Times New Roman" w:hAnsi="Times New Roman" w:cs="Times New Roman"/>
                      <w:bCs/>
                      <w:color w:val="auto"/>
                      <w:szCs w:val="21"/>
                      <w:highlight w:val="none"/>
                    </w:rPr>
                  </w:pPr>
                </w:p>
              </w:tc>
              <w:tc>
                <w:tcPr>
                  <w:tcW w:w="647" w:type="dxa"/>
                  <w:vMerge w:val="continue"/>
                  <w:noWrap w:val="0"/>
                  <w:vAlign w:val="center"/>
                </w:tcPr>
                <w:p w14:paraId="774BD474">
                  <w:pPr>
                    <w:jc w:val="center"/>
                    <w:rPr>
                      <w:rFonts w:hint="default" w:ascii="Times New Roman" w:hAnsi="Times New Roman" w:cs="Times New Roman"/>
                      <w:bCs/>
                      <w:color w:val="auto"/>
                      <w:szCs w:val="21"/>
                      <w:highlight w:val="none"/>
                      <w:lang w:bidi="ar"/>
                    </w:rPr>
                  </w:pPr>
                </w:p>
              </w:tc>
            </w:tr>
            <w:tr w14:paraId="0D64F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1059" w:type="dxa"/>
                  <w:noWrap w:val="0"/>
                  <w:vAlign w:val="center"/>
                </w:tcPr>
                <w:p w14:paraId="791BBF75">
                  <w:pPr>
                    <w:jc w:val="center"/>
                    <w:rPr>
                      <w:rFonts w:hint="default" w:ascii="Times New Roman" w:hAnsi="Times New Roman" w:cs="Times New Roman"/>
                      <w:bCs/>
                      <w:color w:val="auto"/>
                      <w:szCs w:val="21"/>
                      <w:highlight w:val="none"/>
                      <w:lang w:val="en-US" w:eastAsia="zh-CN"/>
                    </w:rPr>
                  </w:pPr>
                  <w:r>
                    <w:rPr>
                      <w:rFonts w:hint="default" w:ascii="Times New Roman" w:hAnsi="Times New Roman" w:cs="Times New Roman"/>
                      <w:bCs/>
                      <w:color w:val="auto"/>
                      <w:szCs w:val="21"/>
                      <w:highlight w:val="none"/>
                      <w:lang w:val="en-US" w:eastAsia="zh-CN"/>
                    </w:rPr>
                    <w:t>生产过程</w:t>
                  </w:r>
                </w:p>
              </w:tc>
              <w:tc>
                <w:tcPr>
                  <w:tcW w:w="1918" w:type="dxa"/>
                  <w:noWrap w:val="0"/>
                  <w:vAlign w:val="center"/>
                </w:tcPr>
                <w:p w14:paraId="4E3D6719">
                  <w:pPr>
                    <w:jc w:val="center"/>
                    <w:rPr>
                      <w:rFonts w:hint="default" w:ascii="Times New Roman" w:hAnsi="Times New Roman" w:cs="Times New Roman"/>
                      <w:bCs/>
                      <w:color w:val="auto"/>
                      <w:sz w:val="21"/>
                      <w:szCs w:val="21"/>
                      <w:highlight w:val="none"/>
                      <w:lang w:eastAsia="zh-CN"/>
                    </w:rPr>
                  </w:pPr>
                  <w:r>
                    <w:rPr>
                      <w:rFonts w:hint="default" w:ascii="Times New Roman" w:hAnsi="Times New Roman" w:eastAsia="宋体" w:cs="Times New Roman"/>
                      <w:color w:val="auto"/>
                      <w:kern w:val="2"/>
                      <w:sz w:val="21"/>
                      <w:szCs w:val="21"/>
                      <w:highlight w:val="none"/>
                      <w:lang w:val="en-US" w:eastAsia="zh-CN" w:bidi="ar-SA"/>
                    </w:rPr>
                    <w:t>废混凝土块</w:t>
                  </w:r>
                </w:p>
              </w:tc>
              <w:tc>
                <w:tcPr>
                  <w:tcW w:w="1095" w:type="dxa"/>
                  <w:noWrap w:val="0"/>
                  <w:vAlign w:val="center"/>
                </w:tcPr>
                <w:p w14:paraId="102763FA">
                  <w:pPr>
                    <w:jc w:val="center"/>
                    <w:rPr>
                      <w:rFonts w:hint="default" w:ascii="Times New Roman" w:hAnsi="Times New Roman" w:cs="Times New Roman"/>
                      <w:bCs/>
                      <w:color w:val="auto"/>
                      <w:szCs w:val="21"/>
                      <w:highlight w:val="none"/>
                      <w:lang w:bidi="ar"/>
                    </w:rPr>
                  </w:pPr>
                  <w:r>
                    <w:rPr>
                      <w:rFonts w:hint="default" w:ascii="Times New Roman" w:hAnsi="Times New Roman" w:cs="Times New Roman"/>
                      <w:bCs/>
                      <w:color w:val="auto"/>
                      <w:szCs w:val="21"/>
                      <w:highlight w:val="none"/>
                      <w:lang w:bidi="ar"/>
                    </w:rPr>
                    <w:t>/</w:t>
                  </w:r>
                </w:p>
              </w:tc>
              <w:tc>
                <w:tcPr>
                  <w:tcW w:w="690" w:type="dxa"/>
                  <w:vMerge w:val="continue"/>
                  <w:noWrap w:val="0"/>
                  <w:vAlign w:val="center"/>
                </w:tcPr>
                <w:p w14:paraId="2FC1704C">
                  <w:pPr>
                    <w:adjustRightInd w:val="0"/>
                    <w:snapToGrid w:val="0"/>
                    <w:jc w:val="center"/>
                    <w:rPr>
                      <w:rFonts w:hint="default" w:ascii="Times New Roman" w:hAnsi="Times New Roman" w:cs="Times New Roman"/>
                      <w:bCs/>
                      <w:color w:val="auto"/>
                      <w:szCs w:val="21"/>
                      <w:highlight w:val="none"/>
                    </w:rPr>
                  </w:pPr>
                </w:p>
              </w:tc>
              <w:tc>
                <w:tcPr>
                  <w:tcW w:w="660" w:type="dxa"/>
                  <w:noWrap w:val="0"/>
                  <w:vAlign w:val="center"/>
                </w:tcPr>
                <w:p w14:paraId="55289626">
                  <w:pPr>
                    <w:jc w:val="center"/>
                    <w:rPr>
                      <w:rFonts w:hint="default" w:ascii="Times New Roman" w:hAnsi="Times New Roman" w:cs="Times New Roman"/>
                      <w:bCs/>
                      <w:color w:val="auto"/>
                      <w:szCs w:val="21"/>
                      <w:highlight w:val="none"/>
                      <w:lang w:bidi="ar"/>
                    </w:rPr>
                  </w:pPr>
                  <w:r>
                    <w:rPr>
                      <w:rFonts w:hint="default" w:ascii="Times New Roman" w:hAnsi="Times New Roman" w:cs="Times New Roman"/>
                      <w:bCs/>
                      <w:color w:val="auto"/>
                      <w:szCs w:val="21"/>
                      <w:highlight w:val="none"/>
                      <w:lang w:bidi="ar"/>
                    </w:rPr>
                    <w:t>固态</w:t>
                  </w:r>
                </w:p>
              </w:tc>
              <w:tc>
                <w:tcPr>
                  <w:tcW w:w="1054" w:type="dxa"/>
                  <w:noWrap w:val="0"/>
                  <w:vAlign w:val="center"/>
                </w:tcPr>
                <w:p w14:paraId="04340D77">
                  <w:pPr>
                    <w:jc w:val="center"/>
                    <w:rPr>
                      <w:rFonts w:hint="default" w:ascii="Times New Roman" w:hAnsi="Times New Roman" w:cs="Times New Roman"/>
                      <w:bCs/>
                      <w:color w:val="auto"/>
                      <w:szCs w:val="21"/>
                      <w:highlight w:val="none"/>
                      <w:lang w:val="en-US" w:eastAsia="zh-CN"/>
                    </w:rPr>
                  </w:pPr>
                  <w:r>
                    <w:rPr>
                      <w:rFonts w:hint="default" w:ascii="Times New Roman" w:hAnsi="Times New Roman" w:cs="Times New Roman"/>
                      <w:bCs/>
                      <w:color w:val="auto"/>
                      <w:szCs w:val="21"/>
                      <w:highlight w:val="none"/>
                      <w:lang w:val="en-US" w:eastAsia="zh-CN"/>
                    </w:rPr>
                    <w:t>120</w:t>
                  </w:r>
                </w:p>
              </w:tc>
              <w:tc>
                <w:tcPr>
                  <w:tcW w:w="1308" w:type="dxa"/>
                  <w:vMerge w:val="restart"/>
                  <w:noWrap w:val="0"/>
                  <w:vAlign w:val="center"/>
                </w:tcPr>
                <w:p w14:paraId="043EB827">
                  <w:pPr>
                    <w:adjustRightInd w:val="0"/>
                    <w:snapToGrid w:val="0"/>
                    <w:jc w:val="center"/>
                    <w:rPr>
                      <w:rFonts w:hint="default" w:ascii="Times New Roman" w:hAnsi="Times New Roman" w:cs="Times New Roman"/>
                      <w:color w:val="auto"/>
                      <w:highlight w:val="none"/>
                      <w:lang w:val="en-US" w:eastAsia="zh-CN"/>
                    </w:rPr>
                  </w:pPr>
                  <w:r>
                    <w:rPr>
                      <w:rFonts w:hint="default" w:ascii="Times New Roman" w:hAnsi="Times New Roman" w:cs="Times New Roman"/>
                      <w:bCs/>
                      <w:color w:val="auto"/>
                      <w:szCs w:val="21"/>
                      <w:highlight w:val="none"/>
                      <w:lang w:val="en-US" w:eastAsia="zh-CN"/>
                    </w:rPr>
                    <w:t>交专业回收公司处理</w:t>
                  </w:r>
                </w:p>
              </w:tc>
              <w:tc>
                <w:tcPr>
                  <w:tcW w:w="863" w:type="dxa"/>
                  <w:vMerge w:val="continue"/>
                  <w:noWrap w:val="0"/>
                  <w:vAlign w:val="center"/>
                </w:tcPr>
                <w:p w14:paraId="7611AC03">
                  <w:pPr>
                    <w:jc w:val="center"/>
                    <w:rPr>
                      <w:rFonts w:hint="default" w:ascii="Times New Roman" w:hAnsi="Times New Roman" w:cs="Times New Roman"/>
                      <w:bCs/>
                      <w:color w:val="auto"/>
                      <w:szCs w:val="21"/>
                      <w:highlight w:val="none"/>
                    </w:rPr>
                  </w:pPr>
                </w:p>
              </w:tc>
              <w:tc>
                <w:tcPr>
                  <w:tcW w:w="647" w:type="dxa"/>
                  <w:vMerge w:val="continue"/>
                  <w:noWrap w:val="0"/>
                  <w:vAlign w:val="center"/>
                </w:tcPr>
                <w:p w14:paraId="6F6B8588">
                  <w:pPr>
                    <w:jc w:val="center"/>
                    <w:rPr>
                      <w:rFonts w:hint="default" w:ascii="Times New Roman" w:hAnsi="Times New Roman" w:cs="Times New Roman"/>
                      <w:bCs/>
                      <w:color w:val="auto"/>
                      <w:szCs w:val="21"/>
                      <w:highlight w:val="none"/>
                      <w:lang w:bidi="ar"/>
                    </w:rPr>
                  </w:pPr>
                </w:p>
              </w:tc>
            </w:tr>
            <w:tr w14:paraId="6A526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059" w:type="dxa"/>
                  <w:shd w:val="clear" w:color="auto" w:fill="auto"/>
                  <w:noWrap w:val="0"/>
                  <w:vAlign w:val="center"/>
                </w:tcPr>
                <w:p w14:paraId="7B4E91DF">
                  <w:pPr>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Cs w:val="21"/>
                      <w:highlight w:val="none"/>
                      <w:lang w:eastAsia="zh-CN"/>
                    </w:rPr>
                    <w:t>生产过程</w:t>
                  </w:r>
                </w:p>
              </w:tc>
              <w:tc>
                <w:tcPr>
                  <w:tcW w:w="1918" w:type="dxa"/>
                  <w:noWrap w:val="0"/>
                  <w:vAlign w:val="center"/>
                </w:tcPr>
                <w:p w14:paraId="678849C5">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废塑料膜</w:t>
                  </w:r>
                </w:p>
              </w:tc>
              <w:tc>
                <w:tcPr>
                  <w:tcW w:w="1095" w:type="dxa"/>
                  <w:noWrap w:val="0"/>
                  <w:vAlign w:val="center"/>
                </w:tcPr>
                <w:p w14:paraId="02C2B723">
                  <w:pPr>
                    <w:jc w:val="center"/>
                    <w:rPr>
                      <w:rFonts w:hint="default" w:ascii="Times New Roman" w:hAnsi="Times New Roman" w:cs="Times New Roman"/>
                      <w:bCs/>
                      <w:color w:val="auto"/>
                      <w:szCs w:val="21"/>
                      <w:highlight w:val="none"/>
                      <w:lang w:bidi="ar"/>
                    </w:rPr>
                  </w:pPr>
                  <w:r>
                    <w:rPr>
                      <w:rFonts w:hint="default" w:ascii="Times New Roman" w:hAnsi="Times New Roman" w:cs="Times New Roman"/>
                      <w:bCs/>
                      <w:color w:val="auto"/>
                      <w:szCs w:val="21"/>
                      <w:highlight w:val="none"/>
                      <w:lang w:bidi="ar"/>
                    </w:rPr>
                    <w:t>/</w:t>
                  </w:r>
                </w:p>
              </w:tc>
              <w:tc>
                <w:tcPr>
                  <w:tcW w:w="690" w:type="dxa"/>
                  <w:vMerge w:val="continue"/>
                  <w:noWrap w:val="0"/>
                  <w:vAlign w:val="center"/>
                </w:tcPr>
                <w:p w14:paraId="27A3BA28">
                  <w:pPr>
                    <w:adjustRightInd w:val="0"/>
                    <w:snapToGrid w:val="0"/>
                    <w:jc w:val="center"/>
                    <w:rPr>
                      <w:rFonts w:hint="default" w:ascii="Times New Roman" w:hAnsi="Times New Roman" w:cs="Times New Roman"/>
                      <w:bCs/>
                      <w:color w:val="auto"/>
                      <w:szCs w:val="21"/>
                      <w:highlight w:val="none"/>
                    </w:rPr>
                  </w:pPr>
                </w:p>
              </w:tc>
              <w:tc>
                <w:tcPr>
                  <w:tcW w:w="660" w:type="dxa"/>
                  <w:noWrap w:val="0"/>
                  <w:vAlign w:val="center"/>
                </w:tcPr>
                <w:p w14:paraId="345D304A">
                  <w:pPr>
                    <w:jc w:val="center"/>
                    <w:rPr>
                      <w:rFonts w:hint="default" w:ascii="Times New Roman" w:hAnsi="Times New Roman" w:cs="Times New Roman"/>
                      <w:bCs/>
                      <w:color w:val="auto"/>
                      <w:szCs w:val="21"/>
                      <w:highlight w:val="none"/>
                      <w:lang w:bidi="ar"/>
                    </w:rPr>
                  </w:pPr>
                  <w:r>
                    <w:rPr>
                      <w:rFonts w:hint="default" w:ascii="Times New Roman" w:hAnsi="Times New Roman" w:cs="Times New Roman"/>
                      <w:bCs/>
                      <w:color w:val="auto"/>
                      <w:szCs w:val="21"/>
                      <w:highlight w:val="none"/>
                      <w:lang w:bidi="ar"/>
                    </w:rPr>
                    <w:t>固态</w:t>
                  </w:r>
                </w:p>
              </w:tc>
              <w:tc>
                <w:tcPr>
                  <w:tcW w:w="1054" w:type="dxa"/>
                  <w:noWrap w:val="0"/>
                  <w:vAlign w:val="center"/>
                </w:tcPr>
                <w:p w14:paraId="4563C6A1">
                  <w:pPr>
                    <w:jc w:val="center"/>
                    <w:rPr>
                      <w:rFonts w:hint="default" w:ascii="Times New Roman" w:hAnsi="Times New Roman" w:cs="Times New Roman"/>
                      <w:bCs/>
                      <w:color w:val="auto"/>
                      <w:szCs w:val="21"/>
                      <w:highlight w:val="none"/>
                      <w:lang w:val="en-US" w:eastAsia="zh-CN"/>
                    </w:rPr>
                  </w:pPr>
                  <w:r>
                    <w:rPr>
                      <w:rFonts w:hint="default" w:ascii="Times New Roman" w:hAnsi="Times New Roman" w:cs="Times New Roman"/>
                      <w:bCs/>
                      <w:color w:val="auto"/>
                      <w:szCs w:val="21"/>
                      <w:highlight w:val="none"/>
                      <w:lang w:val="en-US" w:eastAsia="zh-CN"/>
                    </w:rPr>
                    <w:t>3</w:t>
                  </w:r>
                </w:p>
              </w:tc>
              <w:tc>
                <w:tcPr>
                  <w:tcW w:w="1308" w:type="dxa"/>
                  <w:vMerge w:val="continue"/>
                  <w:noWrap w:val="0"/>
                  <w:vAlign w:val="center"/>
                </w:tcPr>
                <w:p w14:paraId="25D3600F">
                  <w:pPr>
                    <w:adjustRightInd w:val="0"/>
                    <w:snapToGrid w:val="0"/>
                    <w:jc w:val="center"/>
                    <w:rPr>
                      <w:rFonts w:hint="default" w:ascii="Times New Roman" w:hAnsi="Times New Roman" w:cs="Times New Roman"/>
                      <w:bCs/>
                      <w:color w:val="auto"/>
                      <w:szCs w:val="21"/>
                      <w:highlight w:val="none"/>
                      <w:lang w:val="en-US" w:eastAsia="zh-CN"/>
                    </w:rPr>
                  </w:pPr>
                </w:p>
              </w:tc>
              <w:tc>
                <w:tcPr>
                  <w:tcW w:w="863" w:type="dxa"/>
                  <w:vMerge w:val="continue"/>
                  <w:noWrap w:val="0"/>
                  <w:vAlign w:val="center"/>
                </w:tcPr>
                <w:p w14:paraId="2C2E1137">
                  <w:pPr>
                    <w:jc w:val="center"/>
                    <w:rPr>
                      <w:rFonts w:hint="default" w:ascii="Times New Roman" w:hAnsi="Times New Roman" w:cs="Times New Roman"/>
                      <w:bCs/>
                      <w:color w:val="auto"/>
                      <w:szCs w:val="21"/>
                      <w:highlight w:val="none"/>
                    </w:rPr>
                  </w:pPr>
                </w:p>
              </w:tc>
              <w:tc>
                <w:tcPr>
                  <w:tcW w:w="647" w:type="dxa"/>
                  <w:vMerge w:val="continue"/>
                  <w:noWrap w:val="0"/>
                  <w:vAlign w:val="center"/>
                </w:tcPr>
                <w:p w14:paraId="3A1C28B8">
                  <w:pPr>
                    <w:jc w:val="center"/>
                    <w:rPr>
                      <w:rFonts w:hint="default" w:ascii="Times New Roman" w:hAnsi="Times New Roman" w:cs="Times New Roman"/>
                      <w:bCs/>
                      <w:color w:val="auto"/>
                      <w:szCs w:val="21"/>
                      <w:highlight w:val="none"/>
                      <w:lang w:bidi="ar"/>
                    </w:rPr>
                  </w:pPr>
                </w:p>
              </w:tc>
            </w:tr>
            <w:tr w14:paraId="401F4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059" w:type="dxa"/>
                  <w:shd w:val="clear" w:color="auto" w:fill="auto"/>
                  <w:noWrap w:val="0"/>
                  <w:vAlign w:val="center"/>
                </w:tcPr>
                <w:p w14:paraId="1537BF0B">
                  <w:pPr>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Cs w:val="21"/>
                      <w:highlight w:val="none"/>
                      <w:lang w:eastAsia="zh-CN"/>
                    </w:rPr>
                    <w:t>生产过程</w:t>
                  </w:r>
                </w:p>
              </w:tc>
              <w:tc>
                <w:tcPr>
                  <w:tcW w:w="1918" w:type="dxa"/>
                  <w:noWrap w:val="0"/>
                  <w:vAlign w:val="center"/>
                </w:tcPr>
                <w:p w14:paraId="1F0F9C55">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废模具</w:t>
                  </w:r>
                </w:p>
              </w:tc>
              <w:tc>
                <w:tcPr>
                  <w:tcW w:w="1095" w:type="dxa"/>
                  <w:noWrap w:val="0"/>
                  <w:vAlign w:val="center"/>
                </w:tcPr>
                <w:p w14:paraId="0E6CE7FD">
                  <w:pPr>
                    <w:jc w:val="center"/>
                    <w:rPr>
                      <w:rFonts w:hint="default" w:ascii="Times New Roman" w:hAnsi="Times New Roman" w:cs="Times New Roman"/>
                      <w:bCs/>
                      <w:color w:val="auto"/>
                      <w:szCs w:val="21"/>
                      <w:highlight w:val="none"/>
                      <w:lang w:bidi="ar"/>
                    </w:rPr>
                  </w:pPr>
                  <w:r>
                    <w:rPr>
                      <w:rFonts w:hint="default" w:ascii="Times New Roman" w:hAnsi="Times New Roman" w:cs="Times New Roman"/>
                      <w:bCs/>
                      <w:color w:val="auto"/>
                      <w:szCs w:val="21"/>
                      <w:highlight w:val="none"/>
                      <w:lang w:bidi="ar"/>
                    </w:rPr>
                    <w:t>/</w:t>
                  </w:r>
                </w:p>
              </w:tc>
              <w:tc>
                <w:tcPr>
                  <w:tcW w:w="690" w:type="dxa"/>
                  <w:vMerge w:val="continue"/>
                  <w:noWrap w:val="0"/>
                  <w:vAlign w:val="center"/>
                </w:tcPr>
                <w:p w14:paraId="0D693520">
                  <w:pPr>
                    <w:adjustRightInd w:val="0"/>
                    <w:snapToGrid w:val="0"/>
                    <w:jc w:val="center"/>
                    <w:rPr>
                      <w:rFonts w:hint="default" w:ascii="Times New Roman" w:hAnsi="Times New Roman" w:cs="Times New Roman"/>
                      <w:bCs/>
                      <w:color w:val="auto"/>
                      <w:szCs w:val="21"/>
                      <w:highlight w:val="none"/>
                    </w:rPr>
                  </w:pPr>
                </w:p>
              </w:tc>
              <w:tc>
                <w:tcPr>
                  <w:tcW w:w="660" w:type="dxa"/>
                  <w:noWrap w:val="0"/>
                  <w:vAlign w:val="center"/>
                </w:tcPr>
                <w:p w14:paraId="258F13E6">
                  <w:pPr>
                    <w:jc w:val="center"/>
                    <w:rPr>
                      <w:rFonts w:hint="default" w:ascii="Times New Roman" w:hAnsi="Times New Roman" w:cs="Times New Roman"/>
                      <w:bCs/>
                      <w:color w:val="auto"/>
                      <w:szCs w:val="21"/>
                      <w:highlight w:val="none"/>
                      <w:lang w:bidi="ar"/>
                    </w:rPr>
                  </w:pPr>
                  <w:r>
                    <w:rPr>
                      <w:rFonts w:hint="default" w:ascii="Times New Roman" w:hAnsi="Times New Roman" w:cs="Times New Roman"/>
                      <w:bCs/>
                      <w:color w:val="auto"/>
                      <w:szCs w:val="21"/>
                      <w:highlight w:val="none"/>
                      <w:lang w:bidi="ar"/>
                    </w:rPr>
                    <w:t>固态</w:t>
                  </w:r>
                </w:p>
              </w:tc>
              <w:tc>
                <w:tcPr>
                  <w:tcW w:w="1054" w:type="dxa"/>
                  <w:noWrap w:val="0"/>
                  <w:vAlign w:val="center"/>
                </w:tcPr>
                <w:p w14:paraId="404DF01D">
                  <w:pPr>
                    <w:jc w:val="center"/>
                    <w:rPr>
                      <w:rFonts w:hint="default" w:ascii="Times New Roman" w:hAnsi="Times New Roman" w:cs="Times New Roman"/>
                      <w:bCs/>
                      <w:color w:val="auto"/>
                      <w:szCs w:val="21"/>
                      <w:highlight w:val="none"/>
                      <w:lang w:val="en-US" w:eastAsia="zh-CN"/>
                    </w:rPr>
                  </w:pPr>
                  <w:r>
                    <w:rPr>
                      <w:rFonts w:hint="default" w:ascii="Times New Roman" w:hAnsi="Times New Roman" w:cs="Times New Roman"/>
                      <w:bCs/>
                      <w:color w:val="auto"/>
                      <w:szCs w:val="21"/>
                      <w:highlight w:val="none"/>
                      <w:lang w:val="en-US" w:eastAsia="zh-CN"/>
                    </w:rPr>
                    <w:t>100套/年</w:t>
                  </w:r>
                </w:p>
              </w:tc>
              <w:tc>
                <w:tcPr>
                  <w:tcW w:w="1308" w:type="dxa"/>
                  <w:vMerge w:val="continue"/>
                  <w:noWrap w:val="0"/>
                  <w:vAlign w:val="center"/>
                </w:tcPr>
                <w:p w14:paraId="5CC779AE">
                  <w:pPr>
                    <w:adjustRightInd w:val="0"/>
                    <w:snapToGrid w:val="0"/>
                    <w:jc w:val="center"/>
                    <w:rPr>
                      <w:rFonts w:hint="default" w:ascii="Times New Roman" w:hAnsi="Times New Roman" w:cs="Times New Roman"/>
                      <w:bCs/>
                      <w:color w:val="auto"/>
                      <w:szCs w:val="21"/>
                      <w:highlight w:val="none"/>
                      <w:lang w:val="en-US" w:eastAsia="zh-CN"/>
                    </w:rPr>
                  </w:pPr>
                </w:p>
              </w:tc>
              <w:tc>
                <w:tcPr>
                  <w:tcW w:w="863" w:type="dxa"/>
                  <w:vMerge w:val="continue"/>
                  <w:noWrap w:val="0"/>
                  <w:vAlign w:val="center"/>
                </w:tcPr>
                <w:p w14:paraId="17CBCE16">
                  <w:pPr>
                    <w:jc w:val="center"/>
                    <w:rPr>
                      <w:rFonts w:hint="default" w:ascii="Times New Roman" w:hAnsi="Times New Roman" w:cs="Times New Roman"/>
                      <w:bCs/>
                      <w:color w:val="auto"/>
                      <w:szCs w:val="21"/>
                      <w:highlight w:val="none"/>
                    </w:rPr>
                  </w:pPr>
                </w:p>
              </w:tc>
              <w:tc>
                <w:tcPr>
                  <w:tcW w:w="647" w:type="dxa"/>
                  <w:vMerge w:val="continue"/>
                  <w:noWrap w:val="0"/>
                  <w:vAlign w:val="center"/>
                </w:tcPr>
                <w:p w14:paraId="23D9509B">
                  <w:pPr>
                    <w:jc w:val="center"/>
                    <w:rPr>
                      <w:rFonts w:hint="default" w:ascii="Times New Roman" w:hAnsi="Times New Roman" w:cs="Times New Roman"/>
                      <w:bCs/>
                      <w:color w:val="auto"/>
                      <w:szCs w:val="21"/>
                      <w:highlight w:val="none"/>
                      <w:lang w:bidi="ar"/>
                    </w:rPr>
                  </w:pPr>
                </w:p>
              </w:tc>
            </w:tr>
            <w:tr w14:paraId="2B30E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059" w:type="dxa"/>
                  <w:shd w:val="clear" w:color="auto" w:fill="auto"/>
                  <w:noWrap w:val="0"/>
                  <w:vAlign w:val="center"/>
                </w:tcPr>
                <w:p w14:paraId="4EB4330E">
                  <w:pPr>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Cs w:val="21"/>
                      <w:highlight w:val="none"/>
                      <w:lang w:eastAsia="zh-CN"/>
                    </w:rPr>
                    <w:t>生产过程</w:t>
                  </w:r>
                </w:p>
              </w:tc>
              <w:tc>
                <w:tcPr>
                  <w:tcW w:w="1918" w:type="dxa"/>
                  <w:noWrap w:val="0"/>
                  <w:vAlign w:val="center"/>
                </w:tcPr>
                <w:p w14:paraId="7A37B345">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焊渣</w:t>
                  </w:r>
                </w:p>
              </w:tc>
              <w:tc>
                <w:tcPr>
                  <w:tcW w:w="1095" w:type="dxa"/>
                  <w:noWrap w:val="0"/>
                  <w:vAlign w:val="center"/>
                </w:tcPr>
                <w:p w14:paraId="05F05BE1">
                  <w:pPr>
                    <w:jc w:val="center"/>
                    <w:rPr>
                      <w:rFonts w:hint="default" w:ascii="Times New Roman" w:hAnsi="Times New Roman" w:cs="Times New Roman"/>
                      <w:bCs/>
                      <w:color w:val="auto"/>
                      <w:szCs w:val="21"/>
                      <w:highlight w:val="none"/>
                      <w:lang w:bidi="ar"/>
                    </w:rPr>
                  </w:pPr>
                  <w:r>
                    <w:rPr>
                      <w:rFonts w:hint="default" w:ascii="Times New Roman" w:hAnsi="Times New Roman" w:cs="Times New Roman"/>
                      <w:bCs/>
                      <w:color w:val="auto"/>
                      <w:szCs w:val="21"/>
                      <w:highlight w:val="none"/>
                      <w:lang w:bidi="ar"/>
                    </w:rPr>
                    <w:t>/</w:t>
                  </w:r>
                </w:p>
              </w:tc>
              <w:tc>
                <w:tcPr>
                  <w:tcW w:w="690" w:type="dxa"/>
                  <w:vMerge w:val="continue"/>
                  <w:noWrap w:val="0"/>
                  <w:vAlign w:val="center"/>
                </w:tcPr>
                <w:p w14:paraId="60BD61D1">
                  <w:pPr>
                    <w:adjustRightInd w:val="0"/>
                    <w:snapToGrid w:val="0"/>
                    <w:jc w:val="center"/>
                    <w:rPr>
                      <w:rFonts w:hint="default" w:ascii="Times New Roman" w:hAnsi="Times New Roman" w:cs="Times New Roman"/>
                      <w:bCs/>
                      <w:color w:val="auto"/>
                      <w:szCs w:val="21"/>
                      <w:highlight w:val="none"/>
                    </w:rPr>
                  </w:pPr>
                </w:p>
              </w:tc>
              <w:tc>
                <w:tcPr>
                  <w:tcW w:w="660" w:type="dxa"/>
                  <w:noWrap w:val="0"/>
                  <w:vAlign w:val="center"/>
                </w:tcPr>
                <w:p w14:paraId="7FDEBA54">
                  <w:pPr>
                    <w:jc w:val="center"/>
                    <w:rPr>
                      <w:rFonts w:hint="default" w:ascii="Times New Roman" w:hAnsi="Times New Roman" w:cs="Times New Roman"/>
                      <w:bCs/>
                      <w:color w:val="auto"/>
                      <w:szCs w:val="21"/>
                      <w:highlight w:val="none"/>
                      <w:lang w:bidi="ar"/>
                    </w:rPr>
                  </w:pPr>
                  <w:r>
                    <w:rPr>
                      <w:rFonts w:hint="default" w:ascii="Times New Roman" w:hAnsi="Times New Roman" w:cs="Times New Roman"/>
                      <w:bCs/>
                      <w:color w:val="auto"/>
                      <w:szCs w:val="21"/>
                      <w:highlight w:val="none"/>
                      <w:lang w:bidi="ar"/>
                    </w:rPr>
                    <w:t>固态</w:t>
                  </w:r>
                </w:p>
              </w:tc>
              <w:tc>
                <w:tcPr>
                  <w:tcW w:w="1054" w:type="dxa"/>
                  <w:noWrap w:val="0"/>
                  <w:vAlign w:val="center"/>
                </w:tcPr>
                <w:p w14:paraId="670E9D34">
                  <w:pPr>
                    <w:jc w:val="center"/>
                    <w:rPr>
                      <w:rFonts w:hint="default" w:ascii="Times New Roman" w:hAnsi="Times New Roman" w:cs="Times New Roman"/>
                      <w:bCs/>
                      <w:color w:val="auto"/>
                      <w:szCs w:val="21"/>
                      <w:highlight w:val="none"/>
                      <w:lang w:val="en-US" w:eastAsia="zh-CN"/>
                    </w:rPr>
                  </w:pPr>
                  <w:r>
                    <w:rPr>
                      <w:rFonts w:hint="default" w:ascii="Times New Roman" w:hAnsi="Times New Roman" w:cs="Times New Roman"/>
                      <w:bCs/>
                      <w:color w:val="auto"/>
                      <w:szCs w:val="21"/>
                      <w:highlight w:val="none"/>
                      <w:lang w:val="en-US" w:eastAsia="zh-CN"/>
                    </w:rPr>
                    <w:t>0.5</w:t>
                  </w:r>
                </w:p>
              </w:tc>
              <w:tc>
                <w:tcPr>
                  <w:tcW w:w="1308" w:type="dxa"/>
                  <w:vMerge w:val="continue"/>
                  <w:noWrap w:val="0"/>
                  <w:vAlign w:val="center"/>
                </w:tcPr>
                <w:p w14:paraId="3112C56D">
                  <w:pPr>
                    <w:adjustRightInd w:val="0"/>
                    <w:snapToGrid w:val="0"/>
                    <w:jc w:val="center"/>
                    <w:rPr>
                      <w:rFonts w:hint="default" w:ascii="Times New Roman" w:hAnsi="Times New Roman" w:cs="Times New Roman"/>
                      <w:bCs/>
                      <w:color w:val="auto"/>
                      <w:szCs w:val="21"/>
                      <w:highlight w:val="none"/>
                      <w:lang w:val="en-US" w:eastAsia="zh-CN"/>
                    </w:rPr>
                  </w:pPr>
                </w:p>
              </w:tc>
              <w:tc>
                <w:tcPr>
                  <w:tcW w:w="863" w:type="dxa"/>
                  <w:vMerge w:val="continue"/>
                  <w:noWrap w:val="0"/>
                  <w:vAlign w:val="center"/>
                </w:tcPr>
                <w:p w14:paraId="42CBFE82">
                  <w:pPr>
                    <w:jc w:val="center"/>
                    <w:rPr>
                      <w:rFonts w:hint="default" w:ascii="Times New Roman" w:hAnsi="Times New Roman" w:cs="Times New Roman"/>
                      <w:bCs/>
                      <w:color w:val="auto"/>
                      <w:szCs w:val="21"/>
                      <w:highlight w:val="none"/>
                    </w:rPr>
                  </w:pPr>
                </w:p>
              </w:tc>
              <w:tc>
                <w:tcPr>
                  <w:tcW w:w="647" w:type="dxa"/>
                  <w:vMerge w:val="continue"/>
                  <w:noWrap w:val="0"/>
                  <w:vAlign w:val="center"/>
                </w:tcPr>
                <w:p w14:paraId="3FBAB35F">
                  <w:pPr>
                    <w:jc w:val="center"/>
                    <w:rPr>
                      <w:rFonts w:hint="default" w:ascii="Times New Roman" w:hAnsi="Times New Roman" w:cs="Times New Roman"/>
                      <w:bCs/>
                      <w:color w:val="auto"/>
                      <w:szCs w:val="21"/>
                      <w:highlight w:val="none"/>
                      <w:lang w:bidi="ar"/>
                    </w:rPr>
                  </w:pPr>
                </w:p>
              </w:tc>
            </w:tr>
            <w:tr w14:paraId="5CA10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059" w:type="dxa"/>
                  <w:shd w:val="clear" w:color="auto" w:fill="auto"/>
                  <w:noWrap w:val="0"/>
                  <w:vAlign w:val="center"/>
                </w:tcPr>
                <w:p w14:paraId="6922A33E">
                  <w:pPr>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Cs w:val="21"/>
                      <w:highlight w:val="none"/>
                      <w:lang w:eastAsia="zh-CN"/>
                    </w:rPr>
                    <w:t>生产过程</w:t>
                  </w:r>
                </w:p>
              </w:tc>
              <w:tc>
                <w:tcPr>
                  <w:tcW w:w="1918" w:type="dxa"/>
                  <w:noWrap w:val="0"/>
                  <w:vAlign w:val="center"/>
                </w:tcPr>
                <w:p w14:paraId="58DB77DD">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废滤袋</w:t>
                  </w:r>
                </w:p>
              </w:tc>
              <w:tc>
                <w:tcPr>
                  <w:tcW w:w="1095" w:type="dxa"/>
                  <w:noWrap w:val="0"/>
                  <w:vAlign w:val="center"/>
                </w:tcPr>
                <w:p w14:paraId="027A7D39">
                  <w:pPr>
                    <w:jc w:val="center"/>
                    <w:rPr>
                      <w:rFonts w:hint="default" w:ascii="Times New Roman" w:hAnsi="Times New Roman" w:cs="Times New Roman"/>
                      <w:bCs/>
                      <w:color w:val="auto"/>
                      <w:szCs w:val="21"/>
                      <w:highlight w:val="none"/>
                      <w:lang w:bidi="ar"/>
                    </w:rPr>
                  </w:pPr>
                  <w:r>
                    <w:rPr>
                      <w:rFonts w:hint="default" w:ascii="Times New Roman" w:hAnsi="Times New Roman" w:cs="Times New Roman"/>
                      <w:bCs/>
                      <w:color w:val="auto"/>
                      <w:szCs w:val="21"/>
                      <w:highlight w:val="none"/>
                      <w:lang w:bidi="ar"/>
                    </w:rPr>
                    <w:t>/</w:t>
                  </w:r>
                </w:p>
              </w:tc>
              <w:tc>
                <w:tcPr>
                  <w:tcW w:w="690" w:type="dxa"/>
                  <w:vMerge w:val="continue"/>
                  <w:noWrap w:val="0"/>
                  <w:vAlign w:val="center"/>
                </w:tcPr>
                <w:p w14:paraId="04AE90A9">
                  <w:pPr>
                    <w:adjustRightInd w:val="0"/>
                    <w:snapToGrid w:val="0"/>
                    <w:jc w:val="center"/>
                    <w:rPr>
                      <w:rFonts w:hint="default" w:ascii="Times New Roman" w:hAnsi="Times New Roman" w:cs="Times New Roman"/>
                      <w:bCs/>
                      <w:color w:val="auto"/>
                      <w:szCs w:val="21"/>
                      <w:highlight w:val="none"/>
                    </w:rPr>
                  </w:pPr>
                </w:p>
              </w:tc>
              <w:tc>
                <w:tcPr>
                  <w:tcW w:w="660" w:type="dxa"/>
                  <w:noWrap w:val="0"/>
                  <w:vAlign w:val="center"/>
                </w:tcPr>
                <w:p w14:paraId="56B1F049">
                  <w:pPr>
                    <w:jc w:val="center"/>
                    <w:rPr>
                      <w:rFonts w:hint="default" w:ascii="Times New Roman" w:hAnsi="Times New Roman" w:cs="Times New Roman"/>
                      <w:bCs/>
                      <w:color w:val="auto"/>
                      <w:szCs w:val="21"/>
                      <w:highlight w:val="none"/>
                      <w:lang w:bidi="ar"/>
                    </w:rPr>
                  </w:pPr>
                  <w:r>
                    <w:rPr>
                      <w:rFonts w:hint="default" w:ascii="Times New Roman" w:hAnsi="Times New Roman" w:cs="Times New Roman"/>
                      <w:bCs/>
                      <w:color w:val="auto"/>
                      <w:szCs w:val="21"/>
                      <w:highlight w:val="none"/>
                      <w:lang w:bidi="ar"/>
                    </w:rPr>
                    <w:t>固态</w:t>
                  </w:r>
                </w:p>
              </w:tc>
              <w:tc>
                <w:tcPr>
                  <w:tcW w:w="1054" w:type="dxa"/>
                  <w:noWrap w:val="0"/>
                  <w:vAlign w:val="center"/>
                </w:tcPr>
                <w:p w14:paraId="74E260E1">
                  <w:pPr>
                    <w:jc w:val="center"/>
                    <w:rPr>
                      <w:rFonts w:hint="default" w:ascii="Times New Roman" w:hAnsi="Times New Roman" w:cs="Times New Roman"/>
                      <w:bCs/>
                      <w:color w:val="auto"/>
                      <w:szCs w:val="21"/>
                      <w:highlight w:val="none"/>
                      <w:lang w:val="en-US" w:eastAsia="zh-CN"/>
                    </w:rPr>
                  </w:pPr>
                  <w:r>
                    <w:rPr>
                      <w:rFonts w:hint="default" w:ascii="Times New Roman" w:hAnsi="Times New Roman" w:cs="Times New Roman"/>
                      <w:bCs/>
                      <w:color w:val="auto"/>
                      <w:szCs w:val="21"/>
                      <w:highlight w:val="none"/>
                      <w:lang w:val="en-US" w:eastAsia="zh-CN"/>
                    </w:rPr>
                    <w:t>5年更换1次</w:t>
                  </w:r>
                </w:p>
              </w:tc>
              <w:tc>
                <w:tcPr>
                  <w:tcW w:w="1308" w:type="dxa"/>
                  <w:vMerge w:val="continue"/>
                  <w:noWrap w:val="0"/>
                  <w:vAlign w:val="center"/>
                </w:tcPr>
                <w:p w14:paraId="7CCC1CEC">
                  <w:pPr>
                    <w:adjustRightInd w:val="0"/>
                    <w:snapToGrid w:val="0"/>
                    <w:jc w:val="center"/>
                    <w:rPr>
                      <w:rFonts w:hint="default" w:ascii="Times New Roman" w:hAnsi="Times New Roman" w:cs="Times New Roman"/>
                      <w:bCs/>
                      <w:color w:val="auto"/>
                      <w:szCs w:val="21"/>
                      <w:highlight w:val="none"/>
                      <w:lang w:val="en-US" w:eastAsia="zh-CN"/>
                    </w:rPr>
                  </w:pPr>
                </w:p>
              </w:tc>
              <w:tc>
                <w:tcPr>
                  <w:tcW w:w="863" w:type="dxa"/>
                  <w:vMerge w:val="continue"/>
                  <w:noWrap w:val="0"/>
                  <w:vAlign w:val="center"/>
                </w:tcPr>
                <w:p w14:paraId="46B3CE7E">
                  <w:pPr>
                    <w:jc w:val="center"/>
                    <w:rPr>
                      <w:rFonts w:hint="default" w:ascii="Times New Roman" w:hAnsi="Times New Roman" w:cs="Times New Roman"/>
                      <w:bCs/>
                      <w:color w:val="auto"/>
                      <w:szCs w:val="21"/>
                      <w:highlight w:val="none"/>
                    </w:rPr>
                  </w:pPr>
                </w:p>
              </w:tc>
              <w:tc>
                <w:tcPr>
                  <w:tcW w:w="647" w:type="dxa"/>
                  <w:vMerge w:val="continue"/>
                  <w:noWrap w:val="0"/>
                  <w:vAlign w:val="center"/>
                </w:tcPr>
                <w:p w14:paraId="766FE13F">
                  <w:pPr>
                    <w:jc w:val="center"/>
                    <w:rPr>
                      <w:rFonts w:hint="default" w:ascii="Times New Roman" w:hAnsi="Times New Roman" w:cs="Times New Roman"/>
                      <w:bCs/>
                      <w:color w:val="auto"/>
                      <w:szCs w:val="21"/>
                      <w:highlight w:val="none"/>
                      <w:lang w:bidi="ar"/>
                    </w:rPr>
                  </w:pPr>
                </w:p>
              </w:tc>
            </w:tr>
            <w:tr w14:paraId="36976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059" w:type="dxa"/>
                  <w:noWrap w:val="0"/>
                  <w:vAlign w:val="center"/>
                </w:tcPr>
                <w:p w14:paraId="642739A6">
                  <w:pPr>
                    <w:jc w:val="center"/>
                    <w:rPr>
                      <w:rFonts w:hint="default" w:ascii="Times New Roman" w:hAnsi="Times New Roman" w:cs="Times New Roman"/>
                      <w:bCs/>
                      <w:color w:val="auto"/>
                      <w:szCs w:val="21"/>
                      <w:highlight w:val="none"/>
                      <w:lang w:val="en-US" w:eastAsia="zh-CN"/>
                    </w:rPr>
                  </w:pPr>
                  <w:r>
                    <w:rPr>
                      <w:rFonts w:hint="default" w:ascii="Times New Roman" w:hAnsi="Times New Roman" w:cs="Times New Roman"/>
                      <w:bCs/>
                      <w:color w:val="auto"/>
                      <w:szCs w:val="21"/>
                      <w:highlight w:val="none"/>
                      <w:lang w:val="en-US" w:eastAsia="zh-CN"/>
                    </w:rPr>
                    <w:t>钢筋加工</w:t>
                  </w:r>
                </w:p>
              </w:tc>
              <w:tc>
                <w:tcPr>
                  <w:tcW w:w="1918" w:type="dxa"/>
                  <w:noWrap w:val="0"/>
                  <w:vAlign w:val="center"/>
                </w:tcPr>
                <w:p w14:paraId="57B8A6D0">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钢材边角料</w:t>
                  </w:r>
                </w:p>
              </w:tc>
              <w:tc>
                <w:tcPr>
                  <w:tcW w:w="1095" w:type="dxa"/>
                  <w:noWrap w:val="0"/>
                  <w:vAlign w:val="center"/>
                </w:tcPr>
                <w:p w14:paraId="40F72C9E">
                  <w:pPr>
                    <w:jc w:val="center"/>
                    <w:rPr>
                      <w:rFonts w:hint="default" w:ascii="Times New Roman" w:hAnsi="Times New Roman" w:cs="Times New Roman"/>
                      <w:bCs/>
                      <w:color w:val="auto"/>
                      <w:szCs w:val="21"/>
                      <w:highlight w:val="none"/>
                      <w:lang w:bidi="ar"/>
                    </w:rPr>
                  </w:pPr>
                  <w:r>
                    <w:rPr>
                      <w:rFonts w:hint="default" w:ascii="Times New Roman" w:hAnsi="Times New Roman" w:cs="Times New Roman"/>
                      <w:bCs/>
                      <w:color w:val="auto"/>
                      <w:szCs w:val="21"/>
                      <w:highlight w:val="none"/>
                      <w:lang w:bidi="ar"/>
                    </w:rPr>
                    <w:t>/</w:t>
                  </w:r>
                </w:p>
              </w:tc>
              <w:tc>
                <w:tcPr>
                  <w:tcW w:w="690" w:type="dxa"/>
                  <w:vMerge w:val="continue"/>
                  <w:noWrap w:val="0"/>
                  <w:vAlign w:val="center"/>
                </w:tcPr>
                <w:p w14:paraId="302F51B5">
                  <w:pPr>
                    <w:adjustRightInd w:val="0"/>
                    <w:snapToGrid w:val="0"/>
                    <w:jc w:val="center"/>
                    <w:rPr>
                      <w:rFonts w:hint="default" w:ascii="Times New Roman" w:hAnsi="Times New Roman" w:cs="Times New Roman"/>
                      <w:bCs/>
                      <w:color w:val="auto"/>
                      <w:szCs w:val="21"/>
                      <w:highlight w:val="none"/>
                    </w:rPr>
                  </w:pPr>
                </w:p>
              </w:tc>
              <w:tc>
                <w:tcPr>
                  <w:tcW w:w="660" w:type="dxa"/>
                  <w:noWrap w:val="0"/>
                  <w:vAlign w:val="center"/>
                </w:tcPr>
                <w:p w14:paraId="685D86EC">
                  <w:pPr>
                    <w:jc w:val="center"/>
                    <w:rPr>
                      <w:rFonts w:hint="default" w:ascii="Times New Roman" w:hAnsi="Times New Roman" w:cs="Times New Roman"/>
                      <w:bCs/>
                      <w:color w:val="auto"/>
                      <w:szCs w:val="21"/>
                      <w:highlight w:val="none"/>
                      <w:lang w:bidi="ar"/>
                    </w:rPr>
                  </w:pPr>
                  <w:r>
                    <w:rPr>
                      <w:rFonts w:hint="default" w:ascii="Times New Roman" w:hAnsi="Times New Roman" w:cs="Times New Roman"/>
                      <w:bCs/>
                      <w:color w:val="auto"/>
                      <w:szCs w:val="21"/>
                      <w:highlight w:val="none"/>
                      <w:lang w:bidi="ar"/>
                    </w:rPr>
                    <w:t>固态</w:t>
                  </w:r>
                </w:p>
              </w:tc>
              <w:tc>
                <w:tcPr>
                  <w:tcW w:w="1054" w:type="dxa"/>
                  <w:noWrap w:val="0"/>
                  <w:vAlign w:val="center"/>
                </w:tcPr>
                <w:p w14:paraId="5BEAC239">
                  <w:pPr>
                    <w:jc w:val="center"/>
                    <w:rPr>
                      <w:rFonts w:hint="default" w:ascii="Times New Roman" w:hAnsi="Times New Roman" w:cs="Times New Roman"/>
                      <w:bCs/>
                      <w:color w:val="auto"/>
                      <w:szCs w:val="21"/>
                      <w:highlight w:val="none"/>
                      <w:lang w:val="en-US" w:eastAsia="zh-CN"/>
                    </w:rPr>
                  </w:pPr>
                  <w:r>
                    <w:rPr>
                      <w:rFonts w:hint="default" w:ascii="Times New Roman" w:hAnsi="Times New Roman" w:cs="Times New Roman"/>
                      <w:bCs/>
                      <w:color w:val="auto"/>
                      <w:szCs w:val="21"/>
                      <w:highlight w:val="none"/>
                      <w:lang w:val="en-US" w:eastAsia="zh-CN"/>
                    </w:rPr>
                    <w:t>10</w:t>
                  </w:r>
                </w:p>
              </w:tc>
              <w:tc>
                <w:tcPr>
                  <w:tcW w:w="1308" w:type="dxa"/>
                  <w:vMerge w:val="continue"/>
                  <w:noWrap w:val="0"/>
                  <w:vAlign w:val="center"/>
                </w:tcPr>
                <w:p w14:paraId="73F48C27">
                  <w:pPr>
                    <w:adjustRightInd w:val="0"/>
                    <w:snapToGrid w:val="0"/>
                    <w:jc w:val="center"/>
                    <w:rPr>
                      <w:rFonts w:hint="default" w:ascii="Times New Roman" w:hAnsi="Times New Roman" w:cs="Times New Roman"/>
                      <w:color w:val="auto"/>
                      <w:highlight w:val="none"/>
                      <w:lang w:val="en-US" w:eastAsia="zh-CN"/>
                    </w:rPr>
                  </w:pPr>
                </w:p>
              </w:tc>
              <w:tc>
                <w:tcPr>
                  <w:tcW w:w="863" w:type="dxa"/>
                  <w:vMerge w:val="continue"/>
                  <w:noWrap w:val="0"/>
                  <w:vAlign w:val="center"/>
                </w:tcPr>
                <w:p w14:paraId="23451701">
                  <w:pPr>
                    <w:jc w:val="center"/>
                    <w:rPr>
                      <w:rFonts w:hint="default" w:ascii="Times New Roman" w:hAnsi="Times New Roman" w:cs="Times New Roman"/>
                      <w:bCs/>
                      <w:color w:val="auto"/>
                      <w:szCs w:val="21"/>
                      <w:highlight w:val="none"/>
                    </w:rPr>
                  </w:pPr>
                </w:p>
              </w:tc>
              <w:tc>
                <w:tcPr>
                  <w:tcW w:w="647" w:type="dxa"/>
                  <w:vMerge w:val="continue"/>
                  <w:noWrap w:val="0"/>
                  <w:vAlign w:val="center"/>
                </w:tcPr>
                <w:p w14:paraId="43B5DEC0">
                  <w:pPr>
                    <w:jc w:val="center"/>
                    <w:rPr>
                      <w:rFonts w:hint="default" w:ascii="Times New Roman" w:hAnsi="Times New Roman" w:cs="Times New Roman"/>
                      <w:bCs/>
                      <w:color w:val="auto"/>
                      <w:szCs w:val="21"/>
                      <w:highlight w:val="none"/>
                      <w:lang w:bidi="ar"/>
                    </w:rPr>
                  </w:pPr>
                </w:p>
              </w:tc>
            </w:tr>
            <w:tr w14:paraId="71047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059" w:type="dxa"/>
                  <w:noWrap w:val="0"/>
                  <w:vAlign w:val="center"/>
                </w:tcPr>
                <w:p w14:paraId="4484D527">
                  <w:pPr>
                    <w:jc w:val="center"/>
                    <w:rPr>
                      <w:rFonts w:hint="default" w:ascii="Times New Roman" w:hAnsi="Times New Roman" w:eastAsia="宋体" w:cs="Times New Roman"/>
                      <w:bCs/>
                      <w:color w:val="auto"/>
                      <w:kern w:val="2"/>
                      <w:sz w:val="21"/>
                      <w:szCs w:val="21"/>
                      <w:highlight w:val="none"/>
                      <w:lang w:val="en-US" w:eastAsia="zh-CN" w:bidi="ar"/>
                    </w:rPr>
                  </w:pPr>
                  <w:r>
                    <w:rPr>
                      <w:rFonts w:hint="default" w:ascii="Times New Roman" w:hAnsi="Times New Roman" w:cs="Times New Roman"/>
                      <w:bCs/>
                      <w:color w:val="auto"/>
                      <w:szCs w:val="21"/>
                      <w:highlight w:val="none"/>
                      <w:lang w:eastAsia="zh-CN" w:bidi="ar"/>
                    </w:rPr>
                    <w:t>生产过程</w:t>
                  </w:r>
                </w:p>
              </w:tc>
              <w:tc>
                <w:tcPr>
                  <w:tcW w:w="1918" w:type="dxa"/>
                  <w:noWrap w:val="0"/>
                  <w:vAlign w:val="center"/>
                </w:tcPr>
                <w:p w14:paraId="6FDF84FF">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废包装材料</w:t>
                  </w:r>
                </w:p>
              </w:tc>
              <w:tc>
                <w:tcPr>
                  <w:tcW w:w="1095" w:type="dxa"/>
                  <w:noWrap w:val="0"/>
                  <w:vAlign w:val="center"/>
                </w:tcPr>
                <w:p w14:paraId="138F28FE">
                  <w:pPr>
                    <w:jc w:val="center"/>
                    <w:rPr>
                      <w:rFonts w:hint="default" w:ascii="Times New Roman" w:hAnsi="Times New Roman" w:cs="Times New Roman"/>
                      <w:bCs/>
                      <w:color w:val="auto"/>
                      <w:szCs w:val="21"/>
                      <w:highlight w:val="none"/>
                      <w:lang w:bidi="ar"/>
                    </w:rPr>
                  </w:pPr>
                  <w:r>
                    <w:rPr>
                      <w:rFonts w:hint="default" w:ascii="Times New Roman" w:hAnsi="Times New Roman" w:cs="Times New Roman"/>
                      <w:bCs/>
                      <w:color w:val="auto"/>
                      <w:szCs w:val="21"/>
                      <w:highlight w:val="none"/>
                      <w:lang w:bidi="ar"/>
                    </w:rPr>
                    <w:t>/</w:t>
                  </w:r>
                </w:p>
              </w:tc>
              <w:tc>
                <w:tcPr>
                  <w:tcW w:w="690" w:type="dxa"/>
                  <w:vMerge w:val="continue"/>
                  <w:noWrap w:val="0"/>
                  <w:vAlign w:val="center"/>
                </w:tcPr>
                <w:p w14:paraId="660FD2C7">
                  <w:pPr>
                    <w:adjustRightInd w:val="0"/>
                    <w:snapToGrid w:val="0"/>
                    <w:jc w:val="center"/>
                    <w:rPr>
                      <w:rFonts w:hint="default" w:ascii="Times New Roman" w:hAnsi="Times New Roman" w:cs="Times New Roman"/>
                      <w:bCs/>
                      <w:color w:val="auto"/>
                      <w:szCs w:val="21"/>
                      <w:highlight w:val="none"/>
                    </w:rPr>
                  </w:pPr>
                </w:p>
              </w:tc>
              <w:tc>
                <w:tcPr>
                  <w:tcW w:w="660" w:type="dxa"/>
                  <w:noWrap w:val="0"/>
                  <w:vAlign w:val="center"/>
                </w:tcPr>
                <w:p w14:paraId="4CBB6204">
                  <w:pPr>
                    <w:jc w:val="center"/>
                    <w:rPr>
                      <w:rFonts w:hint="default" w:ascii="Times New Roman" w:hAnsi="Times New Roman" w:cs="Times New Roman"/>
                      <w:bCs/>
                      <w:color w:val="auto"/>
                      <w:szCs w:val="21"/>
                      <w:highlight w:val="none"/>
                      <w:lang w:bidi="ar"/>
                    </w:rPr>
                  </w:pPr>
                  <w:r>
                    <w:rPr>
                      <w:rFonts w:hint="default" w:ascii="Times New Roman" w:hAnsi="Times New Roman" w:cs="Times New Roman"/>
                      <w:bCs/>
                      <w:color w:val="auto"/>
                      <w:szCs w:val="21"/>
                      <w:highlight w:val="none"/>
                      <w:lang w:bidi="ar"/>
                    </w:rPr>
                    <w:t>固态</w:t>
                  </w:r>
                </w:p>
              </w:tc>
              <w:tc>
                <w:tcPr>
                  <w:tcW w:w="1054" w:type="dxa"/>
                  <w:noWrap w:val="0"/>
                  <w:vAlign w:val="center"/>
                </w:tcPr>
                <w:p w14:paraId="2D5C1D02">
                  <w:pPr>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cs="Times New Roman"/>
                      <w:bCs/>
                      <w:color w:val="auto"/>
                      <w:szCs w:val="21"/>
                      <w:highlight w:val="none"/>
                      <w:lang w:val="en-US" w:eastAsia="zh-CN"/>
                    </w:rPr>
                    <w:t>1</w:t>
                  </w:r>
                </w:p>
              </w:tc>
              <w:tc>
                <w:tcPr>
                  <w:tcW w:w="1308" w:type="dxa"/>
                  <w:vMerge w:val="continue"/>
                  <w:noWrap w:val="0"/>
                  <w:vAlign w:val="center"/>
                </w:tcPr>
                <w:p w14:paraId="72A09992">
                  <w:pPr>
                    <w:adjustRightInd w:val="0"/>
                    <w:snapToGrid w:val="0"/>
                    <w:jc w:val="center"/>
                    <w:rPr>
                      <w:rFonts w:hint="default" w:ascii="Times New Roman" w:hAnsi="Times New Roman" w:eastAsia="宋体" w:cs="Times New Roman"/>
                      <w:bCs/>
                      <w:color w:val="auto"/>
                      <w:szCs w:val="21"/>
                      <w:highlight w:val="none"/>
                      <w:lang w:val="en-US" w:eastAsia="zh-CN"/>
                    </w:rPr>
                  </w:pPr>
                </w:p>
              </w:tc>
              <w:tc>
                <w:tcPr>
                  <w:tcW w:w="863" w:type="dxa"/>
                  <w:vMerge w:val="continue"/>
                  <w:noWrap w:val="0"/>
                  <w:vAlign w:val="center"/>
                </w:tcPr>
                <w:p w14:paraId="7FEB1079">
                  <w:pPr>
                    <w:jc w:val="center"/>
                    <w:rPr>
                      <w:rFonts w:hint="default" w:ascii="Times New Roman" w:hAnsi="Times New Roman" w:cs="Times New Roman"/>
                      <w:bCs/>
                      <w:color w:val="auto"/>
                      <w:szCs w:val="21"/>
                      <w:highlight w:val="none"/>
                    </w:rPr>
                  </w:pPr>
                </w:p>
              </w:tc>
              <w:tc>
                <w:tcPr>
                  <w:tcW w:w="647" w:type="dxa"/>
                  <w:vMerge w:val="continue"/>
                  <w:noWrap w:val="0"/>
                  <w:vAlign w:val="center"/>
                </w:tcPr>
                <w:p w14:paraId="29F1FB1A">
                  <w:pPr>
                    <w:jc w:val="center"/>
                    <w:rPr>
                      <w:rFonts w:hint="default" w:ascii="Times New Roman" w:hAnsi="Times New Roman" w:cs="Times New Roman"/>
                      <w:bCs/>
                      <w:color w:val="auto"/>
                      <w:szCs w:val="21"/>
                      <w:highlight w:val="none"/>
                      <w:lang w:bidi="ar"/>
                    </w:rPr>
                  </w:pPr>
                </w:p>
              </w:tc>
            </w:tr>
            <w:tr w14:paraId="31EFF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059" w:type="dxa"/>
                  <w:noWrap w:val="0"/>
                  <w:vAlign w:val="center"/>
                </w:tcPr>
                <w:p w14:paraId="6865B7A9">
                  <w:pPr>
                    <w:jc w:val="center"/>
                    <w:rPr>
                      <w:rFonts w:hint="default" w:ascii="Times New Roman" w:hAnsi="Times New Roman" w:cs="Times New Roman"/>
                      <w:bCs/>
                      <w:color w:val="auto"/>
                      <w:szCs w:val="21"/>
                      <w:highlight w:val="none"/>
                      <w:lang w:eastAsia="zh-CN" w:bidi="ar"/>
                    </w:rPr>
                  </w:pPr>
                  <w:r>
                    <w:rPr>
                      <w:rFonts w:hint="default" w:ascii="Times New Roman" w:hAnsi="Times New Roman" w:cs="Times New Roman"/>
                      <w:bCs/>
                      <w:color w:val="auto"/>
                      <w:szCs w:val="21"/>
                      <w:highlight w:val="none"/>
                      <w:lang w:eastAsia="zh-CN" w:bidi="ar"/>
                    </w:rPr>
                    <w:t>生产过程</w:t>
                  </w:r>
                </w:p>
              </w:tc>
              <w:tc>
                <w:tcPr>
                  <w:tcW w:w="1918" w:type="dxa"/>
                  <w:noWrap w:val="0"/>
                  <w:vAlign w:val="center"/>
                </w:tcPr>
                <w:p w14:paraId="0133B7DE">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废脱模剂桶</w:t>
                  </w:r>
                </w:p>
              </w:tc>
              <w:tc>
                <w:tcPr>
                  <w:tcW w:w="1095" w:type="dxa"/>
                  <w:noWrap w:val="0"/>
                  <w:vAlign w:val="center"/>
                </w:tcPr>
                <w:p w14:paraId="02CF778F">
                  <w:pPr>
                    <w:jc w:val="center"/>
                    <w:rPr>
                      <w:rFonts w:hint="default" w:ascii="Times New Roman" w:hAnsi="Times New Roman" w:cs="Times New Roman"/>
                      <w:bCs/>
                      <w:color w:val="auto"/>
                      <w:szCs w:val="21"/>
                      <w:highlight w:val="none"/>
                      <w:lang w:bidi="ar"/>
                    </w:rPr>
                  </w:pPr>
                  <w:r>
                    <w:rPr>
                      <w:rFonts w:hint="default" w:ascii="Times New Roman" w:hAnsi="Times New Roman" w:cs="Times New Roman"/>
                      <w:bCs/>
                      <w:color w:val="auto"/>
                      <w:szCs w:val="21"/>
                      <w:highlight w:val="none"/>
                      <w:lang w:bidi="ar"/>
                    </w:rPr>
                    <w:t>/</w:t>
                  </w:r>
                </w:p>
              </w:tc>
              <w:tc>
                <w:tcPr>
                  <w:tcW w:w="690" w:type="dxa"/>
                  <w:vMerge w:val="continue"/>
                  <w:noWrap w:val="0"/>
                  <w:vAlign w:val="center"/>
                </w:tcPr>
                <w:p w14:paraId="7E52C0FC">
                  <w:pPr>
                    <w:adjustRightInd w:val="0"/>
                    <w:snapToGrid w:val="0"/>
                    <w:jc w:val="center"/>
                    <w:rPr>
                      <w:rFonts w:hint="default" w:ascii="Times New Roman" w:hAnsi="Times New Roman" w:cs="Times New Roman"/>
                      <w:bCs/>
                      <w:color w:val="auto"/>
                      <w:szCs w:val="21"/>
                      <w:highlight w:val="none"/>
                    </w:rPr>
                  </w:pPr>
                </w:p>
              </w:tc>
              <w:tc>
                <w:tcPr>
                  <w:tcW w:w="660" w:type="dxa"/>
                  <w:noWrap w:val="0"/>
                  <w:vAlign w:val="center"/>
                </w:tcPr>
                <w:p w14:paraId="5A84D294">
                  <w:pPr>
                    <w:jc w:val="center"/>
                    <w:rPr>
                      <w:rFonts w:hint="default" w:ascii="Times New Roman" w:hAnsi="Times New Roman" w:cs="Times New Roman"/>
                      <w:bCs/>
                      <w:color w:val="auto"/>
                      <w:szCs w:val="21"/>
                      <w:highlight w:val="none"/>
                      <w:lang w:bidi="ar"/>
                    </w:rPr>
                  </w:pPr>
                  <w:r>
                    <w:rPr>
                      <w:rFonts w:hint="default" w:ascii="Times New Roman" w:hAnsi="Times New Roman" w:cs="Times New Roman"/>
                      <w:bCs/>
                      <w:color w:val="auto"/>
                      <w:szCs w:val="21"/>
                      <w:highlight w:val="none"/>
                      <w:lang w:bidi="ar"/>
                    </w:rPr>
                    <w:t>固态</w:t>
                  </w:r>
                </w:p>
              </w:tc>
              <w:tc>
                <w:tcPr>
                  <w:tcW w:w="1054" w:type="dxa"/>
                  <w:noWrap w:val="0"/>
                  <w:vAlign w:val="center"/>
                </w:tcPr>
                <w:p w14:paraId="4EFE2368">
                  <w:pPr>
                    <w:jc w:val="center"/>
                    <w:rPr>
                      <w:rFonts w:hint="default" w:ascii="Times New Roman" w:hAnsi="Times New Roman" w:cs="Times New Roman"/>
                      <w:bCs/>
                      <w:color w:val="auto"/>
                      <w:szCs w:val="21"/>
                      <w:highlight w:val="none"/>
                      <w:lang w:val="en-US" w:eastAsia="zh-CN"/>
                    </w:rPr>
                  </w:pPr>
                  <w:r>
                    <w:rPr>
                      <w:rFonts w:hint="default" w:ascii="Times New Roman" w:hAnsi="Times New Roman" w:cs="Times New Roman"/>
                      <w:bCs/>
                      <w:color w:val="auto"/>
                      <w:szCs w:val="21"/>
                      <w:highlight w:val="none"/>
                      <w:lang w:val="en-US" w:eastAsia="zh-CN"/>
                    </w:rPr>
                    <w:t>0.2</w:t>
                  </w:r>
                </w:p>
              </w:tc>
              <w:tc>
                <w:tcPr>
                  <w:tcW w:w="1308" w:type="dxa"/>
                  <w:vMerge w:val="continue"/>
                  <w:noWrap w:val="0"/>
                  <w:vAlign w:val="center"/>
                </w:tcPr>
                <w:p w14:paraId="02173AC2">
                  <w:pPr>
                    <w:adjustRightInd w:val="0"/>
                    <w:snapToGrid w:val="0"/>
                    <w:jc w:val="center"/>
                    <w:rPr>
                      <w:rFonts w:hint="default" w:ascii="Times New Roman" w:hAnsi="Times New Roman" w:eastAsia="宋体" w:cs="Times New Roman"/>
                      <w:bCs/>
                      <w:color w:val="auto"/>
                      <w:szCs w:val="21"/>
                      <w:highlight w:val="none"/>
                      <w:lang w:val="en-US" w:eastAsia="zh-CN"/>
                    </w:rPr>
                  </w:pPr>
                </w:p>
              </w:tc>
              <w:tc>
                <w:tcPr>
                  <w:tcW w:w="863" w:type="dxa"/>
                  <w:vMerge w:val="continue"/>
                  <w:noWrap w:val="0"/>
                  <w:vAlign w:val="center"/>
                </w:tcPr>
                <w:p w14:paraId="5D0C4A32">
                  <w:pPr>
                    <w:jc w:val="center"/>
                    <w:rPr>
                      <w:rFonts w:hint="default" w:ascii="Times New Roman" w:hAnsi="Times New Roman" w:cs="Times New Roman"/>
                      <w:bCs/>
                      <w:color w:val="auto"/>
                      <w:szCs w:val="21"/>
                      <w:highlight w:val="none"/>
                    </w:rPr>
                  </w:pPr>
                </w:p>
              </w:tc>
              <w:tc>
                <w:tcPr>
                  <w:tcW w:w="647" w:type="dxa"/>
                  <w:vMerge w:val="continue"/>
                  <w:noWrap w:val="0"/>
                  <w:vAlign w:val="center"/>
                </w:tcPr>
                <w:p w14:paraId="3175503F">
                  <w:pPr>
                    <w:jc w:val="center"/>
                    <w:rPr>
                      <w:rFonts w:hint="default" w:ascii="Times New Roman" w:hAnsi="Times New Roman" w:cs="Times New Roman"/>
                      <w:bCs/>
                      <w:color w:val="auto"/>
                      <w:szCs w:val="21"/>
                      <w:highlight w:val="none"/>
                      <w:lang w:bidi="ar"/>
                    </w:rPr>
                  </w:pPr>
                </w:p>
              </w:tc>
            </w:tr>
            <w:tr w14:paraId="6761C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1059" w:type="dxa"/>
                  <w:noWrap w:val="0"/>
                  <w:vAlign w:val="center"/>
                </w:tcPr>
                <w:p w14:paraId="3E53F3BA">
                  <w:pPr>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lang w:bidi="ar"/>
                    </w:rPr>
                    <w:t>废气治理</w:t>
                  </w:r>
                </w:p>
              </w:tc>
              <w:tc>
                <w:tcPr>
                  <w:tcW w:w="1918" w:type="dxa"/>
                  <w:noWrap w:val="0"/>
                  <w:vAlign w:val="center"/>
                </w:tcPr>
                <w:p w14:paraId="20DB49BA">
                  <w:pPr>
                    <w:jc w:val="center"/>
                    <w:rPr>
                      <w:rFonts w:hint="default" w:ascii="Times New Roman" w:hAnsi="Times New Roman" w:cs="Times New Roman"/>
                      <w:bCs/>
                      <w:color w:val="auto"/>
                      <w:sz w:val="21"/>
                      <w:szCs w:val="21"/>
                      <w:highlight w:val="none"/>
                      <w:lang w:bidi="ar"/>
                    </w:rPr>
                  </w:pPr>
                  <w:r>
                    <w:rPr>
                      <w:rFonts w:hint="default" w:ascii="Times New Roman" w:hAnsi="Times New Roman" w:cs="Times New Roman"/>
                      <w:bCs/>
                      <w:color w:val="auto"/>
                      <w:sz w:val="21"/>
                      <w:szCs w:val="21"/>
                      <w:highlight w:val="none"/>
                      <w:lang w:bidi="ar"/>
                    </w:rPr>
                    <w:t>含油手套及废抹布</w:t>
                  </w:r>
                </w:p>
              </w:tc>
              <w:tc>
                <w:tcPr>
                  <w:tcW w:w="1095" w:type="dxa"/>
                  <w:noWrap w:val="0"/>
                  <w:vAlign w:val="center"/>
                </w:tcPr>
                <w:p w14:paraId="65F859B0">
                  <w:pPr>
                    <w:jc w:val="center"/>
                    <w:rPr>
                      <w:rFonts w:hint="default" w:ascii="Times New Roman" w:hAnsi="Times New Roman" w:cs="Times New Roman"/>
                      <w:bCs/>
                      <w:color w:val="auto"/>
                      <w:szCs w:val="21"/>
                      <w:highlight w:val="none"/>
                      <w:lang w:bidi="ar"/>
                    </w:rPr>
                  </w:pPr>
                  <w:r>
                    <w:rPr>
                      <w:rFonts w:hint="default" w:ascii="Times New Roman" w:hAnsi="Times New Roman" w:cs="Times New Roman"/>
                      <w:bCs/>
                      <w:color w:val="auto"/>
                      <w:szCs w:val="21"/>
                      <w:highlight w:val="none"/>
                      <w:lang w:bidi="ar"/>
                    </w:rPr>
                    <w:t>矿物油等</w:t>
                  </w:r>
                </w:p>
              </w:tc>
              <w:tc>
                <w:tcPr>
                  <w:tcW w:w="690" w:type="dxa"/>
                  <w:vMerge w:val="restart"/>
                  <w:noWrap w:val="0"/>
                  <w:vAlign w:val="center"/>
                </w:tcPr>
                <w:p w14:paraId="724705C4">
                  <w:pPr>
                    <w:adjustRightInd w:val="0"/>
                    <w:snapToGrid w:val="0"/>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危险废物</w:t>
                  </w:r>
                </w:p>
              </w:tc>
              <w:tc>
                <w:tcPr>
                  <w:tcW w:w="660" w:type="dxa"/>
                  <w:noWrap w:val="0"/>
                  <w:vAlign w:val="center"/>
                </w:tcPr>
                <w:p w14:paraId="25B57EF8">
                  <w:pPr>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lang w:bidi="ar"/>
                    </w:rPr>
                    <w:t>固态</w:t>
                  </w:r>
                </w:p>
              </w:tc>
              <w:tc>
                <w:tcPr>
                  <w:tcW w:w="1054" w:type="dxa"/>
                  <w:noWrap w:val="0"/>
                  <w:vAlign w:val="center"/>
                </w:tcPr>
                <w:p w14:paraId="64DDF351">
                  <w:pPr>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cs="Times New Roman"/>
                      <w:color w:val="auto"/>
                      <w:szCs w:val="21"/>
                      <w:highlight w:val="none"/>
                      <w:lang w:val="en-US" w:eastAsia="zh-CN"/>
                    </w:rPr>
                    <w:t>0.05</w:t>
                  </w:r>
                </w:p>
              </w:tc>
              <w:tc>
                <w:tcPr>
                  <w:tcW w:w="1308" w:type="dxa"/>
                  <w:vMerge w:val="restart"/>
                  <w:noWrap w:val="0"/>
                  <w:vAlign w:val="center"/>
                </w:tcPr>
                <w:p w14:paraId="2B409484">
                  <w:pPr>
                    <w:adjustRightInd w:val="0"/>
                    <w:snapToGrid w:val="0"/>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lang w:bidi="ar"/>
                    </w:rPr>
                    <w:t>交由有危险废物处理资质的单位处置</w:t>
                  </w:r>
                </w:p>
              </w:tc>
              <w:tc>
                <w:tcPr>
                  <w:tcW w:w="863" w:type="dxa"/>
                  <w:vMerge w:val="restart"/>
                  <w:noWrap w:val="0"/>
                  <w:vAlign w:val="center"/>
                </w:tcPr>
                <w:p w14:paraId="329C2CFB">
                  <w:pPr>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lang w:eastAsia="zh-CN" w:bidi="ar"/>
                    </w:rPr>
                    <w:t>危险废物</w:t>
                  </w:r>
                  <w:r>
                    <w:rPr>
                      <w:rFonts w:hint="default" w:ascii="Times New Roman" w:hAnsi="Times New Roman" w:cs="Times New Roman"/>
                      <w:bCs/>
                      <w:color w:val="auto"/>
                      <w:szCs w:val="21"/>
                      <w:highlight w:val="none"/>
                      <w:lang w:bidi="ar"/>
                    </w:rPr>
                    <w:t>暂存间</w:t>
                  </w:r>
                </w:p>
              </w:tc>
              <w:tc>
                <w:tcPr>
                  <w:tcW w:w="647" w:type="dxa"/>
                  <w:vMerge w:val="restart"/>
                  <w:noWrap w:val="0"/>
                  <w:vAlign w:val="center"/>
                </w:tcPr>
                <w:p w14:paraId="47231499">
                  <w:pPr>
                    <w:jc w:val="center"/>
                    <w:rPr>
                      <w:rFonts w:hint="default" w:ascii="Times New Roman" w:hAnsi="Times New Roman" w:cs="Times New Roman"/>
                      <w:bCs/>
                      <w:color w:val="auto"/>
                      <w:szCs w:val="21"/>
                      <w:highlight w:val="none"/>
                      <w:lang w:bidi="ar"/>
                    </w:rPr>
                  </w:pPr>
                  <w:r>
                    <w:rPr>
                      <w:rFonts w:hint="default" w:ascii="Times New Roman" w:hAnsi="Times New Roman" w:cs="Times New Roman"/>
                      <w:bCs/>
                      <w:color w:val="auto"/>
                      <w:szCs w:val="21"/>
                      <w:highlight w:val="none"/>
                      <w:lang w:bidi="ar"/>
                    </w:rPr>
                    <w:t>无害化处理</w:t>
                  </w:r>
                </w:p>
              </w:tc>
            </w:tr>
            <w:tr w14:paraId="2B642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1059" w:type="dxa"/>
                  <w:noWrap w:val="0"/>
                  <w:vAlign w:val="center"/>
                </w:tcPr>
                <w:p w14:paraId="1E611A70">
                  <w:pPr>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lang w:eastAsia="zh-CN" w:bidi="ar"/>
                    </w:rPr>
                    <w:t>设备维修</w:t>
                  </w:r>
                </w:p>
              </w:tc>
              <w:tc>
                <w:tcPr>
                  <w:tcW w:w="1918" w:type="dxa"/>
                  <w:noWrap w:val="0"/>
                  <w:vAlign w:val="center"/>
                </w:tcPr>
                <w:p w14:paraId="75209ACA">
                  <w:pPr>
                    <w:jc w:val="center"/>
                    <w:rPr>
                      <w:rFonts w:hint="default" w:ascii="Times New Roman" w:hAnsi="Times New Roman" w:cs="Times New Roman"/>
                      <w:bCs/>
                      <w:color w:val="auto"/>
                      <w:sz w:val="21"/>
                      <w:szCs w:val="21"/>
                      <w:highlight w:val="none"/>
                      <w:lang w:bidi="ar"/>
                    </w:rPr>
                  </w:pPr>
                  <w:r>
                    <w:rPr>
                      <w:rFonts w:hint="default" w:ascii="Times New Roman" w:hAnsi="Times New Roman" w:cs="Times New Roman"/>
                      <w:bCs/>
                      <w:color w:val="auto"/>
                      <w:sz w:val="21"/>
                      <w:szCs w:val="21"/>
                      <w:highlight w:val="none"/>
                      <w:lang w:bidi="ar"/>
                    </w:rPr>
                    <w:t>废机油</w:t>
                  </w:r>
                </w:p>
              </w:tc>
              <w:tc>
                <w:tcPr>
                  <w:tcW w:w="1095" w:type="dxa"/>
                  <w:noWrap w:val="0"/>
                  <w:vAlign w:val="center"/>
                </w:tcPr>
                <w:p w14:paraId="17D0677E">
                  <w:pPr>
                    <w:jc w:val="center"/>
                    <w:rPr>
                      <w:rFonts w:hint="default" w:ascii="Times New Roman" w:hAnsi="Times New Roman" w:cs="Times New Roman"/>
                      <w:bCs/>
                      <w:color w:val="auto"/>
                      <w:szCs w:val="21"/>
                      <w:highlight w:val="none"/>
                      <w:lang w:bidi="ar"/>
                    </w:rPr>
                  </w:pPr>
                  <w:r>
                    <w:rPr>
                      <w:rFonts w:hint="default" w:ascii="Times New Roman" w:hAnsi="Times New Roman" w:cs="Times New Roman"/>
                      <w:bCs/>
                      <w:color w:val="auto"/>
                      <w:szCs w:val="21"/>
                      <w:highlight w:val="none"/>
                      <w:lang w:bidi="ar"/>
                    </w:rPr>
                    <w:t>矿物油等</w:t>
                  </w:r>
                </w:p>
              </w:tc>
              <w:tc>
                <w:tcPr>
                  <w:tcW w:w="690" w:type="dxa"/>
                  <w:vMerge w:val="continue"/>
                  <w:noWrap w:val="0"/>
                  <w:vAlign w:val="center"/>
                </w:tcPr>
                <w:p w14:paraId="08A095FC">
                  <w:pPr>
                    <w:adjustRightInd w:val="0"/>
                    <w:snapToGrid w:val="0"/>
                    <w:jc w:val="center"/>
                    <w:rPr>
                      <w:rFonts w:hint="default" w:ascii="Times New Roman" w:hAnsi="Times New Roman" w:cs="Times New Roman"/>
                      <w:bCs/>
                      <w:color w:val="auto"/>
                      <w:szCs w:val="21"/>
                      <w:highlight w:val="none"/>
                    </w:rPr>
                  </w:pPr>
                </w:p>
              </w:tc>
              <w:tc>
                <w:tcPr>
                  <w:tcW w:w="660" w:type="dxa"/>
                  <w:noWrap w:val="0"/>
                  <w:vAlign w:val="center"/>
                </w:tcPr>
                <w:p w14:paraId="4091EB08">
                  <w:pPr>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lang w:bidi="ar"/>
                    </w:rPr>
                    <w:t>固态</w:t>
                  </w:r>
                </w:p>
              </w:tc>
              <w:tc>
                <w:tcPr>
                  <w:tcW w:w="1054" w:type="dxa"/>
                  <w:noWrap w:val="0"/>
                  <w:vAlign w:val="center"/>
                </w:tcPr>
                <w:p w14:paraId="7643F97E">
                  <w:pPr>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cs="Times New Roman"/>
                      <w:color w:val="auto"/>
                      <w:szCs w:val="21"/>
                      <w:highlight w:val="none"/>
                      <w:lang w:val="en-US" w:eastAsia="zh-CN"/>
                    </w:rPr>
                    <w:t>0.2</w:t>
                  </w:r>
                </w:p>
              </w:tc>
              <w:tc>
                <w:tcPr>
                  <w:tcW w:w="1308" w:type="dxa"/>
                  <w:vMerge w:val="continue"/>
                  <w:noWrap w:val="0"/>
                  <w:vAlign w:val="center"/>
                </w:tcPr>
                <w:p w14:paraId="1E588375">
                  <w:pPr>
                    <w:adjustRightInd w:val="0"/>
                    <w:snapToGrid w:val="0"/>
                    <w:jc w:val="center"/>
                    <w:rPr>
                      <w:rFonts w:hint="default" w:ascii="Times New Roman" w:hAnsi="Times New Roman" w:cs="Times New Roman"/>
                      <w:bCs/>
                      <w:color w:val="auto"/>
                      <w:szCs w:val="21"/>
                      <w:highlight w:val="none"/>
                    </w:rPr>
                  </w:pPr>
                </w:p>
              </w:tc>
              <w:tc>
                <w:tcPr>
                  <w:tcW w:w="863" w:type="dxa"/>
                  <w:vMerge w:val="continue"/>
                  <w:noWrap w:val="0"/>
                  <w:vAlign w:val="center"/>
                </w:tcPr>
                <w:p w14:paraId="0DBFA539">
                  <w:pPr>
                    <w:jc w:val="center"/>
                    <w:rPr>
                      <w:rFonts w:hint="default" w:ascii="Times New Roman" w:hAnsi="Times New Roman" w:cs="Times New Roman"/>
                      <w:bCs/>
                      <w:color w:val="auto"/>
                      <w:szCs w:val="21"/>
                      <w:highlight w:val="none"/>
                    </w:rPr>
                  </w:pPr>
                </w:p>
              </w:tc>
              <w:tc>
                <w:tcPr>
                  <w:tcW w:w="647" w:type="dxa"/>
                  <w:vMerge w:val="continue"/>
                  <w:noWrap w:val="0"/>
                  <w:vAlign w:val="center"/>
                </w:tcPr>
                <w:p w14:paraId="24A7BA01">
                  <w:pPr>
                    <w:jc w:val="center"/>
                    <w:rPr>
                      <w:rFonts w:hint="default" w:ascii="Times New Roman" w:hAnsi="Times New Roman" w:cs="Times New Roman"/>
                      <w:bCs/>
                      <w:color w:val="auto"/>
                      <w:szCs w:val="21"/>
                      <w:highlight w:val="none"/>
                      <w:lang w:bidi="ar"/>
                    </w:rPr>
                  </w:pPr>
                </w:p>
              </w:tc>
            </w:tr>
            <w:tr w14:paraId="3B824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1059" w:type="dxa"/>
                  <w:noWrap w:val="0"/>
                  <w:vAlign w:val="center"/>
                </w:tcPr>
                <w:p w14:paraId="7070BF4F">
                  <w:pPr>
                    <w:jc w:val="center"/>
                    <w:rPr>
                      <w:rFonts w:hint="default" w:ascii="Times New Roman" w:hAnsi="Times New Roman" w:eastAsia="宋体" w:cs="Times New Roman"/>
                      <w:bCs/>
                      <w:color w:val="auto"/>
                      <w:szCs w:val="21"/>
                      <w:highlight w:val="none"/>
                      <w:lang w:eastAsia="zh-CN"/>
                    </w:rPr>
                  </w:pPr>
                  <w:r>
                    <w:rPr>
                      <w:rFonts w:hint="default" w:ascii="Times New Roman" w:hAnsi="Times New Roman" w:cs="Times New Roman"/>
                      <w:bCs/>
                      <w:color w:val="auto"/>
                      <w:szCs w:val="21"/>
                      <w:highlight w:val="none"/>
                      <w:lang w:eastAsia="zh-CN" w:bidi="ar"/>
                    </w:rPr>
                    <w:t>设备维修</w:t>
                  </w:r>
                </w:p>
              </w:tc>
              <w:tc>
                <w:tcPr>
                  <w:tcW w:w="1918" w:type="dxa"/>
                  <w:noWrap w:val="0"/>
                  <w:vAlign w:val="center"/>
                </w:tcPr>
                <w:p w14:paraId="5D21082F">
                  <w:pPr>
                    <w:jc w:val="center"/>
                    <w:rPr>
                      <w:rFonts w:hint="default" w:ascii="Times New Roman" w:hAnsi="Times New Roman" w:cs="Times New Roman"/>
                      <w:bCs/>
                      <w:color w:val="auto"/>
                      <w:szCs w:val="21"/>
                      <w:highlight w:val="none"/>
                      <w:lang w:bidi="ar"/>
                    </w:rPr>
                  </w:pPr>
                  <w:r>
                    <w:rPr>
                      <w:rFonts w:hint="default" w:ascii="Times New Roman" w:hAnsi="Times New Roman" w:cs="Times New Roman"/>
                      <w:bCs/>
                      <w:color w:val="auto"/>
                      <w:szCs w:val="21"/>
                      <w:highlight w:val="none"/>
                      <w:lang w:bidi="ar"/>
                    </w:rPr>
                    <w:t>废机油</w:t>
                  </w:r>
                  <w:r>
                    <w:rPr>
                      <w:rFonts w:hint="default" w:ascii="Times New Roman" w:hAnsi="Times New Roman" w:cs="Times New Roman"/>
                      <w:bCs/>
                      <w:color w:val="auto"/>
                      <w:szCs w:val="21"/>
                      <w:highlight w:val="none"/>
                      <w:lang w:eastAsia="zh-CN" w:bidi="ar"/>
                    </w:rPr>
                    <w:t xml:space="preserve">桶 </w:t>
                  </w:r>
                </w:p>
              </w:tc>
              <w:tc>
                <w:tcPr>
                  <w:tcW w:w="1095" w:type="dxa"/>
                  <w:noWrap w:val="0"/>
                  <w:vAlign w:val="center"/>
                </w:tcPr>
                <w:p w14:paraId="553F133C">
                  <w:pPr>
                    <w:jc w:val="center"/>
                    <w:rPr>
                      <w:rFonts w:hint="default" w:ascii="Times New Roman" w:hAnsi="Times New Roman" w:eastAsia="宋体" w:cs="Times New Roman"/>
                      <w:bCs/>
                      <w:color w:val="auto"/>
                      <w:szCs w:val="21"/>
                      <w:highlight w:val="none"/>
                      <w:lang w:eastAsia="zh-CN" w:bidi="ar"/>
                    </w:rPr>
                  </w:pPr>
                  <w:r>
                    <w:rPr>
                      <w:rFonts w:hint="default" w:ascii="Times New Roman" w:hAnsi="Times New Roman" w:cs="Times New Roman"/>
                      <w:bCs/>
                      <w:color w:val="auto"/>
                      <w:szCs w:val="21"/>
                      <w:highlight w:val="none"/>
                      <w:lang w:bidi="ar"/>
                    </w:rPr>
                    <w:t>矿物油等</w:t>
                  </w:r>
                </w:p>
              </w:tc>
              <w:tc>
                <w:tcPr>
                  <w:tcW w:w="690" w:type="dxa"/>
                  <w:vMerge w:val="continue"/>
                  <w:noWrap w:val="0"/>
                  <w:vAlign w:val="center"/>
                </w:tcPr>
                <w:p w14:paraId="4753EABA">
                  <w:pPr>
                    <w:adjustRightInd w:val="0"/>
                    <w:snapToGrid w:val="0"/>
                    <w:jc w:val="center"/>
                    <w:rPr>
                      <w:rFonts w:hint="default" w:ascii="Times New Roman" w:hAnsi="Times New Roman" w:cs="Times New Roman"/>
                      <w:bCs/>
                      <w:color w:val="auto"/>
                      <w:szCs w:val="21"/>
                      <w:highlight w:val="none"/>
                    </w:rPr>
                  </w:pPr>
                </w:p>
              </w:tc>
              <w:tc>
                <w:tcPr>
                  <w:tcW w:w="660" w:type="dxa"/>
                  <w:noWrap w:val="0"/>
                  <w:vAlign w:val="center"/>
                </w:tcPr>
                <w:p w14:paraId="7086A397">
                  <w:pPr>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lang w:bidi="ar"/>
                    </w:rPr>
                    <w:t>液态</w:t>
                  </w:r>
                </w:p>
              </w:tc>
              <w:tc>
                <w:tcPr>
                  <w:tcW w:w="1054" w:type="dxa"/>
                  <w:noWrap w:val="0"/>
                  <w:vAlign w:val="center"/>
                </w:tcPr>
                <w:p w14:paraId="1ACDA66E">
                  <w:pPr>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0.04</w:t>
                  </w:r>
                </w:p>
              </w:tc>
              <w:tc>
                <w:tcPr>
                  <w:tcW w:w="1308" w:type="dxa"/>
                  <w:vMerge w:val="continue"/>
                  <w:noWrap w:val="0"/>
                  <w:vAlign w:val="center"/>
                </w:tcPr>
                <w:p w14:paraId="497C76CC">
                  <w:pPr>
                    <w:adjustRightInd w:val="0"/>
                    <w:snapToGrid w:val="0"/>
                    <w:jc w:val="center"/>
                    <w:rPr>
                      <w:rFonts w:hint="default" w:ascii="Times New Roman" w:hAnsi="Times New Roman" w:cs="Times New Roman"/>
                      <w:bCs/>
                      <w:color w:val="auto"/>
                      <w:szCs w:val="21"/>
                      <w:highlight w:val="none"/>
                    </w:rPr>
                  </w:pPr>
                </w:p>
              </w:tc>
              <w:tc>
                <w:tcPr>
                  <w:tcW w:w="863" w:type="dxa"/>
                  <w:vMerge w:val="continue"/>
                  <w:noWrap w:val="0"/>
                  <w:vAlign w:val="center"/>
                </w:tcPr>
                <w:p w14:paraId="35F4B184">
                  <w:pPr>
                    <w:jc w:val="center"/>
                    <w:rPr>
                      <w:rFonts w:hint="default" w:ascii="Times New Roman" w:hAnsi="Times New Roman" w:cs="Times New Roman"/>
                      <w:bCs/>
                      <w:color w:val="auto"/>
                      <w:szCs w:val="21"/>
                      <w:highlight w:val="none"/>
                    </w:rPr>
                  </w:pPr>
                </w:p>
              </w:tc>
              <w:tc>
                <w:tcPr>
                  <w:tcW w:w="647" w:type="dxa"/>
                  <w:vMerge w:val="continue"/>
                  <w:noWrap w:val="0"/>
                  <w:vAlign w:val="center"/>
                </w:tcPr>
                <w:p w14:paraId="233B0843">
                  <w:pPr>
                    <w:jc w:val="center"/>
                    <w:rPr>
                      <w:rFonts w:hint="default" w:ascii="Times New Roman" w:hAnsi="Times New Roman" w:cs="Times New Roman"/>
                      <w:bCs/>
                      <w:color w:val="auto"/>
                      <w:szCs w:val="21"/>
                      <w:highlight w:val="none"/>
                      <w:lang w:bidi="ar"/>
                    </w:rPr>
                  </w:pPr>
                </w:p>
              </w:tc>
            </w:tr>
          </w:tbl>
          <w:p w14:paraId="51CC3480">
            <w:pPr>
              <w:adjustRightInd w:val="0"/>
              <w:snapToGrid w:val="0"/>
              <w:jc w:val="center"/>
              <w:rPr>
                <w:rFonts w:hint="default" w:ascii="Times New Roman" w:hAnsi="Times New Roman" w:cs="Times New Roman"/>
                <w:b/>
                <w:color w:val="auto"/>
                <w:szCs w:val="21"/>
                <w:highlight w:val="none"/>
              </w:rPr>
            </w:pPr>
          </w:p>
          <w:p w14:paraId="7A865215">
            <w:pPr>
              <w:adjustRightInd w:val="0"/>
              <w:snapToGrid w:val="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表4</w:t>
            </w:r>
            <w:r>
              <w:rPr>
                <w:rFonts w:hint="default" w:ascii="Times New Roman" w:hAnsi="Times New Roman" w:cs="Times New Roman"/>
                <w:b/>
                <w:color w:val="auto"/>
                <w:szCs w:val="21"/>
                <w:highlight w:val="none"/>
                <w:lang w:val="en-US" w:eastAsia="zh-CN"/>
              </w:rPr>
              <w:t xml:space="preserve">-22 </w:t>
            </w:r>
            <w:r>
              <w:rPr>
                <w:rFonts w:hint="default" w:ascii="Times New Roman" w:hAnsi="Times New Roman" w:cs="Times New Roman"/>
                <w:b/>
                <w:color w:val="auto"/>
                <w:szCs w:val="21"/>
                <w:highlight w:val="none"/>
                <w:lang w:eastAsia="zh-CN"/>
              </w:rPr>
              <w:t>本项目</w:t>
            </w:r>
            <w:r>
              <w:rPr>
                <w:rFonts w:hint="default" w:ascii="Times New Roman" w:hAnsi="Times New Roman" w:cs="Times New Roman"/>
                <w:b/>
                <w:color w:val="auto"/>
                <w:szCs w:val="21"/>
                <w:highlight w:val="none"/>
              </w:rPr>
              <w:t>危险废物产生及处置统计表</w:t>
            </w:r>
          </w:p>
          <w:tbl>
            <w:tblPr>
              <w:tblStyle w:val="34"/>
              <w:tblW w:w="9275" w:type="dxa"/>
              <w:tblInd w:w="-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7"/>
              <w:gridCol w:w="803"/>
              <w:gridCol w:w="1215"/>
              <w:gridCol w:w="720"/>
              <w:gridCol w:w="1275"/>
              <w:gridCol w:w="667"/>
              <w:gridCol w:w="1110"/>
              <w:gridCol w:w="885"/>
              <w:gridCol w:w="660"/>
              <w:gridCol w:w="883"/>
            </w:tblGrid>
            <w:tr w14:paraId="16B50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trPr>
              <w:tc>
                <w:tcPr>
                  <w:tcW w:w="1057" w:type="dxa"/>
                  <w:noWrap w:val="0"/>
                  <w:vAlign w:val="center"/>
                </w:tcPr>
                <w:p w14:paraId="7CB65028">
                  <w:pPr>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lang w:bidi="ar"/>
                    </w:rPr>
                    <w:t>危险</w:t>
                  </w:r>
                </w:p>
                <w:p w14:paraId="177E3B18">
                  <w:pPr>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lang w:bidi="ar"/>
                    </w:rPr>
                    <w:t>废物</w:t>
                  </w:r>
                </w:p>
              </w:tc>
              <w:tc>
                <w:tcPr>
                  <w:tcW w:w="803" w:type="dxa"/>
                  <w:noWrap w:val="0"/>
                  <w:vAlign w:val="center"/>
                </w:tcPr>
                <w:p w14:paraId="3B1B22F5">
                  <w:pPr>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lang w:bidi="ar"/>
                    </w:rPr>
                    <w:t>危险废物类别</w:t>
                  </w:r>
                </w:p>
              </w:tc>
              <w:tc>
                <w:tcPr>
                  <w:tcW w:w="1215" w:type="dxa"/>
                  <w:noWrap w:val="0"/>
                  <w:vAlign w:val="center"/>
                </w:tcPr>
                <w:p w14:paraId="325E3CEA">
                  <w:pPr>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lang w:bidi="ar"/>
                    </w:rPr>
                    <w:t>危险废物代码及行业来源</w:t>
                  </w:r>
                </w:p>
              </w:tc>
              <w:tc>
                <w:tcPr>
                  <w:tcW w:w="720" w:type="dxa"/>
                  <w:noWrap w:val="0"/>
                  <w:vAlign w:val="center"/>
                </w:tcPr>
                <w:p w14:paraId="7936648A">
                  <w:pPr>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lang w:bidi="ar"/>
                    </w:rPr>
                    <w:t>产生量t/a</w:t>
                  </w:r>
                </w:p>
              </w:tc>
              <w:tc>
                <w:tcPr>
                  <w:tcW w:w="1275" w:type="dxa"/>
                  <w:noWrap w:val="0"/>
                  <w:vAlign w:val="center"/>
                </w:tcPr>
                <w:p w14:paraId="41307B4B">
                  <w:pPr>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lang w:bidi="ar"/>
                    </w:rPr>
                    <w:t>产生工序及装置</w:t>
                  </w:r>
                </w:p>
              </w:tc>
              <w:tc>
                <w:tcPr>
                  <w:tcW w:w="667" w:type="dxa"/>
                  <w:noWrap w:val="0"/>
                  <w:vAlign w:val="center"/>
                </w:tcPr>
                <w:p w14:paraId="5A223879">
                  <w:pPr>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lang w:bidi="ar"/>
                    </w:rPr>
                    <w:t>形态</w:t>
                  </w:r>
                </w:p>
              </w:tc>
              <w:tc>
                <w:tcPr>
                  <w:tcW w:w="1110" w:type="dxa"/>
                  <w:noWrap w:val="0"/>
                  <w:vAlign w:val="center"/>
                </w:tcPr>
                <w:p w14:paraId="4175383A">
                  <w:pPr>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lang w:bidi="ar"/>
                    </w:rPr>
                    <w:t>主要成分</w:t>
                  </w:r>
                </w:p>
              </w:tc>
              <w:tc>
                <w:tcPr>
                  <w:tcW w:w="885" w:type="dxa"/>
                  <w:noWrap w:val="0"/>
                  <w:vAlign w:val="center"/>
                </w:tcPr>
                <w:p w14:paraId="191D612E">
                  <w:pPr>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lang w:bidi="ar"/>
                    </w:rPr>
                    <w:t>产废周期</w:t>
                  </w:r>
                </w:p>
              </w:tc>
              <w:tc>
                <w:tcPr>
                  <w:tcW w:w="660" w:type="dxa"/>
                  <w:noWrap w:val="0"/>
                  <w:vAlign w:val="center"/>
                </w:tcPr>
                <w:p w14:paraId="79E108DE">
                  <w:pPr>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lang w:bidi="ar"/>
                    </w:rPr>
                    <w:t>危险</w:t>
                  </w:r>
                </w:p>
                <w:p w14:paraId="2574CA11">
                  <w:pPr>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lang w:bidi="ar"/>
                    </w:rPr>
                    <w:t>特性</w:t>
                  </w:r>
                </w:p>
              </w:tc>
              <w:tc>
                <w:tcPr>
                  <w:tcW w:w="883" w:type="dxa"/>
                  <w:noWrap w:val="0"/>
                  <w:vAlign w:val="center"/>
                </w:tcPr>
                <w:p w14:paraId="1DF39B12">
                  <w:pPr>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lang w:bidi="ar"/>
                    </w:rPr>
                    <w:t>污染防治措施</w:t>
                  </w:r>
                </w:p>
              </w:tc>
            </w:tr>
            <w:tr w14:paraId="29251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057" w:type="dxa"/>
                  <w:noWrap w:val="0"/>
                  <w:vAlign w:val="center"/>
                </w:tcPr>
                <w:p w14:paraId="6459D5CA">
                  <w:pPr>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lang w:bidi="ar"/>
                    </w:rPr>
                    <w:t>含油手套及废抹布</w:t>
                  </w:r>
                </w:p>
              </w:tc>
              <w:tc>
                <w:tcPr>
                  <w:tcW w:w="803" w:type="dxa"/>
                  <w:noWrap w:val="0"/>
                  <w:vAlign w:val="center"/>
                </w:tcPr>
                <w:p w14:paraId="350BB44F">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HW49</w:t>
                  </w:r>
                </w:p>
              </w:tc>
              <w:tc>
                <w:tcPr>
                  <w:tcW w:w="1215" w:type="dxa"/>
                  <w:noWrap w:val="0"/>
                  <w:vAlign w:val="center"/>
                </w:tcPr>
                <w:p w14:paraId="0FCF895E">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900-041-49</w:t>
                  </w:r>
                </w:p>
              </w:tc>
              <w:tc>
                <w:tcPr>
                  <w:tcW w:w="720" w:type="dxa"/>
                  <w:noWrap w:val="0"/>
                  <w:vAlign w:val="center"/>
                </w:tcPr>
                <w:p w14:paraId="4C016C95">
                  <w:pPr>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cs="Times New Roman"/>
                      <w:color w:val="auto"/>
                      <w:szCs w:val="21"/>
                      <w:highlight w:val="none"/>
                      <w:lang w:val="en-US" w:eastAsia="zh-CN"/>
                    </w:rPr>
                    <w:t>0.05</w:t>
                  </w:r>
                </w:p>
              </w:tc>
              <w:tc>
                <w:tcPr>
                  <w:tcW w:w="1275" w:type="dxa"/>
                  <w:noWrap w:val="0"/>
                  <w:vAlign w:val="center"/>
                </w:tcPr>
                <w:p w14:paraId="6A7DDC7D">
                  <w:pPr>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lang w:eastAsia="zh-CN" w:bidi="ar"/>
                    </w:rPr>
                    <w:t>设备</w:t>
                  </w:r>
                  <w:r>
                    <w:rPr>
                      <w:rFonts w:hint="default" w:ascii="Times New Roman" w:hAnsi="Times New Roman" w:cs="Times New Roman"/>
                      <w:bCs/>
                      <w:color w:val="auto"/>
                      <w:szCs w:val="21"/>
                      <w:highlight w:val="none"/>
                      <w:lang w:val="en-US" w:eastAsia="zh-CN" w:bidi="ar"/>
                    </w:rPr>
                    <w:t>维护</w:t>
                  </w:r>
                </w:p>
              </w:tc>
              <w:tc>
                <w:tcPr>
                  <w:tcW w:w="667" w:type="dxa"/>
                  <w:noWrap w:val="0"/>
                  <w:vAlign w:val="center"/>
                </w:tcPr>
                <w:p w14:paraId="1E1B61FF">
                  <w:pPr>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lang w:bidi="ar"/>
                    </w:rPr>
                    <w:t>固态</w:t>
                  </w:r>
                </w:p>
              </w:tc>
              <w:tc>
                <w:tcPr>
                  <w:tcW w:w="1110" w:type="dxa"/>
                  <w:noWrap w:val="0"/>
                  <w:vAlign w:val="center"/>
                </w:tcPr>
                <w:p w14:paraId="31EF0EC3">
                  <w:pPr>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lang w:bidi="ar"/>
                    </w:rPr>
                    <w:t>废活性炭</w:t>
                  </w:r>
                </w:p>
              </w:tc>
              <w:tc>
                <w:tcPr>
                  <w:tcW w:w="885" w:type="dxa"/>
                  <w:noWrap w:val="0"/>
                  <w:vAlign w:val="center"/>
                </w:tcPr>
                <w:p w14:paraId="7E966D8D">
                  <w:pPr>
                    <w:jc w:val="center"/>
                    <w:rPr>
                      <w:rFonts w:hint="default" w:ascii="Times New Roman" w:hAnsi="Times New Roman" w:cs="Times New Roman"/>
                      <w:bCs/>
                      <w:color w:val="auto"/>
                      <w:szCs w:val="21"/>
                      <w:highlight w:val="none"/>
                    </w:rPr>
                  </w:pPr>
                  <w:r>
                    <w:rPr>
                      <w:rFonts w:hint="default" w:ascii="Times New Roman" w:hAnsi="Times New Roman" w:cs="Times New Roman"/>
                      <w:color w:val="auto"/>
                      <w:szCs w:val="21"/>
                      <w:highlight w:val="none"/>
                      <w:lang w:bidi="ar"/>
                    </w:rPr>
                    <w:t>三个月</w:t>
                  </w:r>
                </w:p>
              </w:tc>
              <w:tc>
                <w:tcPr>
                  <w:tcW w:w="660" w:type="dxa"/>
                  <w:noWrap w:val="0"/>
                  <w:vAlign w:val="center"/>
                </w:tcPr>
                <w:p w14:paraId="44DAD08F">
                  <w:pPr>
                    <w:jc w:val="center"/>
                    <w:rPr>
                      <w:rFonts w:hint="default" w:ascii="Times New Roman" w:hAnsi="Times New Roman" w:cs="Times New Roman"/>
                      <w:bCs/>
                      <w:color w:val="auto"/>
                      <w:szCs w:val="21"/>
                      <w:highlight w:val="none"/>
                    </w:rPr>
                  </w:pPr>
                  <w:r>
                    <w:rPr>
                      <w:rFonts w:hint="default" w:ascii="Times New Roman" w:hAnsi="Times New Roman" w:cs="Times New Roman"/>
                      <w:color w:val="auto"/>
                      <w:szCs w:val="21"/>
                      <w:highlight w:val="none"/>
                      <w:lang w:bidi="ar"/>
                    </w:rPr>
                    <w:t>T/ln</w:t>
                  </w:r>
                </w:p>
              </w:tc>
              <w:tc>
                <w:tcPr>
                  <w:tcW w:w="883" w:type="dxa"/>
                  <w:vMerge w:val="restart"/>
                  <w:noWrap w:val="0"/>
                  <w:vAlign w:val="center"/>
                </w:tcPr>
                <w:p w14:paraId="5F89B948">
                  <w:pPr>
                    <w:jc w:val="center"/>
                    <w:rPr>
                      <w:rFonts w:hint="default" w:ascii="Times New Roman" w:hAnsi="Times New Roman" w:cs="Times New Roman"/>
                      <w:bCs/>
                      <w:color w:val="auto"/>
                      <w:szCs w:val="21"/>
                      <w:highlight w:val="none"/>
                    </w:rPr>
                  </w:pPr>
                  <w:r>
                    <w:rPr>
                      <w:rFonts w:hint="default" w:ascii="Times New Roman" w:hAnsi="Times New Roman" w:cs="Times New Roman"/>
                      <w:color w:val="auto"/>
                      <w:szCs w:val="21"/>
                      <w:highlight w:val="none"/>
                      <w:lang w:bidi="ar"/>
                    </w:rPr>
                    <w:t>交有危险废物处理资质的单位处置</w:t>
                  </w:r>
                </w:p>
              </w:tc>
            </w:tr>
            <w:tr w14:paraId="480C1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1057" w:type="dxa"/>
                  <w:noWrap w:val="0"/>
                  <w:vAlign w:val="center"/>
                </w:tcPr>
                <w:p w14:paraId="5F9E2CD6">
                  <w:pPr>
                    <w:jc w:val="center"/>
                    <w:rPr>
                      <w:rFonts w:hint="default" w:ascii="Times New Roman" w:hAnsi="Times New Roman" w:cs="Times New Roman"/>
                      <w:bCs/>
                      <w:color w:val="auto"/>
                      <w:kern w:val="2"/>
                      <w:sz w:val="21"/>
                      <w:szCs w:val="21"/>
                      <w:highlight w:val="none"/>
                      <w:lang w:val="en-US" w:eastAsia="zh-CN" w:bidi="ar-SA"/>
                    </w:rPr>
                  </w:pPr>
                  <w:r>
                    <w:rPr>
                      <w:rFonts w:hint="default" w:ascii="Times New Roman" w:hAnsi="Times New Roman" w:cs="Times New Roman"/>
                      <w:bCs/>
                      <w:color w:val="auto"/>
                      <w:szCs w:val="21"/>
                      <w:highlight w:val="none"/>
                      <w:lang w:bidi="ar"/>
                    </w:rPr>
                    <w:t>废机油</w:t>
                  </w:r>
                </w:p>
              </w:tc>
              <w:tc>
                <w:tcPr>
                  <w:tcW w:w="803" w:type="dxa"/>
                  <w:noWrap w:val="0"/>
                  <w:vAlign w:val="center"/>
                </w:tcPr>
                <w:p w14:paraId="0F7A5A15">
                  <w:pPr>
                    <w:adjustRightInd w:val="0"/>
                    <w:snapToGrid w:val="0"/>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HW08</w:t>
                  </w:r>
                </w:p>
              </w:tc>
              <w:tc>
                <w:tcPr>
                  <w:tcW w:w="1215" w:type="dxa"/>
                  <w:noWrap w:val="0"/>
                  <w:vAlign w:val="center"/>
                </w:tcPr>
                <w:p w14:paraId="7D698C47">
                  <w:pPr>
                    <w:adjustRightInd w:val="0"/>
                    <w:snapToGrid w:val="0"/>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900-</w:t>
                  </w:r>
                  <w:r>
                    <w:rPr>
                      <w:rFonts w:hint="default" w:ascii="Times New Roman" w:hAnsi="Times New Roman" w:cs="Times New Roman"/>
                      <w:color w:val="auto"/>
                      <w:szCs w:val="21"/>
                      <w:highlight w:val="none"/>
                      <w:lang w:val="en-US" w:eastAsia="zh-CN"/>
                    </w:rPr>
                    <w:t>214</w:t>
                  </w:r>
                  <w:r>
                    <w:rPr>
                      <w:rFonts w:hint="default" w:ascii="Times New Roman" w:hAnsi="Times New Roman" w:cs="Times New Roman"/>
                      <w:color w:val="auto"/>
                      <w:szCs w:val="21"/>
                      <w:highlight w:val="none"/>
                    </w:rPr>
                    <w:t>-</w:t>
                  </w:r>
                  <w:r>
                    <w:rPr>
                      <w:rFonts w:hint="default" w:ascii="Times New Roman" w:hAnsi="Times New Roman" w:cs="Times New Roman"/>
                      <w:color w:val="auto"/>
                      <w:szCs w:val="21"/>
                      <w:highlight w:val="none"/>
                      <w:lang w:val="en-US" w:eastAsia="zh-CN"/>
                    </w:rPr>
                    <w:t>08</w:t>
                  </w:r>
                </w:p>
              </w:tc>
              <w:tc>
                <w:tcPr>
                  <w:tcW w:w="720" w:type="dxa"/>
                  <w:noWrap w:val="0"/>
                  <w:vAlign w:val="center"/>
                </w:tcPr>
                <w:p w14:paraId="58094016">
                  <w:pPr>
                    <w:jc w:val="center"/>
                    <w:rPr>
                      <w:rFonts w:hint="default" w:ascii="Times New Roman" w:hAnsi="Times New Roman" w:cs="Times New Roman"/>
                      <w:bCs/>
                      <w:color w:val="auto"/>
                      <w:kern w:val="2"/>
                      <w:sz w:val="21"/>
                      <w:szCs w:val="21"/>
                      <w:highlight w:val="none"/>
                      <w:lang w:val="en-US" w:eastAsia="zh-CN" w:bidi="ar-SA"/>
                    </w:rPr>
                  </w:pPr>
                  <w:r>
                    <w:rPr>
                      <w:rFonts w:hint="default" w:ascii="Times New Roman" w:hAnsi="Times New Roman" w:cs="Times New Roman"/>
                      <w:color w:val="auto"/>
                      <w:szCs w:val="21"/>
                      <w:highlight w:val="none"/>
                      <w:lang w:val="en-US" w:eastAsia="zh-CN"/>
                    </w:rPr>
                    <w:t>0.2</w:t>
                  </w:r>
                </w:p>
              </w:tc>
              <w:tc>
                <w:tcPr>
                  <w:tcW w:w="1275" w:type="dxa"/>
                  <w:noWrap w:val="0"/>
                  <w:vAlign w:val="center"/>
                </w:tcPr>
                <w:p w14:paraId="04F5CD49">
                  <w:pPr>
                    <w:jc w:val="center"/>
                    <w:rPr>
                      <w:rFonts w:hint="default" w:ascii="Times New Roman" w:hAnsi="Times New Roman" w:cs="Times New Roman"/>
                      <w:bCs/>
                      <w:color w:val="auto"/>
                      <w:kern w:val="2"/>
                      <w:sz w:val="21"/>
                      <w:szCs w:val="21"/>
                      <w:highlight w:val="none"/>
                      <w:lang w:val="en-US" w:eastAsia="zh-CN" w:bidi="ar-SA"/>
                    </w:rPr>
                  </w:pPr>
                  <w:r>
                    <w:rPr>
                      <w:rFonts w:hint="default" w:ascii="Times New Roman" w:hAnsi="Times New Roman" w:cs="Times New Roman"/>
                      <w:bCs/>
                      <w:color w:val="auto"/>
                      <w:szCs w:val="21"/>
                      <w:highlight w:val="none"/>
                      <w:lang w:eastAsia="zh-CN" w:bidi="ar"/>
                    </w:rPr>
                    <w:t>设备</w:t>
                  </w:r>
                  <w:r>
                    <w:rPr>
                      <w:rFonts w:hint="default" w:ascii="Times New Roman" w:hAnsi="Times New Roman" w:cs="Times New Roman"/>
                      <w:bCs/>
                      <w:color w:val="auto"/>
                      <w:szCs w:val="21"/>
                      <w:highlight w:val="none"/>
                      <w:lang w:val="en-US" w:eastAsia="zh-CN" w:bidi="ar"/>
                    </w:rPr>
                    <w:t>维护</w:t>
                  </w:r>
                </w:p>
              </w:tc>
              <w:tc>
                <w:tcPr>
                  <w:tcW w:w="667" w:type="dxa"/>
                  <w:noWrap w:val="0"/>
                  <w:vAlign w:val="center"/>
                </w:tcPr>
                <w:p w14:paraId="199985AF">
                  <w:pPr>
                    <w:jc w:val="center"/>
                    <w:rPr>
                      <w:rFonts w:hint="default" w:ascii="Times New Roman" w:hAnsi="Times New Roman" w:cs="Times New Roman"/>
                      <w:bCs/>
                      <w:color w:val="auto"/>
                      <w:kern w:val="2"/>
                      <w:sz w:val="21"/>
                      <w:szCs w:val="21"/>
                      <w:highlight w:val="none"/>
                      <w:lang w:val="en-US" w:eastAsia="zh-CN" w:bidi="ar-SA"/>
                    </w:rPr>
                  </w:pPr>
                  <w:r>
                    <w:rPr>
                      <w:rFonts w:hint="default" w:ascii="Times New Roman" w:hAnsi="Times New Roman" w:cs="Times New Roman"/>
                      <w:bCs/>
                      <w:color w:val="auto"/>
                      <w:szCs w:val="21"/>
                      <w:highlight w:val="none"/>
                      <w:lang w:bidi="ar"/>
                    </w:rPr>
                    <w:t>液态</w:t>
                  </w:r>
                </w:p>
              </w:tc>
              <w:tc>
                <w:tcPr>
                  <w:tcW w:w="1110" w:type="dxa"/>
                  <w:noWrap w:val="0"/>
                  <w:vAlign w:val="center"/>
                </w:tcPr>
                <w:p w14:paraId="65E297A3">
                  <w:pPr>
                    <w:jc w:val="center"/>
                    <w:rPr>
                      <w:rFonts w:hint="default" w:ascii="Times New Roman" w:hAnsi="Times New Roman" w:cs="Times New Roman"/>
                      <w:bCs/>
                      <w:color w:val="auto"/>
                      <w:kern w:val="2"/>
                      <w:sz w:val="21"/>
                      <w:szCs w:val="21"/>
                      <w:highlight w:val="none"/>
                      <w:lang w:val="en-US" w:eastAsia="zh-CN" w:bidi="ar-SA"/>
                    </w:rPr>
                  </w:pPr>
                  <w:r>
                    <w:rPr>
                      <w:rFonts w:hint="default" w:ascii="Times New Roman" w:hAnsi="Times New Roman" w:cs="Times New Roman"/>
                      <w:bCs/>
                      <w:color w:val="auto"/>
                      <w:szCs w:val="21"/>
                      <w:highlight w:val="none"/>
                      <w:lang w:bidi="ar"/>
                    </w:rPr>
                    <w:t>矿物油等</w:t>
                  </w:r>
                </w:p>
              </w:tc>
              <w:tc>
                <w:tcPr>
                  <w:tcW w:w="885" w:type="dxa"/>
                  <w:noWrap w:val="0"/>
                  <w:vAlign w:val="center"/>
                </w:tcPr>
                <w:p w14:paraId="7F76A6AB">
                  <w:pPr>
                    <w:topLinePunct/>
                    <w:snapToGrid w:val="0"/>
                    <w:jc w:val="center"/>
                    <w:rPr>
                      <w:rFonts w:hint="default" w:ascii="Times New Roman" w:hAnsi="Times New Roman" w:cs="Times New Roman"/>
                      <w:bCs/>
                      <w:color w:val="auto"/>
                      <w:kern w:val="2"/>
                      <w:sz w:val="21"/>
                      <w:szCs w:val="21"/>
                      <w:highlight w:val="none"/>
                      <w:lang w:val="en-US" w:eastAsia="zh-CN" w:bidi="ar-SA"/>
                    </w:rPr>
                  </w:pPr>
                  <w:r>
                    <w:rPr>
                      <w:rFonts w:hint="default" w:ascii="Times New Roman" w:hAnsi="Times New Roman" w:cs="Times New Roman"/>
                      <w:color w:val="auto"/>
                      <w:szCs w:val="21"/>
                      <w:highlight w:val="none"/>
                      <w:lang w:bidi="ar"/>
                    </w:rPr>
                    <w:t>一个月</w:t>
                  </w:r>
                </w:p>
              </w:tc>
              <w:tc>
                <w:tcPr>
                  <w:tcW w:w="660" w:type="dxa"/>
                  <w:noWrap w:val="0"/>
                  <w:vAlign w:val="center"/>
                </w:tcPr>
                <w:p w14:paraId="3BA12F00">
                  <w:pPr>
                    <w:jc w:val="center"/>
                    <w:rPr>
                      <w:rFonts w:hint="default" w:ascii="Times New Roman" w:hAnsi="Times New Roman" w:cs="Times New Roman"/>
                      <w:bCs/>
                      <w:color w:val="auto"/>
                      <w:kern w:val="2"/>
                      <w:sz w:val="21"/>
                      <w:szCs w:val="21"/>
                      <w:highlight w:val="none"/>
                      <w:lang w:val="en-US" w:eastAsia="zh-CN" w:bidi="ar-SA"/>
                    </w:rPr>
                  </w:pPr>
                  <w:r>
                    <w:rPr>
                      <w:rFonts w:hint="default" w:ascii="Times New Roman" w:hAnsi="Times New Roman" w:cs="Times New Roman"/>
                      <w:color w:val="auto"/>
                      <w:szCs w:val="21"/>
                      <w:highlight w:val="none"/>
                      <w:lang w:bidi="ar"/>
                    </w:rPr>
                    <w:t>T，I</w:t>
                  </w:r>
                </w:p>
              </w:tc>
              <w:tc>
                <w:tcPr>
                  <w:tcW w:w="883" w:type="dxa"/>
                  <w:vMerge w:val="continue"/>
                  <w:noWrap w:val="0"/>
                  <w:vAlign w:val="center"/>
                </w:tcPr>
                <w:p w14:paraId="4CFD4481">
                  <w:pPr>
                    <w:jc w:val="center"/>
                    <w:rPr>
                      <w:rFonts w:hint="default" w:ascii="Times New Roman" w:hAnsi="Times New Roman" w:cs="Times New Roman"/>
                      <w:color w:val="auto"/>
                      <w:szCs w:val="21"/>
                      <w:highlight w:val="none"/>
                      <w:lang w:bidi="ar"/>
                    </w:rPr>
                  </w:pPr>
                </w:p>
              </w:tc>
            </w:tr>
            <w:tr w14:paraId="61A0F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1057" w:type="dxa"/>
                  <w:noWrap w:val="0"/>
                  <w:vAlign w:val="center"/>
                </w:tcPr>
                <w:p w14:paraId="53DAEFD5">
                  <w:pPr>
                    <w:jc w:val="center"/>
                    <w:rPr>
                      <w:rFonts w:hint="default" w:ascii="Times New Roman" w:hAnsi="Times New Roman" w:cs="Times New Roman"/>
                      <w:bCs/>
                      <w:color w:val="auto"/>
                      <w:kern w:val="2"/>
                      <w:sz w:val="21"/>
                      <w:szCs w:val="21"/>
                      <w:highlight w:val="none"/>
                      <w:lang w:val="en-US" w:eastAsia="zh-CN" w:bidi="ar-SA"/>
                    </w:rPr>
                  </w:pPr>
                  <w:r>
                    <w:rPr>
                      <w:rFonts w:hint="default" w:ascii="Times New Roman" w:hAnsi="Times New Roman" w:cs="Times New Roman"/>
                      <w:bCs/>
                      <w:color w:val="auto"/>
                      <w:szCs w:val="21"/>
                      <w:highlight w:val="none"/>
                      <w:lang w:bidi="ar"/>
                    </w:rPr>
                    <w:t>废机油</w:t>
                  </w:r>
                  <w:r>
                    <w:rPr>
                      <w:rFonts w:hint="default" w:ascii="Times New Roman" w:hAnsi="Times New Roman" w:cs="Times New Roman"/>
                      <w:bCs/>
                      <w:color w:val="auto"/>
                      <w:szCs w:val="21"/>
                      <w:highlight w:val="none"/>
                      <w:lang w:eastAsia="zh-CN" w:bidi="ar"/>
                    </w:rPr>
                    <w:t xml:space="preserve">桶 </w:t>
                  </w:r>
                </w:p>
              </w:tc>
              <w:tc>
                <w:tcPr>
                  <w:tcW w:w="803" w:type="dxa"/>
                  <w:noWrap w:val="0"/>
                  <w:vAlign w:val="center"/>
                </w:tcPr>
                <w:p w14:paraId="47740D1F">
                  <w:pPr>
                    <w:adjustRightInd w:val="0"/>
                    <w:snapToGrid w:val="0"/>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HW</w:t>
                  </w:r>
                  <w:r>
                    <w:rPr>
                      <w:rFonts w:hint="default" w:ascii="Times New Roman" w:hAnsi="Times New Roman" w:cs="Times New Roman"/>
                      <w:color w:val="auto"/>
                      <w:szCs w:val="21"/>
                      <w:highlight w:val="none"/>
                      <w:lang w:val="en-US" w:eastAsia="zh-CN"/>
                    </w:rPr>
                    <w:t>08</w:t>
                  </w:r>
                </w:p>
              </w:tc>
              <w:tc>
                <w:tcPr>
                  <w:tcW w:w="1215" w:type="dxa"/>
                  <w:noWrap w:val="0"/>
                  <w:vAlign w:val="center"/>
                </w:tcPr>
                <w:p w14:paraId="5B9596CE">
                  <w:pPr>
                    <w:adjustRightInd w:val="0"/>
                    <w:snapToGrid w:val="0"/>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900-</w:t>
                  </w:r>
                  <w:r>
                    <w:rPr>
                      <w:rFonts w:hint="default" w:ascii="Times New Roman" w:hAnsi="Times New Roman" w:cs="Times New Roman"/>
                      <w:color w:val="auto"/>
                      <w:szCs w:val="21"/>
                      <w:highlight w:val="none"/>
                      <w:lang w:val="en-US" w:eastAsia="zh-CN"/>
                    </w:rPr>
                    <w:t>249</w:t>
                  </w:r>
                  <w:r>
                    <w:rPr>
                      <w:rFonts w:hint="default" w:ascii="Times New Roman" w:hAnsi="Times New Roman" w:cs="Times New Roman"/>
                      <w:color w:val="auto"/>
                      <w:szCs w:val="21"/>
                      <w:highlight w:val="none"/>
                    </w:rPr>
                    <w:t>-</w:t>
                  </w:r>
                  <w:r>
                    <w:rPr>
                      <w:rFonts w:hint="default" w:ascii="Times New Roman" w:hAnsi="Times New Roman" w:cs="Times New Roman"/>
                      <w:color w:val="auto"/>
                      <w:szCs w:val="21"/>
                      <w:highlight w:val="none"/>
                      <w:lang w:val="en-US" w:eastAsia="zh-CN"/>
                    </w:rPr>
                    <w:t>08</w:t>
                  </w:r>
                </w:p>
              </w:tc>
              <w:tc>
                <w:tcPr>
                  <w:tcW w:w="720" w:type="dxa"/>
                  <w:noWrap w:val="0"/>
                  <w:vAlign w:val="center"/>
                </w:tcPr>
                <w:p w14:paraId="134B1FF8">
                  <w:pPr>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0.04</w:t>
                  </w:r>
                </w:p>
              </w:tc>
              <w:tc>
                <w:tcPr>
                  <w:tcW w:w="1275" w:type="dxa"/>
                  <w:noWrap w:val="0"/>
                  <w:vAlign w:val="center"/>
                </w:tcPr>
                <w:p w14:paraId="2281D90C">
                  <w:pPr>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Cs w:val="21"/>
                      <w:highlight w:val="none"/>
                      <w:lang w:eastAsia="zh-CN" w:bidi="ar"/>
                    </w:rPr>
                    <w:t>设备</w:t>
                  </w:r>
                  <w:r>
                    <w:rPr>
                      <w:rFonts w:hint="default" w:ascii="Times New Roman" w:hAnsi="Times New Roman" w:cs="Times New Roman"/>
                      <w:bCs/>
                      <w:color w:val="auto"/>
                      <w:szCs w:val="21"/>
                      <w:highlight w:val="none"/>
                      <w:lang w:val="en-US" w:eastAsia="zh-CN" w:bidi="ar"/>
                    </w:rPr>
                    <w:t>维护</w:t>
                  </w:r>
                </w:p>
              </w:tc>
              <w:tc>
                <w:tcPr>
                  <w:tcW w:w="667" w:type="dxa"/>
                  <w:noWrap w:val="0"/>
                  <w:vAlign w:val="center"/>
                </w:tcPr>
                <w:p w14:paraId="2508C670">
                  <w:pPr>
                    <w:jc w:val="center"/>
                    <w:rPr>
                      <w:rFonts w:hint="default" w:ascii="Times New Roman" w:hAnsi="Times New Roman" w:cs="Times New Roman"/>
                      <w:bCs/>
                      <w:color w:val="auto"/>
                      <w:kern w:val="2"/>
                      <w:sz w:val="21"/>
                      <w:szCs w:val="21"/>
                      <w:highlight w:val="none"/>
                      <w:lang w:val="en-US" w:eastAsia="zh-CN" w:bidi="ar-SA"/>
                    </w:rPr>
                  </w:pPr>
                  <w:r>
                    <w:rPr>
                      <w:rFonts w:hint="default" w:ascii="Times New Roman" w:hAnsi="Times New Roman" w:cs="Times New Roman"/>
                      <w:bCs/>
                      <w:color w:val="auto"/>
                      <w:szCs w:val="21"/>
                      <w:highlight w:val="none"/>
                      <w:lang w:eastAsia="zh-CN" w:bidi="ar"/>
                    </w:rPr>
                    <w:t>固态</w:t>
                  </w:r>
                </w:p>
              </w:tc>
              <w:tc>
                <w:tcPr>
                  <w:tcW w:w="1110" w:type="dxa"/>
                  <w:noWrap w:val="0"/>
                  <w:vAlign w:val="center"/>
                </w:tcPr>
                <w:p w14:paraId="2B177F31">
                  <w:pPr>
                    <w:jc w:val="center"/>
                    <w:rPr>
                      <w:rFonts w:hint="default" w:ascii="Times New Roman" w:hAnsi="Times New Roman" w:cs="Times New Roman"/>
                      <w:bCs/>
                      <w:color w:val="auto"/>
                      <w:kern w:val="2"/>
                      <w:sz w:val="21"/>
                      <w:szCs w:val="21"/>
                      <w:highlight w:val="none"/>
                      <w:lang w:val="en-US" w:eastAsia="zh-CN" w:bidi="ar-SA"/>
                    </w:rPr>
                  </w:pPr>
                  <w:r>
                    <w:rPr>
                      <w:rFonts w:hint="default" w:ascii="Times New Roman" w:hAnsi="Times New Roman" w:cs="Times New Roman"/>
                      <w:bCs/>
                      <w:color w:val="auto"/>
                      <w:szCs w:val="21"/>
                      <w:highlight w:val="none"/>
                      <w:lang w:bidi="ar"/>
                    </w:rPr>
                    <w:t>矿物油</w:t>
                  </w:r>
                </w:p>
              </w:tc>
              <w:tc>
                <w:tcPr>
                  <w:tcW w:w="885" w:type="dxa"/>
                  <w:noWrap w:val="0"/>
                  <w:vAlign w:val="center"/>
                </w:tcPr>
                <w:p w14:paraId="598A5567">
                  <w:pPr>
                    <w:topLinePunct/>
                    <w:snapToGrid w:val="0"/>
                    <w:jc w:val="center"/>
                    <w:rPr>
                      <w:rFonts w:hint="default" w:ascii="Times New Roman" w:hAnsi="Times New Roman" w:cs="Times New Roman"/>
                      <w:bCs/>
                      <w:color w:val="auto"/>
                      <w:kern w:val="2"/>
                      <w:sz w:val="21"/>
                      <w:szCs w:val="21"/>
                      <w:highlight w:val="none"/>
                      <w:lang w:val="en-US" w:eastAsia="zh-CN" w:bidi="ar-SA"/>
                    </w:rPr>
                  </w:pPr>
                  <w:r>
                    <w:rPr>
                      <w:rFonts w:hint="default" w:ascii="Times New Roman" w:hAnsi="Times New Roman" w:cs="Times New Roman"/>
                      <w:color w:val="auto"/>
                      <w:szCs w:val="21"/>
                      <w:highlight w:val="none"/>
                      <w:lang w:bidi="ar"/>
                    </w:rPr>
                    <w:t>一个月</w:t>
                  </w:r>
                </w:p>
              </w:tc>
              <w:tc>
                <w:tcPr>
                  <w:tcW w:w="660" w:type="dxa"/>
                  <w:noWrap w:val="0"/>
                  <w:vAlign w:val="center"/>
                </w:tcPr>
                <w:p w14:paraId="00455D52">
                  <w:pPr>
                    <w:jc w:val="center"/>
                    <w:rPr>
                      <w:rFonts w:hint="default" w:ascii="Times New Roman" w:hAnsi="Times New Roman" w:cs="Times New Roman"/>
                      <w:bCs/>
                      <w:color w:val="auto"/>
                      <w:kern w:val="2"/>
                      <w:sz w:val="21"/>
                      <w:szCs w:val="21"/>
                      <w:highlight w:val="none"/>
                      <w:lang w:val="en-US" w:eastAsia="zh-CN" w:bidi="ar-SA"/>
                    </w:rPr>
                  </w:pPr>
                  <w:r>
                    <w:rPr>
                      <w:rFonts w:hint="default" w:ascii="Times New Roman" w:hAnsi="Times New Roman" w:cs="Times New Roman"/>
                      <w:color w:val="auto"/>
                      <w:szCs w:val="21"/>
                      <w:highlight w:val="none"/>
                      <w:lang w:bidi="ar"/>
                    </w:rPr>
                    <w:t>T，I</w:t>
                  </w:r>
                </w:p>
              </w:tc>
              <w:tc>
                <w:tcPr>
                  <w:tcW w:w="883" w:type="dxa"/>
                  <w:vMerge w:val="continue"/>
                  <w:noWrap w:val="0"/>
                  <w:vAlign w:val="center"/>
                </w:tcPr>
                <w:p w14:paraId="26A6A1F8">
                  <w:pPr>
                    <w:jc w:val="center"/>
                    <w:rPr>
                      <w:rFonts w:hint="default" w:ascii="Times New Roman" w:hAnsi="Times New Roman" w:cs="Times New Roman"/>
                      <w:color w:val="auto"/>
                      <w:szCs w:val="21"/>
                      <w:highlight w:val="none"/>
                    </w:rPr>
                  </w:pPr>
                </w:p>
              </w:tc>
            </w:tr>
          </w:tbl>
          <w:p w14:paraId="14CC0CF4">
            <w:pPr>
              <w:adjustRightInd w:val="0"/>
              <w:snapToGrid w:val="0"/>
              <w:spacing w:line="360" w:lineRule="auto"/>
              <w:ind w:firstLine="482" w:firstLineChars="200"/>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4.2处置去向及环境管理要求</w:t>
            </w:r>
          </w:p>
          <w:p w14:paraId="6B240AB7">
            <w:pPr>
              <w:adjustRightInd w:val="0"/>
              <w:snapToGrid w:val="0"/>
              <w:spacing w:line="360" w:lineRule="auto"/>
              <w:ind w:firstLine="482" w:firstLineChars="200"/>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4.2.1生活垃圾</w:t>
            </w:r>
          </w:p>
          <w:p w14:paraId="77DE8A03">
            <w:pPr>
              <w:adjustRightInd w:val="0"/>
              <w:snapToGrid w:val="0"/>
              <w:spacing w:line="360" w:lineRule="auto"/>
              <w:ind w:firstLine="480" w:firstLineChars="200"/>
              <w:rPr>
                <w:rFonts w:hint="default" w:ascii="Times New Roman" w:hAnsi="Times New Roman" w:cs="Times New Roman"/>
                <w:bCs/>
                <w:color w:val="auto"/>
                <w:sz w:val="24"/>
                <w:highlight w:val="none"/>
              </w:rPr>
            </w:pPr>
            <w:r>
              <w:rPr>
                <w:rFonts w:hint="default" w:ascii="Times New Roman" w:hAnsi="Times New Roman" w:cs="Times New Roman"/>
                <w:bCs/>
                <w:color w:val="auto"/>
                <w:sz w:val="24"/>
                <w:highlight w:val="none"/>
              </w:rPr>
              <w:t>生活垃圾统一收集，交由环卫部门统一处理。</w:t>
            </w:r>
          </w:p>
          <w:p w14:paraId="6B381212">
            <w:pPr>
              <w:adjustRightInd w:val="0"/>
              <w:snapToGrid w:val="0"/>
              <w:spacing w:line="360" w:lineRule="auto"/>
              <w:ind w:firstLine="482" w:firstLineChars="200"/>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4.2.2一般固体废物</w:t>
            </w:r>
          </w:p>
          <w:p w14:paraId="4178D337">
            <w:pPr>
              <w:adjustRightInd w:val="0"/>
              <w:snapToGrid w:val="0"/>
              <w:spacing w:line="360" w:lineRule="auto"/>
              <w:ind w:firstLine="480" w:firstLineChars="200"/>
              <w:rPr>
                <w:rFonts w:hint="default" w:ascii="Times New Roman" w:hAnsi="Times New Roman" w:cs="Times New Roman"/>
                <w:bCs/>
                <w:color w:val="auto"/>
                <w:sz w:val="24"/>
                <w:highlight w:val="none"/>
              </w:rPr>
            </w:pPr>
            <w:r>
              <w:rPr>
                <w:rFonts w:hint="default" w:ascii="Times New Roman" w:hAnsi="Times New Roman" w:cs="Times New Roman"/>
                <w:bCs/>
                <w:color w:val="auto"/>
                <w:sz w:val="24"/>
                <w:highlight w:val="none"/>
              </w:rPr>
              <w:t>项目一般工业固体废物主要为沉渣、</w:t>
            </w:r>
            <w:r>
              <w:rPr>
                <w:rFonts w:hint="default" w:ascii="Times New Roman" w:hAnsi="Times New Roman" w:cs="Times New Roman"/>
                <w:bCs/>
                <w:color w:val="auto"/>
                <w:sz w:val="24"/>
                <w:highlight w:val="none"/>
                <w:lang w:val="en-US" w:eastAsia="zh-CN"/>
              </w:rPr>
              <w:t>沉淀池沉渣、</w:t>
            </w:r>
            <w:r>
              <w:rPr>
                <w:rFonts w:hint="default" w:ascii="Times New Roman" w:hAnsi="Times New Roman" w:cs="Times New Roman"/>
                <w:bCs/>
                <w:color w:val="auto"/>
                <w:sz w:val="24"/>
                <w:highlight w:val="none"/>
              </w:rPr>
              <w:t>布袋收集的粉尘、废混凝土</w:t>
            </w:r>
            <w:r>
              <w:rPr>
                <w:rFonts w:hint="default" w:ascii="Times New Roman" w:hAnsi="Times New Roman" w:cs="Times New Roman"/>
                <w:bCs/>
                <w:color w:val="auto"/>
                <w:sz w:val="24"/>
                <w:highlight w:val="none"/>
                <w:lang w:val="en-US" w:eastAsia="zh-CN"/>
              </w:rPr>
              <w:t>块等</w:t>
            </w:r>
            <w:r>
              <w:rPr>
                <w:rFonts w:hint="default" w:ascii="Times New Roman" w:hAnsi="Times New Roman" w:cs="Times New Roman"/>
                <w:bCs/>
                <w:color w:val="auto"/>
                <w:sz w:val="24"/>
                <w:highlight w:val="none"/>
              </w:rPr>
              <w:t>，建设单位在厂房内设置专门的一般工业固体废物存放区进行临时存放。对于一般工业废物，遵照</w:t>
            </w:r>
            <w:r>
              <w:rPr>
                <w:rFonts w:hint="default" w:ascii="Times New Roman" w:hAnsi="Times New Roman" w:cs="Times New Roman"/>
                <w:bCs/>
                <w:color w:val="auto"/>
                <w:sz w:val="24"/>
                <w:highlight w:val="none"/>
                <w:lang w:eastAsia="zh-CN"/>
              </w:rPr>
              <w:t>《</w:t>
            </w:r>
            <w:r>
              <w:rPr>
                <w:rFonts w:hint="default" w:ascii="Times New Roman" w:hAnsi="Times New Roman" w:cs="Times New Roman"/>
                <w:bCs/>
                <w:color w:val="auto"/>
                <w:sz w:val="24"/>
                <w:highlight w:val="none"/>
              </w:rPr>
              <w:t>中华人民共和国固体废物污染环境防治法</w:t>
            </w:r>
            <w:r>
              <w:rPr>
                <w:rFonts w:hint="default" w:ascii="Times New Roman" w:hAnsi="Times New Roman" w:cs="Times New Roman"/>
                <w:bCs/>
                <w:color w:val="auto"/>
                <w:sz w:val="24"/>
                <w:highlight w:val="none"/>
                <w:lang w:eastAsia="zh-CN"/>
              </w:rPr>
              <w:t>》（</w:t>
            </w:r>
            <w:r>
              <w:rPr>
                <w:rFonts w:hint="default" w:ascii="Times New Roman" w:hAnsi="Times New Roman" w:cs="Times New Roman"/>
                <w:bCs/>
                <w:color w:val="auto"/>
                <w:sz w:val="24"/>
                <w:highlight w:val="none"/>
              </w:rPr>
              <w:t>2020年</w:t>
            </w:r>
            <w:r>
              <w:rPr>
                <w:rFonts w:hint="default" w:ascii="Times New Roman" w:hAnsi="Times New Roman" w:cs="Times New Roman"/>
                <w:bCs/>
                <w:color w:val="auto"/>
                <w:sz w:val="24"/>
                <w:highlight w:val="none"/>
                <w:lang w:eastAsia="zh-CN"/>
              </w:rPr>
              <w:t>）</w:t>
            </w:r>
            <w:r>
              <w:rPr>
                <w:rFonts w:hint="default" w:ascii="Times New Roman" w:hAnsi="Times New Roman" w:cs="Times New Roman"/>
                <w:bCs/>
                <w:color w:val="auto"/>
                <w:sz w:val="24"/>
                <w:highlight w:val="none"/>
              </w:rPr>
              <w:t>、《广东省固体废物污染环境防治条例</w:t>
            </w:r>
            <w:r>
              <w:rPr>
                <w:rFonts w:hint="default" w:ascii="Times New Roman" w:hAnsi="Times New Roman" w:cs="Times New Roman"/>
                <w:bCs/>
                <w:color w:val="auto"/>
                <w:sz w:val="24"/>
                <w:highlight w:val="none"/>
                <w:lang w:eastAsia="zh-CN"/>
              </w:rPr>
              <w:t>》（</w:t>
            </w:r>
            <w:r>
              <w:rPr>
                <w:rFonts w:hint="default" w:ascii="Times New Roman" w:hAnsi="Times New Roman" w:cs="Times New Roman"/>
                <w:bCs/>
                <w:color w:val="auto"/>
                <w:sz w:val="24"/>
                <w:highlight w:val="none"/>
              </w:rPr>
              <w:t>2022年</w:t>
            </w:r>
            <w:r>
              <w:rPr>
                <w:rFonts w:hint="default" w:ascii="Times New Roman" w:hAnsi="Times New Roman" w:cs="Times New Roman"/>
                <w:bCs/>
                <w:color w:val="auto"/>
                <w:sz w:val="24"/>
                <w:highlight w:val="none"/>
                <w:lang w:val="en-US" w:eastAsia="zh-CN"/>
              </w:rPr>
              <w:t>修订</w:t>
            </w:r>
            <w:r>
              <w:rPr>
                <w:rFonts w:hint="default" w:ascii="Times New Roman" w:hAnsi="Times New Roman" w:cs="Times New Roman"/>
                <w:bCs/>
                <w:color w:val="auto"/>
                <w:sz w:val="24"/>
                <w:highlight w:val="none"/>
                <w:lang w:eastAsia="zh-CN"/>
              </w:rPr>
              <w:t>）</w:t>
            </w:r>
            <w:r>
              <w:rPr>
                <w:rFonts w:hint="default" w:ascii="Times New Roman" w:hAnsi="Times New Roman" w:cs="Times New Roman"/>
                <w:bCs/>
                <w:color w:val="auto"/>
                <w:sz w:val="24"/>
                <w:highlight w:val="none"/>
              </w:rPr>
              <w:t>的相关规定其贮存过程应满足相应防渗漏、防雨淋、防扬尘等环境保护要求。</w:t>
            </w:r>
          </w:p>
          <w:p w14:paraId="66BABADD">
            <w:pPr>
              <w:adjustRightInd w:val="0"/>
              <w:snapToGrid w:val="0"/>
              <w:spacing w:line="360" w:lineRule="auto"/>
              <w:ind w:firstLine="480" w:firstLineChars="200"/>
              <w:rPr>
                <w:rFonts w:hint="default" w:ascii="Times New Roman" w:hAnsi="Times New Roman" w:cs="Times New Roman"/>
                <w:bCs/>
                <w:color w:val="auto"/>
                <w:sz w:val="24"/>
                <w:highlight w:val="none"/>
              </w:rPr>
            </w:pPr>
            <w:r>
              <w:rPr>
                <w:rFonts w:hint="default" w:ascii="Times New Roman" w:hAnsi="Times New Roman" w:cs="Times New Roman"/>
                <w:bCs/>
                <w:color w:val="auto"/>
                <w:sz w:val="24"/>
                <w:highlight w:val="none"/>
              </w:rPr>
              <w:t>1）为防止雨水径流进入贮存场内，避免渗滤液量增加和滑坡，贮存场周边应设置导流渠。</w:t>
            </w:r>
          </w:p>
          <w:p w14:paraId="2BC184C7">
            <w:pPr>
              <w:adjustRightInd w:val="0"/>
              <w:snapToGrid w:val="0"/>
              <w:spacing w:line="360" w:lineRule="auto"/>
              <w:ind w:firstLine="480" w:firstLineChars="200"/>
              <w:rPr>
                <w:rFonts w:hint="default" w:ascii="Times New Roman" w:hAnsi="Times New Roman" w:cs="Times New Roman"/>
                <w:bCs/>
                <w:color w:val="auto"/>
                <w:sz w:val="24"/>
                <w:highlight w:val="none"/>
              </w:rPr>
            </w:pPr>
            <w:r>
              <w:rPr>
                <w:rFonts w:hint="default" w:ascii="Times New Roman" w:hAnsi="Times New Roman" w:cs="Times New Roman"/>
                <w:bCs/>
                <w:color w:val="auto"/>
                <w:sz w:val="24"/>
                <w:highlight w:val="none"/>
              </w:rPr>
              <w:t>2）为加强监督管理，贮存场应按《环境保护图形标志-固体废物贮存（处置）场》（GB15562.2）及修改单（生态环境部公告2023年第5号）设置环境保护图形标志。</w:t>
            </w:r>
          </w:p>
          <w:p w14:paraId="11830593">
            <w:pPr>
              <w:adjustRightInd w:val="0"/>
              <w:snapToGrid w:val="0"/>
              <w:spacing w:line="360" w:lineRule="auto"/>
              <w:ind w:firstLine="480" w:firstLineChars="200"/>
              <w:rPr>
                <w:rFonts w:hint="default" w:ascii="Times New Roman" w:hAnsi="Times New Roman" w:cs="Times New Roman"/>
                <w:bCs/>
                <w:color w:val="auto"/>
                <w:sz w:val="24"/>
                <w:highlight w:val="none"/>
              </w:rPr>
            </w:pPr>
            <w:r>
              <w:rPr>
                <w:rFonts w:hint="default" w:ascii="Times New Roman" w:hAnsi="Times New Roman" w:cs="Times New Roman"/>
                <w:bCs/>
                <w:color w:val="auto"/>
                <w:sz w:val="24"/>
                <w:highlight w:val="none"/>
              </w:rPr>
              <w:t>3）贮存场使用单位，应建立检查维护制度。定期检查维护堤、坝、挡土墙、导流渠等设施，发现有损坏可能或异常，应及时采取必要措施，以保障正常运行。</w:t>
            </w:r>
          </w:p>
          <w:p w14:paraId="35301782">
            <w:pPr>
              <w:adjustRightInd w:val="0"/>
              <w:snapToGrid w:val="0"/>
              <w:spacing w:line="360" w:lineRule="auto"/>
              <w:ind w:firstLine="480" w:firstLineChars="200"/>
              <w:rPr>
                <w:rFonts w:hint="default" w:ascii="Times New Roman" w:hAnsi="Times New Roman" w:cs="Times New Roman"/>
                <w:bCs/>
                <w:color w:val="auto"/>
                <w:sz w:val="24"/>
                <w:highlight w:val="none"/>
              </w:rPr>
            </w:pPr>
            <w:r>
              <w:rPr>
                <w:rFonts w:hint="default" w:ascii="Times New Roman" w:hAnsi="Times New Roman" w:cs="Times New Roman"/>
                <w:bCs/>
                <w:color w:val="auto"/>
                <w:sz w:val="24"/>
                <w:highlight w:val="none"/>
              </w:rPr>
              <w:t>4）贮存场的使用单位，应建立档案制度。应将入场的一般工业固体废物的种类和数量以及下列资料。详细记录在案，长期保存，供随时查阅。</w:t>
            </w:r>
          </w:p>
          <w:p w14:paraId="2E294CFA">
            <w:pPr>
              <w:adjustRightInd w:val="0"/>
              <w:snapToGrid w:val="0"/>
              <w:spacing w:line="360" w:lineRule="auto"/>
              <w:ind w:firstLine="482" w:firstLineChars="200"/>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4.2.3危险废物</w:t>
            </w:r>
          </w:p>
          <w:p w14:paraId="2C7DDE0A">
            <w:pPr>
              <w:adjustRightInd w:val="0"/>
              <w:snapToGrid w:val="0"/>
              <w:spacing w:line="360" w:lineRule="auto"/>
              <w:ind w:firstLine="480" w:firstLineChars="200"/>
              <w:rPr>
                <w:rFonts w:hint="default" w:ascii="Times New Roman" w:hAnsi="Times New Roman" w:cs="Times New Roman"/>
                <w:b/>
                <w:color w:val="auto"/>
                <w:szCs w:val="21"/>
                <w:highlight w:val="none"/>
              </w:rPr>
            </w:pPr>
            <w:r>
              <w:rPr>
                <w:rFonts w:hint="default" w:ascii="Times New Roman" w:hAnsi="Times New Roman" w:cs="Times New Roman"/>
                <w:bCs/>
                <w:color w:val="auto"/>
                <w:sz w:val="24"/>
                <w:highlight w:val="none"/>
              </w:rPr>
              <w:t>项目危险废物主要为废机油、废机油桶、</w:t>
            </w:r>
            <w:r>
              <w:rPr>
                <w:rFonts w:hint="default" w:ascii="Times New Roman" w:hAnsi="Times New Roman" w:cs="Times New Roman"/>
                <w:bCs/>
                <w:color w:val="auto"/>
                <w:sz w:val="24"/>
                <w:highlight w:val="none"/>
                <w:lang w:val="en-US" w:eastAsia="zh-CN"/>
              </w:rPr>
              <w:t>含油手套及废抹布、废包装桶</w:t>
            </w:r>
            <w:r>
              <w:rPr>
                <w:rFonts w:hint="default" w:ascii="Times New Roman" w:hAnsi="Times New Roman" w:cs="Times New Roman"/>
                <w:bCs/>
                <w:color w:val="auto"/>
                <w:sz w:val="24"/>
                <w:highlight w:val="none"/>
              </w:rPr>
              <w:t>，</w:t>
            </w:r>
            <w:r>
              <w:rPr>
                <w:rFonts w:hint="default" w:ascii="Times New Roman" w:hAnsi="Times New Roman" w:cs="Times New Roman"/>
                <w:bCs/>
                <w:color w:val="auto"/>
                <w:sz w:val="24"/>
                <w:highlight w:val="none"/>
                <w:lang w:val="en-US" w:eastAsia="zh-CN"/>
              </w:rPr>
              <w:t>收集后交由有危险废物处理资质的单位处理</w:t>
            </w:r>
            <w:r>
              <w:rPr>
                <w:rFonts w:hint="default" w:ascii="Times New Roman" w:hAnsi="Times New Roman" w:cs="Times New Roman"/>
                <w:bCs/>
                <w:color w:val="auto"/>
                <w:sz w:val="24"/>
                <w:highlight w:val="none"/>
              </w:rPr>
              <w:t>。为保证固体废物暂存场内暂存的危险废物不对环境产生污染，依据《危险废物贮存污染控制标准》（GB18597-</w:t>
            </w:r>
            <w:r>
              <w:rPr>
                <w:rFonts w:hint="default" w:ascii="Times New Roman" w:hAnsi="Times New Roman" w:cs="Times New Roman"/>
                <w:bCs/>
                <w:color w:val="auto"/>
                <w:sz w:val="24"/>
                <w:highlight w:val="none"/>
                <w:lang w:val="en-US" w:eastAsia="zh-CN"/>
              </w:rPr>
              <w:t>2023</w:t>
            </w:r>
            <w:r>
              <w:rPr>
                <w:rFonts w:hint="default" w:ascii="Times New Roman" w:hAnsi="Times New Roman" w:cs="Times New Roman"/>
                <w:bCs/>
                <w:color w:val="auto"/>
                <w:sz w:val="24"/>
                <w:highlight w:val="none"/>
              </w:rPr>
              <w:t>）、《危险废物收集、贮运、运输技术规范》（HJ2025-2012）及相关国家及地方法律法规，项目危险废物的暂存场所设置情况如下表：</w:t>
            </w:r>
          </w:p>
          <w:p w14:paraId="53B554DF">
            <w:pPr>
              <w:adjustRightInd w:val="0"/>
              <w:snapToGrid w:val="0"/>
              <w:ind w:firstLine="422" w:firstLineChars="20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表</w:t>
            </w:r>
            <w:r>
              <w:rPr>
                <w:rFonts w:hint="default" w:ascii="Times New Roman" w:hAnsi="Times New Roman" w:cs="Times New Roman"/>
                <w:b/>
                <w:color w:val="auto"/>
                <w:szCs w:val="21"/>
                <w:highlight w:val="none"/>
                <w:lang w:val="en-US" w:eastAsia="zh-CN"/>
              </w:rPr>
              <w:t xml:space="preserve">4-23 </w:t>
            </w:r>
            <w:r>
              <w:rPr>
                <w:rFonts w:hint="default" w:ascii="Times New Roman" w:hAnsi="Times New Roman" w:cs="Times New Roman"/>
                <w:b/>
                <w:color w:val="auto"/>
                <w:szCs w:val="21"/>
                <w:highlight w:val="none"/>
              </w:rPr>
              <w:t>项目危险废物贮存场所（设施）基本情况表</w:t>
            </w:r>
          </w:p>
          <w:tbl>
            <w:tblPr>
              <w:tblStyle w:val="34"/>
              <w:tblW w:w="9275" w:type="dxa"/>
              <w:tblInd w:w="-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
              <w:gridCol w:w="1910"/>
              <w:gridCol w:w="1770"/>
              <w:gridCol w:w="1200"/>
              <w:gridCol w:w="704"/>
              <w:gridCol w:w="720"/>
              <w:gridCol w:w="641"/>
              <w:gridCol w:w="716"/>
              <w:gridCol w:w="759"/>
            </w:tblGrid>
            <w:tr w14:paraId="0001F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5" w:type="dxa"/>
                  <w:noWrap w:val="0"/>
                  <w:vAlign w:val="center"/>
                </w:tcPr>
                <w:p w14:paraId="2270B6C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lang w:bidi="ar"/>
                    </w:rPr>
                    <w:t>贮存场所名称</w:t>
                  </w:r>
                </w:p>
              </w:tc>
              <w:tc>
                <w:tcPr>
                  <w:tcW w:w="1910" w:type="dxa"/>
                  <w:noWrap w:val="0"/>
                  <w:vAlign w:val="center"/>
                </w:tcPr>
                <w:p w14:paraId="3CF8A90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lang w:bidi="ar"/>
                    </w:rPr>
                    <w:t>危险废物名称</w:t>
                  </w:r>
                </w:p>
              </w:tc>
              <w:tc>
                <w:tcPr>
                  <w:tcW w:w="1770" w:type="dxa"/>
                  <w:noWrap w:val="0"/>
                  <w:vAlign w:val="center"/>
                </w:tcPr>
                <w:p w14:paraId="1A5DEC1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lang w:bidi="ar"/>
                    </w:rPr>
                    <w:t>危险废物类别</w:t>
                  </w:r>
                </w:p>
              </w:tc>
              <w:tc>
                <w:tcPr>
                  <w:tcW w:w="1200" w:type="dxa"/>
                  <w:noWrap w:val="0"/>
                  <w:vAlign w:val="center"/>
                </w:tcPr>
                <w:p w14:paraId="5D84982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lang w:bidi="ar"/>
                    </w:rPr>
                    <w:t>危险废物代码</w:t>
                  </w:r>
                </w:p>
              </w:tc>
              <w:tc>
                <w:tcPr>
                  <w:tcW w:w="704" w:type="dxa"/>
                  <w:noWrap w:val="0"/>
                  <w:vAlign w:val="center"/>
                </w:tcPr>
                <w:p w14:paraId="6FEBB96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lang w:bidi="ar"/>
                    </w:rPr>
                    <w:t>位置</w:t>
                  </w:r>
                </w:p>
              </w:tc>
              <w:tc>
                <w:tcPr>
                  <w:tcW w:w="720" w:type="dxa"/>
                  <w:noWrap w:val="0"/>
                  <w:vAlign w:val="center"/>
                </w:tcPr>
                <w:p w14:paraId="45CAC04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lang w:bidi="ar"/>
                    </w:rPr>
                    <w:t>占地面积</w:t>
                  </w:r>
                </w:p>
              </w:tc>
              <w:tc>
                <w:tcPr>
                  <w:tcW w:w="641" w:type="dxa"/>
                  <w:noWrap w:val="0"/>
                  <w:vAlign w:val="center"/>
                </w:tcPr>
                <w:p w14:paraId="594BE6D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lang w:bidi="ar"/>
                    </w:rPr>
                    <w:t>贮存方式</w:t>
                  </w:r>
                </w:p>
              </w:tc>
              <w:tc>
                <w:tcPr>
                  <w:tcW w:w="716" w:type="dxa"/>
                  <w:noWrap w:val="0"/>
                  <w:vAlign w:val="center"/>
                </w:tcPr>
                <w:p w14:paraId="1C287489">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lang w:bidi="ar"/>
                    </w:rPr>
                    <w:t>贮存能力</w:t>
                  </w:r>
                </w:p>
              </w:tc>
              <w:tc>
                <w:tcPr>
                  <w:tcW w:w="759" w:type="dxa"/>
                  <w:noWrap w:val="0"/>
                  <w:vAlign w:val="center"/>
                </w:tcPr>
                <w:p w14:paraId="35DA4E7F">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lang w:bidi="ar"/>
                    </w:rPr>
                    <w:t>贮存周期</w:t>
                  </w:r>
                </w:p>
              </w:tc>
            </w:tr>
            <w:tr w14:paraId="39FA7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855" w:type="dxa"/>
                  <w:vMerge w:val="restart"/>
                  <w:noWrap w:val="0"/>
                  <w:vAlign w:val="center"/>
                </w:tcPr>
                <w:p w14:paraId="328787B8">
                  <w:pPr>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lang w:bidi="ar"/>
                    </w:rPr>
                    <w:t>危险废物暂存间</w:t>
                  </w:r>
                </w:p>
              </w:tc>
              <w:tc>
                <w:tcPr>
                  <w:tcW w:w="1910" w:type="dxa"/>
                  <w:noWrap w:val="0"/>
                  <w:vAlign w:val="center"/>
                </w:tcPr>
                <w:p w14:paraId="56D3F5CC">
                  <w:pPr>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lang w:bidi="ar"/>
                    </w:rPr>
                    <w:t>含油手套及废抹布</w:t>
                  </w:r>
                </w:p>
              </w:tc>
              <w:tc>
                <w:tcPr>
                  <w:tcW w:w="1770" w:type="dxa"/>
                  <w:noWrap w:val="0"/>
                  <w:vAlign w:val="center"/>
                </w:tcPr>
                <w:p w14:paraId="7DE07D15">
                  <w:pPr>
                    <w:topLinePunct/>
                    <w:snapToGrid w:val="0"/>
                    <w:jc w:val="center"/>
                    <w:rPr>
                      <w:rFonts w:hint="default" w:ascii="Times New Roman" w:hAnsi="Times New Roman" w:cs="Times New Roman"/>
                      <w:bCs/>
                      <w:color w:val="auto"/>
                      <w:szCs w:val="21"/>
                      <w:highlight w:val="none"/>
                    </w:rPr>
                  </w:pPr>
                  <w:r>
                    <w:rPr>
                      <w:rFonts w:hint="default" w:ascii="Times New Roman" w:hAnsi="Times New Roman" w:cs="Times New Roman"/>
                      <w:color w:val="auto"/>
                      <w:szCs w:val="21"/>
                      <w:highlight w:val="none"/>
                      <w:lang w:bidi="ar"/>
                    </w:rPr>
                    <w:t>HW49其他废物</w:t>
                  </w:r>
                </w:p>
              </w:tc>
              <w:tc>
                <w:tcPr>
                  <w:tcW w:w="1200" w:type="dxa"/>
                  <w:noWrap w:val="0"/>
                  <w:vAlign w:val="center"/>
                </w:tcPr>
                <w:p w14:paraId="4F88E5DC">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900-041-49</w:t>
                  </w:r>
                </w:p>
              </w:tc>
              <w:tc>
                <w:tcPr>
                  <w:tcW w:w="704" w:type="dxa"/>
                  <w:vMerge w:val="restart"/>
                  <w:noWrap w:val="0"/>
                  <w:vAlign w:val="center"/>
                </w:tcPr>
                <w:p w14:paraId="1F62FA1F">
                  <w:pPr>
                    <w:jc w:val="center"/>
                    <w:rPr>
                      <w:rFonts w:hint="default" w:ascii="Times New Roman" w:hAnsi="Times New Roman" w:eastAsia="宋体"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生产厂房内西</w:t>
                  </w:r>
                  <w:r>
                    <w:rPr>
                      <w:rFonts w:hint="default" w:ascii="Times New Roman" w:hAnsi="Times New Roman" w:cs="Times New Roman"/>
                      <w:bCs/>
                      <w:color w:val="auto"/>
                      <w:szCs w:val="21"/>
                      <w:highlight w:val="none"/>
                      <w:lang w:val="en-US" w:eastAsia="zh-CN"/>
                    </w:rPr>
                    <w:t>南面</w:t>
                  </w:r>
                </w:p>
              </w:tc>
              <w:tc>
                <w:tcPr>
                  <w:tcW w:w="720" w:type="dxa"/>
                  <w:vMerge w:val="restart"/>
                  <w:noWrap w:val="0"/>
                  <w:vAlign w:val="center"/>
                </w:tcPr>
                <w:p w14:paraId="35A6B866">
                  <w:pPr>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lang w:val="en-US" w:eastAsia="zh-CN" w:bidi="ar"/>
                    </w:rPr>
                    <w:t>20</w:t>
                  </w:r>
                  <w:r>
                    <w:rPr>
                      <w:rFonts w:hint="default" w:ascii="Times New Roman" w:hAnsi="Times New Roman" w:cs="Times New Roman"/>
                      <w:bCs/>
                      <w:color w:val="auto"/>
                      <w:szCs w:val="21"/>
                      <w:highlight w:val="none"/>
                      <w:lang w:bidi="ar"/>
                    </w:rPr>
                    <w:t>平方米</w:t>
                  </w:r>
                </w:p>
              </w:tc>
              <w:tc>
                <w:tcPr>
                  <w:tcW w:w="641" w:type="dxa"/>
                  <w:noWrap w:val="0"/>
                  <w:vAlign w:val="center"/>
                </w:tcPr>
                <w:p w14:paraId="59B2EE41">
                  <w:pPr>
                    <w:jc w:val="center"/>
                    <w:rPr>
                      <w:rFonts w:hint="default" w:ascii="Times New Roman" w:hAnsi="Times New Roman" w:cs="Times New Roman"/>
                      <w:bCs/>
                      <w:color w:val="auto"/>
                      <w:szCs w:val="21"/>
                      <w:highlight w:val="none"/>
                    </w:rPr>
                  </w:pPr>
                  <w:r>
                    <w:rPr>
                      <w:rFonts w:hint="default" w:ascii="Times New Roman" w:hAnsi="Times New Roman" w:cs="Times New Roman"/>
                      <w:color w:val="auto"/>
                      <w:highlight w:val="none"/>
                      <w:lang w:eastAsia="zh-CN"/>
                    </w:rPr>
                    <w:t>袋装</w:t>
                  </w:r>
                </w:p>
              </w:tc>
              <w:tc>
                <w:tcPr>
                  <w:tcW w:w="716" w:type="dxa"/>
                  <w:vMerge w:val="restart"/>
                  <w:noWrap w:val="0"/>
                  <w:vAlign w:val="center"/>
                </w:tcPr>
                <w:p w14:paraId="3673DFC1">
                  <w:pPr>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lang w:val="en-US" w:eastAsia="zh-CN" w:bidi="ar"/>
                    </w:rPr>
                    <w:t>20</w:t>
                  </w:r>
                  <w:r>
                    <w:rPr>
                      <w:rFonts w:hint="default" w:ascii="Times New Roman" w:hAnsi="Times New Roman" w:cs="Times New Roman"/>
                      <w:bCs/>
                      <w:color w:val="auto"/>
                      <w:szCs w:val="21"/>
                      <w:highlight w:val="none"/>
                      <w:lang w:bidi="ar"/>
                    </w:rPr>
                    <w:t>t</w:t>
                  </w:r>
                </w:p>
              </w:tc>
              <w:tc>
                <w:tcPr>
                  <w:tcW w:w="759" w:type="dxa"/>
                  <w:vMerge w:val="restart"/>
                  <w:noWrap w:val="0"/>
                  <w:vAlign w:val="center"/>
                </w:tcPr>
                <w:p w14:paraId="7384A01E">
                  <w:pPr>
                    <w:jc w:val="center"/>
                    <w:rPr>
                      <w:rFonts w:hint="default" w:ascii="Times New Roman" w:hAnsi="Times New Roman" w:eastAsia="宋体" w:cs="Times New Roman"/>
                      <w:bCs/>
                      <w:color w:val="auto"/>
                      <w:szCs w:val="21"/>
                      <w:highlight w:val="none"/>
                      <w:lang w:eastAsia="zh-CN"/>
                    </w:rPr>
                  </w:pPr>
                  <w:r>
                    <w:rPr>
                      <w:rFonts w:hint="default" w:ascii="Times New Roman" w:hAnsi="Times New Roman" w:cs="Times New Roman"/>
                      <w:bCs/>
                      <w:color w:val="auto"/>
                      <w:szCs w:val="21"/>
                      <w:highlight w:val="none"/>
                      <w:lang w:val="en-US" w:eastAsia="zh-CN" w:bidi="ar"/>
                    </w:rPr>
                    <w:t>三个月</w:t>
                  </w:r>
                </w:p>
              </w:tc>
            </w:tr>
            <w:tr w14:paraId="5EB9B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855" w:type="dxa"/>
                  <w:vMerge w:val="continue"/>
                  <w:noWrap w:val="0"/>
                  <w:vAlign w:val="center"/>
                </w:tcPr>
                <w:p w14:paraId="0045A009">
                  <w:pPr>
                    <w:rPr>
                      <w:rFonts w:hint="default" w:ascii="Times New Roman" w:hAnsi="Times New Roman" w:cs="Times New Roman"/>
                      <w:color w:val="auto"/>
                      <w:szCs w:val="21"/>
                      <w:highlight w:val="none"/>
                    </w:rPr>
                  </w:pPr>
                </w:p>
              </w:tc>
              <w:tc>
                <w:tcPr>
                  <w:tcW w:w="1910" w:type="dxa"/>
                  <w:noWrap w:val="0"/>
                  <w:vAlign w:val="center"/>
                </w:tcPr>
                <w:p w14:paraId="3DAC07CB">
                  <w:pPr>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lang w:bidi="ar"/>
                    </w:rPr>
                    <w:t>废机油</w:t>
                  </w:r>
                </w:p>
              </w:tc>
              <w:tc>
                <w:tcPr>
                  <w:tcW w:w="1770" w:type="dxa"/>
                  <w:noWrap w:val="0"/>
                  <w:vAlign w:val="center"/>
                </w:tcPr>
                <w:p w14:paraId="29F2ACE3">
                  <w:pPr>
                    <w:topLinePunct/>
                    <w:snapToGrid w:val="0"/>
                    <w:jc w:val="center"/>
                    <w:rPr>
                      <w:rFonts w:hint="default" w:ascii="Times New Roman" w:hAnsi="Times New Roman" w:cs="Times New Roman"/>
                      <w:bCs/>
                      <w:color w:val="auto"/>
                      <w:szCs w:val="21"/>
                      <w:highlight w:val="none"/>
                    </w:rPr>
                  </w:pPr>
                  <w:r>
                    <w:rPr>
                      <w:rFonts w:hint="default" w:ascii="Times New Roman" w:hAnsi="Times New Roman" w:cs="Times New Roman"/>
                      <w:color w:val="auto"/>
                      <w:szCs w:val="21"/>
                      <w:highlight w:val="none"/>
                      <w:lang w:bidi="ar"/>
                    </w:rPr>
                    <w:t>HW08废矿物油与含矿物油废物</w:t>
                  </w:r>
                </w:p>
              </w:tc>
              <w:tc>
                <w:tcPr>
                  <w:tcW w:w="1200" w:type="dxa"/>
                  <w:noWrap w:val="0"/>
                  <w:vAlign w:val="center"/>
                </w:tcPr>
                <w:p w14:paraId="1BF8F731">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900-</w:t>
                  </w:r>
                  <w:r>
                    <w:rPr>
                      <w:rFonts w:hint="default" w:ascii="Times New Roman" w:hAnsi="Times New Roman" w:cs="Times New Roman"/>
                      <w:color w:val="auto"/>
                      <w:szCs w:val="21"/>
                      <w:highlight w:val="none"/>
                      <w:lang w:val="en-US" w:eastAsia="zh-CN"/>
                    </w:rPr>
                    <w:t>214</w:t>
                  </w:r>
                  <w:r>
                    <w:rPr>
                      <w:rFonts w:hint="default" w:ascii="Times New Roman" w:hAnsi="Times New Roman" w:cs="Times New Roman"/>
                      <w:color w:val="auto"/>
                      <w:szCs w:val="21"/>
                      <w:highlight w:val="none"/>
                    </w:rPr>
                    <w:t>-</w:t>
                  </w:r>
                  <w:r>
                    <w:rPr>
                      <w:rFonts w:hint="default" w:ascii="Times New Roman" w:hAnsi="Times New Roman" w:cs="Times New Roman"/>
                      <w:color w:val="auto"/>
                      <w:szCs w:val="21"/>
                      <w:highlight w:val="none"/>
                      <w:lang w:val="en-US" w:eastAsia="zh-CN"/>
                    </w:rPr>
                    <w:t>08</w:t>
                  </w:r>
                </w:p>
              </w:tc>
              <w:tc>
                <w:tcPr>
                  <w:tcW w:w="704" w:type="dxa"/>
                  <w:vMerge w:val="continue"/>
                  <w:noWrap w:val="0"/>
                  <w:vAlign w:val="center"/>
                </w:tcPr>
                <w:p w14:paraId="10C95BCD">
                  <w:pPr>
                    <w:rPr>
                      <w:rFonts w:hint="default" w:ascii="Times New Roman" w:hAnsi="Times New Roman" w:cs="Times New Roman"/>
                      <w:color w:val="auto"/>
                      <w:szCs w:val="21"/>
                      <w:highlight w:val="none"/>
                    </w:rPr>
                  </w:pPr>
                </w:p>
              </w:tc>
              <w:tc>
                <w:tcPr>
                  <w:tcW w:w="720" w:type="dxa"/>
                  <w:vMerge w:val="continue"/>
                  <w:noWrap w:val="0"/>
                  <w:vAlign w:val="center"/>
                </w:tcPr>
                <w:p w14:paraId="1B4399B9">
                  <w:pPr>
                    <w:rPr>
                      <w:rFonts w:hint="default" w:ascii="Times New Roman" w:hAnsi="Times New Roman" w:cs="Times New Roman"/>
                      <w:color w:val="auto"/>
                      <w:szCs w:val="21"/>
                      <w:highlight w:val="none"/>
                    </w:rPr>
                  </w:pPr>
                </w:p>
              </w:tc>
              <w:tc>
                <w:tcPr>
                  <w:tcW w:w="641" w:type="dxa"/>
                  <w:noWrap w:val="0"/>
                  <w:vAlign w:val="center"/>
                </w:tcPr>
                <w:p w14:paraId="4BAEE17E">
                  <w:pPr>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lang w:bidi="ar"/>
                    </w:rPr>
                    <w:t>桶装</w:t>
                  </w:r>
                </w:p>
              </w:tc>
              <w:tc>
                <w:tcPr>
                  <w:tcW w:w="716" w:type="dxa"/>
                  <w:vMerge w:val="continue"/>
                  <w:noWrap w:val="0"/>
                  <w:vAlign w:val="center"/>
                </w:tcPr>
                <w:p w14:paraId="617065C5">
                  <w:pPr>
                    <w:rPr>
                      <w:rFonts w:hint="default" w:ascii="Times New Roman" w:hAnsi="Times New Roman" w:cs="Times New Roman"/>
                      <w:color w:val="auto"/>
                      <w:szCs w:val="21"/>
                      <w:highlight w:val="none"/>
                    </w:rPr>
                  </w:pPr>
                </w:p>
              </w:tc>
              <w:tc>
                <w:tcPr>
                  <w:tcW w:w="759" w:type="dxa"/>
                  <w:vMerge w:val="continue"/>
                  <w:noWrap w:val="0"/>
                  <w:vAlign w:val="center"/>
                </w:tcPr>
                <w:p w14:paraId="426540BA">
                  <w:pPr>
                    <w:rPr>
                      <w:rFonts w:hint="default" w:ascii="Times New Roman" w:hAnsi="Times New Roman" w:cs="Times New Roman"/>
                      <w:color w:val="auto"/>
                      <w:szCs w:val="21"/>
                      <w:highlight w:val="none"/>
                    </w:rPr>
                  </w:pPr>
                </w:p>
              </w:tc>
            </w:tr>
            <w:tr w14:paraId="44F76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855" w:type="dxa"/>
                  <w:vMerge w:val="continue"/>
                  <w:noWrap w:val="0"/>
                  <w:vAlign w:val="center"/>
                </w:tcPr>
                <w:p w14:paraId="49061809">
                  <w:pPr>
                    <w:rPr>
                      <w:rFonts w:hint="default" w:ascii="Times New Roman" w:hAnsi="Times New Roman" w:cs="Times New Roman"/>
                      <w:color w:val="auto"/>
                      <w:szCs w:val="21"/>
                      <w:highlight w:val="none"/>
                    </w:rPr>
                  </w:pPr>
                </w:p>
              </w:tc>
              <w:tc>
                <w:tcPr>
                  <w:tcW w:w="1910" w:type="dxa"/>
                  <w:noWrap w:val="0"/>
                  <w:vAlign w:val="center"/>
                </w:tcPr>
                <w:p w14:paraId="7FB73AF0">
                  <w:pPr>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lang w:bidi="ar"/>
                    </w:rPr>
                    <w:t>废机油</w:t>
                  </w:r>
                  <w:r>
                    <w:rPr>
                      <w:rFonts w:hint="default" w:ascii="Times New Roman" w:hAnsi="Times New Roman" w:cs="Times New Roman"/>
                      <w:bCs/>
                      <w:color w:val="auto"/>
                      <w:szCs w:val="21"/>
                      <w:highlight w:val="none"/>
                      <w:lang w:eastAsia="zh-CN" w:bidi="ar"/>
                    </w:rPr>
                    <w:t xml:space="preserve">桶 </w:t>
                  </w:r>
                </w:p>
              </w:tc>
              <w:tc>
                <w:tcPr>
                  <w:tcW w:w="1770" w:type="dxa"/>
                  <w:noWrap w:val="0"/>
                  <w:vAlign w:val="center"/>
                </w:tcPr>
                <w:p w14:paraId="25DA5081">
                  <w:pPr>
                    <w:topLinePunct/>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bidi="ar"/>
                    </w:rPr>
                    <w:t>HW08废矿物油与含矿物油废物</w:t>
                  </w:r>
                </w:p>
              </w:tc>
              <w:tc>
                <w:tcPr>
                  <w:tcW w:w="1200" w:type="dxa"/>
                  <w:noWrap w:val="0"/>
                  <w:vAlign w:val="center"/>
                </w:tcPr>
                <w:p w14:paraId="6BEED011">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900-</w:t>
                  </w:r>
                  <w:r>
                    <w:rPr>
                      <w:rFonts w:hint="default" w:ascii="Times New Roman" w:hAnsi="Times New Roman" w:cs="Times New Roman"/>
                      <w:color w:val="auto"/>
                      <w:szCs w:val="21"/>
                      <w:highlight w:val="none"/>
                      <w:lang w:val="en-US" w:eastAsia="zh-CN"/>
                    </w:rPr>
                    <w:t>249</w:t>
                  </w:r>
                  <w:r>
                    <w:rPr>
                      <w:rFonts w:hint="default" w:ascii="Times New Roman" w:hAnsi="Times New Roman" w:cs="Times New Roman"/>
                      <w:color w:val="auto"/>
                      <w:szCs w:val="21"/>
                      <w:highlight w:val="none"/>
                    </w:rPr>
                    <w:t>-</w:t>
                  </w:r>
                  <w:r>
                    <w:rPr>
                      <w:rFonts w:hint="default" w:ascii="Times New Roman" w:hAnsi="Times New Roman" w:cs="Times New Roman"/>
                      <w:color w:val="auto"/>
                      <w:szCs w:val="21"/>
                      <w:highlight w:val="none"/>
                      <w:lang w:val="en-US" w:eastAsia="zh-CN"/>
                    </w:rPr>
                    <w:t>08</w:t>
                  </w:r>
                </w:p>
              </w:tc>
              <w:tc>
                <w:tcPr>
                  <w:tcW w:w="704" w:type="dxa"/>
                  <w:vMerge w:val="continue"/>
                  <w:noWrap w:val="0"/>
                  <w:vAlign w:val="center"/>
                </w:tcPr>
                <w:p w14:paraId="0B0AC031">
                  <w:pPr>
                    <w:rPr>
                      <w:rFonts w:hint="default" w:ascii="Times New Roman" w:hAnsi="Times New Roman" w:cs="Times New Roman"/>
                      <w:color w:val="auto"/>
                      <w:szCs w:val="21"/>
                      <w:highlight w:val="none"/>
                    </w:rPr>
                  </w:pPr>
                </w:p>
              </w:tc>
              <w:tc>
                <w:tcPr>
                  <w:tcW w:w="720" w:type="dxa"/>
                  <w:vMerge w:val="continue"/>
                  <w:noWrap w:val="0"/>
                  <w:vAlign w:val="center"/>
                </w:tcPr>
                <w:p w14:paraId="5B09F8E6">
                  <w:pPr>
                    <w:rPr>
                      <w:rFonts w:hint="default" w:ascii="Times New Roman" w:hAnsi="Times New Roman" w:cs="Times New Roman"/>
                      <w:color w:val="auto"/>
                      <w:szCs w:val="21"/>
                      <w:highlight w:val="none"/>
                    </w:rPr>
                  </w:pPr>
                </w:p>
              </w:tc>
              <w:tc>
                <w:tcPr>
                  <w:tcW w:w="641" w:type="dxa"/>
                  <w:noWrap w:val="0"/>
                  <w:vAlign w:val="center"/>
                </w:tcPr>
                <w:p w14:paraId="413CC870">
                  <w:pPr>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lang w:bidi="ar"/>
                    </w:rPr>
                    <w:t>桶装</w:t>
                  </w:r>
                </w:p>
              </w:tc>
              <w:tc>
                <w:tcPr>
                  <w:tcW w:w="716" w:type="dxa"/>
                  <w:vMerge w:val="continue"/>
                  <w:noWrap w:val="0"/>
                  <w:vAlign w:val="center"/>
                </w:tcPr>
                <w:p w14:paraId="74DFEE24">
                  <w:pPr>
                    <w:rPr>
                      <w:rFonts w:hint="default" w:ascii="Times New Roman" w:hAnsi="Times New Roman" w:cs="Times New Roman"/>
                      <w:color w:val="auto"/>
                      <w:szCs w:val="21"/>
                      <w:highlight w:val="none"/>
                    </w:rPr>
                  </w:pPr>
                </w:p>
              </w:tc>
              <w:tc>
                <w:tcPr>
                  <w:tcW w:w="759" w:type="dxa"/>
                  <w:vMerge w:val="continue"/>
                  <w:noWrap w:val="0"/>
                  <w:vAlign w:val="center"/>
                </w:tcPr>
                <w:p w14:paraId="432A5392">
                  <w:pPr>
                    <w:rPr>
                      <w:rFonts w:hint="default" w:ascii="Times New Roman" w:hAnsi="Times New Roman" w:cs="Times New Roman"/>
                      <w:color w:val="auto"/>
                      <w:szCs w:val="21"/>
                      <w:highlight w:val="none"/>
                    </w:rPr>
                  </w:pPr>
                </w:p>
              </w:tc>
            </w:tr>
          </w:tbl>
          <w:p w14:paraId="19597835">
            <w:pPr>
              <w:adjustRightInd w:val="0"/>
              <w:snapToGrid w:val="0"/>
              <w:spacing w:line="360" w:lineRule="auto"/>
              <w:ind w:firstLine="480" w:firstLineChars="200"/>
              <w:rPr>
                <w:rFonts w:hint="default" w:ascii="Times New Roman" w:hAnsi="Times New Roman" w:cs="Times New Roman"/>
                <w:bCs/>
                <w:color w:val="auto"/>
                <w:sz w:val="24"/>
                <w:highlight w:val="none"/>
              </w:rPr>
            </w:pPr>
            <w:r>
              <w:rPr>
                <w:rFonts w:hint="default" w:ascii="Times New Roman" w:hAnsi="Times New Roman" w:cs="Times New Roman"/>
                <w:bCs/>
                <w:color w:val="auto"/>
                <w:sz w:val="24"/>
                <w:highlight w:val="none"/>
                <w:lang w:eastAsia="zh-CN"/>
              </w:rPr>
              <w:t>危险废物暂存间</w:t>
            </w:r>
            <w:r>
              <w:rPr>
                <w:rFonts w:hint="default" w:ascii="Times New Roman" w:hAnsi="Times New Roman" w:cs="Times New Roman"/>
                <w:bCs/>
                <w:color w:val="auto"/>
                <w:sz w:val="24"/>
                <w:highlight w:val="none"/>
              </w:rPr>
              <w:t>应达到以下要求：</w:t>
            </w:r>
          </w:p>
          <w:p w14:paraId="321EB77E">
            <w:pPr>
              <w:adjustRightInd w:val="0"/>
              <w:snapToGrid w:val="0"/>
              <w:spacing w:line="360" w:lineRule="auto"/>
              <w:ind w:firstLine="480" w:firstLineChars="200"/>
              <w:rPr>
                <w:rFonts w:hint="default" w:ascii="Times New Roman" w:hAnsi="Times New Roman" w:cs="Times New Roman"/>
                <w:bCs/>
                <w:color w:val="auto"/>
                <w:sz w:val="24"/>
                <w:highlight w:val="none"/>
              </w:rPr>
            </w:pPr>
            <w:r>
              <w:rPr>
                <w:rFonts w:hint="default" w:ascii="Times New Roman" w:hAnsi="Times New Roman" w:cs="Times New Roman"/>
                <w:bCs/>
                <w:color w:val="auto"/>
                <w:sz w:val="24"/>
                <w:highlight w:val="none"/>
              </w:rPr>
              <w:t>1）采取室内贮存方式，设置环境保护图形标志和警示标志。房屋上设坡屋顶防雨。为防止暴雨径流进入室内，固体废物</w:t>
            </w:r>
            <w:r>
              <w:rPr>
                <w:rFonts w:hint="default" w:ascii="Times New Roman" w:hAnsi="Times New Roman" w:cs="Times New Roman"/>
                <w:bCs/>
                <w:color w:val="auto"/>
                <w:sz w:val="24"/>
                <w:highlight w:val="none"/>
                <w:lang w:eastAsia="zh-CN"/>
              </w:rPr>
              <w:t>贮存</w:t>
            </w:r>
            <w:r>
              <w:rPr>
                <w:rFonts w:hint="default" w:ascii="Times New Roman" w:hAnsi="Times New Roman" w:cs="Times New Roman"/>
                <w:bCs/>
                <w:color w:val="auto"/>
                <w:sz w:val="24"/>
                <w:highlight w:val="none"/>
              </w:rPr>
              <w:t>场周边设置导流渠，室内地坪高出室外地坪。</w:t>
            </w:r>
          </w:p>
          <w:p w14:paraId="67B52E29">
            <w:pPr>
              <w:adjustRightInd w:val="0"/>
              <w:snapToGrid w:val="0"/>
              <w:spacing w:line="360" w:lineRule="auto"/>
              <w:ind w:firstLine="480" w:firstLineChars="200"/>
              <w:rPr>
                <w:rFonts w:hint="default" w:ascii="Times New Roman" w:hAnsi="Times New Roman" w:cs="Times New Roman"/>
                <w:bCs/>
                <w:color w:val="auto"/>
                <w:sz w:val="24"/>
                <w:highlight w:val="none"/>
              </w:rPr>
            </w:pPr>
            <w:r>
              <w:rPr>
                <w:rFonts w:hint="default" w:ascii="Times New Roman" w:hAnsi="Times New Roman" w:cs="Times New Roman"/>
                <w:bCs/>
                <w:color w:val="auto"/>
                <w:sz w:val="24"/>
                <w:highlight w:val="none"/>
              </w:rPr>
              <w:t>2）固体废物袋装收集后，按类别放入相应的容器内，禁止一般废物与危险废物混放，不相容的危险废物分开存放并设有隔离间隔断。</w:t>
            </w:r>
          </w:p>
          <w:p w14:paraId="1A31B289">
            <w:pPr>
              <w:adjustRightInd w:val="0"/>
              <w:snapToGrid w:val="0"/>
              <w:spacing w:line="360" w:lineRule="auto"/>
              <w:ind w:firstLine="480" w:firstLineChars="200"/>
              <w:rPr>
                <w:rFonts w:hint="default" w:ascii="Times New Roman" w:hAnsi="Times New Roman" w:cs="Times New Roman"/>
                <w:bCs/>
                <w:color w:val="auto"/>
                <w:sz w:val="24"/>
                <w:highlight w:val="none"/>
              </w:rPr>
            </w:pPr>
            <w:r>
              <w:rPr>
                <w:rFonts w:hint="default" w:ascii="Times New Roman" w:hAnsi="Times New Roman" w:cs="Times New Roman"/>
                <w:bCs/>
                <w:color w:val="auto"/>
                <w:sz w:val="24"/>
                <w:highlight w:val="none"/>
              </w:rPr>
              <w:t>3）收集固体废物的容器放置在隔架上，其底部与地面相距一定距离，以保持地面干燥，盛装在容器内的同类危险废物可以堆叠存放，每个堆间应留有搬运通道。</w:t>
            </w:r>
          </w:p>
          <w:p w14:paraId="77FD18AD">
            <w:pPr>
              <w:adjustRightInd w:val="0"/>
              <w:snapToGrid w:val="0"/>
              <w:spacing w:line="360" w:lineRule="auto"/>
              <w:ind w:firstLine="480" w:firstLineChars="200"/>
              <w:rPr>
                <w:rFonts w:hint="default" w:ascii="Times New Roman" w:hAnsi="Times New Roman" w:cs="Times New Roman"/>
                <w:bCs/>
                <w:color w:val="auto"/>
                <w:sz w:val="24"/>
                <w:highlight w:val="none"/>
              </w:rPr>
            </w:pPr>
            <w:r>
              <w:rPr>
                <w:rFonts w:hint="default" w:ascii="Times New Roman" w:hAnsi="Times New Roman" w:cs="Times New Roman"/>
                <w:bCs/>
                <w:color w:val="auto"/>
                <w:sz w:val="24"/>
                <w:highlight w:val="none"/>
              </w:rPr>
              <w:t>4）固体废物置场室内地面做耐腐蚀硬化处理，且表面无裂隙。</w:t>
            </w:r>
          </w:p>
          <w:p w14:paraId="3E65ED6C">
            <w:pPr>
              <w:adjustRightInd w:val="0"/>
              <w:snapToGrid w:val="0"/>
              <w:spacing w:line="360" w:lineRule="auto"/>
              <w:ind w:firstLine="480" w:firstLineChars="200"/>
              <w:rPr>
                <w:rFonts w:hint="default" w:ascii="Times New Roman" w:hAnsi="Times New Roman" w:cs="Times New Roman"/>
                <w:bCs/>
                <w:color w:val="auto"/>
                <w:sz w:val="24"/>
                <w:highlight w:val="none"/>
              </w:rPr>
            </w:pPr>
            <w:r>
              <w:rPr>
                <w:rFonts w:hint="default" w:ascii="Times New Roman" w:hAnsi="Times New Roman" w:cs="Times New Roman"/>
                <w:bCs/>
                <w:color w:val="auto"/>
                <w:sz w:val="24"/>
                <w:highlight w:val="none"/>
              </w:rPr>
              <w:t>5）固体废物</w:t>
            </w:r>
            <w:r>
              <w:rPr>
                <w:rFonts w:hint="default" w:ascii="Times New Roman" w:hAnsi="Times New Roman" w:cs="Times New Roman"/>
                <w:bCs/>
                <w:color w:val="auto"/>
                <w:sz w:val="24"/>
                <w:highlight w:val="none"/>
                <w:lang w:eastAsia="zh-CN"/>
              </w:rPr>
              <w:t>处置</w:t>
            </w:r>
            <w:r>
              <w:rPr>
                <w:rFonts w:hint="default" w:ascii="Times New Roman" w:hAnsi="Times New Roman" w:cs="Times New Roman"/>
                <w:bCs/>
                <w:color w:val="auto"/>
                <w:sz w:val="24"/>
                <w:highlight w:val="none"/>
              </w:rPr>
              <w:t>场内暂存的固体废物定期运至有关部门处置。</w:t>
            </w:r>
          </w:p>
          <w:p w14:paraId="3506A266">
            <w:pPr>
              <w:adjustRightInd w:val="0"/>
              <w:snapToGrid w:val="0"/>
              <w:spacing w:line="360" w:lineRule="auto"/>
              <w:ind w:firstLine="480" w:firstLineChars="200"/>
              <w:rPr>
                <w:rFonts w:hint="default" w:ascii="Times New Roman" w:hAnsi="Times New Roman" w:cs="Times New Roman"/>
                <w:bCs/>
                <w:color w:val="auto"/>
                <w:sz w:val="24"/>
                <w:highlight w:val="none"/>
              </w:rPr>
            </w:pPr>
            <w:r>
              <w:rPr>
                <w:rFonts w:hint="default" w:ascii="Times New Roman" w:hAnsi="Times New Roman" w:cs="Times New Roman"/>
                <w:bCs/>
                <w:color w:val="auto"/>
                <w:sz w:val="24"/>
                <w:highlight w:val="none"/>
              </w:rPr>
              <w:t>6）室内做积水沟收集渗漏液，积水沟设排积水泵坑。</w:t>
            </w:r>
          </w:p>
          <w:p w14:paraId="314FAA75">
            <w:pPr>
              <w:adjustRightInd w:val="0"/>
              <w:snapToGrid w:val="0"/>
              <w:spacing w:line="360" w:lineRule="auto"/>
              <w:ind w:firstLine="480" w:firstLineChars="200"/>
              <w:rPr>
                <w:rFonts w:hint="default" w:ascii="Times New Roman" w:hAnsi="Times New Roman" w:cs="Times New Roman"/>
                <w:bCs/>
                <w:color w:val="auto"/>
                <w:sz w:val="24"/>
                <w:highlight w:val="none"/>
              </w:rPr>
            </w:pPr>
            <w:r>
              <w:rPr>
                <w:rFonts w:hint="default" w:ascii="Times New Roman" w:hAnsi="Times New Roman" w:cs="Times New Roman"/>
                <w:bCs/>
                <w:color w:val="auto"/>
                <w:sz w:val="24"/>
                <w:highlight w:val="none"/>
              </w:rPr>
              <w:t>7）固体废物置场室内地面、裙脚和积水沟做防渗漏处理，所使用的材料要与危险废物相容。</w:t>
            </w:r>
          </w:p>
          <w:p w14:paraId="1964D2FF">
            <w:pPr>
              <w:adjustRightInd w:val="0"/>
              <w:snapToGrid w:val="0"/>
              <w:spacing w:line="360" w:lineRule="auto"/>
              <w:ind w:firstLine="480" w:firstLineChars="200"/>
              <w:rPr>
                <w:rFonts w:hint="default" w:ascii="Times New Roman" w:hAnsi="Times New Roman" w:cs="Times New Roman"/>
                <w:bCs/>
                <w:color w:val="auto"/>
                <w:sz w:val="24"/>
                <w:highlight w:val="none"/>
              </w:rPr>
            </w:pPr>
            <w:r>
              <w:rPr>
                <w:rFonts w:hint="default" w:ascii="Times New Roman" w:hAnsi="Times New Roman" w:cs="Times New Roman"/>
                <w:bCs/>
                <w:color w:val="auto"/>
                <w:sz w:val="24"/>
                <w:highlight w:val="none"/>
              </w:rPr>
              <w:t>8）建立档案制度，对暂存的废物种类、数量、特性、包装容器类别、存放库位、存入日期、运出日期等详细记录在案并长期保存。建立定期巡查、维护制度。</w:t>
            </w:r>
          </w:p>
          <w:p w14:paraId="161B6965">
            <w:pPr>
              <w:keepNext w:val="0"/>
              <w:keepLines w:val="0"/>
              <w:pageBreakBefore w:val="0"/>
              <w:widowControl w:val="0"/>
              <w:kinsoku/>
              <w:wordWrap/>
              <w:overflowPunct/>
              <w:topLinePunct w:val="0"/>
              <w:bidi w:val="0"/>
              <w:adjustRightInd w:val="0"/>
              <w:snapToGrid w:val="0"/>
              <w:spacing w:line="360" w:lineRule="auto"/>
              <w:ind w:firstLine="480" w:firstLineChars="200"/>
              <w:textAlignment w:val="auto"/>
              <w:rPr>
                <w:rFonts w:hint="default" w:ascii="Times New Roman" w:hAnsi="Times New Roman" w:cs="Times New Roman"/>
                <w:bCs/>
                <w:color w:val="auto"/>
                <w:sz w:val="24"/>
                <w:highlight w:val="none"/>
              </w:rPr>
            </w:pPr>
            <w:r>
              <w:rPr>
                <w:rFonts w:hint="default" w:ascii="Times New Roman" w:hAnsi="Times New Roman" w:cs="Times New Roman"/>
                <w:bCs/>
                <w:color w:val="auto"/>
                <w:sz w:val="24"/>
                <w:highlight w:val="none"/>
              </w:rPr>
              <w:t>总之，本项目实施后对固体废物的处置应本着减量化、资源化、无害化的原则，进行妥善处理，预计可以避免对环境造成二次污染，不会对环境造成不利影响。</w:t>
            </w:r>
          </w:p>
          <w:p w14:paraId="2A45E20F">
            <w:pPr>
              <w:keepNext w:val="0"/>
              <w:keepLines w:val="0"/>
              <w:pageBreakBefore w:val="0"/>
              <w:widowControl w:val="0"/>
              <w:kinsoku/>
              <w:wordWrap/>
              <w:overflowPunct/>
              <w:topLinePunct w:val="0"/>
              <w:bidi w:val="0"/>
              <w:adjustRightInd w:val="0"/>
              <w:snapToGrid w:val="0"/>
              <w:spacing w:line="360" w:lineRule="auto"/>
              <w:ind w:firstLine="482" w:firstLineChars="200"/>
              <w:textAlignment w:val="auto"/>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5、地下水、土壤</w:t>
            </w:r>
          </w:p>
          <w:p w14:paraId="00E142D9">
            <w:pPr>
              <w:pStyle w:val="66"/>
              <w:keepNext w:val="0"/>
              <w:keepLines w:val="0"/>
              <w:pageBreakBefore w:val="0"/>
              <w:widowControl w:val="0"/>
              <w:kinsoku/>
              <w:wordWrap/>
              <w:overflowPunct/>
              <w:topLinePunct w:val="0"/>
              <w:bidi w:val="0"/>
              <w:adjustRightInd w:val="0"/>
              <w:snapToGrid w:val="0"/>
              <w:spacing w:line="360" w:lineRule="auto"/>
              <w:ind w:firstLine="480"/>
              <w:textAlignment w:val="auto"/>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lang w:val="en-US" w:eastAsia="zh-CN"/>
              </w:rPr>
              <w:t>5.1</w:t>
            </w:r>
            <w:r>
              <w:rPr>
                <w:rFonts w:hint="default" w:ascii="Times New Roman" w:hAnsi="Times New Roman" w:cs="Times New Roman"/>
                <w:b/>
                <w:bCs/>
                <w:color w:val="auto"/>
                <w:sz w:val="24"/>
                <w:highlight w:val="none"/>
              </w:rPr>
              <w:t>地下水</w:t>
            </w:r>
          </w:p>
          <w:p w14:paraId="221BCC43">
            <w:pPr>
              <w:pStyle w:val="66"/>
              <w:keepNext w:val="0"/>
              <w:keepLines w:val="0"/>
              <w:pageBreakBefore w:val="0"/>
              <w:widowControl w:val="0"/>
              <w:kinsoku/>
              <w:wordWrap/>
              <w:overflowPunct/>
              <w:topLinePunct w:val="0"/>
              <w:bidi w:val="0"/>
              <w:adjustRightInd w:val="0"/>
              <w:snapToGrid w:val="0"/>
              <w:spacing w:line="360" w:lineRule="auto"/>
              <w:ind w:firstLine="48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本项目可能存在的对地下水和土壤的污染源有：</w:t>
            </w:r>
            <w:r>
              <w:rPr>
                <w:rFonts w:hint="default" w:ascii="Times New Roman" w:hAnsi="Times New Roman" w:eastAsia="宋体" w:cs="Times New Roman"/>
                <w:color w:val="auto"/>
                <w:sz w:val="24"/>
                <w:highlight w:val="none"/>
                <w:lang w:val="en-US" w:eastAsia="zh-CN"/>
              </w:rPr>
              <w:t>机油、脱模剂等原料泄漏、生产车间生产过程的跑冒滴漏</w:t>
            </w:r>
            <w:r>
              <w:rPr>
                <w:rFonts w:hint="default" w:ascii="Times New Roman" w:hAnsi="Times New Roman" w:eastAsia="宋体" w:cs="Times New Roman"/>
                <w:color w:val="auto"/>
                <w:sz w:val="24"/>
                <w:highlight w:val="none"/>
              </w:rPr>
              <w:t>、</w:t>
            </w:r>
            <w:r>
              <w:rPr>
                <w:rFonts w:hint="default" w:ascii="Times New Roman" w:hAnsi="Times New Roman" w:eastAsia="宋体" w:cs="Times New Roman"/>
                <w:color w:val="auto"/>
                <w:sz w:val="24"/>
                <w:highlight w:val="none"/>
                <w:lang w:val="en-US" w:eastAsia="zh-CN"/>
              </w:rPr>
              <w:t>危险废物储存间液态物料泄漏等</w:t>
            </w:r>
            <w:r>
              <w:rPr>
                <w:rFonts w:hint="default" w:ascii="Times New Roman" w:hAnsi="Times New Roman" w:eastAsia="宋体" w:cs="Times New Roman"/>
                <w:color w:val="auto"/>
                <w:sz w:val="24"/>
                <w:highlight w:val="none"/>
              </w:rPr>
              <w:t>，污染物类型主要为有机污染物。</w:t>
            </w:r>
          </w:p>
          <w:p w14:paraId="73FB468F">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b/>
                <w:color w:val="auto"/>
                <w:sz w:val="24"/>
                <w:szCs w:val="22"/>
                <w:highlight w:val="none"/>
                <w:shd w:val="clear" w:color="auto" w:fill="auto"/>
                <w:lang w:val="en-US"/>
              </w:rPr>
            </w:pPr>
            <w:r>
              <w:rPr>
                <w:rFonts w:hint="default" w:ascii="Times New Roman" w:hAnsi="Times New Roman" w:eastAsia="宋体" w:cs="Times New Roman"/>
                <w:color w:val="auto"/>
                <w:sz w:val="24"/>
                <w:szCs w:val="24"/>
                <w:highlight w:val="none"/>
                <w:shd w:val="clear" w:color="auto" w:fill="auto"/>
              </w:rPr>
              <w:t>根据《环境影响评价技术导则地下水环境》中表7“地下水污染防渗分区参照表”，将厂区划分为重点防渗区、一般防渗区和简单防渗区，针对不同的区域提出相应的防渗要求。重点防渗区</w:t>
            </w:r>
            <w:r>
              <w:rPr>
                <w:rFonts w:hint="default" w:ascii="Times New Roman" w:hAnsi="Times New Roman" w:eastAsia="宋体" w:cs="Times New Roman"/>
                <w:color w:val="auto"/>
                <w:sz w:val="24"/>
                <w:szCs w:val="24"/>
                <w:highlight w:val="none"/>
                <w:shd w:val="clear" w:color="auto" w:fill="auto"/>
                <w:lang w:eastAsia="zh-CN"/>
              </w:rPr>
              <w:t>：原料仓库、危险废物暂存间；</w:t>
            </w:r>
            <w:r>
              <w:rPr>
                <w:rFonts w:hint="default" w:ascii="Times New Roman" w:hAnsi="Times New Roman" w:eastAsia="宋体" w:cs="Times New Roman"/>
                <w:color w:val="auto"/>
                <w:sz w:val="24"/>
                <w:szCs w:val="24"/>
                <w:highlight w:val="none"/>
                <w:shd w:val="clear" w:color="auto" w:fill="auto"/>
              </w:rPr>
              <w:t>一般防渗区</w:t>
            </w:r>
            <w:r>
              <w:rPr>
                <w:rFonts w:hint="default" w:ascii="Times New Roman" w:hAnsi="Times New Roman" w:eastAsia="宋体" w:cs="Times New Roman"/>
                <w:color w:val="auto"/>
                <w:sz w:val="24"/>
                <w:szCs w:val="24"/>
                <w:highlight w:val="none"/>
                <w:shd w:val="clear" w:color="auto" w:fill="auto"/>
                <w:lang w:eastAsia="zh-CN"/>
              </w:rPr>
              <w:t>：一般固废暂存间</w:t>
            </w:r>
            <w:r>
              <w:rPr>
                <w:rFonts w:hint="default" w:ascii="Times New Roman" w:hAnsi="Times New Roman" w:eastAsia="宋体" w:cs="Times New Roman"/>
                <w:color w:val="auto"/>
                <w:sz w:val="24"/>
                <w:szCs w:val="24"/>
                <w:highlight w:val="none"/>
                <w:shd w:val="clear" w:color="auto" w:fill="auto"/>
              </w:rPr>
              <w:t>、</w:t>
            </w:r>
            <w:r>
              <w:rPr>
                <w:rFonts w:hint="eastAsia" w:ascii="Times New Roman" w:hAnsi="Times New Roman" w:eastAsia="宋体" w:cs="Times New Roman"/>
                <w:color w:val="auto"/>
                <w:sz w:val="24"/>
                <w:szCs w:val="24"/>
                <w:highlight w:val="none"/>
                <w:shd w:val="clear" w:color="auto" w:fill="auto"/>
                <w:lang w:val="en-US" w:eastAsia="zh-CN"/>
              </w:rPr>
              <w:t>生产车间、初期雨水收集池、废水处理设施（含</w:t>
            </w:r>
            <w:r>
              <w:rPr>
                <w:rFonts w:hint="eastAsia" w:ascii="Times New Roman" w:hAnsi="Times New Roman" w:eastAsia="宋体" w:cs="Times New Roman"/>
                <w:b w:val="0"/>
                <w:bCs w:val="0"/>
                <w:color w:val="auto"/>
                <w:sz w:val="24"/>
                <w:szCs w:val="24"/>
                <w:highlight w:val="none"/>
                <w:vertAlign w:val="baseline"/>
                <w:lang w:val="en-US" w:eastAsia="zh-CN"/>
              </w:rPr>
              <w:t>调节混凝+</w:t>
            </w:r>
            <w:r>
              <w:rPr>
                <w:rFonts w:hint="default" w:ascii="Times New Roman" w:hAnsi="Times New Roman" w:eastAsia="宋体" w:cs="Times New Roman"/>
                <w:b w:val="0"/>
                <w:bCs w:val="0"/>
                <w:color w:val="auto"/>
                <w:sz w:val="24"/>
                <w:szCs w:val="24"/>
                <w:highlight w:val="none"/>
                <w:vertAlign w:val="baseline"/>
                <w:lang w:val="en-US" w:eastAsia="zh-CN"/>
              </w:rPr>
              <w:t>三级沉淀池</w:t>
            </w:r>
            <w:r>
              <w:rPr>
                <w:rFonts w:hint="eastAsia" w:ascii="Times New Roman" w:hAnsi="Times New Roman" w:eastAsia="宋体" w:cs="Times New Roman"/>
                <w:b w:val="0"/>
                <w:bCs w:val="0"/>
                <w:color w:val="auto"/>
                <w:sz w:val="24"/>
                <w:szCs w:val="24"/>
                <w:highlight w:val="none"/>
                <w:vertAlign w:val="baseline"/>
                <w:lang w:val="en-US" w:eastAsia="zh-CN"/>
              </w:rPr>
              <w:t>+回用池</w:t>
            </w:r>
            <w:r>
              <w:rPr>
                <w:rFonts w:hint="eastAsia" w:ascii="Times New Roman" w:hAnsi="Times New Roman" w:eastAsia="宋体" w:cs="Times New Roman"/>
                <w:color w:val="auto"/>
                <w:sz w:val="24"/>
                <w:szCs w:val="24"/>
                <w:highlight w:val="none"/>
                <w:shd w:val="clear" w:color="auto" w:fill="auto"/>
                <w:lang w:val="en-US" w:eastAsia="zh-CN"/>
              </w:rPr>
              <w:t>）、</w:t>
            </w:r>
            <w:r>
              <w:rPr>
                <w:rFonts w:hint="default" w:ascii="Times New Roman" w:hAnsi="Times New Roman" w:eastAsia="宋体" w:cs="Times New Roman"/>
                <w:color w:val="auto"/>
                <w:sz w:val="24"/>
                <w:szCs w:val="24"/>
                <w:highlight w:val="none"/>
                <w:shd w:val="clear" w:color="auto" w:fill="auto"/>
              </w:rPr>
              <w:t>公辅工程区域</w:t>
            </w:r>
            <w:r>
              <w:rPr>
                <w:rFonts w:hint="default" w:ascii="Times New Roman" w:hAnsi="Times New Roman" w:eastAsia="宋体" w:cs="Times New Roman"/>
                <w:color w:val="auto"/>
                <w:sz w:val="24"/>
                <w:szCs w:val="24"/>
                <w:highlight w:val="none"/>
                <w:shd w:val="clear" w:color="auto" w:fill="auto"/>
                <w:lang w:eastAsia="zh-CN"/>
              </w:rPr>
              <w:t>；</w:t>
            </w:r>
            <w:r>
              <w:rPr>
                <w:rFonts w:hint="default" w:ascii="Times New Roman" w:hAnsi="Times New Roman" w:eastAsia="宋体" w:cs="Times New Roman"/>
                <w:color w:val="auto"/>
                <w:sz w:val="24"/>
                <w:szCs w:val="24"/>
                <w:highlight w:val="none"/>
                <w:shd w:val="clear" w:color="auto" w:fill="auto"/>
              </w:rPr>
              <w:t>简单防渗区</w:t>
            </w:r>
            <w:r>
              <w:rPr>
                <w:rFonts w:hint="default" w:ascii="Times New Roman" w:hAnsi="Times New Roman" w:eastAsia="宋体" w:cs="Times New Roman"/>
                <w:color w:val="auto"/>
                <w:sz w:val="24"/>
                <w:szCs w:val="24"/>
                <w:highlight w:val="none"/>
                <w:shd w:val="clear" w:color="auto" w:fill="auto"/>
                <w:lang w:eastAsia="zh-CN"/>
              </w:rPr>
              <w:t>：</w:t>
            </w:r>
            <w:r>
              <w:rPr>
                <w:rFonts w:hint="default" w:ascii="Times New Roman" w:hAnsi="Times New Roman" w:eastAsia="宋体" w:cs="Times New Roman"/>
                <w:color w:val="auto"/>
                <w:sz w:val="24"/>
                <w:szCs w:val="24"/>
                <w:highlight w:val="none"/>
                <w:shd w:val="clear" w:color="auto" w:fill="auto"/>
              </w:rPr>
              <w:t>办公区域、厂区路面。</w:t>
            </w:r>
          </w:p>
          <w:p w14:paraId="1F1D4C17">
            <w:pPr>
              <w:jc w:val="center"/>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表4-24 地下水污染防渗分区的防渗要求</w:t>
            </w:r>
          </w:p>
          <w:tbl>
            <w:tblPr>
              <w:tblStyle w:val="35"/>
              <w:tblW w:w="93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1059"/>
              <w:gridCol w:w="1200"/>
              <w:gridCol w:w="1091"/>
              <w:gridCol w:w="5245"/>
            </w:tblGrid>
            <w:tr w14:paraId="6E444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64" w:type="dxa"/>
                  <w:gridSpan w:val="2"/>
                  <w:noWrap w:val="0"/>
                  <w:vAlign w:val="center"/>
                </w:tcPr>
                <w:p w14:paraId="17D14B4E">
                  <w:pPr>
                    <w:jc w:val="center"/>
                    <w:rPr>
                      <w:rFonts w:hint="default" w:ascii="Times New Roman" w:hAnsi="Times New Roman" w:eastAsia="宋体" w:cs="Times New Roman"/>
                      <w:b/>
                      <w:bCs/>
                      <w:color w:val="auto"/>
                      <w:highlight w:val="none"/>
                      <w:vertAlign w:val="baseline"/>
                      <w:lang w:val="en-US" w:eastAsia="zh-CN"/>
                    </w:rPr>
                  </w:pPr>
                  <w:r>
                    <w:rPr>
                      <w:rFonts w:hint="default" w:ascii="Times New Roman" w:hAnsi="Times New Roman" w:eastAsia="宋体" w:cs="Times New Roman"/>
                      <w:b/>
                      <w:bCs/>
                      <w:color w:val="auto"/>
                      <w:highlight w:val="none"/>
                      <w:vertAlign w:val="baseline"/>
                      <w:lang w:val="en-US" w:eastAsia="zh-CN"/>
                    </w:rPr>
                    <w:t>区域</w:t>
                  </w:r>
                </w:p>
              </w:tc>
              <w:tc>
                <w:tcPr>
                  <w:tcW w:w="1200" w:type="dxa"/>
                  <w:noWrap w:val="0"/>
                  <w:vAlign w:val="center"/>
                </w:tcPr>
                <w:p w14:paraId="5ACF5D8F">
                  <w:pPr>
                    <w:jc w:val="center"/>
                    <w:rPr>
                      <w:rFonts w:hint="default" w:ascii="Times New Roman" w:hAnsi="Times New Roman" w:eastAsia="宋体" w:cs="Times New Roman"/>
                      <w:b/>
                      <w:bCs/>
                      <w:color w:val="auto"/>
                      <w:highlight w:val="none"/>
                      <w:vertAlign w:val="baseline"/>
                      <w:lang w:val="en-US" w:eastAsia="zh-CN"/>
                    </w:rPr>
                  </w:pPr>
                  <w:r>
                    <w:rPr>
                      <w:rFonts w:hint="default" w:ascii="Times New Roman" w:hAnsi="Times New Roman" w:eastAsia="宋体" w:cs="Times New Roman"/>
                      <w:b/>
                      <w:bCs/>
                      <w:color w:val="auto"/>
                      <w:highlight w:val="none"/>
                      <w:vertAlign w:val="baseline"/>
                      <w:lang w:val="en-US" w:eastAsia="zh-CN"/>
                    </w:rPr>
                    <w:t>潜在污染物</w:t>
                  </w:r>
                </w:p>
              </w:tc>
              <w:tc>
                <w:tcPr>
                  <w:tcW w:w="1091" w:type="dxa"/>
                  <w:noWrap w:val="0"/>
                  <w:vAlign w:val="center"/>
                </w:tcPr>
                <w:p w14:paraId="532653AF">
                  <w:pPr>
                    <w:jc w:val="center"/>
                    <w:rPr>
                      <w:rFonts w:hint="default" w:ascii="Times New Roman" w:hAnsi="Times New Roman" w:eastAsia="宋体" w:cs="Times New Roman"/>
                      <w:b/>
                      <w:bCs/>
                      <w:color w:val="auto"/>
                      <w:highlight w:val="none"/>
                      <w:vertAlign w:val="baseline"/>
                      <w:lang w:val="en-US" w:eastAsia="zh-CN"/>
                    </w:rPr>
                  </w:pPr>
                  <w:r>
                    <w:rPr>
                      <w:rFonts w:hint="default" w:ascii="Times New Roman" w:hAnsi="Times New Roman" w:eastAsia="宋体" w:cs="Times New Roman"/>
                      <w:b/>
                      <w:bCs/>
                      <w:color w:val="auto"/>
                      <w:highlight w:val="none"/>
                      <w:vertAlign w:val="baseline"/>
                      <w:lang w:val="en-US" w:eastAsia="zh-CN"/>
                    </w:rPr>
                    <w:t>设施</w:t>
                  </w:r>
                </w:p>
              </w:tc>
              <w:tc>
                <w:tcPr>
                  <w:tcW w:w="5245" w:type="dxa"/>
                  <w:noWrap w:val="0"/>
                  <w:vAlign w:val="center"/>
                </w:tcPr>
                <w:p w14:paraId="142552A6">
                  <w:pPr>
                    <w:jc w:val="center"/>
                    <w:rPr>
                      <w:rFonts w:hint="default" w:ascii="Times New Roman" w:hAnsi="Times New Roman" w:eastAsia="宋体" w:cs="Times New Roman"/>
                      <w:b/>
                      <w:bCs/>
                      <w:color w:val="auto"/>
                      <w:highlight w:val="none"/>
                      <w:vertAlign w:val="baseline"/>
                      <w:lang w:val="en-US" w:eastAsia="zh-CN"/>
                    </w:rPr>
                  </w:pPr>
                  <w:r>
                    <w:rPr>
                      <w:rFonts w:hint="default" w:ascii="Times New Roman" w:hAnsi="Times New Roman" w:eastAsia="宋体" w:cs="Times New Roman"/>
                      <w:b/>
                      <w:bCs/>
                      <w:color w:val="auto"/>
                      <w:highlight w:val="none"/>
                      <w:vertAlign w:val="baseline"/>
                      <w:lang w:val="en-US" w:eastAsia="zh-CN"/>
                    </w:rPr>
                    <w:t>防渗措施</w:t>
                  </w:r>
                </w:p>
              </w:tc>
            </w:tr>
            <w:tr w14:paraId="14702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5" w:type="dxa"/>
                  <w:vMerge w:val="restart"/>
                  <w:noWrap w:val="0"/>
                  <w:vAlign w:val="center"/>
                </w:tcPr>
                <w:p w14:paraId="668ECE1A">
                  <w:pPr>
                    <w:jc w:val="center"/>
                    <w:rPr>
                      <w:rFonts w:hint="default" w:ascii="Times New Roman" w:hAnsi="Times New Roman" w:eastAsia="宋体" w:cs="Times New Roman"/>
                      <w:b w:val="0"/>
                      <w:bCs w:val="0"/>
                      <w:color w:val="auto"/>
                      <w:highlight w:val="none"/>
                      <w:vertAlign w:val="baseline"/>
                      <w:lang w:val="en-US" w:eastAsia="zh-CN"/>
                    </w:rPr>
                  </w:pPr>
                  <w:r>
                    <w:rPr>
                      <w:rFonts w:hint="default" w:ascii="Times New Roman" w:hAnsi="Times New Roman" w:eastAsia="宋体" w:cs="Times New Roman"/>
                      <w:b w:val="0"/>
                      <w:bCs w:val="0"/>
                      <w:color w:val="auto"/>
                      <w:highlight w:val="none"/>
                      <w:vertAlign w:val="baseline"/>
                      <w:lang w:val="en-US" w:eastAsia="zh-CN"/>
                    </w:rPr>
                    <w:t>重点防渗区</w:t>
                  </w:r>
                </w:p>
              </w:tc>
              <w:tc>
                <w:tcPr>
                  <w:tcW w:w="1059" w:type="dxa"/>
                  <w:noWrap w:val="0"/>
                  <w:vAlign w:val="center"/>
                </w:tcPr>
                <w:p w14:paraId="0F6E2B97">
                  <w:pPr>
                    <w:jc w:val="center"/>
                    <w:rPr>
                      <w:rFonts w:hint="default" w:ascii="Times New Roman" w:hAnsi="Times New Roman" w:eastAsia="宋体" w:cs="Times New Roman"/>
                      <w:b w:val="0"/>
                      <w:bCs w:val="0"/>
                      <w:color w:val="auto"/>
                      <w:highlight w:val="none"/>
                      <w:vertAlign w:val="baseline"/>
                      <w:lang w:val="en-US" w:eastAsia="zh-CN"/>
                    </w:rPr>
                  </w:pPr>
                  <w:r>
                    <w:rPr>
                      <w:rFonts w:hint="default" w:ascii="Times New Roman" w:hAnsi="Times New Roman" w:eastAsia="宋体" w:cs="Times New Roman"/>
                      <w:b w:val="0"/>
                      <w:bCs w:val="0"/>
                      <w:color w:val="auto"/>
                      <w:highlight w:val="none"/>
                      <w:vertAlign w:val="baseline"/>
                      <w:lang w:val="en-US" w:eastAsia="zh-CN"/>
                    </w:rPr>
                    <w:t>原料仓</w:t>
                  </w:r>
                </w:p>
              </w:tc>
              <w:tc>
                <w:tcPr>
                  <w:tcW w:w="1200" w:type="dxa"/>
                  <w:noWrap w:val="0"/>
                  <w:vAlign w:val="center"/>
                </w:tcPr>
                <w:p w14:paraId="3375EAEE">
                  <w:pPr>
                    <w:jc w:val="center"/>
                    <w:rPr>
                      <w:rFonts w:hint="default" w:ascii="Times New Roman" w:hAnsi="Times New Roman" w:eastAsia="宋体" w:cs="Times New Roman"/>
                      <w:b w:val="0"/>
                      <w:bCs w:val="0"/>
                      <w:color w:val="auto"/>
                      <w:highlight w:val="none"/>
                      <w:vertAlign w:val="baseline"/>
                      <w:lang w:val="en-US" w:eastAsia="zh-CN"/>
                    </w:rPr>
                  </w:pPr>
                  <w:r>
                    <w:rPr>
                      <w:rFonts w:hint="default" w:ascii="Times New Roman" w:hAnsi="Times New Roman" w:eastAsia="宋体" w:cs="Times New Roman"/>
                      <w:color w:val="auto"/>
                      <w:szCs w:val="21"/>
                      <w:highlight w:val="none"/>
                      <w:lang w:val="en-US" w:eastAsia="zh-CN"/>
                    </w:rPr>
                    <w:t>机油、脱模剂、</w:t>
                  </w:r>
                  <w:r>
                    <w:rPr>
                      <w:rFonts w:hint="default" w:ascii="Times New Roman" w:hAnsi="Times New Roman" w:eastAsia="宋体" w:cs="Times New Roman"/>
                      <w:color w:val="auto"/>
                      <w:highlight w:val="none"/>
                      <w:lang w:val="en-US" w:eastAsia="zh-CN"/>
                    </w:rPr>
                    <w:t>管道天然气</w:t>
                  </w:r>
                  <w:r>
                    <w:rPr>
                      <w:rFonts w:hint="default" w:ascii="Times New Roman" w:hAnsi="Times New Roman" w:eastAsia="宋体" w:cs="Times New Roman"/>
                      <w:color w:val="auto"/>
                      <w:szCs w:val="21"/>
                      <w:highlight w:val="none"/>
                      <w:lang w:eastAsia="zh-CN"/>
                    </w:rPr>
                    <w:t>等</w:t>
                  </w:r>
                  <w:r>
                    <w:rPr>
                      <w:rFonts w:hint="default" w:ascii="Times New Roman" w:hAnsi="Times New Roman" w:eastAsia="宋体" w:cs="Times New Roman"/>
                      <w:color w:val="auto"/>
                      <w:szCs w:val="21"/>
                      <w:highlight w:val="none"/>
                      <w:lang w:val="en-US" w:eastAsia="zh-CN"/>
                    </w:rPr>
                    <w:t>液态原料</w:t>
                  </w:r>
                </w:p>
              </w:tc>
              <w:tc>
                <w:tcPr>
                  <w:tcW w:w="1091" w:type="dxa"/>
                  <w:noWrap w:val="0"/>
                  <w:vAlign w:val="center"/>
                </w:tcPr>
                <w:p w14:paraId="4BCE2063">
                  <w:pPr>
                    <w:jc w:val="center"/>
                    <w:rPr>
                      <w:rFonts w:hint="default" w:ascii="Times New Roman" w:hAnsi="Times New Roman" w:eastAsia="宋体" w:cs="Times New Roman"/>
                      <w:b w:val="0"/>
                      <w:bCs w:val="0"/>
                      <w:color w:val="auto"/>
                      <w:kern w:val="2"/>
                      <w:sz w:val="21"/>
                      <w:szCs w:val="24"/>
                      <w:highlight w:val="none"/>
                      <w:vertAlign w:val="baseline"/>
                      <w:lang w:val="en-US" w:eastAsia="zh-CN" w:bidi="ar-SA"/>
                    </w:rPr>
                  </w:pPr>
                  <w:r>
                    <w:rPr>
                      <w:rFonts w:hint="default" w:ascii="Times New Roman" w:hAnsi="Times New Roman" w:eastAsia="宋体" w:cs="Times New Roman"/>
                      <w:b w:val="0"/>
                      <w:bCs w:val="0"/>
                      <w:color w:val="auto"/>
                      <w:highlight w:val="none"/>
                      <w:vertAlign w:val="baseline"/>
                      <w:lang w:val="en-US" w:eastAsia="zh-CN"/>
                    </w:rPr>
                    <w:t>原料仓</w:t>
                  </w:r>
                </w:p>
              </w:tc>
              <w:tc>
                <w:tcPr>
                  <w:tcW w:w="5245" w:type="dxa"/>
                  <w:noWrap w:val="0"/>
                  <w:vAlign w:val="center"/>
                </w:tcPr>
                <w:p w14:paraId="4BE7A1B8">
                  <w:pPr>
                    <w:keepNext w:val="0"/>
                    <w:keepLines w:val="0"/>
                    <w:widowControl/>
                    <w:suppressLineNumbers w:val="0"/>
                    <w:jc w:val="left"/>
                    <w:rPr>
                      <w:rFonts w:hint="default" w:ascii="Times New Roman" w:hAnsi="Times New Roman" w:eastAsia="宋体" w:cs="Times New Roman"/>
                      <w:b w:val="0"/>
                      <w:bCs w:val="0"/>
                      <w:color w:val="auto"/>
                      <w:highlight w:val="none"/>
                      <w:vertAlign w:val="baseline"/>
                      <w:lang w:val="en-US" w:eastAsia="zh-CN"/>
                    </w:rPr>
                  </w:pPr>
                  <w:r>
                    <w:rPr>
                      <w:rFonts w:hint="default" w:ascii="Times New Roman" w:hAnsi="Times New Roman" w:eastAsia="宋体" w:cs="Times New Roman"/>
                      <w:b w:val="0"/>
                      <w:bCs w:val="0"/>
                      <w:color w:val="auto"/>
                      <w:highlight w:val="none"/>
                      <w:vertAlign w:val="baseline"/>
                      <w:lang w:val="en-US" w:eastAsia="zh-CN"/>
                    </w:rPr>
                    <w:t>铺设钢筋混凝土加防渗剂的防渗地坪，车间地面采用防渗钢筋混凝土结构，内部采用水泥基渗透结晶型防渗材料涂层，防渗性能应等效于6.0m厚渗透系数为1.0×10</w:t>
                  </w:r>
                  <w:r>
                    <w:rPr>
                      <w:rFonts w:hint="default" w:ascii="Times New Roman" w:hAnsi="Times New Roman" w:eastAsia="宋体" w:cs="Times New Roman"/>
                      <w:b w:val="0"/>
                      <w:bCs w:val="0"/>
                      <w:color w:val="auto"/>
                      <w:highlight w:val="none"/>
                      <w:vertAlign w:val="superscript"/>
                      <w:lang w:val="en-US" w:eastAsia="zh-CN"/>
                    </w:rPr>
                    <w:t>-7</w:t>
                  </w:r>
                  <w:r>
                    <w:rPr>
                      <w:rFonts w:hint="default" w:ascii="Times New Roman" w:hAnsi="Times New Roman" w:eastAsia="宋体" w:cs="Times New Roman"/>
                      <w:b w:val="0"/>
                      <w:bCs w:val="0"/>
                      <w:color w:val="auto"/>
                      <w:highlight w:val="none"/>
                      <w:vertAlign w:val="baseline"/>
                      <w:lang w:val="en-US" w:eastAsia="zh-CN"/>
                    </w:rPr>
                    <w:t>cm/s的黏土层的防渗性能。</w:t>
                  </w:r>
                </w:p>
              </w:tc>
            </w:tr>
            <w:tr w14:paraId="357AE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5" w:type="dxa"/>
                  <w:vMerge w:val="continue"/>
                  <w:noWrap w:val="0"/>
                  <w:vAlign w:val="center"/>
                </w:tcPr>
                <w:p w14:paraId="2AE6479E">
                  <w:pPr>
                    <w:jc w:val="center"/>
                    <w:rPr>
                      <w:rFonts w:hint="default" w:ascii="Times New Roman" w:hAnsi="Times New Roman" w:eastAsia="宋体" w:cs="Times New Roman"/>
                      <w:b w:val="0"/>
                      <w:bCs w:val="0"/>
                      <w:color w:val="auto"/>
                      <w:highlight w:val="none"/>
                      <w:vertAlign w:val="baseline"/>
                      <w:lang w:val="en-US" w:eastAsia="zh-CN"/>
                    </w:rPr>
                  </w:pPr>
                </w:p>
              </w:tc>
              <w:tc>
                <w:tcPr>
                  <w:tcW w:w="1059" w:type="dxa"/>
                  <w:noWrap w:val="0"/>
                  <w:vAlign w:val="center"/>
                </w:tcPr>
                <w:p w14:paraId="166423B6">
                  <w:pPr>
                    <w:jc w:val="center"/>
                    <w:rPr>
                      <w:rFonts w:hint="default" w:ascii="Times New Roman" w:hAnsi="Times New Roman" w:eastAsia="宋体" w:cs="Times New Roman"/>
                      <w:b w:val="0"/>
                      <w:bCs w:val="0"/>
                      <w:color w:val="auto"/>
                      <w:highlight w:val="none"/>
                      <w:vertAlign w:val="baseline"/>
                      <w:lang w:val="en-US" w:eastAsia="zh-CN"/>
                    </w:rPr>
                  </w:pPr>
                  <w:r>
                    <w:rPr>
                      <w:rFonts w:hint="default" w:ascii="Times New Roman" w:hAnsi="Times New Roman" w:eastAsia="宋体" w:cs="Times New Roman"/>
                      <w:b w:val="0"/>
                      <w:bCs w:val="0"/>
                      <w:color w:val="auto"/>
                      <w:highlight w:val="none"/>
                      <w:vertAlign w:val="baseline"/>
                      <w:lang w:val="en-US" w:eastAsia="zh-CN"/>
                    </w:rPr>
                    <w:t>危险废物暂存间</w:t>
                  </w:r>
                </w:p>
              </w:tc>
              <w:tc>
                <w:tcPr>
                  <w:tcW w:w="1200" w:type="dxa"/>
                  <w:noWrap w:val="0"/>
                  <w:vAlign w:val="center"/>
                </w:tcPr>
                <w:p w14:paraId="51058E30">
                  <w:pPr>
                    <w:jc w:val="center"/>
                    <w:rPr>
                      <w:rFonts w:hint="default" w:ascii="Times New Roman" w:hAnsi="Times New Roman" w:eastAsia="宋体" w:cs="Times New Roman"/>
                      <w:b w:val="0"/>
                      <w:bCs w:val="0"/>
                      <w:color w:val="auto"/>
                      <w:highlight w:val="none"/>
                      <w:vertAlign w:val="baseline"/>
                      <w:lang w:val="en-US" w:eastAsia="zh-CN"/>
                    </w:rPr>
                  </w:pPr>
                  <w:r>
                    <w:rPr>
                      <w:rFonts w:hint="default" w:ascii="Times New Roman" w:hAnsi="Times New Roman" w:eastAsia="宋体" w:cs="Times New Roman"/>
                      <w:b w:val="0"/>
                      <w:bCs w:val="0"/>
                      <w:color w:val="auto"/>
                      <w:highlight w:val="none"/>
                      <w:vertAlign w:val="baseline"/>
                      <w:lang w:val="en-US" w:eastAsia="zh-CN"/>
                    </w:rPr>
                    <w:t>废机油等危险废物</w:t>
                  </w:r>
                </w:p>
              </w:tc>
              <w:tc>
                <w:tcPr>
                  <w:tcW w:w="1091" w:type="dxa"/>
                  <w:noWrap w:val="0"/>
                  <w:vAlign w:val="center"/>
                </w:tcPr>
                <w:p w14:paraId="1B2D162A">
                  <w:pPr>
                    <w:jc w:val="center"/>
                    <w:rPr>
                      <w:rFonts w:hint="default" w:ascii="Times New Roman" w:hAnsi="Times New Roman" w:eastAsia="宋体" w:cs="Times New Roman"/>
                      <w:b w:val="0"/>
                      <w:bCs w:val="0"/>
                      <w:color w:val="auto"/>
                      <w:highlight w:val="none"/>
                      <w:vertAlign w:val="baseline"/>
                      <w:lang w:val="en-US" w:eastAsia="zh-CN"/>
                    </w:rPr>
                  </w:pPr>
                  <w:r>
                    <w:rPr>
                      <w:rFonts w:hint="default" w:ascii="Times New Roman" w:hAnsi="Times New Roman" w:eastAsia="宋体" w:cs="Times New Roman"/>
                      <w:b w:val="0"/>
                      <w:bCs w:val="0"/>
                      <w:color w:val="auto"/>
                      <w:highlight w:val="none"/>
                      <w:vertAlign w:val="baseline"/>
                      <w:lang w:val="en-US" w:eastAsia="zh-CN"/>
                    </w:rPr>
                    <w:t>危险废物暂存间</w:t>
                  </w:r>
                </w:p>
              </w:tc>
              <w:tc>
                <w:tcPr>
                  <w:tcW w:w="5245" w:type="dxa"/>
                  <w:noWrap w:val="0"/>
                  <w:vAlign w:val="center"/>
                </w:tcPr>
                <w:p w14:paraId="53D68835">
                  <w:pPr>
                    <w:jc w:val="center"/>
                    <w:rPr>
                      <w:rFonts w:hint="default" w:ascii="Times New Roman" w:hAnsi="Times New Roman" w:eastAsia="宋体" w:cs="Times New Roman"/>
                      <w:b w:val="0"/>
                      <w:bCs w:val="0"/>
                      <w:color w:val="auto"/>
                      <w:highlight w:val="none"/>
                      <w:vertAlign w:val="baseline"/>
                      <w:lang w:val="en-US" w:eastAsia="zh-CN"/>
                    </w:rPr>
                  </w:pPr>
                  <w:r>
                    <w:rPr>
                      <w:rFonts w:hint="default" w:ascii="Times New Roman" w:hAnsi="Times New Roman" w:eastAsia="宋体" w:cs="Times New Roman"/>
                      <w:b w:val="0"/>
                      <w:bCs w:val="0"/>
                      <w:color w:val="auto"/>
                      <w:highlight w:val="none"/>
                      <w:vertAlign w:val="baseline"/>
                      <w:lang w:val="en-US" w:eastAsia="zh-CN"/>
                    </w:rPr>
                    <w:t>铺设配筋混凝土加防渗剂的防渗地坪，车间地面采用防渗钢筋混凝土结构，内部采用水泥基渗透结晶型防渗材料涂层，且符合《危险废物贮存污染控制标准》的要求。</w:t>
                  </w:r>
                </w:p>
              </w:tc>
            </w:tr>
            <w:tr w14:paraId="5D4A1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05" w:type="dxa"/>
                  <w:vMerge w:val="restart"/>
                  <w:noWrap w:val="0"/>
                  <w:vAlign w:val="center"/>
                </w:tcPr>
                <w:p w14:paraId="6DB25AAE">
                  <w:pPr>
                    <w:jc w:val="center"/>
                    <w:rPr>
                      <w:rFonts w:hint="default" w:ascii="Times New Roman" w:hAnsi="Times New Roman" w:eastAsia="宋体" w:cs="Times New Roman"/>
                      <w:b w:val="0"/>
                      <w:bCs w:val="0"/>
                      <w:color w:val="auto"/>
                      <w:highlight w:val="none"/>
                      <w:vertAlign w:val="baseline"/>
                      <w:lang w:val="en-US" w:eastAsia="zh-CN"/>
                    </w:rPr>
                  </w:pPr>
                  <w:r>
                    <w:rPr>
                      <w:rFonts w:hint="default" w:ascii="Times New Roman" w:hAnsi="Times New Roman" w:eastAsia="宋体" w:cs="Times New Roman"/>
                      <w:b w:val="0"/>
                      <w:bCs w:val="0"/>
                      <w:color w:val="auto"/>
                      <w:highlight w:val="none"/>
                      <w:vertAlign w:val="baseline"/>
                      <w:lang w:val="en-US" w:eastAsia="zh-CN"/>
                    </w:rPr>
                    <w:t>一般防渗区</w:t>
                  </w:r>
                </w:p>
              </w:tc>
              <w:tc>
                <w:tcPr>
                  <w:tcW w:w="1059" w:type="dxa"/>
                  <w:noWrap w:val="0"/>
                  <w:vAlign w:val="center"/>
                </w:tcPr>
                <w:p w14:paraId="16396B8E">
                  <w:pPr>
                    <w:jc w:val="center"/>
                    <w:rPr>
                      <w:rFonts w:hint="default" w:ascii="Times New Roman" w:hAnsi="Times New Roman" w:eastAsia="宋体" w:cs="Times New Roman"/>
                      <w:b w:val="0"/>
                      <w:bCs w:val="0"/>
                      <w:color w:val="auto"/>
                      <w:highlight w:val="none"/>
                      <w:vertAlign w:val="baseline"/>
                      <w:lang w:val="en-US" w:eastAsia="zh-CN"/>
                    </w:rPr>
                  </w:pPr>
                  <w:r>
                    <w:rPr>
                      <w:rFonts w:hint="default" w:ascii="Times New Roman" w:hAnsi="Times New Roman" w:eastAsia="宋体" w:cs="Times New Roman"/>
                      <w:b w:val="0"/>
                      <w:bCs w:val="0"/>
                      <w:color w:val="auto"/>
                      <w:highlight w:val="none"/>
                      <w:vertAlign w:val="baseline"/>
                      <w:lang w:val="en-US" w:eastAsia="zh-CN"/>
                    </w:rPr>
                    <w:t>一般固废暂存间</w:t>
                  </w:r>
                </w:p>
              </w:tc>
              <w:tc>
                <w:tcPr>
                  <w:tcW w:w="1200" w:type="dxa"/>
                  <w:noWrap w:val="0"/>
                  <w:vAlign w:val="center"/>
                </w:tcPr>
                <w:p w14:paraId="698E1DDF">
                  <w:pPr>
                    <w:jc w:val="center"/>
                    <w:rPr>
                      <w:rFonts w:hint="default" w:ascii="Times New Roman" w:hAnsi="Times New Roman" w:eastAsia="宋体" w:cs="Times New Roman"/>
                      <w:b w:val="0"/>
                      <w:bCs w:val="0"/>
                      <w:color w:val="auto"/>
                      <w:highlight w:val="none"/>
                      <w:vertAlign w:val="baseline"/>
                      <w:lang w:val="en-US" w:eastAsia="zh-CN"/>
                    </w:rPr>
                  </w:pPr>
                  <w:r>
                    <w:rPr>
                      <w:rFonts w:hint="default" w:ascii="Times New Roman" w:hAnsi="Times New Roman" w:eastAsia="宋体" w:cs="Times New Roman"/>
                      <w:b w:val="0"/>
                      <w:bCs w:val="0"/>
                      <w:color w:val="auto"/>
                      <w:highlight w:val="none"/>
                      <w:vertAlign w:val="baseline"/>
                      <w:lang w:val="en-US" w:eastAsia="zh-CN"/>
                    </w:rPr>
                    <w:t>一般固体废物</w:t>
                  </w:r>
                </w:p>
              </w:tc>
              <w:tc>
                <w:tcPr>
                  <w:tcW w:w="1091" w:type="dxa"/>
                  <w:noWrap w:val="0"/>
                  <w:vAlign w:val="center"/>
                </w:tcPr>
                <w:p w14:paraId="27FD1EB4">
                  <w:pPr>
                    <w:jc w:val="center"/>
                    <w:rPr>
                      <w:rFonts w:hint="default" w:ascii="Times New Roman" w:hAnsi="Times New Roman" w:eastAsia="宋体" w:cs="Times New Roman"/>
                      <w:b w:val="0"/>
                      <w:bCs w:val="0"/>
                      <w:color w:val="auto"/>
                      <w:highlight w:val="none"/>
                      <w:vertAlign w:val="baseline"/>
                      <w:lang w:val="en-US" w:eastAsia="zh-CN"/>
                    </w:rPr>
                  </w:pPr>
                  <w:r>
                    <w:rPr>
                      <w:rFonts w:hint="default" w:ascii="Times New Roman" w:hAnsi="Times New Roman" w:eastAsia="宋体" w:cs="Times New Roman"/>
                      <w:b w:val="0"/>
                      <w:bCs w:val="0"/>
                      <w:color w:val="auto"/>
                      <w:highlight w:val="none"/>
                      <w:vertAlign w:val="baseline"/>
                      <w:lang w:val="en-US" w:eastAsia="zh-CN"/>
                    </w:rPr>
                    <w:t>一般固废暂存间</w:t>
                  </w:r>
                </w:p>
              </w:tc>
              <w:tc>
                <w:tcPr>
                  <w:tcW w:w="5245" w:type="dxa"/>
                  <w:vMerge w:val="restart"/>
                  <w:noWrap w:val="0"/>
                  <w:vAlign w:val="center"/>
                </w:tcPr>
                <w:p w14:paraId="00DCEA03">
                  <w:pPr>
                    <w:keepNext w:val="0"/>
                    <w:keepLines w:val="0"/>
                    <w:widowControl/>
                    <w:suppressLineNumbers w:val="0"/>
                    <w:jc w:val="left"/>
                    <w:rPr>
                      <w:rFonts w:hint="default" w:ascii="Times New Roman" w:hAnsi="Times New Roman" w:eastAsia="宋体" w:cs="Times New Roman"/>
                      <w:b/>
                      <w:bCs/>
                      <w:color w:val="auto"/>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一</w:t>
                  </w:r>
                  <w:r>
                    <w:rPr>
                      <w:rFonts w:hint="default" w:ascii="Times New Roman" w:hAnsi="Times New Roman" w:eastAsia="宋体" w:cs="Times New Roman"/>
                      <w:color w:val="auto"/>
                      <w:kern w:val="0"/>
                      <w:sz w:val="21"/>
                      <w:szCs w:val="21"/>
                      <w:highlight w:val="none"/>
                      <w:lang w:val="en-US" w:eastAsia="zh-CN" w:bidi="ar"/>
                    </w:rPr>
                    <w:t>等效于1.5m厚渗透系数为1.0×10</w:t>
                  </w:r>
                  <w:r>
                    <w:rPr>
                      <w:rFonts w:hint="default" w:ascii="Times New Roman" w:hAnsi="Times New Roman" w:eastAsia="宋体" w:cs="Times New Roman"/>
                      <w:color w:val="auto"/>
                      <w:kern w:val="0"/>
                      <w:sz w:val="21"/>
                      <w:szCs w:val="21"/>
                      <w:highlight w:val="none"/>
                      <w:vertAlign w:val="superscript"/>
                      <w:lang w:val="en-US" w:eastAsia="zh-CN" w:bidi="ar"/>
                    </w:rPr>
                    <w:t xml:space="preserve"> -7</w:t>
                  </w:r>
                  <w:r>
                    <w:rPr>
                      <w:rFonts w:hint="default" w:ascii="Times New Roman" w:hAnsi="Times New Roman" w:eastAsia="宋体" w:cs="Times New Roman"/>
                      <w:color w:val="auto"/>
                      <w:kern w:val="0"/>
                      <w:sz w:val="21"/>
                      <w:szCs w:val="21"/>
                      <w:highlight w:val="none"/>
                      <w:lang w:val="en-US" w:eastAsia="zh-CN" w:bidi="ar"/>
                    </w:rPr>
                    <w:t>cm/s的黏土层的防渗性能。</w:t>
                  </w:r>
                  <w:r>
                    <w:rPr>
                      <w:rFonts w:hint="default" w:ascii="Times New Roman" w:hAnsi="Times New Roman" w:eastAsia="宋体" w:cs="Times New Roman"/>
                      <w:b w:val="0"/>
                      <w:bCs w:val="0"/>
                      <w:color w:val="auto"/>
                      <w:highlight w:val="none"/>
                      <w:vertAlign w:val="baseline"/>
                      <w:lang w:val="en-US" w:eastAsia="zh-CN"/>
                    </w:rPr>
                    <w:t>必须采用防扬散、防流失、防渗漏或者其他防止污染环境的措施，必须符合国家环境保护标准，并对未处理的固体废物做出妥善处理，安全存放。对暂时不利于或者不能回收利用的一般工业固体废物，必须配套建设防雨淋、防渗漏、易识别等符合环境保护标准和管理要求的贮存设施或场所，以及足够的流转空间，按照国家环境保护的技术和管理要求，有专人看管，建议便于核查的进、出物料的台账记录和固体废物明细表。</w:t>
                  </w:r>
                </w:p>
              </w:tc>
            </w:tr>
            <w:tr w14:paraId="68CDA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705" w:type="dxa"/>
                  <w:vMerge w:val="continue"/>
                  <w:noWrap w:val="0"/>
                  <w:vAlign w:val="center"/>
                </w:tcPr>
                <w:p w14:paraId="1A1DEEC3">
                  <w:pPr>
                    <w:jc w:val="center"/>
                    <w:rPr>
                      <w:rFonts w:hint="default" w:ascii="Times New Roman" w:hAnsi="Times New Roman" w:eastAsia="宋体" w:cs="Times New Roman"/>
                      <w:b w:val="0"/>
                      <w:bCs w:val="0"/>
                      <w:color w:val="auto"/>
                      <w:highlight w:val="none"/>
                      <w:vertAlign w:val="baseline"/>
                      <w:lang w:val="en-US" w:eastAsia="zh-CN"/>
                    </w:rPr>
                  </w:pPr>
                </w:p>
              </w:tc>
              <w:tc>
                <w:tcPr>
                  <w:tcW w:w="1059" w:type="dxa"/>
                  <w:noWrap w:val="0"/>
                  <w:vAlign w:val="center"/>
                </w:tcPr>
                <w:p w14:paraId="0CB2377C">
                  <w:pPr>
                    <w:jc w:val="center"/>
                    <w:rPr>
                      <w:rFonts w:hint="default" w:ascii="Times New Roman" w:hAnsi="Times New Roman" w:eastAsia="宋体" w:cs="Times New Roman"/>
                      <w:b w:val="0"/>
                      <w:bCs w:val="0"/>
                      <w:color w:val="auto"/>
                      <w:highlight w:val="none"/>
                      <w:vertAlign w:val="baseline"/>
                      <w:lang w:val="en-US" w:eastAsia="zh-CN"/>
                    </w:rPr>
                  </w:pPr>
                  <w:r>
                    <w:rPr>
                      <w:rFonts w:hint="default" w:ascii="Times New Roman" w:hAnsi="Times New Roman" w:eastAsia="宋体" w:cs="Times New Roman"/>
                      <w:b w:val="0"/>
                      <w:bCs w:val="0"/>
                      <w:color w:val="auto"/>
                      <w:highlight w:val="none"/>
                      <w:vertAlign w:val="baseline"/>
                      <w:lang w:val="en-US" w:eastAsia="zh-CN"/>
                    </w:rPr>
                    <w:t>生产车间</w:t>
                  </w:r>
                </w:p>
              </w:tc>
              <w:tc>
                <w:tcPr>
                  <w:tcW w:w="1200" w:type="dxa"/>
                  <w:noWrap w:val="0"/>
                  <w:vAlign w:val="center"/>
                </w:tcPr>
                <w:p w14:paraId="06203B36">
                  <w:pPr>
                    <w:jc w:val="center"/>
                    <w:rPr>
                      <w:rFonts w:hint="default" w:ascii="Times New Roman" w:hAnsi="Times New Roman" w:eastAsia="宋体" w:cs="Times New Roman"/>
                      <w:b w:val="0"/>
                      <w:bCs w:val="0"/>
                      <w:color w:val="auto"/>
                      <w:highlight w:val="none"/>
                      <w:vertAlign w:val="baseline"/>
                      <w:lang w:val="en-US" w:eastAsia="zh-CN"/>
                    </w:rPr>
                  </w:pPr>
                  <w:r>
                    <w:rPr>
                      <w:rFonts w:hint="default" w:ascii="Times New Roman" w:hAnsi="Times New Roman" w:eastAsia="宋体" w:cs="Times New Roman"/>
                      <w:b w:val="0"/>
                      <w:bCs w:val="0"/>
                      <w:color w:val="auto"/>
                      <w:highlight w:val="none"/>
                      <w:vertAlign w:val="baseline"/>
                      <w:lang w:val="en-US" w:eastAsia="zh-CN"/>
                    </w:rPr>
                    <w:t>原辅料</w:t>
                  </w:r>
                </w:p>
              </w:tc>
              <w:tc>
                <w:tcPr>
                  <w:tcW w:w="1091" w:type="dxa"/>
                  <w:noWrap w:val="0"/>
                  <w:vAlign w:val="center"/>
                </w:tcPr>
                <w:p w14:paraId="07E78778">
                  <w:pPr>
                    <w:jc w:val="center"/>
                    <w:rPr>
                      <w:rFonts w:hint="default" w:ascii="Times New Roman" w:hAnsi="Times New Roman" w:eastAsia="宋体" w:cs="Times New Roman"/>
                      <w:b w:val="0"/>
                      <w:bCs w:val="0"/>
                      <w:color w:val="auto"/>
                      <w:highlight w:val="none"/>
                      <w:vertAlign w:val="baseline"/>
                      <w:lang w:val="en-US" w:eastAsia="zh-CN"/>
                    </w:rPr>
                  </w:pPr>
                  <w:r>
                    <w:rPr>
                      <w:rFonts w:hint="default" w:ascii="Times New Roman" w:hAnsi="Times New Roman" w:eastAsia="宋体" w:cs="Times New Roman"/>
                      <w:b w:val="0"/>
                      <w:bCs w:val="0"/>
                      <w:color w:val="auto"/>
                      <w:highlight w:val="none"/>
                      <w:vertAlign w:val="baseline"/>
                      <w:lang w:val="en-US" w:eastAsia="zh-CN"/>
                    </w:rPr>
                    <w:t>生产车间</w:t>
                  </w:r>
                </w:p>
              </w:tc>
              <w:tc>
                <w:tcPr>
                  <w:tcW w:w="5245" w:type="dxa"/>
                  <w:vMerge w:val="continue"/>
                  <w:noWrap w:val="0"/>
                  <w:vAlign w:val="center"/>
                </w:tcPr>
                <w:p w14:paraId="08711E88">
                  <w:pPr>
                    <w:jc w:val="center"/>
                    <w:rPr>
                      <w:rFonts w:hint="default" w:ascii="Times New Roman" w:hAnsi="Times New Roman" w:eastAsia="宋体" w:cs="Times New Roman"/>
                      <w:b w:val="0"/>
                      <w:bCs w:val="0"/>
                      <w:color w:val="auto"/>
                      <w:highlight w:val="none"/>
                      <w:vertAlign w:val="baseline"/>
                      <w:lang w:val="en-US" w:eastAsia="zh-CN"/>
                    </w:rPr>
                  </w:pPr>
                </w:p>
              </w:tc>
            </w:tr>
            <w:tr w14:paraId="63F09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705" w:type="dxa"/>
                  <w:vMerge w:val="continue"/>
                  <w:noWrap w:val="0"/>
                  <w:vAlign w:val="center"/>
                </w:tcPr>
                <w:p w14:paraId="2B2948DA">
                  <w:pPr>
                    <w:jc w:val="center"/>
                    <w:rPr>
                      <w:rFonts w:hint="default" w:ascii="Times New Roman" w:hAnsi="Times New Roman" w:eastAsia="宋体" w:cs="Times New Roman"/>
                      <w:b w:val="0"/>
                      <w:bCs w:val="0"/>
                      <w:color w:val="auto"/>
                      <w:highlight w:val="none"/>
                      <w:vertAlign w:val="baseline"/>
                      <w:lang w:val="en-US" w:eastAsia="zh-CN"/>
                    </w:rPr>
                  </w:pPr>
                </w:p>
              </w:tc>
              <w:tc>
                <w:tcPr>
                  <w:tcW w:w="1059" w:type="dxa"/>
                  <w:noWrap w:val="0"/>
                  <w:vAlign w:val="center"/>
                </w:tcPr>
                <w:p w14:paraId="506F9F8D">
                  <w:pPr>
                    <w:jc w:val="center"/>
                    <w:rPr>
                      <w:rFonts w:hint="default" w:ascii="Times New Roman" w:hAnsi="Times New Roman" w:eastAsia="宋体" w:cs="Times New Roman"/>
                      <w:b w:val="0"/>
                      <w:bCs w:val="0"/>
                      <w:color w:val="auto"/>
                      <w:highlight w:val="none"/>
                      <w:vertAlign w:val="baseline"/>
                      <w:lang w:val="en-US" w:eastAsia="zh-CN"/>
                    </w:rPr>
                  </w:pPr>
                  <w:r>
                    <w:rPr>
                      <w:rFonts w:hint="default" w:ascii="Times New Roman" w:hAnsi="Times New Roman" w:eastAsia="宋体" w:cs="Times New Roman"/>
                      <w:b w:val="0"/>
                      <w:bCs w:val="0"/>
                      <w:color w:val="auto"/>
                      <w:highlight w:val="none"/>
                      <w:vertAlign w:val="baseline"/>
                      <w:lang w:val="en-US" w:eastAsia="zh-CN"/>
                    </w:rPr>
                    <w:t>初期雨水</w:t>
                  </w:r>
                </w:p>
              </w:tc>
              <w:tc>
                <w:tcPr>
                  <w:tcW w:w="1200" w:type="dxa"/>
                  <w:noWrap w:val="0"/>
                  <w:vAlign w:val="center"/>
                </w:tcPr>
                <w:p w14:paraId="37AC064E">
                  <w:pPr>
                    <w:jc w:val="center"/>
                    <w:rPr>
                      <w:rFonts w:hint="default" w:ascii="Times New Roman" w:hAnsi="Times New Roman" w:eastAsia="宋体" w:cs="Times New Roman"/>
                      <w:b w:val="0"/>
                      <w:bCs w:val="0"/>
                      <w:color w:val="auto"/>
                      <w:highlight w:val="none"/>
                      <w:vertAlign w:val="baseline"/>
                      <w:lang w:val="en-US" w:eastAsia="zh-CN"/>
                    </w:rPr>
                  </w:pPr>
                  <w:r>
                    <w:rPr>
                      <w:rFonts w:hint="default" w:ascii="Times New Roman" w:hAnsi="Times New Roman" w:eastAsia="宋体" w:cs="Times New Roman"/>
                      <w:b w:val="0"/>
                      <w:bCs w:val="0"/>
                      <w:color w:val="auto"/>
                      <w:highlight w:val="none"/>
                      <w:vertAlign w:val="baseline"/>
                      <w:lang w:val="en-US" w:eastAsia="zh-CN"/>
                    </w:rPr>
                    <w:t>悬浮物等</w:t>
                  </w:r>
                </w:p>
              </w:tc>
              <w:tc>
                <w:tcPr>
                  <w:tcW w:w="1091" w:type="dxa"/>
                  <w:noWrap w:val="0"/>
                  <w:vAlign w:val="center"/>
                </w:tcPr>
                <w:p w14:paraId="2F5BCDA8">
                  <w:pPr>
                    <w:jc w:val="center"/>
                    <w:rPr>
                      <w:rFonts w:hint="default" w:ascii="Times New Roman" w:hAnsi="Times New Roman" w:eastAsia="宋体" w:cs="Times New Roman"/>
                      <w:b w:val="0"/>
                      <w:bCs w:val="0"/>
                      <w:color w:val="auto"/>
                      <w:highlight w:val="none"/>
                      <w:vertAlign w:val="baseline"/>
                      <w:lang w:val="en-US" w:eastAsia="zh-CN"/>
                    </w:rPr>
                  </w:pPr>
                  <w:r>
                    <w:rPr>
                      <w:rFonts w:hint="default" w:ascii="Times New Roman" w:hAnsi="Times New Roman" w:eastAsia="宋体" w:cs="Times New Roman"/>
                      <w:b w:val="0"/>
                      <w:bCs w:val="0"/>
                      <w:color w:val="auto"/>
                      <w:highlight w:val="none"/>
                      <w:vertAlign w:val="baseline"/>
                      <w:lang w:val="en-US" w:eastAsia="zh-CN"/>
                    </w:rPr>
                    <w:t>初期雨水收集池</w:t>
                  </w:r>
                </w:p>
              </w:tc>
              <w:tc>
                <w:tcPr>
                  <w:tcW w:w="5245" w:type="dxa"/>
                  <w:vMerge w:val="continue"/>
                  <w:noWrap w:val="0"/>
                  <w:vAlign w:val="center"/>
                </w:tcPr>
                <w:p w14:paraId="05B95F84">
                  <w:pPr>
                    <w:jc w:val="center"/>
                    <w:rPr>
                      <w:rFonts w:hint="default" w:ascii="Times New Roman" w:hAnsi="Times New Roman" w:eastAsia="宋体" w:cs="Times New Roman"/>
                      <w:b w:val="0"/>
                      <w:bCs w:val="0"/>
                      <w:color w:val="auto"/>
                      <w:highlight w:val="none"/>
                      <w:vertAlign w:val="baseline"/>
                      <w:lang w:val="en-US" w:eastAsia="zh-CN"/>
                    </w:rPr>
                  </w:pPr>
                </w:p>
              </w:tc>
            </w:tr>
            <w:tr w14:paraId="75908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705" w:type="dxa"/>
                  <w:vMerge w:val="continue"/>
                  <w:noWrap w:val="0"/>
                  <w:vAlign w:val="center"/>
                </w:tcPr>
                <w:p w14:paraId="1E164ED0">
                  <w:pPr>
                    <w:jc w:val="center"/>
                    <w:rPr>
                      <w:rFonts w:hint="default" w:ascii="Times New Roman" w:hAnsi="Times New Roman" w:eastAsia="宋体" w:cs="Times New Roman"/>
                      <w:b w:val="0"/>
                      <w:bCs w:val="0"/>
                      <w:color w:val="auto"/>
                      <w:highlight w:val="none"/>
                      <w:vertAlign w:val="baseline"/>
                      <w:lang w:val="en-US" w:eastAsia="zh-CN"/>
                    </w:rPr>
                  </w:pPr>
                </w:p>
              </w:tc>
              <w:tc>
                <w:tcPr>
                  <w:tcW w:w="1059" w:type="dxa"/>
                  <w:noWrap w:val="0"/>
                  <w:vAlign w:val="center"/>
                </w:tcPr>
                <w:p w14:paraId="1AEF7E5B">
                  <w:pPr>
                    <w:jc w:val="center"/>
                    <w:rPr>
                      <w:rFonts w:hint="default" w:ascii="Times New Roman" w:hAnsi="Times New Roman" w:eastAsia="宋体" w:cs="Times New Roman"/>
                      <w:b w:val="0"/>
                      <w:bCs w:val="0"/>
                      <w:color w:val="auto"/>
                      <w:highlight w:val="none"/>
                      <w:vertAlign w:val="baseline"/>
                      <w:lang w:val="en-US" w:eastAsia="zh-CN"/>
                    </w:rPr>
                  </w:pPr>
                  <w:r>
                    <w:rPr>
                      <w:rFonts w:hint="eastAsia" w:ascii="Times New Roman" w:hAnsi="Times New Roman" w:eastAsia="宋体" w:cs="Times New Roman"/>
                      <w:b w:val="0"/>
                      <w:bCs w:val="0"/>
                      <w:color w:val="auto"/>
                      <w:highlight w:val="none"/>
                      <w:vertAlign w:val="baseline"/>
                      <w:lang w:val="en-US" w:eastAsia="zh-CN"/>
                    </w:rPr>
                    <w:t>废水处理设施</w:t>
                  </w:r>
                </w:p>
              </w:tc>
              <w:tc>
                <w:tcPr>
                  <w:tcW w:w="1200" w:type="dxa"/>
                  <w:noWrap w:val="0"/>
                  <w:vAlign w:val="center"/>
                </w:tcPr>
                <w:p w14:paraId="3D12217C">
                  <w:pPr>
                    <w:jc w:val="center"/>
                    <w:rPr>
                      <w:rFonts w:hint="default" w:ascii="Times New Roman" w:hAnsi="Times New Roman" w:eastAsia="宋体" w:cs="Times New Roman"/>
                      <w:b w:val="0"/>
                      <w:bCs w:val="0"/>
                      <w:color w:val="auto"/>
                      <w:highlight w:val="none"/>
                      <w:vertAlign w:val="baseline"/>
                      <w:lang w:val="en-US" w:eastAsia="zh-CN"/>
                    </w:rPr>
                  </w:pPr>
                  <w:r>
                    <w:rPr>
                      <w:rFonts w:hint="default" w:ascii="Times New Roman" w:hAnsi="Times New Roman" w:eastAsia="宋体" w:cs="Times New Roman"/>
                      <w:b w:val="0"/>
                      <w:bCs w:val="0"/>
                      <w:color w:val="auto"/>
                      <w:highlight w:val="none"/>
                      <w:vertAlign w:val="baseline"/>
                      <w:lang w:val="en-US" w:eastAsia="zh-CN"/>
                    </w:rPr>
                    <w:t>悬浮物等</w:t>
                  </w:r>
                </w:p>
              </w:tc>
              <w:tc>
                <w:tcPr>
                  <w:tcW w:w="1091" w:type="dxa"/>
                  <w:noWrap w:val="0"/>
                  <w:vAlign w:val="center"/>
                </w:tcPr>
                <w:p w14:paraId="7FECB5C6">
                  <w:pPr>
                    <w:jc w:val="center"/>
                    <w:rPr>
                      <w:rFonts w:hint="default" w:ascii="Times New Roman" w:hAnsi="Times New Roman" w:eastAsia="宋体" w:cs="Times New Roman"/>
                      <w:b w:val="0"/>
                      <w:bCs w:val="0"/>
                      <w:color w:val="auto"/>
                      <w:highlight w:val="none"/>
                      <w:vertAlign w:val="baseline"/>
                      <w:lang w:val="en-US" w:eastAsia="zh-CN"/>
                    </w:rPr>
                  </w:pPr>
                  <w:r>
                    <w:rPr>
                      <w:rFonts w:hint="eastAsia" w:ascii="Times New Roman" w:hAnsi="Times New Roman" w:eastAsia="宋体" w:cs="Times New Roman"/>
                      <w:b w:val="0"/>
                      <w:bCs w:val="0"/>
                      <w:color w:val="auto"/>
                      <w:highlight w:val="none"/>
                      <w:vertAlign w:val="baseline"/>
                      <w:lang w:val="en-US" w:eastAsia="zh-CN"/>
                    </w:rPr>
                    <w:t>调节混凝池+</w:t>
                  </w:r>
                  <w:r>
                    <w:rPr>
                      <w:rFonts w:hint="default" w:ascii="Times New Roman" w:hAnsi="Times New Roman" w:eastAsia="宋体" w:cs="Times New Roman"/>
                      <w:b w:val="0"/>
                      <w:bCs w:val="0"/>
                      <w:color w:val="auto"/>
                      <w:highlight w:val="none"/>
                      <w:vertAlign w:val="baseline"/>
                      <w:lang w:val="en-US" w:eastAsia="zh-CN"/>
                    </w:rPr>
                    <w:t>三级沉淀池</w:t>
                  </w:r>
                  <w:r>
                    <w:rPr>
                      <w:rFonts w:hint="eastAsia" w:ascii="Times New Roman" w:hAnsi="Times New Roman" w:eastAsia="宋体" w:cs="Times New Roman"/>
                      <w:b w:val="0"/>
                      <w:bCs w:val="0"/>
                      <w:color w:val="auto"/>
                      <w:highlight w:val="none"/>
                      <w:vertAlign w:val="baseline"/>
                      <w:lang w:val="en-US" w:eastAsia="zh-CN"/>
                    </w:rPr>
                    <w:t>+回用池</w:t>
                  </w:r>
                </w:p>
              </w:tc>
              <w:tc>
                <w:tcPr>
                  <w:tcW w:w="5245" w:type="dxa"/>
                  <w:vMerge w:val="continue"/>
                  <w:noWrap w:val="0"/>
                  <w:vAlign w:val="center"/>
                </w:tcPr>
                <w:p w14:paraId="202996C6">
                  <w:pPr>
                    <w:jc w:val="center"/>
                    <w:rPr>
                      <w:rFonts w:hint="default" w:ascii="Times New Roman" w:hAnsi="Times New Roman" w:eastAsia="宋体" w:cs="Times New Roman"/>
                      <w:b w:val="0"/>
                      <w:bCs w:val="0"/>
                      <w:color w:val="auto"/>
                      <w:highlight w:val="none"/>
                      <w:vertAlign w:val="baseline"/>
                      <w:lang w:val="en-US" w:eastAsia="zh-CN"/>
                    </w:rPr>
                  </w:pPr>
                </w:p>
              </w:tc>
            </w:tr>
            <w:tr w14:paraId="53BBB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705" w:type="dxa"/>
                  <w:noWrap w:val="0"/>
                  <w:vAlign w:val="center"/>
                </w:tcPr>
                <w:p w14:paraId="77020CA0">
                  <w:pPr>
                    <w:jc w:val="center"/>
                    <w:rPr>
                      <w:rFonts w:hint="default" w:ascii="Times New Roman" w:hAnsi="Times New Roman" w:eastAsia="宋体" w:cs="Times New Roman"/>
                      <w:b w:val="0"/>
                      <w:bCs w:val="0"/>
                      <w:color w:val="auto"/>
                      <w:highlight w:val="none"/>
                      <w:vertAlign w:val="baseline"/>
                      <w:lang w:val="en-US" w:eastAsia="zh-CN"/>
                    </w:rPr>
                  </w:pPr>
                  <w:r>
                    <w:rPr>
                      <w:rFonts w:hint="default" w:ascii="Times New Roman" w:hAnsi="Times New Roman" w:eastAsia="宋体" w:cs="Times New Roman"/>
                      <w:b w:val="0"/>
                      <w:bCs w:val="0"/>
                      <w:color w:val="auto"/>
                      <w:highlight w:val="none"/>
                      <w:vertAlign w:val="baseline"/>
                      <w:lang w:val="en-US" w:eastAsia="zh-CN"/>
                    </w:rPr>
                    <w:t>简单防渗区</w:t>
                  </w:r>
                </w:p>
              </w:tc>
              <w:tc>
                <w:tcPr>
                  <w:tcW w:w="1059" w:type="dxa"/>
                  <w:noWrap w:val="0"/>
                  <w:vAlign w:val="center"/>
                </w:tcPr>
                <w:p w14:paraId="29A1B676">
                  <w:pPr>
                    <w:jc w:val="center"/>
                    <w:rPr>
                      <w:rFonts w:hint="default" w:ascii="Times New Roman" w:hAnsi="Times New Roman" w:eastAsia="宋体" w:cs="Times New Roman"/>
                      <w:b w:val="0"/>
                      <w:bCs w:val="0"/>
                      <w:color w:val="auto"/>
                      <w:highlight w:val="none"/>
                      <w:vertAlign w:val="baseline"/>
                      <w:lang w:val="en-US" w:eastAsia="zh-CN"/>
                    </w:rPr>
                  </w:pPr>
                  <w:r>
                    <w:rPr>
                      <w:rFonts w:hint="default" w:ascii="Times New Roman" w:hAnsi="Times New Roman" w:eastAsia="宋体" w:cs="Times New Roman"/>
                      <w:b w:val="0"/>
                      <w:bCs w:val="0"/>
                      <w:color w:val="auto"/>
                      <w:highlight w:val="none"/>
                      <w:vertAlign w:val="baseline"/>
                      <w:lang w:val="en-US" w:eastAsia="zh-CN"/>
                    </w:rPr>
                    <w:t>办公区及厂区道路</w:t>
                  </w:r>
                </w:p>
              </w:tc>
              <w:tc>
                <w:tcPr>
                  <w:tcW w:w="1200" w:type="dxa"/>
                  <w:noWrap w:val="0"/>
                  <w:vAlign w:val="center"/>
                </w:tcPr>
                <w:p w14:paraId="451BCFFC">
                  <w:pPr>
                    <w:jc w:val="center"/>
                    <w:rPr>
                      <w:rFonts w:hint="default" w:ascii="Times New Roman" w:hAnsi="Times New Roman" w:eastAsia="宋体" w:cs="Times New Roman"/>
                      <w:b w:val="0"/>
                      <w:bCs w:val="0"/>
                      <w:color w:val="auto"/>
                      <w:highlight w:val="none"/>
                      <w:vertAlign w:val="baseline"/>
                      <w:lang w:val="en-US" w:eastAsia="zh-CN"/>
                    </w:rPr>
                  </w:pPr>
                  <w:r>
                    <w:rPr>
                      <w:rFonts w:hint="default" w:ascii="Times New Roman" w:hAnsi="Times New Roman" w:eastAsia="宋体" w:cs="Times New Roman"/>
                      <w:b w:val="0"/>
                      <w:bCs w:val="0"/>
                      <w:color w:val="auto"/>
                      <w:highlight w:val="none"/>
                      <w:vertAlign w:val="baseline"/>
                      <w:lang w:val="en-US" w:eastAsia="zh-CN"/>
                    </w:rPr>
                    <w:t>生活垃圾</w:t>
                  </w:r>
                </w:p>
              </w:tc>
              <w:tc>
                <w:tcPr>
                  <w:tcW w:w="1091" w:type="dxa"/>
                  <w:noWrap w:val="0"/>
                  <w:vAlign w:val="center"/>
                </w:tcPr>
                <w:p w14:paraId="6CFA2377">
                  <w:pPr>
                    <w:jc w:val="center"/>
                    <w:rPr>
                      <w:rFonts w:hint="default" w:ascii="Times New Roman" w:hAnsi="Times New Roman" w:eastAsia="宋体" w:cs="Times New Roman"/>
                      <w:b w:val="0"/>
                      <w:bCs w:val="0"/>
                      <w:color w:val="auto"/>
                      <w:highlight w:val="none"/>
                      <w:vertAlign w:val="baseline"/>
                      <w:lang w:val="en-US" w:eastAsia="zh-CN"/>
                    </w:rPr>
                  </w:pPr>
                  <w:r>
                    <w:rPr>
                      <w:rFonts w:hint="default" w:ascii="Times New Roman" w:hAnsi="Times New Roman" w:eastAsia="宋体" w:cs="Times New Roman"/>
                      <w:b w:val="0"/>
                      <w:bCs w:val="0"/>
                      <w:color w:val="auto"/>
                      <w:highlight w:val="none"/>
                      <w:vertAlign w:val="baseline"/>
                      <w:lang w:val="en-US" w:eastAsia="zh-CN"/>
                    </w:rPr>
                    <w:t>生活垃圾桶</w:t>
                  </w:r>
                </w:p>
              </w:tc>
              <w:tc>
                <w:tcPr>
                  <w:tcW w:w="5245" w:type="dxa"/>
                  <w:noWrap w:val="0"/>
                  <w:vAlign w:val="center"/>
                </w:tcPr>
                <w:p w14:paraId="7FECDF26">
                  <w:pPr>
                    <w:jc w:val="center"/>
                    <w:rPr>
                      <w:rFonts w:hint="default" w:ascii="Times New Roman" w:hAnsi="Times New Roman" w:eastAsia="宋体" w:cs="Times New Roman"/>
                      <w:b w:val="0"/>
                      <w:bCs w:val="0"/>
                      <w:color w:val="auto"/>
                      <w:highlight w:val="none"/>
                      <w:vertAlign w:val="baseline"/>
                      <w:lang w:val="en-US" w:eastAsia="zh-CN"/>
                    </w:rPr>
                  </w:pPr>
                  <w:r>
                    <w:rPr>
                      <w:rFonts w:hint="default" w:ascii="Times New Roman" w:hAnsi="Times New Roman" w:eastAsia="宋体" w:cs="Times New Roman"/>
                      <w:b w:val="0"/>
                      <w:bCs w:val="0"/>
                      <w:color w:val="auto"/>
                      <w:highlight w:val="none"/>
                      <w:vertAlign w:val="baseline"/>
                      <w:lang w:val="en-US" w:eastAsia="zh-CN"/>
                    </w:rPr>
                    <w:t>生活垃圾暂存间参照一般工业固体废物做好防渗措施。</w:t>
                  </w:r>
                </w:p>
              </w:tc>
            </w:tr>
          </w:tbl>
          <w:p w14:paraId="51E82BA1">
            <w:pPr>
              <w:adjustRightInd w:val="0"/>
              <w:snapToGrid w:val="0"/>
              <w:spacing w:line="360" w:lineRule="auto"/>
              <w:ind w:firstLine="480" w:firstLineChars="200"/>
              <w:rPr>
                <w:rFonts w:hint="default" w:ascii="Times New Roman" w:hAnsi="Times New Roman" w:cs="Times New Roman"/>
                <w:bCs/>
                <w:color w:val="auto"/>
                <w:sz w:val="24"/>
                <w:highlight w:val="none"/>
              </w:rPr>
            </w:pPr>
            <w:r>
              <w:rPr>
                <w:rFonts w:hint="default" w:ascii="Times New Roman" w:hAnsi="Times New Roman" w:cs="Times New Roman"/>
                <w:color w:val="auto"/>
                <w:sz w:val="24"/>
                <w:highlight w:val="none"/>
              </w:rPr>
              <w:t>运营期正常工况下，物料经包装桶运输储存，不会出现跑、冒、滴、漏现象。因此，正常工况下，项目不存在地下水污染途径，对地下水影响很小。</w:t>
            </w:r>
          </w:p>
          <w:p w14:paraId="3B5DB46D">
            <w:pPr>
              <w:adjustRightInd w:val="0"/>
              <w:snapToGrid w:val="0"/>
              <w:spacing w:line="360" w:lineRule="auto"/>
              <w:ind w:firstLine="48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非正常工况下可能存在的地下水污染途径为：贮存液态物料的容器发生泄漏外流，防渗层破损。固废储存时浸出液的污染物可能泄漏直接进入地下水，对地下水造成污染</w:t>
            </w:r>
            <w:r>
              <w:rPr>
                <w:rFonts w:hint="default" w:ascii="Times New Roman" w:hAnsi="Times New Roman" w:cs="Times New Roman"/>
                <w:bCs/>
                <w:color w:val="auto"/>
                <w:sz w:val="24"/>
                <w:highlight w:val="none"/>
              </w:rPr>
              <w:t>。</w:t>
            </w:r>
          </w:p>
          <w:p w14:paraId="602D126E">
            <w:pPr>
              <w:keepNext w:val="0"/>
              <w:keepLines w:val="0"/>
              <w:pageBreakBefore w:val="0"/>
              <w:widowControl w:val="0"/>
              <w:kinsoku/>
              <w:wordWrap/>
              <w:overflowPunct/>
              <w:topLinePunct w:val="0"/>
              <w:autoSpaceDE/>
              <w:autoSpaceDN/>
              <w:bidi w:val="0"/>
              <w:adjustRightInd w:val="0"/>
              <w:snapToGrid w:val="0"/>
              <w:spacing w:line="360" w:lineRule="auto"/>
              <w:ind w:left="0" w:firstLine="480" w:firstLineChars="200"/>
              <w:textAlignment w:val="auto"/>
              <w:rPr>
                <w:rFonts w:hint="default" w:ascii="Times New Roman" w:hAnsi="Times New Roman" w:cs="Times New Roman"/>
                <w:b/>
                <w:color w:val="auto"/>
                <w:sz w:val="24"/>
                <w:highlight w:val="none"/>
              </w:rPr>
            </w:pPr>
            <w:r>
              <w:rPr>
                <w:rFonts w:hint="default" w:ascii="Times New Roman" w:hAnsi="Times New Roman" w:cs="Times New Roman"/>
                <w:color w:val="auto"/>
                <w:sz w:val="24"/>
                <w:highlight w:val="none"/>
              </w:rPr>
              <w:t>因此，本项目遵循“源头控制，分区防治，污染监控、风险应急”的原则，拟采取的地下水防护措施如下：</w:t>
            </w:r>
          </w:p>
          <w:p w14:paraId="304A3790">
            <w:pPr>
              <w:keepNext w:val="0"/>
              <w:keepLines w:val="0"/>
              <w:pageBreakBefore w:val="0"/>
              <w:widowControl w:val="0"/>
              <w:kinsoku/>
              <w:wordWrap/>
              <w:overflowPunct/>
              <w:topLinePunct w:val="0"/>
              <w:autoSpaceDE/>
              <w:autoSpaceDN/>
              <w:bidi w:val="0"/>
              <w:adjustRightInd w:val="0"/>
              <w:snapToGrid w:val="0"/>
              <w:spacing w:line="360" w:lineRule="auto"/>
              <w:ind w:left="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cs="Times New Roman"/>
                <w:color w:val="auto"/>
                <w:sz w:val="24"/>
                <w:highlight w:val="none"/>
              </w:rPr>
              <w:t>（1）生产车间</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原料仓、三级沉淀池</w:t>
            </w:r>
          </w:p>
          <w:p w14:paraId="265872C0">
            <w:pPr>
              <w:pStyle w:val="66"/>
              <w:keepNext w:val="0"/>
              <w:keepLines w:val="0"/>
              <w:pageBreakBefore w:val="0"/>
              <w:widowControl w:val="0"/>
              <w:kinsoku/>
              <w:wordWrap/>
              <w:overflowPunct/>
              <w:topLinePunct w:val="0"/>
              <w:autoSpaceDE/>
              <w:autoSpaceDN/>
              <w:bidi w:val="0"/>
              <w:adjustRightInd w:val="0"/>
              <w:snapToGrid w:val="0"/>
              <w:spacing w:line="360" w:lineRule="auto"/>
              <w:ind w:left="0" w:firstLine="480"/>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生产车间</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原料仓及</w:t>
            </w:r>
            <w:r>
              <w:rPr>
                <w:rFonts w:hint="default" w:ascii="Times New Roman" w:hAnsi="Times New Roman" w:cs="Times New Roman"/>
                <w:color w:val="auto"/>
                <w:sz w:val="24"/>
                <w:highlight w:val="none"/>
                <w:lang w:val="en-US" w:eastAsia="zh-CN"/>
              </w:rPr>
              <w:t>一般固废暂存间、三级沉淀池</w:t>
            </w:r>
            <w:r>
              <w:rPr>
                <w:rFonts w:hint="default" w:ascii="Times New Roman" w:hAnsi="Times New Roman" w:cs="Times New Roman"/>
                <w:color w:val="auto"/>
                <w:sz w:val="24"/>
                <w:highlight w:val="none"/>
              </w:rPr>
              <w:t>的地面采取粘土铺底，再在上层铺设10-15cm的水泥进行硬化，不存在地下水污染途径。</w:t>
            </w:r>
          </w:p>
          <w:p w14:paraId="2ED8C38D">
            <w:pPr>
              <w:pStyle w:val="66"/>
              <w:keepNext w:val="0"/>
              <w:keepLines w:val="0"/>
              <w:pageBreakBefore w:val="0"/>
              <w:widowControl w:val="0"/>
              <w:kinsoku/>
              <w:wordWrap/>
              <w:overflowPunct/>
              <w:topLinePunct w:val="0"/>
              <w:autoSpaceDE/>
              <w:autoSpaceDN/>
              <w:bidi w:val="0"/>
              <w:adjustRightInd w:val="0"/>
              <w:snapToGrid w:val="0"/>
              <w:spacing w:line="360" w:lineRule="auto"/>
              <w:ind w:left="0" w:firstLine="480"/>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lang w:eastAsia="zh-CN"/>
              </w:rPr>
              <w:t>原辅料</w:t>
            </w:r>
            <w:r>
              <w:rPr>
                <w:rFonts w:hint="default" w:ascii="Times New Roman" w:hAnsi="Times New Roman" w:cs="Times New Roman"/>
                <w:color w:val="auto"/>
                <w:sz w:val="24"/>
                <w:highlight w:val="none"/>
              </w:rPr>
              <w:t>储存在仓库内，</w:t>
            </w:r>
            <w:r>
              <w:rPr>
                <w:rFonts w:hint="default" w:ascii="Times New Roman" w:hAnsi="Times New Roman" w:cs="Times New Roman"/>
                <w:color w:val="auto"/>
                <w:sz w:val="24"/>
                <w:highlight w:val="none"/>
                <w:lang w:eastAsia="zh-CN"/>
              </w:rPr>
              <w:t>各类原辅料</w:t>
            </w:r>
            <w:r>
              <w:rPr>
                <w:rFonts w:hint="default" w:ascii="Times New Roman" w:hAnsi="Times New Roman" w:cs="Times New Roman"/>
                <w:color w:val="auto"/>
                <w:sz w:val="24"/>
                <w:highlight w:val="none"/>
              </w:rPr>
              <w:t>分开存放。</w:t>
            </w:r>
            <w:r>
              <w:rPr>
                <w:rFonts w:hint="default" w:ascii="Times New Roman" w:hAnsi="Times New Roman" w:cs="Times New Roman"/>
                <w:color w:val="auto"/>
                <w:sz w:val="24"/>
                <w:highlight w:val="none"/>
                <w:lang w:eastAsia="zh-CN"/>
              </w:rPr>
              <w:t>原辅料</w:t>
            </w:r>
            <w:r>
              <w:rPr>
                <w:rFonts w:hint="default" w:ascii="Times New Roman" w:hAnsi="Times New Roman" w:cs="Times New Roman"/>
                <w:color w:val="auto"/>
                <w:sz w:val="24"/>
                <w:highlight w:val="none"/>
              </w:rPr>
              <w:t>储存时必须完整、密封且表面带有物品标志，储存容器不损坏、不泄漏、具有良好的防水性。机油储存时必须完整、密封且表面带有易燃液体</w:t>
            </w:r>
            <w:r>
              <w:rPr>
                <w:rFonts w:hint="default" w:ascii="Times New Roman" w:hAnsi="Times New Roman" w:cs="Times New Roman"/>
                <w:color w:val="auto"/>
                <w:sz w:val="24"/>
                <w:highlight w:val="none"/>
                <w:lang w:eastAsia="zh-CN"/>
              </w:rPr>
              <w:t>标识</w:t>
            </w:r>
            <w:r>
              <w:rPr>
                <w:rFonts w:hint="default" w:ascii="Times New Roman" w:hAnsi="Times New Roman" w:cs="Times New Roman"/>
                <w:color w:val="auto"/>
                <w:sz w:val="24"/>
                <w:highlight w:val="none"/>
              </w:rPr>
              <w:t>，储存容器不损坏、不泄漏、注意防火。仓库内设置围堰，在四周设置导流槽，门口设置围挡，防止物料泄漏时大面积扩散；不同种类原材料独立包装，加强巡查，及时发现破裂的容器，并及时进行维护与修补，防止物料腐蚀地面基础层，造成地下水污染；仓库的地面采取粘土铺底，再在上层铺设10-15cm的水泥进行硬化，不存在地下水污染途径。</w:t>
            </w:r>
          </w:p>
          <w:p w14:paraId="02207427">
            <w:pPr>
              <w:pStyle w:val="66"/>
              <w:keepNext w:val="0"/>
              <w:keepLines w:val="0"/>
              <w:pageBreakBefore w:val="0"/>
              <w:widowControl w:val="0"/>
              <w:numPr>
                <w:ilvl w:val="0"/>
                <w:numId w:val="6"/>
              </w:numPr>
              <w:kinsoku/>
              <w:wordWrap/>
              <w:overflowPunct/>
              <w:topLinePunct w:val="0"/>
              <w:autoSpaceDE/>
              <w:autoSpaceDN/>
              <w:bidi w:val="0"/>
              <w:adjustRightInd w:val="0"/>
              <w:snapToGrid w:val="0"/>
              <w:spacing w:line="360" w:lineRule="auto"/>
              <w:ind w:left="0" w:firstLine="480"/>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一般固废暂存间</w:t>
            </w:r>
          </w:p>
          <w:p w14:paraId="127CBD6F">
            <w:pPr>
              <w:keepNext w:val="0"/>
              <w:keepLines w:val="0"/>
              <w:pageBreakBefore w:val="0"/>
              <w:widowControl w:val="0"/>
              <w:kinsoku/>
              <w:wordWrap/>
              <w:overflowPunct/>
              <w:topLinePunct w:val="0"/>
              <w:autoSpaceDE/>
              <w:autoSpaceDN/>
              <w:bidi w:val="0"/>
              <w:adjustRightInd w:val="0"/>
              <w:snapToGrid w:val="0"/>
              <w:spacing w:line="360" w:lineRule="auto"/>
              <w:ind w:left="0" w:firstLine="480" w:firstLineChars="200"/>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一般固废暂存间必须防雨、防晒、防风，设置防渗地坪，该防渗地坪的具体技术要求为“等效黏土防渗层</w:t>
            </w:r>
            <w:r>
              <w:rPr>
                <w:rFonts w:hint="default" w:ascii="Times New Roman" w:hAnsi="Times New Roman" w:cs="Times New Roman"/>
                <w:bCs/>
                <w:color w:val="auto"/>
                <w:spacing w:val="20"/>
                <w:sz w:val="24"/>
                <w:highlight w:val="none"/>
              </w:rPr>
              <w:t>Mb≥1.5m，</w:t>
            </w:r>
            <w:r>
              <w:rPr>
                <w:rFonts w:hint="default" w:ascii="Times New Roman" w:hAnsi="Times New Roman" w:cs="Times New Roman"/>
                <w:bCs/>
                <w:color w:val="auto"/>
                <w:sz w:val="24"/>
                <w:highlight w:val="none"/>
              </w:rPr>
              <w:t>渗透系数≤10</w:t>
            </w:r>
            <w:r>
              <w:rPr>
                <w:rFonts w:hint="default" w:ascii="Times New Roman" w:hAnsi="Times New Roman" w:cs="Times New Roman"/>
                <w:bCs/>
                <w:color w:val="auto"/>
                <w:sz w:val="24"/>
                <w:highlight w:val="none"/>
                <w:vertAlign w:val="superscript"/>
              </w:rPr>
              <w:t>-7</w:t>
            </w:r>
            <w:r>
              <w:rPr>
                <w:rFonts w:hint="default" w:ascii="Times New Roman" w:hAnsi="Times New Roman" w:cs="Times New Roman"/>
                <w:bCs/>
                <w:color w:val="auto"/>
                <w:sz w:val="24"/>
                <w:highlight w:val="none"/>
              </w:rPr>
              <w:t>cm/s</w:t>
            </w:r>
            <w:r>
              <w:rPr>
                <w:rFonts w:hint="default" w:ascii="Times New Roman" w:hAnsi="Times New Roman" w:cs="Times New Roman"/>
                <w:color w:val="auto"/>
                <w:sz w:val="24"/>
                <w:highlight w:val="none"/>
              </w:rPr>
              <w:t>”。一般固废暂存间设置围堰，在四周设置导流槽，门口设置围挡，防止物料泄漏时大面积扩散。不同种类原材料独立包装，加强巡查，及时发现破裂的容器，并及时进行维护与修补，防止物料腐蚀地面基础层，造成地下水污染。</w:t>
            </w:r>
          </w:p>
          <w:p w14:paraId="5E3BF9B6">
            <w:pPr>
              <w:keepNext w:val="0"/>
              <w:keepLines w:val="0"/>
              <w:pageBreakBefore w:val="0"/>
              <w:widowControl w:val="0"/>
              <w:kinsoku/>
              <w:wordWrap/>
              <w:overflowPunct/>
              <w:topLinePunct w:val="0"/>
              <w:autoSpaceDE/>
              <w:autoSpaceDN/>
              <w:bidi w:val="0"/>
              <w:adjustRightInd w:val="0"/>
              <w:snapToGrid w:val="0"/>
              <w:spacing w:line="360" w:lineRule="auto"/>
              <w:ind w:left="0" w:firstLine="480" w:firstLineChars="200"/>
              <w:textAlignment w:val="auto"/>
              <w:rPr>
                <w:rFonts w:hint="default" w:ascii="Times New Roman" w:hAnsi="Times New Roman" w:cs="Times New Roman"/>
                <w:bCs/>
                <w:color w:val="auto"/>
                <w:sz w:val="24"/>
                <w:highlight w:val="none"/>
              </w:rPr>
            </w:pPr>
            <w:r>
              <w:rPr>
                <w:rFonts w:hint="default" w:ascii="Times New Roman" w:hAnsi="Times New Roman" w:cs="Times New Roman"/>
                <w:bCs/>
                <w:color w:val="auto"/>
                <w:sz w:val="24"/>
                <w:highlight w:val="none"/>
              </w:rPr>
              <w:t>（3）危险废物暂存间</w:t>
            </w:r>
          </w:p>
          <w:p w14:paraId="438A5F74">
            <w:pPr>
              <w:pStyle w:val="66"/>
              <w:keepNext w:val="0"/>
              <w:keepLines w:val="0"/>
              <w:pageBreakBefore w:val="0"/>
              <w:widowControl w:val="0"/>
              <w:kinsoku/>
              <w:wordWrap/>
              <w:overflowPunct/>
              <w:topLinePunct w:val="0"/>
              <w:autoSpaceDE/>
              <w:autoSpaceDN/>
              <w:bidi w:val="0"/>
              <w:adjustRightInd w:val="0"/>
              <w:snapToGrid w:val="0"/>
              <w:spacing w:line="360" w:lineRule="auto"/>
              <w:ind w:left="0" w:firstLine="480" w:firstLineChars="200"/>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危险废物暂存间，按照《危险废物贮存污染控制标准》（GB18597-</w:t>
            </w:r>
            <w:r>
              <w:rPr>
                <w:rFonts w:hint="default" w:ascii="Times New Roman" w:hAnsi="Times New Roman" w:cs="Times New Roman"/>
                <w:color w:val="auto"/>
                <w:sz w:val="24"/>
                <w:highlight w:val="none"/>
                <w:lang w:val="en-US" w:eastAsia="zh-CN"/>
              </w:rPr>
              <w:t>2023</w:t>
            </w:r>
            <w:r>
              <w:rPr>
                <w:rFonts w:hint="default" w:ascii="Times New Roman" w:hAnsi="Times New Roman" w:cs="Times New Roman"/>
                <w:color w:val="auto"/>
                <w:sz w:val="24"/>
                <w:highlight w:val="none"/>
              </w:rPr>
              <w:t>）的相关要求进行设计并采取了相应的防渗措施，包括：</w:t>
            </w:r>
          </w:p>
          <w:p w14:paraId="4807976D">
            <w:pPr>
              <w:keepNext w:val="0"/>
              <w:keepLines w:val="0"/>
              <w:pageBreakBefore w:val="0"/>
              <w:widowControl w:val="0"/>
              <w:kinsoku/>
              <w:wordWrap/>
              <w:overflowPunct/>
              <w:topLinePunct w:val="0"/>
              <w:autoSpaceDE/>
              <w:autoSpaceDN/>
              <w:bidi w:val="0"/>
              <w:adjustRightInd w:val="0"/>
              <w:snapToGrid w:val="0"/>
              <w:spacing w:line="360" w:lineRule="auto"/>
              <w:ind w:left="0" w:firstLine="480" w:firstLineChars="200"/>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①危险废物暂存间基础设置防渗地坪，该防渗地坪的具体技术要求为“等效黏土防渗层</w:t>
            </w:r>
            <w:r>
              <w:rPr>
                <w:rFonts w:hint="default" w:ascii="Times New Roman" w:hAnsi="Times New Roman" w:cs="Times New Roman"/>
                <w:bCs/>
                <w:color w:val="auto"/>
                <w:spacing w:val="20"/>
                <w:sz w:val="24"/>
                <w:highlight w:val="none"/>
              </w:rPr>
              <w:t>Mb≥6.0m，</w:t>
            </w:r>
            <w:r>
              <w:rPr>
                <w:rFonts w:hint="default" w:ascii="Times New Roman" w:hAnsi="Times New Roman" w:cs="Times New Roman"/>
                <w:bCs/>
                <w:color w:val="auto"/>
                <w:sz w:val="24"/>
                <w:highlight w:val="none"/>
              </w:rPr>
              <w:t>渗透系数≤10</w:t>
            </w:r>
            <w:r>
              <w:rPr>
                <w:rFonts w:hint="default" w:ascii="Times New Roman" w:hAnsi="Times New Roman" w:cs="Times New Roman"/>
                <w:bCs/>
                <w:color w:val="auto"/>
                <w:sz w:val="24"/>
                <w:highlight w:val="none"/>
                <w:vertAlign w:val="superscript"/>
              </w:rPr>
              <w:t>-7</w:t>
            </w:r>
            <w:r>
              <w:rPr>
                <w:rFonts w:hint="default" w:ascii="Times New Roman" w:hAnsi="Times New Roman" w:cs="Times New Roman"/>
                <w:bCs/>
                <w:color w:val="auto"/>
                <w:sz w:val="24"/>
                <w:highlight w:val="none"/>
              </w:rPr>
              <w:t>cm/s</w:t>
            </w:r>
            <w:r>
              <w:rPr>
                <w:rFonts w:hint="default" w:ascii="Times New Roman" w:hAnsi="Times New Roman" w:cs="Times New Roman"/>
                <w:color w:val="auto"/>
                <w:sz w:val="24"/>
                <w:highlight w:val="none"/>
              </w:rPr>
              <w:t>”。</w:t>
            </w:r>
          </w:p>
          <w:p w14:paraId="2930AFF4">
            <w:pPr>
              <w:pStyle w:val="66"/>
              <w:keepNext w:val="0"/>
              <w:keepLines w:val="0"/>
              <w:pageBreakBefore w:val="0"/>
              <w:widowControl w:val="0"/>
              <w:kinsoku/>
              <w:wordWrap/>
              <w:overflowPunct/>
              <w:topLinePunct w:val="0"/>
              <w:autoSpaceDE/>
              <w:autoSpaceDN/>
              <w:bidi w:val="0"/>
              <w:adjustRightInd w:val="0"/>
              <w:snapToGrid w:val="0"/>
              <w:spacing w:line="360" w:lineRule="auto"/>
              <w:ind w:left="0" w:firstLine="480"/>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②地面与裙脚用坚固、防渗的材料建造，设计堵截泄漏的裙脚；衬里能够覆盖危险废物或其溶出物可能涉及到的范围。</w:t>
            </w:r>
          </w:p>
          <w:p w14:paraId="04927C33">
            <w:pPr>
              <w:pStyle w:val="66"/>
              <w:keepNext w:val="0"/>
              <w:keepLines w:val="0"/>
              <w:pageBreakBefore w:val="0"/>
              <w:widowControl w:val="0"/>
              <w:kinsoku/>
              <w:wordWrap/>
              <w:overflowPunct/>
              <w:topLinePunct w:val="0"/>
              <w:autoSpaceDE/>
              <w:autoSpaceDN/>
              <w:bidi w:val="0"/>
              <w:adjustRightInd w:val="0"/>
              <w:snapToGrid w:val="0"/>
              <w:spacing w:line="360" w:lineRule="auto"/>
              <w:ind w:left="0" w:firstLine="480"/>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③不相容的危险废物分开存放，并设有隔离间隔断，加强危险废物的管理，防止其包装出现破损、泄漏等问题；危险废物堆要防风、防雨、防晒等。</w:t>
            </w:r>
          </w:p>
          <w:p w14:paraId="306168B4">
            <w:pPr>
              <w:keepNext w:val="0"/>
              <w:keepLines w:val="0"/>
              <w:pageBreakBefore w:val="0"/>
              <w:widowControl w:val="0"/>
              <w:kinsoku/>
              <w:wordWrap/>
              <w:overflowPunct/>
              <w:topLinePunct w:val="0"/>
              <w:autoSpaceDE/>
              <w:autoSpaceDN/>
              <w:bidi w:val="0"/>
              <w:adjustRightInd w:val="0"/>
              <w:snapToGrid w:val="0"/>
              <w:spacing w:line="360" w:lineRule="auto"/>
              <w:ind w:left="0" w:firstLine="480" w:firstLineChars="200"/>
              <w:textAlignment w:val="auto"/>
              <w:rPr>
                <w:rFonts w:hint="default" w:ascii="Times New Roman" w:hAnsi="Times New Roman" w:cs="Times New Roman"/>
                <w:color w:val="auto"/>
                <w:sz w:val="24"/>
                <w:highlight w:val="none"/>
              </w:rPr>
            </w:pPr>
            <w:r>
              <w:rPr>
                <w:rFonts w:hint="default" w:ascii="Times New Roman" w:hAnsi="Times New Roman" w:cs="Times New Roman"/>
                <w:bCs/>
                <w:color w:val="auto"/>
                <w:kern w:val="21"/>
                <w:sz w:val="24"/>
                <w:highlight w:val="none"/>
              </w:rPr>
              <w:t>综上所述，项目在生产车间、仓库、一般固废暂存间和危险废物暂存间均采取措施后，不存在地下水污染途径。</w:t>
            </w:r>
          </w:p>
          <w:p w14:paraId="5657189F">
            <w:pPr>
              <w:keepNext w:val="0"/>
              <w:keepLines w:val="0"/>
              <w:pageBreakBefore w:val="0"/>
              <w:widowControl w:val="0"/>
              <w:kinsoku/>
              <w:wordWrap/>
              <w:overflowPunct/>
              <w:topLinePunct w:val="0"/>
              <w:autoSpaceDE/>
              <w:autoSpaceDN/>
              <w:bidi w:val="0"/>
              <w:adjustRightInd w:val="0"/>
              <w:snapToGrid w:val="0"/>
              <w:spacing w:line="360" w:lineRule="auto"/>
              <w:ind w:left="0" w:firstLine="480"/>
              <w:textAlignment w:val="auto"/>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5.2土壤</w:t>
            </w:r>
          </w:p>
          <w:p w14:paraId="4D434086">
            <w:pPr>
              <w:adjustRightInd w:val="0"/>
              <w:snapToGrid w:val="0"/>
              <w:spacing w:line="360" w:lineRule="auto"/>
              <w:ind w:firstLine="48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根据《环境影响评价技术导则 土壤环境》（HJ964-2018），污染类项目土壤环境影响的途径有三种：“大气沉降”，“地表漫流”，“垂直入渗”。</w:t>
            </w:r>
            <w:r>
              <w:rPr>
                <w:rFonts w:hint="default" w:ascii="Times New Roman" w:hAnsi="Times New Roman" w:eastAsia="宋体" w:cs="Times New Roman"/>
                <w:bCs/>
                <w:color w:val="auto"/>
                <w:kern w:val="21"/>
                <w:sz w:val="24"/>
                <w:highlight w:val="none"/>
                <w:lang w:eastAsia="zh-CN"/>
              </w:rPr>
              <w:t>本项目</w:t>
            </w:r>
            <w:r>
              <w:rPr>
                <w:rFonts w:hint="default" w:ascii="Times New Roman" w:hAnsi="Times New Roman" w:eastAsia="宋体" w:cs="Times New Roman"/>
                <w:bCs/>
                <w:color w:val="auto"/>
                <w:kern w:val="21"/>
                <w:sz w:val="24"/>
                <w:highlight w:val="none"/>
              </w:rPr>
              <w:t>的行业类别是</w:t>
            </w:r>
            <w:r>
              <w:rPr>
                <w:rFonts w:hint="default" w:ascii="Times New Roman" w:hAnsi="Times New Roman" w:eastAsia="宋体" w:cs="Times New Roman"/>
                <w:color w:val="auto"/>
                <w:sz w:val="24"/>
                <w:highlight w:val="none"/>
              </w:rPr>
              <w:t>55石膏、水泥制品制造及类似制品制造</w:t>
            </w:r>
            <w:r>
              <w:rPr>
                <w:rFonts w:hint="default" w:ascii="Times New Roman" w:hAnsi="Times New Roman" w:cs="Times New Roman"/>
                <w:color w:val="auto"/>
                <w:sz w:val="24"/>
                <w:highlight w:val="none"/>
              </w:rPr>
              <w:t>，根据《农用地土壤污染状况详查点位布设技术规定》的附表1，</w:t>
            </w:r>
            <w:r>
              <w:rPr>
                <w:rFonts w:hint="default" w:ascii="Times New Roman" w:hAnsi="Times New Roman" w:cs="Times New Roman"/>
                <w:color w:val="auto"/>
                <w:sz w:val="24"/>
                <w:highlight w:val="none"/>
                <w:lang w:eastAsia="zh-CN"/>
              </w:rPr>
              <w:t>本项目</w:t>
            </w:r>
            <w:r>
              <w:rPr>
                <w:rFonts w:hint="default" w:ascii="Times New Roman" w:hAnsi="Times New Roman" w:cs="Times New Roman"/>
                <w:color w:val="auto"/>
                <w:sz w:val="24"/>
                <w:highlight w:val="none"/>
              </w:rPr>
              <w:t>不属于“需考虑大气沉降影响的行业”，也不属于“需考虑地表产流的行业”</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因此</w:t>
            </w:r>
            <w:r>
              <w:rPr>
                <w:rFonts w:hint="default" w:ascii="Times New Roman" w:hAnsi="Times New Roman" w:cs="Times New Roman"/>
                <w:color w:val="auto"/>
                <w:sz w:val="24"/>
                <w:highlight w:val="none"/>
                <w:lang w:eastAsia="zh-CN"/>
              </w:rPr>
              <w:t>本项目</w:t>
            </w:r>
            <w:r>
              <w:rPr>
                <w:rFonts w:hint="default" w:ascii="Times New Roman" w:hAnsi="Times New Roman" w:cs="Times New Roman"/>
                <w:color w:val="auto"/>
                <w:sz w:val="24"/>
                <w:highlight w:val="none"/>
              </w:rPr>
              <w:t>不涉及大气沉降和地表漫流这两个土壤污染途径。</w:t>
            </w:r>
          </w:p>
          <w:p w14:paraId="2D14380A">
            <w:pPr>
              <w:adjustRightInd w:val="0"/>
              <w:snapToGrid w:val="0"/>
              <w:spacing w:line="360" w:lineRule="auto"/>
              <w:ind w:firstLine="480" w:firstLineChars="200"/>
              <w:rPr>
                <w:rFonts w:hint="default" w:ascii="Times New Roman" w:hAnsi="Times New Roman" w:cs="Times New Roman"/>
                <w:bCs/>
                <w:color w:val="auto"/>
                <w:spacing w:val="20"/>
                <w:sz w:val="24"/>
                <w:szCs w:val="21"/>
                <w:highlight w:val="none"/>
              </w:rPr>
            </w:pPr>
            <w:r>
              <w:rPr>
                <w:rFonts w:hint="default" w:ascii="Times New Roman" w:hAnsi="Times New Roman" w:cs="Times New Roman"/>
                <w:bCs/>
                <w:color w:val="auto"/>
                <w:kern w:val="21"/>
                <w:sz w:val="24"/>
                <w:highlight w:val="none"/>
              </w:rPr>
              <w:t>而项目在生产车间、仓库、一般固废暂存间和危险废物暂存间</w:t>
            </w:r>
            <w:r>
              <w:rPr>
                <w:rFonts w:hint="default" w:ascii="Times New Roman" w:hAnsi="Times New Roman" w:cs="Times New Roman"/>
                <w:bCs/>
                <w:color w:val="auto"/>
                <w:kern w:val="21"/>
                <w:sz w:val="24"/>
                <w:highlight w:val="none"/>
                <w:lang w:val="en-US" w:eastAsia="zh-CN"/>
              </w:rPr>
              <w:t>等</w:t>
            </w:r>
            <w:r>
              <w:rPr>
                <w:rFonts w:hint="default" w:ascii="Times New Roman" w:hAnsi="Times New Roman" w:cs="Times New Roman"/>
                <w:bCs/>
                <w:color w:val="auto"/>
                <w:kern w:val="21"/>
                <w:sz w:val="24"/>
                <w:highlight w:val="none"/>
              </w:rPr>
              <w:t>均采取措施后，无垂直入渗的途径，不存在土壤污染途径。</w:t>
            </w:r>
            <w:r>
              <w:rPr>
                <w:rFonts w:hint="default" w:ascii="Times New Roman" w:hAnsi="Times New Roman" w:cs="Times New Roman"/>
                <w:color w:val="auto"/>
                <w:sz w:val="24"/>
                <w:highlight w:val="none"/>
              </w:rPr>
              <w:t>综上所述，项目运营期不存在地下水、土壤污染途径，故不提出跟踪监测的相关要求。</w:t>
            </w:r>
          </w:p>
          <w:p w14:paraId="60E6DD1D">
            <w:pPr>
              <w:adjustRightInd w:val="0"/>
              <w:snapToGrid w:val="0"/>
              <w:spacing w:line="360" w:lineRule="auto"/>
              <w:ind w:firstLine="482" w:firstLineChars="200"/>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6.生态环境影响</w:t>
            </w:r>
          </w:p>
          <w:p w14:paraId="11EBE67C">
            <w:pPr>
              <w:keepNext w:val="0"/>
              <w:keepLines w:val="0"/>
              <w:pageBreakBefore w:val="0"/>
              <w:widowControl w:val="0"/>
              <w:kinsoku/>
              <w:wordWrap/>
              <w:overflowPunct/>
              <w:topLinePunct w:val="0"/>
              <w:bidi w:val="0"/>
              <w:adjustRightInd w:val="0"/>
              <w:snapToGrid w:val="0"/>
              <w:spacing w:line="360" w:lineRule="auto"/>
              <w:ind w:firstLine="480" w:firstLineChars="200"/>
              <w:textAlignment w:val="auto"/>
              <w:rPr>
                <w:rFonts w:hint="default" w:ascii="Times New Roman" w:hAnsi="Times New Roman" w:cs="Times New Roman"/>
                <w:bCs/>
                <w:color w:val="auto"/>
                <w:sz w:val="24"/>
                <w:highlight w:val="none"/>
                <w:lang w:eastAsia="zh-CN"/>
              </w:rPr>
            </w:pPr>
            <w:r>
              <w:rPr>
                <w:rFonts w:hint="default" w:ascii="Times New Roman" w:hAnsi="Times New Roman" w:cs="Times New Roman"/>
                <w:bCs/>
                <w:color w:val="auto"/>
                <w:sz w:val="24"/>
                <w:highlight w:val="none"/>
                <w:lang w:eastAsia="zh-CN"/>
              </w:rPr>
              <w:t>根据《建设项目环境影响报告表编制技术指南（污染影响类）（试行）》中“4. 生态环境。产业园区外建设项目新增用地的，应明确新增用地范围内生态环境保护目标”，项目用地范围内现状部分为</w:t>
            </w:r>
            <w:r>
              <w:rPr>
                <w:rFonts w:hint="default" w:ascii="Times New Roman" w:hAnsi="Times New Roman" w:cs="Times New Roman"/>
                <w:bCs/>
                <w:color w:val="auto"/>
                <w:sz w:val="24"/>
                <w:highlight w:val="none"/>
                <w:lang w:val="en-US" w:eastAsia="zh-CN"/>
              </w:rPr>
              <w:t>荒草</w:t>
            </w:r>
            <w:r>
              <w:rPr>
                <w:rFonts w:hint="default" w:ascii="Times New Roman" w:hAnsi="Times New Roman" w:cs="Times New Roman"/>
                <w:bCs/>
                <w:color w:val="auto"/>
                <w:sz w:val="24"/>
                <w:highlight w:val="none"/>
                <w:lang w:eastAsia="zh-CN"/>
              </w:rPr>
              <w:t>地，部分为裸地，不涉及水源保护区敏感目标、无自然保护区、森林公园等生态敏感目标。</w:t>
            </w:r>
          </w:p>
          <w:p w14:paraId="0E1E331F">
            <w:pPr>
              <w:keepNext w:val="0"/>
              <w:keepLines w:val="0"/>
              <w:pageBreakBefore w:val="0"/>
              <w:widowControl w:val="0"/>
              <w:kinsoku/>
              <w:wordWrap/>
              <w:overflowPunct/>
              <w:topLinePunct w:val="0"/>
              <w:bidi w:val="0"/>
              <w:adjustRightInd w:val="0"/>
              <w:snapToGrid w:val="0"/>
              <w:spacing w:line="360" w:lineRule="auto"/>
              <w:ind w:firstLine="482" w:firstLineChars="200"/>
              <w:textAlignment w:val="auto"/>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7.环境风险</w:t>
            </w:r>
          </w:p>
          <w:p w14:paraId="7F41E9B7">
            <w:pPr>
              <w:keepNext w:val="0"/>
              <w:keepLines w:val="0"/>
              <w:pageBreakBefore w:val="0"/>
              <w:widowControl w:val="0"/>
              <w:kinsoku/>
              <w:wordWrap/>
              <w:overflowPunct/>
              <w:topLinePunct w:val="0"/>
              <w:bidi w:val="0"/>
              <w:adjustRightInd w:val="0"/>
              <w:snapToGrid w:val="0"/>
              <w:spacing w:line="360" w:lineRule="auto"/>
              <w:ind w:firstLine="482" w:firstLineChars="200"/>
              <w:textAlignment w:val="auto"/>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7.1主要危险物质及分布：</w:t>
            </w:r>
          </w:p>
          <w:p w14:paraId="667E51DF">
            <w:pPr>
              <w:pStyle w:val="81"/>
              <w:keepNext w:val="0"/>
              <w:keepLines w:val="0"/>
              <w:pageBreakBefore w:val="0"/>
              <w:widowControl w:val="0"/>
              <w:kinsoku/>
              <w:wordWrap/>
              <w:overflowPunct/>
              <w:topLinePunct w:val="0"/>
              <w:autoSpaceDE w:val="0"/>
              <w:autoSpaceDN w:val="0"/>
              <w:bidi w:val="0"/>
              <w:snapToGrid w:val="0"/>
              <w:spacing w:line="360" w:lineRule="auto"/>
              <w:ind w:firstLine="480"/>
              <w:textAlignment w:val="auto"/>
              <w:rPr>
                <w:rFonts w:hint="default" w:ascii="Times New Roman" w:hAnsi="Times New Roman" w:cs="Times New Roman"/>
                <w:color w:val="auto"/>
                <w:sz w:val="24"/>
                <w:szCs w:val="24"/>
                <w:highlight w:val="none"/>
              </w:rPr>
            </w:pPr>
            <w:r>
              <w:rPr>
                <w:rFonts w:hint="default" w:ascii="Times New Roman" w:hAnsi="Times New Roman" w:eastAsia="宋体" w:cs="Times New Roman"/>
                <w:bCs/>
                <w:color w:val="auto"/>
                <w:kern w:val="2"/>
                <w:sz w:val="24"/>
                <w:szCs w:val="24"/>
                <w:highlight w:val="none"/>
                <w:lang w:val="en-US" w:eastAsia="zh-CN" w:bidi="ar-SA"/>
              </w:rPr>
              <w:t>根据《建设项目环境风险评价技术导则》（HJ169-2018）附录B，本项目涉及的危险物质为机油、废机油</w:t>
            </w:r>
            <w:r>
              <w:rPr>
                <w:rFonts w:hint="default" w:ascii="Times New Roman" w:hAnsi="Times New Roman" w:cs="Times New Roman"/>
                <w:bCs/>
                <w:color w:val="auto"/>
                <w:kern w:val="2"/>
                <w:sz w:val="24"/>
                <w:szCs w:val="24"/>
                <w:highlight w:val="none"/>
                <w:lang w:val="en-US" w:eastAsia="zh-CN" w:bidi="ar-SA"/>
              </w:rPr>
              <w:t>、管道天然气</w:t>
            </w:r>
            <w:r>
              <w:rPr>
                <w:rFonts w:hint="default" w:ascii="Times New Roman" w:hAnsi="Times New Roman" w:eastAsia="宋体" w:cs="Times New Roman"/>
                <w:bCs/>
                <w:color w:val="auto"/>
                <w:kern w:val="2"/>
                <w:sz w:val="24"/>
                <w:szCs w:val="24"/>
                <w:highlight w:val="none"/>
                <w:lang w:val="en-US" w:eastAsia="zh-CN" w:bidi="ar-SA"/>
              </w:rPr>
              <w:t>，主要分布：危险废物暂存间、</w:t>
            </w:r>
            <w:r>
              <w:rPr>
                <w:rFonts w:hint="default" w:ascii="Times New Roman" w:hAnsi="Times New Roman" w:cs="Times New Roman"/>
                <w:bCs/>
                <w:color w:val="auto"/>
                <w:kern w:val="2"/>
                <w:sz w:val="24"/>
                <w:szCs w:val="24"/>
                <w:highlight w:val="none"/>
                <w:lang w:val="en-US" w:eastAsia="zh-CN" w:bidi="ar-SA"/>
              </w:rPr>
              <w:t>原料</w:t>
            </w:r>
            <w:r>
              <w:rPr>
                <w:rFonts w:hint="default" w:ascii="Times New Roman" w:hAnsi="Times New Roman" w:eastAsia="宋体" w:cs="Times New Roman"/>
                <w:bCs/>
                <w:color w:val="auto"/>
                <w:kern w:val="2"/>
                <w:sz w:val="24"/>
                <w:szCs w:val="24"/>
                <w:highlight w:val="none"/>
                <w:lang w:val="en-US" w:eastAsia="zh-CN" w:bidi="ar-SA"/>
              </w:rPr>
              <w:t>仓库。据《建设项目环境风险评价技术导则》（HJ169-2018）中“附录B重点关注的危险物质及临界量”的油类物质（矿物油类，如石油、汽油、柴油等；生物柴油等）临界量推荐值为2500t，</w:t>
            </w:r>
            <w:r>
              <w:rPr>
                <w:rFonts w:hint="default" w:ascii="Times New Roman" w:hAnsi="Times New Roman" w:cs="Times New Roman"/>
                <w:bCs/>
                <w:color w:val="auto"/>
                <w:kern w:val="2"/>
                <w:sz w:val="24"/>
                <w:szCs w:val="24"/>
                <w:highlight w:val="none"/>
                <w:lang w:val="en-US" w:eastAsia="zh-CN" w:bidi="ar-SA"/>
              </w:rPr>
              <w:t>甲烷临界值为10t。</w:t>
            </w:r>
            <w:r>
              <w:rPr>
                <w:rFonts w:hint="default" w:ascii="Times New Roman" w:hAnsi="Times New Roman" w:eastAsia="宋体" w:cs="Times New Roman"/>
                <w:bCs/>
                <w:color w:val="auto"/>
                <w:kern w:val="2"/>
                <w:sz w:val="24"/>
                <w:szCs w:val="24"/>
                <w:highlight w:val="none"/>
                <w:lang w:val="en-US" w:eastAsia="zh-CN" w:bidi="ar-SA"/>
              </w:rPr>
              <w:t>计算得出本项目危险物质数量与临界量比值Q=</w:t>
            </w:r>
            <w:r>
              <w:rPr>
                <w:rFonts w:hint="default" w:ascii="Times New Roman" w:hAnsi="Times New Roman" w:cs="Times New Roman"/>
                <w:bCs/>
                <w:color w:val="auto"/>
                <w:kern w:val="2"/>
                <w:sz w:val="24"/>
                <w:szCs w:val="24"/>
                <w:highlight w:val="none"/>
                <w:lang w:val="en-US" w:eastAsia="zh-CN" w:bidi="ar-SA"/>
              </w:rPr>
              <w:t>0.000996</w:t>
            </w:r>
            <w:r>
              <w:rPr>
                <w:rFonts w:hint="default" w:ascii="Times New Roman" w:hAnsi="Times New Roman" w:eastAsia="宋体" w:cs="Times New Roman"/>
                <w:bCs/>
                <w:color w:val="auto"/>
                <w:kern w:val="2"/>
                <w:sz w:val="24"/>
                <w:szCs w:val="24"/>
                <w:highlight w:val="none"/>
                <w:lang w:val="en-US" w:eastAsia="zh-CN" w:bidi="ar-SA"/>
              </w:rPr>
              <w:t>&lt;1，则</w:t>
            </w:r>
            <w:r>
              <w:rPr>
                <w:rFonts w:hint="default" w:ascii="Times New Roman" w:hAnsi="Times New Roman" w:cs="Times New Roman"/>
                <w:color w:val="auto"/>
                <w:sz w:val="24"/>
                <w:szCs w:val="24"/>
                <w:highlight w:val="none"/>
              </w:rPr>
              <w:t>本项目环境风险潜势为Ⅰ，具体情况如下表：</w:t>
            </w:r>
          </w:p>
          <w:p w14:paraId="4A7C4F07">
            <w:pPr>
              <w:autoSpaceDE w:val="0"/>
              <w:autoSpaceDN w:val="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表</w:t>
            </w:r>
            <w:r>
              <w:rPr>
                <w:rFonts w:hint="default" w:ascii="Times New Roman" w:hAnsi="Times New Roman" w:cs="Times New Roman"/>
                <w:b/>
                <w:bCs/>
                <w:color w:val="auto"/>
                <w:szCs w:val="21"/>
                <w:highlight w:val="none"/>
                <w:lang w:val="en-US" w:eastAsia="zh-CN"/>
              </w:rPr>
              <w:t>4-25</w:t>
            </w:r>
            <w:r>
              <w:rPr>
                <w:rFonts w:hint="default" w:ascii="Times New Roman" w:hAnsi="Times New Roman" w:cs="Times New Roman"/>
                <w:b/>
                <w:bCs/>
                <w:color w:val="auto"/>
                <w:szCs w:val="21"/>
                <w:highlight w:val="none"/>
              </w:rPr>
              <w:t xml:space="preserve"> 危险物质数量与临界量比值Q核算表</w:t>
            </w:r>
          </w:p>
          <w:tbl>
            <w:tblPr>
              <w:tblStyle w:val="34"/>
              <w:tblW w:w="92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3"/>
              <w:gridCol w:w="1470"/>
              <w:gridCol w:w="1425"/>
              <w:gridCol w:w="2632"/>
              <w:gridCol w:w="1487"/>
              <w:gridCol w:w="1599"/>
            </w:tblGrid>
            <w:tr w14:paraId="1C6FF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3" w:type="dxa"/>
                  <w:noWrap w:val="0"/>
                  <w:vAlign w:val="center"/>
                </w:tcPr>
                <w:p w14:paraId="6B8C71DD">
                  <w:pPr>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序号</w:t>
                  </w:r>
                </w:p>
              </w:tc>
              <w:tc>
                <w:tcPr>
                  <w:tcW w:w="1470" w:type="dxa"/>
                  <w:noWrap w:val="0"/>
                  <w:vAlign w:val="center"/>
                </w:tcPr>
                <w:p w14:paraId="4803022A">
                  <w:pPr>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危化品名</w:t>
                  </w:r>
                </w:p>
              </w:tc>
              <w:tc>
                <w:tcPr>
                  <w:tcW w:w="1425" w:type="dxa"/>
                  <w:noWrap w:val="0"/>
                  <w:vAlign w:val="center"/>
                </w:tcPr>
                <w:p w14:paraId="5A410296">
                  <w:pPr>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临界量Qi（t）</w:t>
                  </w:r>
                </w:p>
              </w:tc>
              <w:tc>
                <w:tcPr>
                  <w:tcW w:w="2632" w:type="dxa"/>
                  <w:noWrap w:val="0"/>
                  <w:vAlign w:val="center"/>
                </w:tcPr>
                <w:p w14:paraId="7EDE218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突发事件案例以及遇水反应生成的物质</w:t>
                  </w:r>
                </w:p>
              </w:tc>
              <w:tc>
                <w:tcPr>
                  <w:tcW w:w="1487" w:type="dxa"/>
                  <w:noWrap w:val="0"/>
                  <w:vAlign w:val="center"/>
                </w:tcPr>
                <w:p w14:paraId="4383D527">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厂内最大存在量qi（t）</w:t>
                  </w:r>
                </w:p>
              </w:tc>
              <w:tc>
                <w:tcPr>
                  <w:tcW w:w="1599" w:type="dxa"/>
                  <w:noWrap w:val="0"/>
                  <w:vAlign w:val="center"/>
                </w:tcPr>
                <w:p w14:paraId="4CEC7A97">
                  <w:pPr>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qi/Qi</w:t>
                  </w:r>
                </w:p>
              </w:tc>
            </w:tr>
            <w:tr w14:paraId="43B73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43" w:type="dxa"/>
                  <w:noWrap w:val="0"/>
                  <w:vAlign w:val="center"/>
                </w:tcPr>
                <w:p w14:paraId="488C5B52">
                  <w:pPr>
                    <w:jc w:val="center"/>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val="en-US" w:eastAsia="zh-CN"/>
                    </w:rPr>
                    <w:t>1</w:t>
                  </w:r>
                </w:p>
              </w:tc>
              <w:tc>
                <w:tcPr>
                  <w:tcW w:w="1470" w:type="dxa"/>
                  <w:noWrap w:val="0"/>
                  <w:vAlign w:val="center"/>
                </w:tcPr>
                <w:p w14:paraId="2753AABC">
                  <w:pPr>
                    <w:jc w:val="center"/>
                    <w:rPr>
                      <w:rFonts w:hint="default" w:ascii="Times New Roman" w:hAnsi="Times New Roman" w:cs="Times New Roman"/>
                      <w:color w:val="auto"/>
                      <w:highlight w:val="none"/>
                    </w:rPr>
                  </w:pPr>
                  <w:r>
                    <w:rPr>
                      <w:rFonts w:hint="default" w:ascii="Times New Roman" w:hAnsi="Times New Roman" w:cs="Times New Roman"/>
                      <w:color w:val="auto"/>
                      <w:szCs w:val="21"/>
                      <w:highlight w:val="none"/>
                    </w:rPr>
                    <w:t>机油</w:t>
                  </w:r>
                </w:p>
              </w:tc>
              <w:tc>
                <w:tcPr>
                  <w:tcW w:w="1425" w:type="dxa"/>
                  <w:noWrap w:val="0"/>
                  <w:vAlign w:val="center"/>
                </w:tcPr>
                <w:p w14:paraId="3604FACF">
                  <w:pPr>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2500</w:t>
                  </w:r>
                </w:p>
              </w:tc>
              <w:tc>
                <w:tcPr>
                  <w:tcW w:w="2632" w:type="dxa"/>
                  <w:noWrap w:val="0"/>
                  <w:vAlign w:val="center"/>
                </w:tcPr>
                <w:p w14:paraId="21D55898">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c>
                <w:tcPr>
                  <w:tcW w:w="1487" w:type="dxa"/>
                  <w:noWrap w:val="0"/>
                  <w:vAlign w:val="center"/>
                </w:tcPr>
                <w:p w14:paraId="4235B4FC">
                  <w:pPr>
                    <w:jc w:val="center"/>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val="en-US" w:eastAsia="zh-CN"/>
                    </w:rPr>
                    <w:t>0.2</w:t>
                  </w:r>
                </w:p>
              </w:tc>
              <w:tc>
                <w:tcPr>
                  <w:tcW w:w="1599" w:type="dxa"/>
                  <w:noWrap w:val="0"/>
                  <w:vAlign w:val="center"/>
                </w:tcPr>
                <w:p w14:paraId="44D14860">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0.00008</w:t>
                  </w:r>
                </w:p>
              </w:tc>
            </w:tr>
            <w:tr w14:paraId="194A5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643" w:type="dxa"/>
                  <w:noWrap w:val="0"/>
                  <w:vAlign w:val="center"/>
                </w:tcPr>
                <w:p w14:paraId="410965E7">
                  <w:pPr>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w:t>
                  </w:r>
                </w:p>
              </w:tc>
              <w:tc>
                <w:tcPr>
                  <w:tcW w:w="1470" w:type="dxa"/>
                  <w:noWrap w:val="0"/>
                  <w:vAlign w:val="center"/>
                </w:tcPr>
                <w:p w14:paraId="3A349B38">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废机油</w:t>
                  </w:r>
                </w:p>
              </w:tc>
              <w:tc>
                <w:tcPr>
                  <w:tcW w:w="1425" w:type="dxa"/>
                  <w:noWrap w:val="0"/>
                  <w:vAlign w:val="center"/>
                </w:tcPr>
                <w:p w14:paraId="3F6D873F">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2500</w:t>
                  </w:r>
                </w:p>
              </w:tc>
              <w:tc>
                <w:tcPr>
                  <w:tcW w:w="2632" w:type="dxa"/>
                  <w:noWrap w:val="0"/>
                  <w:vAlign w:val="center"/>
                </w:tcPr>
                <w:p w14:paraId="5913FC33">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c>
                <w:tcPr>
                  <w:tcW w:w="1487" w:type="dxa"/>
                  <w:noWrap w:val="0"/>
                  <w:vAlign w:val="center"/>
                </w:tcPr>
                <w:p w14:paraId="3DC4BC30">
                  <w:pPr>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szCs w:val="21"/>
                      <w:highlight w:val="none"/>
                      <w:lang w:val="en-US" w:eastAsia="zh-CN"/>
                    </w:rPr>
                    <w:t>0.04</w:t>
                  </w:r>
                </w:p>
              </w:tc>
              <w:tc>
                <w:tcPr>
                  <w:tcW w:w="1599" w:type="dxa"/>
                  <w:noWrap w:val="0"/>
                  <w:vAlign w:val="center"/>
                </w:tcPr>
                <w:p w14:paraId="2DD47452">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0.000016</w:t>
                  </w:r>
                </w:p>
              </w:tc>
            </w:tr>
            <w:tr w14:paraId="47707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643" w:type="dxa"/>
                  <w:noWrap w:val="0"/>
                  <w:vAlign w:val="center"/>
                </w:tcPr>
                <w:p w14:paraId="5FBA8ACB">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3</w:t>
                  </w:r>
                </w:p>
              </w:tc>
              <w:tc>
                <w:tcPr>
                  <w:tcW w:w="1470" w:type="dxa"/>
                  <w:noWrap w:val="0"/>
                  <w:vAlign w:val="center"/>
                </w:tcPr>
                <w:p w14:paraId="5334E459">
                  <w:pPr>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管道天然气</w:t>
                  </w:r>
                </w:p>
              </w:tc>
              <w:tc>
                <w:tcPr>
                  <w:tcW w:w="1425" w:type="dxa"/>
                  <w:noWrap w:val="0"/>
                  <w:vAlign w:val="center"/>
                </w:tcPr>
                <w:p w14:paraId="70B6004E">
                  <w:pPr>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lang w:val="en-US" w:eastAsia="zh-CN"/>
                    </w:rPr>
                    <w:t>10</w:t>
                  </w:r>
                </w:p>
              </w:tc>
              <w:tc>
                <w:tcPr>
                  <w:tcW w:w="2632" w:type="dxa"/>
                  <w:noWrap w:val="0"/>
                  <w:vAlign w:val="center"/>
                </w:tcPr>
                <w:p w14:paraId="75B4860A">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c>
                <w:tcPr>
                  <w:tcW w:w="1487" w:type="dxa"/>
                  <w:noWrap w:val="0"/>
                  <w:vAlign w:val="center"/>
                </w:tcPr>
                <w:p w14:paraId="22EED331">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0.009</w:t>
                  </w:r>
                </w:p>
              </w:tc>
              <w:tc>
                <w:tcPr>
                  <w:tcW w:w="1599" w:type="dxa"/>
                  <w:noWrap w:val="0"/>
                  <w:vAlign w:val="center"/>
                </w:tcPr>
                <w:p w14:paraId="5AF5BED9">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0.0009</w:t>
                  </w:r>
                </w:p>
              </w:tc>
            </w:tr>
            <w:tr w14:paraId="3D361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657" w:type="dxa"/>
                  <w:gridSpan w:val="5"/>
                  <w:noWrap w:val="0"/>
                  <w:vAlign w:val="center"/>
                </w:tcPr>
                <w:p w14:paraId="46418C8F">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object>
                      <v:shape id="_x0000_i1026" o:spt="75" type="#_x0000_t75" style="height:20.8pt;width:28.15pt;" o:ole="t" filled="f" o:preferrelative="t" stroked="f" coordsize="21600,21600">
                        <v:path/>
                        <v:fill on="f" focussize="0,0"/>
                        <v:stroke on="f"/>
                        <v:imagedata r:id="rId33" o:title=""/>
                        <o:lock v:ext="edit" aspectratio="t"/>
                        <w10:wrap type="none"/>
                        <w10:anchorlock/>
                      </v:shape>
                      <o:OLEObject Type="Embed" ProgID="Equation.3" ShapeID="_x0000_i1026" DrawAspect="Content" ObjectID="_1468075726" r:id="rId32">
                        <o:LockedField>false</o:LockedField>
                      </o:OLEObject>
                    </w:object>
                  </w:r>
                </w:p>
              </w:tc>
              <w:tc>
                <w:tcPr>
                  <w:tcW w:w="1599" w:type="dxa"/>
                  <w:noWrap w:val="0"/>
                  <w:vAlign w:val="center"/>
                </w:tcPr>
                <w:p w14:paraId="41B6A4D5">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0.000996</w:t>
                  </w:r>
                </w:p>
              </w:tc>
            </w:tr>
            <w:tr w14:paraId="06D9E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256" w:type="dxa"/>
                  <w:gridSpan w:val="6"/>
                  <w:noWrap w:val="0"/>
                  <w:vAlign w:val="center"/>
                </w:tcPr>
                <w:p w14:paraId="2551962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highlight w:val="none"/>
                      <w:lang w:val="en-US" w:eastAsia="zh-CN"/>
                    </w:rPr>
                  </w:pPr>
                  <w:r>
                    <w:rPr>
                      <w:rFonts w:hint="default" w:ascii="Times New Roman" w:hAnsi="Times New Roman" w:eastAsia="宋体" w:cs="Times New Roman"/>
                      <w:b/>
                      <w:bCs/>
                      <w:color w:val="auto"/>
                      <w:highlight w:val="none"/>
                      <w:lang w:val="en-US" w:eastAsia="zh-CN"/>
                    </w:rPr>
                    <w:t>由于管道天然气的甲烷的临界值均为10t，根据前文管道天然气的用量核算可知，管道天然气在厂区管道的最大缓存量为0.009t。</w:t>
                  </w:r>
                </w:p>
              </w:tc>
            </w:tr>
          </w:tbl>
          <w:p w14:paraId="01DD965E">
            <w:pPr>
              <w:pStyle w:val="13"/>
              <w:keepNext w:val="0"/>
              <w:keepLines w:val="0"/>
              <w:pageBreakBefore w:val="0"/>
              <w:widowControl w:val="0"/>
              <w:kinsoku/>
              <w:wordWrap/>
              <w:overflowPunct/>
              <w:topLinePunct w:val="0"/>
              <w:autoSpaceDE/>
              <w:autoSpaceDN/>
              <w:bidi w:val="0"/>
              <w:adjustRightInd w:val="0"/>
              <w:snapToGrid w:val="0"/>
              <w:spacing w:line="360" w:lineRule="auto"/>
              <w:ind w:firstLine="480"/>
              <w:textAlignment w:val="auto"/>
              <w:rPr>
                <w:rFonts w:hint="default" w:ascii="Times New Roman" w:hAnsi="Times New Roman" w:cs="Times New Roman"/>
                <w:b/>
                <w:bCs/>
                <w:color w:val="auto"/>
                <w:szCs w:val="24"/>
                <w:highlight w:val="none"/>
              </w:rPr>
            </w:pPr>
            <w:r>
              <w:rPr>
                <w:rFonts w:hint="default" w:ascii="Times New Roman" w:hAnsi="Times New Roman" w:cs="Times New Roman"/>
                <w:b/>
                <w:bCs/>
                <w:color w:val="auto"/>
                <w:szCs w:val="24"/>
                <w:highlight w:val="none"/>
                <w:lang w:val="en-US" w:eastAsia="zh-CN"/>
              </w:rPr>
              <w:t>7.2</w:t>
            </w:r>
            <w:r>
              <w:rPr>
                <w:rFonts w:hint="default" w:ascii="Times New Roman" w:hAnsi="Times New Roman" w:cs="Times New Roman"/>
                <w:b/>
                <w:bCs/>
                <w:color w:val="auto"/>
                <w:szCs w:val="24"/>
                <w:highlight w:val="none"/>
              </w:rPr>
              <w:t>环境风险识别</w:t>
            </w:r>
          </w:p>
          <w:p w14:paraId="7BCD43A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通过对本项目所涉及的物质、生产设施、环保设施进行风险识别，得出项目可能存在的风险源及可能发生的风险事故如下表。</w:t>
            </w:r>
          </w:p>
          <w:p w14:paraId="758E4C09">
            <w:pPr>
              <w:widowControl/>
              <w:jc w:val="center"/>
              <w:rPr>
                <w:rFonts w:hint="default" w:ascii="Times New Roman" w:hAnsi="Times New Roman" w:cs="Times New Roman"/>
                <w:b/>
                <w:bCs/>
                <w:color w:val="auto"/>
                <w:kern w:val="0"/>
                <w:sz w:val="22"/>
                <w:szCs w:val="22"/>
                <w:highlight w:val="none"/>
                <w:lang w:bidi="ar"/>
              </w:rPr>
            </w:pPr>
            <w:r>
              <w:rPr>
                <w:rFonts w:hint="default" w:ascii="Times New Roman" w:hAnsi="Times New Roman" w:cs="Times New Roman"/>
                <w:b/>
                <w:bCs/>
                <w:color w:val="auto"/>
                <w:kern w:val="0"/>
                <w:sz w:val="22"/>
                <w:szCs w:val="22"/>
                <w:highlight w:val="none"/>
                <w:lang w:bidi="ar"/>
              </w:rPr>
              <w:t>表</w:t>
            </w:r>
            <w:r>
              <w:rPr>
                <w:rFonts w:hint="default" w:ascii="Times New Roman" w:hAnsi="Times New Roman" w:cs="Times New Roman"/>
                <w:b/>
                <w:bCs/>
                <w:color w:val="auto"/>
                <w:kern w:val="0"/>
                <w:sz w:val="22"/>
                <w:szCs w:val="22"/>
                <w:highlight w:val="none"/>
                <w:lang w:val="en-US" w:eastAsia="zh-CN" w:bidi="ar"/>
              </w:rPr>
              <w:t>4-26</w:t>
            </w:r>
            <w:r>
              <w:rPr>
                <w:rFonts w:hint="default" w:ascii="Times New Roman" w:hAnsi="Times New Roman" w:cs="Times New Roman"/>
                <w:b/>
                <w:bCs/>
                <w:color w:val="auto"/>
                <w:kern w:val="0"/>
                <w:sz w:val="22"/>
                <w:szCs w:val="22"/>
                <w:highlight w:val="none"/>
                <w:lang w:bidi="ar"/>
              </w:rPr>
              <w:t>项目环境风险识别一览表</w:t>
            </w:r>
          </w:p>
          <w:tbl>
            <w:tblPr>
              <w:tblStyle w:val="35"/>
              <w:tblW w:w="92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4"/>
              <w:gridCol w:w="1817"/>
              <w:gridCol w:w="2518"/>
              <w:gridCol w:w="1485"/>
              <w:gridCol w:w="1684"/>
            </w:tblGrid>
            <w:tr w14:paraId="435AF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754" w:type="dxa"/>
                  <w:noWrap w:val="0"/>
                  <w:vAlign w:val="center"/>
                </w:tcPr>
                <w:p w14:paraId="7A13118D">
                  <w:pPr>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风险单元</w:t>
                  </w:r>
                </w:p>
              </w:tc>
              <w:tc>
                <w:tcPr>
                  <w:tcW w:w="1817" w:type="dxa"/>
                  <w:noWrap w:val="0"/>
                  <w:vAlign w:val="center"/>
                </w:tcPr>
                <w:p w14:paraId="2220CB44">
                  <w:pPr>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风险源</w:t>
                  </w:r>
                </w:p>
              </w:tc>
              <w:tc>
                <w:tcPr>
                  <w:tcW w:w="2518" w:type="dxa"/>
                  <w:noWrap w:val="0"/>
                  <w:vAlign w:val="center"/>
                </w:tcPr>
                <w:p w14:paraId="199DCB85">
                  <w:pPr>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主要危险物质</w:t>
                  </w:r>
                </w:p>
              </w:tc>
              <w:tc>
                <w:tcPr>
                  <w:tcW w:w="1485" w:type="dxa"/>
                  <w:noWrap w:val="0"/>
                  <w:vAlign w:val="center"/>
                </w:tcPr>
                <w:p w14:paraId="30E875F5">
                  <w:pPr>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环境风险类型</w:t>
                  </w:r>
                </w:p>
              </w:tc>
              <w:tc>
                <w:tcPr>
                  <w:tcW w:w="1684" w:type="dxa"/>
                  <w:noWrap w:val="0"/>
                  <w:vAlign w:val="center"/>
                </w:tcPr>
                <w:p w14:paraId="68EFD65B">
                  <w:pPr>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环境影响途径</w:t>
                  </w:r>
                </w:p>
              </w:tc>
            </w:tr>
            <w:tr w14:paraId="5C29D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1754" w:type="dxa"/>
                  <w:noWrap w:val="0"/>
                  <w:vAlign w:val="center"/>
                </w:tcPr>
                <w:p w14:paraId="1252DA45">
                  <w:pPr>
                    <w:jc w:val="center"/>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原料仓库</w:t>
                  </w:r>
                </w:p>
              </w:tc>
              <w:tc>
                <w:tcPr>
                  <w:tcW w:w="1817" w:type="dxa"/>
                  <w:noWrap w:val="0"/>
                  <w:vAlign w:val="center"/>
                </w:tcPr>
                <w:p w14:paraId="104EDED0">
                  <w:pPr>
                    <w:jc w:val="center"/>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储存</w:t>
                  </w:r>
                </w:p>
              </w:tc>
              <w:tc>
                <w:tcPr>
                  <w:tcW w:w="2518" w:type="dxa"/>
                  <w:noWrap w:val="0"/>
                  <w:vAlign w:val="center"/>
                </w:tcPr>
                <w:p w14:paraId="160C5FCC">
                  <w:pPr>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机油</w:t>
                  </w:r>
                  <w:r>
                    <w:rPr>
                      <w:rFonts w:hint="default" w:ascii="Times New Roman" w:hAnsi="Times New Roman" w:cs="Times New Roman"/>
                      <w:color w:val="auto"/>
                      <w:highlight w:val="none"/>
                      <w:lang w:val="en-US" w:eastAsia="zh-CN"/>
                    </w:rPr>
                    <w:t>、脱模剂、管道天然气</w:t>
                  </w:r>
                  <w:r>
                    <w:rPr>
                      <w:rFonts w:hint="default" w:ascii="Times New Roman" w:hAnsi="Times New Roman" w:eastAsia="宋体" w:cs="Times New Roman"/>
                      <w:color w:val="auto"/>
                      <w:highlight w:val="none"/>
                      <w:lang w:val="en-US" w:eastAsia="zh-CN"/>
                    </w:rPr>
                    <w:t>等</w:t>
                  </w:r>
                </w:p>
              </w:tc>
              <w:tc>
                <w:tcPr>
                  <w:tcW w:w="1485" w:type="dxa"/>
                  <w:noWrap w:val="0"/>
                  <w:vAlign w:val="center"/>
                </w:tcPr>
                <w:p w14:paraId="0DAC92FD">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泄漏、火灾</w:t>
                  </w:r>
                </w:p>
              </w:tc>
              <w:tc>
                <w:tcPr>
                  <w:tcW w:w="1684" w:type="dxa"/>
                  <w:noWrap w:val="0"/>
                  <w:vAlign w:val="center"/>
                </w:tcPr>
                <w:p w14:paraId="5EA8A886">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大气、地表水</w:t>
                  </w:r>
                </w:p>
              </w:tc>
            </w:tr>
            <w:tr w14:paraId="64E18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754" w:type="dxa"/>
                  <w:noWrap w:val="0"/>
                  <w:vAlign w:val="center"/>
                </w:tcPr>
                <w:p w14:paraId="70EF3758">
                  <w:pPr>
                    <w:jc w:val="center"/>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cs="Times New Roman"/>
                      <w:color w:val="auto"/>
                      <w:highlight w:val="none"/>
                    </w:rPr>
                    <w:t>危险废物暂存间</w:t>
                  </w:r>
                </w:p>
              </w:tc>
              <w:tc>
                <w:tcPr>
                  <w:tcW w:w="1817" w:type="dxa"/>
                  <w:noWrap w:val="0"/>
                  <w:vAlign w:val="center"/>
                </w:tcPr>
                <w:p w14:paraId="4F9EEF2E">
                  <w:pPr>
                    <w:jc w:val="center"/>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cs="Times New Roman"/>
                      <w:color w:val="auto"/>
                      <w:highlight w:val="none"/>
                    </w:rPr>
                    <w:t>储存</w:t>
                  </w:r>
                </w:p>
              </w:tc>
              <w:tc>
                <w:tcPr>
                  <w:tcW w:w="2518" w:type="dxa"/>
                  <w:noWrap w:val="0"/>
                  <w:vAlign w:val="center"/>
                </w:tcPr>
                <w:p w14:paraId="5FCF54A3">
                  <w:pPr>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cs="Times New Roman"/>
                      <w:color w:val="auto"/>
                      <w:highlight w:val="none"/>
                      <w:lang w:eastAsia="zh-CN"/>
                    </w:rPr>
                    <w:t>机油、废机油等</w:t>
                  </w:r>
                </w:p>
              </w:tc>
              <w:tc>
                <w:tcPr>
                  <w:tcW w:w="1485" w:type="dxa"/>
                  <w:noWrap w:val="0"/>
                  <w:vAlign w:val="center"/>
                </w:tcPr>
                <w:p w14:paraId="0477D3E3">
                  <w:pPr>
                    <w:jc w:val="center"/>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cs="Times New Roman"/>
                      <w:color w:val="auto"/>
                      <w:highlight w:val="none"/>
                    </w:rPr>
                    <w:t>泄漏、火灾</w:t>
                  </w:r>
                </w:p>
              </w:tc>
              <w:tc>
                <w:tcPr>
                  <w:tcW w:w="1684" w:type="dxa"/>
                  <w:noWrap w:val="0"/>
                  <w:vAlign w:val="center"/>
                </w:tcPr>
                <w:p w14:paraId="01D5CA58">
                  <w:pPr>
                    <w:jc w:val="center"/>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cs="Times New Roman"/>
                      <w:color w:val="auto"/>
                      <w:highlight w:val="none"/>
                    </w:rPr>
                    <w:t>大气、地表水</w:t>
                  </w:r>
                </w:p>
              </w:tc>
            </w:tr>
            <w:tr w14:paraId="2843A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754" w:type="dxa"/>
                  <w:noWrap w:val="0"/>
                  <w:vAlign w:val="center"/>
                </w:tcPr>
                <w:p w14:paraId="75D1B2AF">
                  <w:pPr>
                    <w:jc w:val="center"/>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cs="Times New Roman"/>
                      <w:color w:val="auto"/>
                      <w:highlight w:val="none"/>
                    </w:rPr>
                    <w:t>废</w:t>
                  </w:r>
                  <w:r>
                    <w:rPr>
                      <w:rFonts w:hint="default" w:ascii="Times New Roman" w:hAnsi="Times New Roman" w:cs="Times New Roman"/>
                      <w:color w:val="auto"/>
                      <w:highlight w:val="none"/>
                      <w:lang w:val="en-US" w:eastAsia="zh-CN"/>
                    </w:rPr>
                    <w:t>水</w:t>
                  </w:r>
                  <w:r>
                    <w:rPr>
                      <w:rFonts w:hint="default" w:ascii="Times New Roman" w:hAnsi="Times New Roman" w:cs="Times New Roman"/>
                      <w:color w:val="auto"/>
                      <w:highlight w:val="none"/>
                    </w:rPr>
                    <w:t>处理设施</w:t>
                  </w:r>
                </w:p>
              </w:tc>
              <w:tc>
                <w:tcPr>
                  <w:tcW w:w="1817" w:type="dxa"/>
                  <w:noWrap w:val="0"/>
                  <w:vAlign w:val="center"/>
                </w:tcPr>
                <w:p w14:paraId="14A3E22B">
                  <w:pPr>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cs="Times New Roman"/>
                      <w:color w:val="auto"/>
                      <w:highlight w:val="none"/>
                      <w:lang w:val="en-US" w:eastAsia="zh-CN"/>
                    </w:rPr>
                    <w:t>三级沉淀池</w:t>
                  </w:r>
                </w:p>
              </w:tc>
              <w:tc>
                <w:tcPr>
                  <w:tcW w:w="2518" w:type="dxa"/>
                  <w:noWrap w:val="0"/>
                  <w:vAlign w:val="center"/>
                </w:tcPr>
                <w:p w14:paraId="1A84A36B">
                  <w:pPr>
                    <w:jc w:val="center"/>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cs="Times New Roman"/>
                      <w:color w:val="auto"/>
                      <w:kern w:val="2"/>
                      <w:sz w:val="21"/>
                      <w:szCs w:val="24"/>
                      <w:highlight w:val="none"/>
                      <w:lang w:val="en-US" w:eastAsia="zh-CN" w:bidi="ar-SA"/>
                    </w:rPr>
                    <w:t>清洗废水等</w:t>
                  </w:r>
                </w:p>
              </w:tc>
              <w:tc>
                <w:tcPr>
                  <w:tcW w:w="1485" w:type="dxa"/>
                  <w:noWrap w:val="0"/>
                  <w:vAlign w:val="center"/>
                </w:tcPr>
                <w:p w14:paraId="268F99A3">
                  <w:pPr>
                    <w:jc w:val="center"/>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cs="Times New Roman"/>
                      <w:color w:val="auto"/>
                      <w:highlight w:val="none"/>
                    </w:rPr>
                    <w:t>事故排放</w:t>
                  </w:r>
                </w:p>
              </w:tc>
              <w:tc>
                <w:tcPr>
                  <w:tcW w:w="1684" w:type="dxa"/>
                  <w:noWrap w:val="0"/>
                  <w:vAlign w:val="center"/>
                </w:tcPr>
                <w:p w14:paraId="2E82A9CC">
                  <w:pPr>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cs="Times New Roman"/>
                      <w:color w:val="auto"/>
                      <w:highlight w:val="none"/>
                      <w:lang w:val="en-US" w:eastAsia="zh-CN"/>
                    </w:rPr>
                    <w:t>地表水、地下水</w:t>
                  </w:r>
                </w:p>
              </w:tc>
            </w:tr>
            <w:tr w14:paraId="05E4C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754" w:type="dxa"/>
                  <w:noWrap w:val="0"/>
                  <w:vAlign w:val="center"/>
                </w:tcPr>
                <w:p w14:paraId="7359B46E">
                  <w:pPr>
                    <w:jc w:val="center"/>
                    <w:rPr>
                      <w:rFonts w:hint="default" w:eastAsiaTheme="minorEastAsia"/>
                      <w:color w:val="auto"/>
                      <w:highlight w:val="none"/>
                      <w:lang w:val="en-US" w:eastAsia="zh-CN"/>
                    </w:rPr>
                  </w:pPr>
                  <w:r>
                    <w:rPr>
                      <w:rFonts w:hint="eastAsia"/>
                      <w:color w:val="auto"/>
                      <w:highlight w:val="none"/>
                      <w:lang w:val="en-US" w:eastAsia="zh-CN"/>
                    </w:rPr>
                    <w:t>废气处理设施</w:t>
                  </w:r>
                </w:p>
              </w:tc>
              <w:tc>
                <w:tcPr>
                  <w:tcW w:w="1817" w:type="dxa"/>
                  <w:noWrap w:val="0"/>
                  <w:vAlign w:val="center"/>
                </w:tcPr>
                <w:p w14:paraId="7A4C7209">
                  <w:pPr>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搅拌机、筒仓、1t/h燃天然气锅炉</w:t>
                  </w:r>
                </w:p>
              </w:tc>
              <w:tc>
                <w:tcPr>
                  <w:tcW w:w="2518" w:type="dxa"/>
                  <w:noWrap w:val="0"/>
                  <w:vAlign w:val="center"/>
                </w:tcPr>
                <w:p w14:paraId="1F8D00D9">
                  <w:pPr>
                    <w:jc w:val="center"/>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颗粒物、二氧化硫、氮氧化物等</w:t>
                  </w:r>
                </w:p>
              </w:tc>
              <w:tc>
                <w:tcPr>
                  <w:tcW w:w="1485" w:type="dxa"/>
                  <w:noWrap w:val="0"/>
                  <w:vAlign w:val="center"/>
                </w:tcPr>
                <w:p w14:paraId="02054D42">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事故排放</w:t>
                  </w:r>
                </w:p>
              </w:tc>
              <w:tc>
                <w:tcPr>
                  <w:tcW w:w="1684" w:type="dxa"/>
                  <w:noWrap w:val="0"/>
                  <w:vAlign w:val="center"/>
                </w:tcPr>
                <w:p w14:paraId="7815D6A6">
                  <w:pPr>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rPr>
                    <w:t>大气</w:t>
                  </w:r>
                </w:p>
              </w:tc>
            </w:tr>
          </w:tbl>
          <w:p w14:paraId="4F83544D">
            <w:pPr>
              <w:adjustRightInd w:val="0"/>
              <w:snapToGrid w:val="0"/>
              <w:spacing w:line="360" w:lineRule="auto"/>
              <w:ind w:firstLine="482" w:firstLineChars="200"/>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7.2环境影响途径及危害后果：</w:t>
            </w:r>
          </w:p>
          <w:p w14:paraId="3DCEE597">
            <w:pPr>
              <w:adjustRightInd w:val="0"/>
              <w:snapToGrid w:val="0"/>
              <w:spacing w:line="360" w:lineRule="auto"/>
              <w:ind w:firstLine="480" w:firstLineChars="200"/>
              <w:rPr>
                <w:rFonts w:hint="default" w:ascii="Times New Roman" w:hAnsi="Times New Roman" w:cs="Times New Roman"/>
                <w:bCs/>
                <w:color w:val="auto"/>
                <w:sz w:val="24"/>
                <w:highlight w:val="none"/>
              </w:rPr>
            </w:pPr>
            <w:r>
              <w:rPr>
                <w:rFonts w:hint="default" w:ascii="Times New Roman" w:hAnsi="Times New Roman" w:cs="Times New Roman"/>
                <w:bCs/>
                <w:color w:val="auto"/>
                <w:sz w:val="24"/>
                <w:highlight w:val="none"/>
              </w:rPr>
              <w:t>大气：遇到明火或高热引起的火灾。</w:t>
            </w:r>
          </w:p>
          <w:p w14:paraId="0D3842B6">
            <w:pPr>
              <w:adjustRightInd w:val="0"/>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bCs/>
                <w:color w:val="auto"/>
                <w:sz w:val="24"/>
                <w:highlight w:val="none"/>
              </w:rPr>
              <w:t>地表水：消防废水。</w:t>
            </w:r>
          </w:p>
          <w:p w14:paraId="75B2C815">
            <w:pPr>
              <w:adjustRightInd w:val="0"/>
              <w:snapToGrid w:val="0"/>
              <w:spacing w:line="360" w:lineRule="auto"/>
              <w:ind w:firstLine="482" w:firstLineChars="200"/>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7.3</w:t>
            </w:r>
            <w:r>
              <w:rPr>
                <w:rFonts w:hint="default" w:ascii="Times New Roman" w:hAnsi="Times New Roman" w:cs="Times New Roman"/>
                <w:b/>
                <w:color w:val="auto"/>
                <w:sz w:val="24"/>
                <w:highlight w:val="none"/>
                <w:lang w:val="en-US" w:eastAsia="zh-CN"/>
              </w:rPr>
              <w:t>危险废物卸料风险</w:t>
            </w:r>
            <w:r>
              <w:rPr>
                <w:rFonts w:hint="default" w:ascii="Times New Roman" w:hAnsi="Times New Roman" w:cs="Times New Roman"/>
                <w:b/>
                <w:color w:val="auto"/>
                <w:sz w:val="24"/>
                <w:highlight w:val="none"/>
              </w:rPr>
              <w:t>防范措施：</w:t>
            </w:r>
          </w:p>
          <w:p w14:paraId="76C9D340">
            <w:pPr>
              <w:numPr>
                <w:ilvl w:val="0"/>
                <w:numId w:val="7"/>
              </w:numPr>
              <w:adjustRightInd w:val="0"/>
              <w:snapToGrid w:val="0"/>
              <w:spacing w:line="360" w:lineRule="auto"/>
              <w:ind w:firstLine="480" w:firstLineChars="200"/>
              <w:rPr>
                <w:rFonts w:hint="default" w:ascii="Times New Roman" w:hAnsi="Times New Roman" w:cs="Times New Roman"/>
                <w:bCs/>
                <w:color w:val="auto"/>
                <w:sz w:val="24"/>
                <w:highlight w:val="none"/>
              </w:rPr>
            </w:pPr>
            <w:r>
              <w:rPr>
                <w:rFonts w:hint="default" w:ascii="Times New Roman" w:hAnsi="Times New Roman" w:cs="Times New Roman"/>
                <w:bCs/>
                <w:color w:val="auto"/>
                <w:sz w:val="24"/>
                <w:highlight w:val="none"/>
              </w:rPr>
              <w:t>对危险物品的储存量、储存周期要根据生产进度安排，避免过量存储，收集的危险废物要及时委托资质单位处理，以便降低事故发生的概率；</w:t>
            </w:r>
          </w:p>
          <w:p w14:paraId="2C2492EC">
            <w:pPr>
              <w:numPr>
                <w:ilvl w:val="0"/>
                <w:numId w:val="7"/>
              </w:numPr>
              <w:adjustRightInd w:val="0"/>
              <w:snapToGrid w:val="0"/>
              <w:spacing w:line="360" w:lineRule="auto"/>
              <w:ind w:firstLine="480" w:firstLineChars="200"/>
              <w:rPr>
                <w:rFonts w:hint="default" w:ascii="Times New Roman" w:hAnsi="Times New Roman" w:cs="Times New Roman"/>
                <w:bCs/>
                <w:color w:val="auto"/>
                <w:sz w:val="24"/>
                <w:highlight w:val="none"/>
              </w:rPr>
            </w:pPr>
            <w:r>
              <w:rPr>
                <w:rFonts w:hint="default" w:ascii="Times New Roman" w:hAnsi="Times New Roman" w:cs="Times New Roman"/>
                <w:bCs/>
                <w:color w:val="auto"/>
                <w:sz w:val="24"/>
                <w:highlight w:val="none"/>
              </w:rPr>
              <w:t>储存区备有泡沫灭火器，大量泄漏采用泡沫覆盖，降低灾害围堰收集物料通过管道输送至消防废水池。</w:t>
            </w:r>
          </w:p>
          <w:p w14:paraId="34992A93">
            <w:pPr>
              <w:numPr>
                <w:ilvl w:val="0"/>
                <w:numId w:val="7"/>
              </w:numPr>
              <w:adjustRightInd w:val="0"/>
              <w:snapToGrid w:val="0"/>
              <w:spacing w:line="360" w:lineRule="auto"/>
              <w:ind w:firstLine="480" w:firstLineChars="200"/>
              <w:rPr>
                <w:rFonts w:hint="default" w:ascii="Times New Roman" w:hAnsi="Times New Roman" w:cs="Times New Roman"/>
                <w:bCs/>
                <w:color w:val="auto"/>
                <w:sz w:val="24"/>
                <w:highlight w:val="none"/>
              </w:rPr>
            </w:pPr>
            <w:r>
              <w:rPr>
                <w:rFonts w:hint="default" w:ascii="Times New Roman" w:hAnsi="Times New Roman" w:cs="Times New Roman"/>
                <w:bCs/>
                <w:color w:val="auto"/>
                <w:sz w:val="24"/>
                <w:highlight w:val="none"/>
              </w:rPr>
              <w:t>防止机械（撞击、摩擦）着火源，控制高温物体着火源、电气着火源；建立报警系统；</w:t>
            </w:r>
          </w:p>
          <w:p w14:paraId="4D89EC89">
            <w:pPr>
              <w:numPr>
                <w:ilvl w:val="0"/>
                <w:numId w:val="7"/>
              </w:numPr>
              <w:adjustRightInd w:val="0"/>
              <w:snapToGrid w:val="0"/>
              <w:spacing w:line="360" w:lineRule="auto"/>
              <w:ind w:firstLine="480" w:firstLineChars="200"/>
              <w:rPr>
                <w:rFonts w:hint="default" w:ascii="Times New Roman" w:hAnsi="Times New Roman" w:cs="Times New Roman"/>
                <w:bCs/>
                <w:color w:val="auto"/>
                <w:sz w:val="24"/>
                <w:highlight w:val="none"/>
              </w:rPr>
            </w:pPr>
            <w:r>
              <w:rPr>
                <w:rFonts w:hint="default" w:ascii="Times New Roman" w:hAnsi="Times New Roman" w:cs="Times New Roman"/>
                <w:bCs/>
                <w:color w:val="auto"/>
                <w:sz w:val="24"/>
                <w:highlight w:val="none"/>
              </w:rPr>
              <w:t>避免静电引起事故，设备良好接地；装罐输送中防静电限制流速，禁止高速输送。</w:t>
            </w:r>
          </w:p>
          <w:p w14:paraId="601BA018">
            <w:pPr>
              <w:pStyle w:val="43"/>
              <w:keepNext w:val="0"/>
              <w:keepLines w:val="0"/>
              <w:pageBreakBefore w:val="0"/>
              <w:widowControl w:val="0"/>
              <w:kinsoku/>
              <w:wordWrap/>
              <w:overflowPunct/>
              <w:topLinePunct w:val="0"/>
              <w:bidi w:val="0"/>
              <w:adjustRightInd w:val="0"/>
              <w:snapToGrid w:val="0"/>
              <w:spacing w:line="360" w:lineRule="auto"/>
              <w:ind w:firstLine="480" w:firstLineChars="200"/>
              <w:rPr>
                <w:rFonts w:hint="default" w:ascii="Times New Roman" w:hAnsi="Times New Roman" w:cs="Times New Roman"/>
                <w:color w:val="auto"/>
                <w:highlight w:val="none"/>
              </w:rPr>
            </w:pPr>
            <w:r>
              <w:rPr>
                <w:rFonts w:hint="default" w:ascii="Times New Roman" w:hAnsi="Times New Roman" w:cs="Times New Roman"/>
                <w:bCs/>
                <w:color w:val="auto"/>
                <w:sz w:val="24"/>
                <w:highlight w:val="none"/>
                <w:lang w:eastAsia="zh-CN"/>
              </w:rPr>
              <w:t>（</w:t>
            </w:r>
            <w:r>
              <w:rPr>
                <w:rFonts w:hint="default" w:ascii="Times New Roman" w:hAnsi="Times New Roman" w:cs="Times New Roman"/>
                <w:bCs/>
                <w:color w:val="auto"/>
                <w:sz w:val="24"/>
                <w:highlight w:val="none"/>
                <w:lang w:val="en-US" w:eastAsia="zh-CN"/>
              </w:rPr>
              <w:t>5</w:t>
            </w:r>
            <w:r>
              <w:rPr>
                <w:rFonts w:hint="default" w:ascii="Times New Roman" w:hAnsi="Times New Roman" w:cs="Times New Roman"/>
                <w:bCs/>
                <w:color w:val="auto"/>
                <w:sz w:val="24"/>
                <w:highlight w:val="none"/>
                <w:lang w:eastAsia="zh-CN"/>
              </w:rPr>
              <w:t>）</w:t>
            </w:r>
            <w:r>
              <w:rPr>
                <w:rFonts w:hint="default" w:ascii="Times New Roman" w:hAnsi="Times New Roman" w:cs="Times New Roman"/>
                <w:color w:val="auto"/>
                <w:highlight w:val="none"/>
              </w:rPr>
              <w:t>加强对员工的安全生产培训，生产过程中原辅材料的量取、加料等严格按要求操作，严禁</w:t>
            </w:r>
            <w:r>
              <w:rPr>
                <w:rFonts w:hint="default" w:ascii="Times New Roman" w:hAnsi="Times New Roman" w:cs="Times New Roman"/>
                <w:color w:val="auto"/>
                <w:highlight w:val="none"/>
                <w:lang w:eastAsia="zh-CN"/>
              </w:rPr>
              <w:t>机油等物料</w:t>
            </w:r>
            <w:r>
              <w:rPr>
                <w:rFonts w:hint="default" w:ascii="Times New Roman" w:hAnsi="Times New Roman" w:cs="Times New Roman"/>
                <w:color w:val="auto"/>
                <w:highlight w:val="none"/>
              </w:rPr>
              <w:t>泄漏。机油单独存放于特定的场所(仓库)，并由专职人员看管，加强管理，泄漏时应该隔离泄漏污染区，限制出入。建议应急处理人员戴防尘面具(全面罩)，穿防毒服，不要直接接触泄漏物。车间应配备急救设备及药品，作业人员应学会自救互救。</w:t>
            </w:r>
          </w:p>
          <w:p w14:paraId="76BC4A26">
            <w:pPr>
              <w:pStyle w:val="43"/>
              <w:keepNext w:val="0"/>
              <w:keepLines w:val="0"/>
              <w:pageBreakBefore w:val="0"/>
              <w:widowControl w:val="0"/>
              <w:kinsoku/>
              <w:wordWrap/>
              <w:overflowPunct/>
              <w:topLinePunct w:val="0"/>
              <w:bidi w:val="0"/>
              <w:adjustRightInd w:val="0"/>
              <w:snapToGrid w:val="0"/>
              <w:spacing w:line="360" w:lineRule="auto"/>
              <w:ind w:firstLine="480" w:firstLineChars="200"/>
              <w:rPr>
                <w:rFonts w:hint="default" w:ascii="Times New Roman" w:hAnsi="Times New Roman" w:eastAsia="宋体" w:cs="Times New Roman"/>
                <w:color w:val="auto"/>
                <w:highlight w:val="none"/>
                <w:lang w:eastAsia="zh-CN"/>
              </w:rPr>
            </w:pPr>
            <w:r>
              <w:rPr>
                <w:rFonts w:hint="default" w:ascii="Times New Roman" w:hAnsi="Times New Roman" w:cs="Times New Roman"/>
                <w:color w:val="auto"/>
                <w:highlight w:val="none"/>
              </w:rPr>
              <w:t>本项目设置危险废物仓库用于收集、临时贮存生产过程中产生的危险废物，项目危险废物暂存区面积共</w:t>
            </w:r>
            <w:r>
              <w:rPr>
                <w:rFonts w:hint="default" w:ascii="Times New Roman" w:hAnsi="Times New Roman" w:cs="Times New Roman"/>
                <w:color w:val="auto"/>
                <w:highlight w:val="none"/>
                <w:lang w:val="en-US" w:eastAsia="zh-CN"/>
              </w:rPr>
              <w:t>2</w:t>
            </w:r>
            <w:r>
              <w:rPr>
                <w:rFonts w:hint="default" w:ascii="Times New Roman" w:hAnsi="Times New Roman" w:cs="Times New Roman"/>
                <w:color w:val="auto"/>
                <w:highlight w:val="none"/>
              </w:rPr>
              <w:t>0m</w:t>
            </w:r>
            <w:r>
              <w:rPr>
                <w:rFonts w:hint="default" w:ascii="Times New Roman" w:hAnsi="Times New Roman" w:cs="Times New Roman"/>
                <w:color w:val="auto"/>
                <w:highlight w:val="none"/>
                <w:vertAlign w:val="superscript"/>
              </w:rPr>
              <w:t>2</w:t>
            </w:r>
            <w:r>
              <w:rPr>
                <w:rFonts w:hint="default" w:ascii="Times New Roman" w:hAnsi="Times New Roman" w:cs="Times New Roman"/>
                <w:color w:val="auto"/>
                <w:highlight w:val="none"/>
              </w:rPr>
              <w:t>，危险废物贮存场设计中严格执行《危险废物贮存污染控制标准》（GB18597-20</w:t>
            </w:r>
            <w:r>
              <w:rPr>
                <w:rFonts w:hint="default" w:ascii="Times New Roman" w:hAnsi="Times New Roman" w:cs="Times New Roman"/>
                <w:color w:val="auto"/>
                <w:highlight w:val="none"/>
                <w:lang w:val="en-US" w:eastAsia="zh-CN"/>
              </w:rPr>
              <w:t>23</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eastAsia="zh-CN"/>
              </w:rPr>
              <w:t>的</w:t>
            </w:r>
            <w:r>
              <w:rPr>
                <w:rFonts w:hint="default" w:ascii="Times New Roman" w:hAnsi="Times New Roman" w:cs="Times New Roman"/>
                <w:color w:val="auto"/>
                <w:highlight w:val="none"/>
              </w:rPr>
              <w:t>规定。危险废物在临时仓库暂存后，定期委托有</w:t>
            </w:r>
            <w:r>
              <w:rPr>
                <w:rFonts w:hint="default" w:ascii="Times New Roman" w:hAnsi="Times New Roman" w:cs="Times New Roman"/>
                <w:color w:val="auto"/>
                <w:highlight w:val="none"/>
                <w:lang w:eastAsia="zh-CN"/>
              </w:rPr>
              <w:t>危险废物处理资质的单位处理。</w:t>
            </w:r>
          </w:p>
          <w:p w14:paraId="285F0F91">
            <w:pPr>
              <w:pStyle w:val="82"/>
              <w:keepNext w:val="0"/>
              <w:keepLines w:val="0"/>
              <w:pageBreakBefore w:val="0"/>
              <w:widowControl w:val="0"/>
              <w:tabs>
                <w:tab w:val="left" w:pos="540"/>
              </w:tabs>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b/>
                <w:color w:val="auto"/>
                <w:kern w:val="2"/>
                <w:sz w:val="24"/>
                <w:szCs w:val="24"/>
                <w:highlight w:val="none"/>
                <w:lang w:val="en-US" w:eastAsia="zh-CN" w:bidi="ar-SA"/>
              </w:rPr>
            </w:pPr>
            <w:r>
              <w:rPr>
                <w:rFonts w:hint="default" w:ascii="Times New Roman" w:hAnsi="Times New Roman" w:eastAsia="宋体" w:cs="Times New Roman"/>
                <w:b/>
                <w:color w:val="auto"/>
                <w:kern w:val="2"/>
                <w:sz w:val="24"/>
                <w:szCs w:val="24"/>
                <w:highlight w:val="none"/>
                <w:lang w:val="en-US" w:eastAsia="zh-CN" w:bidi="ar-SA"/>
              </w:rPr>
              <w:t>7.4火灾风险防范措施：</w:t>
            </w:r>
          </w:p>
          <w:p w14:paraId="48213921">
            <w:pPr>
              <w:pStyle w:val="82"/>
              <w:tabs>
                <w:tab w:val="left" w:pos="540"/>
              </w:tabs>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1）</w:t>
            </w:r>
            <w:r>
              <w:rPr>
                <w:rFonts w:hint="default" w:ascii="Times New Roman" w:hAnsi="Times New Roman" w:eastAsia="宋体" w:cs="Times New Roman"/>
                <w:color w:val="auto"/>
                <w:sz w:val="24"/>
                <w:highlight w:val="none"/>
              </w:rPr>
              <w:t xml:space="preserve">项目总平面布置根据功能分区布置，各构筑物均按火灾危险等级要求进行设计，生产车间及原料危险贮场等地面应根据需要做防腐防渗处理。 </w:t>
            </w:r>
          </w:p>
          <w:p w14:paraId="43773443">
            <w:pPr>
              <w:pStyle w:val="82"/>
              <w:tabs>
                <w:tab w:val="left" w:pos="540"/>
              </w:tabs>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rPr>
              <w:t xml:space="preserve">生产现场设置各种安全标志。 </w:t>
            </w:r>
          </w:p>
          <w:p w14:paraId="4CF2284E">
            <w:pPr>
              <w:pStyle w:val="82"/>
              <w:tabs>
                <w:tab w:val="left" w:pos="540"/>
              </w:tabs>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3）</w:t>
            </w:r>
            <w:r>
              <w:rPr>
                <w:rFonts w:hint="default" w:ascii="Times New Roman" w:hAnsi="Times New Roman" w:eastAsia="宋体" w:cs="Times New Roman"/>
                <w:color w:val="auto"/>
                <w:sz w:val="24"/>
                <w:highlight w:val="none"/>
              </w:rPr>
              <w:t xml:space="preserve">车间应禁止明火。 </w:t>
            </w:r>
          </w:p>
          <w:p w14:paraId="04F6B366">
            <w:pPr>
              <w:pageBreakBefore w:val="0"/>
              <w:kinsoku/>
              <w:wordWrap/>
              <w:overflowPunct/>
              <w:bidi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eastAsia="宋体" w:cs="Times New Roman"/>
                <w:color w:val="auto"/>
                <w:sz w:val="24"/>
                <w:highlight w:val="none"/>
                <w:lang w:val="en-US" w:eastAsia="zh-CN"/>
              </w:rPr>
              <w:t>4）项目生产车间、危废仓库、原料仓库出入口均设有5cm围堰，且</w:t>
            </w:r>
            <w:r>
              <w:rPr>
                <w:rFonts w:hint="default" w:ascii="Times New Roman" w:hAnsi="Times New Roman" w:cs="Times New Roman"/>
                <w:color w:val="auto"/>
                <w:sz w:val="24"/>
                <w:szCs w:val="24"/>
                <w:highlight w:val="none"/>
              </w:rPr>
              <w:t>在雨水管网、污水管网的厂区出口处设置闸门，发生事故时及时关闭闸门，防止消防废水流出厂区，将其可能产生的环境影响</w:t>
            </w:r>
            <w:r>
              <w:rPr>
                <w:rFonts w:hint="default" w:ascii="Times New Roman" w:hAnsi="Times New Roman" w:cs="Times New Roman"/>
                <w:color w:val="auto"/>
                <w:sz w:val="24"/>
                <w:szCs w:val="24"/>
                <w:highlight w:val="none"/>
                <w:lang w:val="en-US" w:eastAsia="zh-CN"/>
              </w:rPr>
              <w:t>优先</w:t>
            </w:r>
            <w:r>
              <w:rPr>
                <w:rFonts w:hint="default" w:ascii="Times New Roman" w:hAnsi="Times New Roman" w:cs="Times New Roman"/>
                <w:color w:val="auto"/>
                <w:sz w:val="24"/>
                <w:szCs w:val="24"/>
                <w:highlight w:val="none"/>
              </w:rPr>
              <w:t>控制在厂区之内，从传播途径控制污染物，减少火灾水污染物扩散范围；</w:t>
            </w:r>
          </w:p>
          <w:p w14:paraId="6001CE01">
            <w:pPr>
              <w:pageBreakBefore w:val="0"/>
              <w:kinsoku/>
              <w:wordWrap/>
              <w:overflowPunct/>
              <w:bidi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在事故发生位置四周用</w:t>
            </w:r>
            <w:r>
              <w:rPr>
                <w:rFonts w:hint="default" w:ascii="Times New Roman" w:hAnsi="Times New Roman" w:cs="Times New Roman"/>
                <w:color w:val="auto"/>
                <w:sz w:val="24"/>
                <w:szCs w:val="24"/>
                <w:highlight w:val="none"/>
                <w:lang w:val="en-US" w:eastAsia="zh-CN"/>
              </w:rPr>
              <w:t>沙袋</w:t>
            </w:r>
            <w:r>
              <w:rPr>
                <w:rFonts w:hint="default" w:ascii="Times New Roman" w:hAnsi="Times New Roman" w:cs="Times New Roman"/>
                <w:color w:val="auto"/>
                <w:sz w:val="24"/>
                <w:szCs w:val="24"/>
                <w:highlight w:val="none"/>
              </w:rPr>
              <w:t>围成围堰拦截消防废水，并在厂内采取导流方式将消防废水统一收集，集中处理，消除安全隐患后交由有资质单位处理，从末端处理污染物，减少火灾水污染物排放。</w:t>
            </w:r>
          </w:p>
          <w:p w14:paraId="607A1DA8">
            <w:pPr>
              <w:adjustRightInd w:val="0"/>
              <w:snapToGri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5）</w:t>
            </w:r>
            <w:r>
              <w:rPr>
                <w:rFonts w:hint="default" w:ascii="Times New Roman" w:hAnsi="Times New Roman" w:eastAsia="宋体" w:cs="Times New Roman"/>
                <w:color w:val="auto"/>
                <w:sz w:val="24"/>
                <w:highlight w:val="none"/>
              </w:rPr>
              <w:t>做好人员培训工作，要求职工持证上岗，规范操作机械设备及流程。本</w:t>
            </w:r>
            <w:r>
              <w:rPr>
                <w:rFonts w:hint="default" w:ascii="Times New Roman" w:hAnsi="Times New Roman" w:eastAsia="宋体" w:cs="Times New Roman"/>
                <w:color w:val="auto"/>
                <w:sz w:val="24"/>
                <w:highlight w:val="none"/>
                <w:lang w:eastAsia="zh-CN"/>
              </w:rPr>
              <w:t>扩建</w:t>
            </w:r>
            <w:r>
              <w:rPr>
                <w:rFonts w:hint="default" w:ascii="Times New Roman" w:hAnsi="Times New Roman" w:eastAsia="宋体" w:cs="Times New Roman"/>
                <w:color w:val="auto"/>
                <w:sz w:val="24"/>
                <w:highlight w:val="none"/>
              </w:rPr>
              <w:t>项目总图布置符合《建筑</w:t>
            </w:r>
            <w:r>
              <w:rPr>
                <w:rFonts w:hint="eastAsia"/>
                <w:color w:val="auto"/>
                <w:sz w:val="24"/>
                <w:szCs w:val="24"/>
                <w:highlight w:val="none"/>
                <w:lang w:val="en-US" w:eastAsia="zh-CN"/>
              </w:rPr>
              <w:t>设计</w:t>
            </w:r>
            <w:r>
              <w:rPr>
                <w:rFonts w:hint="eastAsia" w:ascii="Times New Roman" w:hAnsi="Times New Roman" w:eastAsia="宋体" w:cs="Times New Roman"/>
                <w:color w:val="auto"/>
                <w:sz w:val="24"/>
                <w:highlight w:val="none"/>
                <w:lang w:val="en-US" w:eastAsia="zh-CN"/>
              </w:rPr>
              <w:t>防火规范</w:t>
            </w:r>
            <w:r>
              <w:rPr>
                <w:rFonts w:hint="default" w:ascii="Times New Roman" w:hAnsi="Times New Roman" w:eastAsia="宋体" w:cs="Times New Roman"/>
                <w:color w:val="auto"/>
                <w:sz w:val="24"/>
                <w:highlight w:val="none"/>
              </w:rPr>
              <w:t>》（GB</w:t>
            </w:r>
            <w:r>
              <w:rPr>
                <w:rFonts w:hint="eastAsia" w:ascii="Times New Roman" w:hAnsi="Times New Roman" w:eastAsia="宋体" w:cs="Times New Roman"/>
                <w:color w:val="auto"/>
                <w:sz w:val="24"/>
                <w:highlight w:val="none"/>
                <w:lang w:val="en-US" w:eastAsia="zh-CN"/>
              </w:rPr>
              <w:t>50016</w:t>
            </w:r>
            <w:r>
              <w:rPr>
                <w:rFonts w:hint="default" w:ascii="Times New Roman" w:hAnsi="Times New Roman" w:eastAsia="宋体" w:cs="Times New Roman"/>
                <w:color w:val="auto"/>
                <w:sz w:val="24"/>
                <w:highlight w:val="none"/>
              </w:rPr>
              <w:t>-20</w:t>
            </w:r>
            <w:r>
              <w:rPr>
                <w:rFonts w:hint="eastAsia" w:ascii="Times New Roman" w:hAnsi="Times New Roman" w:eastAsia="宋体" w:cs="Times New Roman"/>
                <w:color w:val="auto"/>
                <w:sz w:val="24"/>
                <w:highlight w:val="none"/>
                <w:lang w:val="en-US" w:eastAsia="zh-CN"/>
              </w:rPr>
              <w:t>14</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2018年版</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及</w:t>
            </w:r>
            <w:r>
              <w:rPr>
                <w:rFonts w:hint="default" w:ascii="Times New Roman" w:hAnsi="Times New Roman" w:eastAsia="宋体" w:cs="Times New Roman"/>
                <w:color w:val="auto"/>
                <w:sz w:val="24"/>
                <w:highlight w:val="none"/>
              </w:rPr>
              <w:t>《建筑</w:t>
            </w:r>
            <w:r>
              <w:rPr>
                <w:rFonts w:hint="eastAsia" w:ascii="Times New Roman" w:hAnsi="Times New Roman" w:eastAsia="宋体" w:cs="Times New Roman"/>
                <w:color w:val="auto"/>
                <w:sz w:val="24"/>
                <w:highlight w:val="none"/>
                <w:lang w:val="en-US" w:eastAsia="zh-CN"/>
              </w:rPr>
              <w:t>防火通用规范</w:t>
            </w:r>
            <w:r>
              <w:rPr>
                <w:rFonts w:hint="default" w:ascii="Times New Roman" w:hAnsi="Times New Roman" w:eastAsia="宋体" w:cs="Times New Roman"/>
                <w:color w:val="auto"/>
                <w:sz w:val="24"/>
                <w:highlight w:val="none"/>
              </w:rPr>
              <w:t>》（GB</w:t>
            </w:r>
            <w:r>
              <w:rPr>
                <w:rFonts w:hint="eastAsia" w:ascii="Times New Roman" w:hAnsi="Times New Roman" w:eastAsia="宋体" w:cs="Times New Roman"/>
                <w:color w:val="auto"/>
                <w:sz w:val="24"/>
                <w:highlight w:val="none"/>
                <w:lang w:val="en-US" w:eastAsia="zh-CN"/>
              </w:rPr>
              <w:t>55037</w:t>
            </w:r>
            <w:r>
              <w:rPr>
                <w:rFonts w:hint="default" w:ascii="Times New Roman" w:hAnsi="Times New Roman" w:eastAsia="宋体" w:cs="Times New Roman"/>
                <w:color w:val="auto"/>
                <w:sz w:val="24"/>
                <w:highlight w:val="none"/>
              </w:rPr>
              <w:t>-20</w:t>
            </w:r>
            <w:r>
              <w:rPr>
                <w:rFonts w:hint="eastAsia" w:ascii="Times New Roman" w:hAnsi="Times New Roman" w:eastAsia="宋体" w:cs="Times New Roman"/>
                <w:color w:val="auto"/>
                <w:sz w:val="24"/>
                <w:highlight w:val="none"/>
                <w:lang w:val="en-US" w:eastAsia="zh-CN"/>
              </w:rPr>
              <w:t>22</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的有关规定。根据现场勘查结果，本</w:t>
            </w:r>
            <w:r>
              <w:rPr>
                <w:rFonts w:hint="default" w:ascii="Times New Roman" w:hAnsi="Times New Roman" w:eastAsia="宋体" w:cs="Times New Roman"/>
                <w:color w:val="auto"/>
                <w:sz w:val="24"/>
                <w:highlight w:val="none"/>
                <w:lang w:eastAsia="zh-CN"/>
              </w:rPr>
              <w:t>项目</w:t>
            </w:r>
            <w:r>
              <w:rPr>
                <w:rFonts w:hint="default" w:ascii="Times New Roman" w:hAnsi="Times New Roman" w:eastAsia="宋体" w:cs="Times New Roman"/>
                <w:color w:val="auto"/>
                <w:sz w:val="24"/>
                <w:highlight w:val="none"/>
              </w:rPr>
              <w:t>生产车间切实做到通风、防晒、防火、防爆，并按照国家标准和国家有关规定进行维护、保养，保证符合安全运行要求。该项目设置了基本的消防及火灾报警系统。</w:t>
            </w:r>
          </w:p>
          <w:p w14:paraId="71B7C347">
            <w:pPr>
              <w:adjustRightInd w:val="0"/>
              <w:snapToGrid w:val="0"/>
              <w:spacing w:line="360" w:lineRule="auto"/>
              <w:ind w:firstLine="482" w:firstLineChars="200"/>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7.</w:t>
            </w:r>
            <w:r>
              <w:rPr>
                <w:rFonts w:hint="default" w:ascii="Times New Roman" w:hAnsi="Times New Roman" w:cs="Times New Roman"/>
                <w:b/>
                <w:color w:val="auto"/>
                <w:sz w:val="24"/>
                <w:highlight w:val="none"/>
                <w:lang w:val="en-US" w:eastAsia="zh-CN"/>
              </w:rPr>
              <w:t>5 废气、废水事故排放风</w:t>
            </w:r>
            <w:r>
              <w:rPr>
                <w:rFonts w:hint="default" w:ascii="Times New Roman" w:hAnsi="Times New Roman" w:cs="Times New Roman"/>
                <w:b/>
                <w:color w:val="auto"/>
                <w:sz w:val="24"/>
                <w:highlight w:val="none"/>
              </w:rPr>
              <w:t>险防范措施：</w:t>
            </w:r>
          </w:p>
          <w:p w14:paraId="70778D45">
            <w:pPr>
              <w:adjustRightInd w:val="0"/>
              <w:snapToGri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 xml:space="preserve">1）项目的废气、废水处理设施按相关的标准要求设计、施工和管理。 </w:t>
            </w:r>
          </w:p>
          <w:p w14:paraId="056DD292">
            <w:pPr>
              <w:adjustRightInd w:val="0"/>
              <w:snapToGri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 xml:space="preserve">2）一旦废气/废水处理设施发生故障，立即停止生产，控制事故扩大。 </w:t>
            </w:r>
          </w:p>
          <w:p w14:paraId="0C55FBE3">
            <w:pPr>
              <w:adjustRightInd w:val="0"/>
              <w:snapToGri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 xml:space="preserve">3）定期进行维护和检修，使环保设备处于较好的运行状态，延长设备的使用寿命、减少故障概率。 </w:t>
            </w:r>
          </w:p>
          <w:p w14:paraId="6EB35905">
            <w:pPr>
              <w:adjustRightInd w:val="0"/>
              <w:snapToGri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4）废气/废水处理设施配件在使用寿命期内进行定期更换，减少废气污染事故的发生概率。</w:t>
            </w:r>
          </w:p>
          <w:p w14:paraId="07280688">
            <w:pPr>
              <w:adjustRightInd w:val="0"/>
              <w:snapToGrid w:val="0"/>
              <w:spacing w:line="360" w:lineRule="auto"/>
              <w:ind w:firstLine="482" w:firstLineChars="200"/>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7.</w:t>
            </w:r>
            <w:r>
              <w:rPr>
                <w:rFonts w:hint="default" w:ascii="Times New Roman" w:hAnsi="Times New Roman" w:cs="Times New Roman"/>
                <w:b/>
                <w:color w:val="auto"/>
                <w:sz w:val="24"/>
                <w:highlight w:val="none"/>
                <w:lang w:val="en-US" w:eastAsia="zh-CN"/>
              </w:rPr>
              <w:t>6生产废水泄漏</w:t>
            </w:r>
            <w:r>
              <w:rPr>
                <w:rFonts w:hint="default" w:ascii="Times New Roman" w:hAnsi="Times New Roman" w:cs="Times New Roman"/>
                <w:b/>
                <w:color w:val="auto"/>
                <w:sz w:val="24"/>
                <w:highlight w:val="none"/>
              </w:rPr>
              <w:t>风险防范措施：</w:t>
            </w:r>
          </w:p>
          <w:p w14:paraId="399737D5">
            <w:pPr>
              <w:adjustRightInd w:val="0"/>
              <w:snapToGrid w:val="0"/>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 xml:space="preserve">1）保证废水处理设施日常正常运行，加强对给排水管网进行定期巡检，发现问题，及时汇报、处理。 </w:t>
            </w:r>
          </w:p>
          <w:p w14:paraId="0A5B05B8">
            <w:pPr>
              <w:adjustRightInd w:val="0"/>
              <w:snapToGrid w:val="0"/>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 xml:space="preserve">2）加强污水处理设施运行管理，减少事故风险。 </w:t>
            </w:r>
          </w:p>
          <w:p w14:paraId="1E8EFB47">
            <w:pPr>
              <w:adjustRightInd w:val="0"/>
              <w:snapToGrid w:val="0"/>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 xml:space="preserve">3）强化管理。加强对职工的思想教育，以提高工作人员的责任心和工作主动性；对操作人员要进行岗位培训，熟悉工作职责、程序和规程。 </w:t>
            </w:r>
          </w:p>
          <w:p w14:paraId="6348886E">
            <w:pPr>
              <w:adjustRightInd w:val="0"/>
              <w:snapToGrid w:val="0"/>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总之，本项目应严格按照国家安全规范及国家相关规定加强安全监督管理，对出现的危险物质泄漏、废气排放事故风险及时采取措施，对隐患坚决消除，将本项目的环境风险发生的几率控制在最小水平，对周围环境的影响可得到控制。</w:t>
            </w:r>
          </w:p>
          <w:p w14:paraId="0EA9E3A1">
            <w:pPr>
              <w:pStyle w:val="43"/>
              <w:keepNext w:val="0"/>
              <w:keepLines w:val="0"/>
              <w:pageBreakBefore w:val="0"/>
              <w:kinsoku/>
              <w:wordWrap/>
              <w:overflowPunct/>
              <w:topLinePunct w:val="0"/>
              <w:bidi w:val="0"/>
              <w:adjustRightInd w:val="0"/>
              <w:snapToGrid w:val="0"/>
              <w:spacing w:line="360" w:lineRule="auto"/>
              <w:ind w:firstLine="482" w:firstLineChars="200"/>
              <w:textAlignment w:val="baseline"/>
              <w:rPr>
                <w:rFonts w:hint="default" w:ascii="Times New Roman" w:hAnsi="Times New Roman" w:eastAsia="宋体" w:cs="Times New Roman"/>
                <w:color w:val="auto"/>
                <w:highlight w:val="none"/>
                <w:lang w:eastAsia="zh-CN"/>
              </w:rPr>
            </w:pPr>
            <w:r>
              <w:rPr>
                <w:rFonts w:hint="default" w:ascii="Times New Roman" w:hAnsi="Times New Roman" w:cs="Times New Roman"/>
                <w:b/>
                <w:color w:val="auto"/>
                <w:sz w:val="24"/>
                <w:highlight w:val="none"/>
              </w:rPr>
              <w:t>7.</w:t>
            </w:r>
            <w:r>
              <w:rPr>
                <w:rFonts w:hint="default" w:ascii="Times New Roman" w:hAnsi="Times New Roman" w:cs="Times New Roman"/>
                <w:b/>
                <w:color w:val="auto"/>
                <w:sz w:val="24"/>
                <w:highlight w:val="none"/>
                <w:lang w:val="en-US" w:eastAsia="zh-CN"/>
              </w:rPr>
              <w:t xml:space="preserve">7 </w:t>
            </w:r>
            <w:r>
              <w:rPr>
                <w:rFonts w:hint="default" w:ascii="Times New Roman" w:hAnsi="Times New Roman" w:eastAsia="宋体" w:cs="Times New Roman"/>
                <w:b/>
                <w:color w:val="auto"/>
                <w:kern w:val="44"/>
                <w:szCs w:val="44"/>
                <w:highlight w:val="none"/>
              </w:rPr>
              <w:t>天然气</w:t>
            </w:r>
            <w:r>
              <w:rPr>
                <w:rFonts w:hint="default" w:ascii="Times New Roman" w:hAnsi="Times New Roman" w:eastAsia="宋体" w:cs="Times New Roman"/>
                <w:b/>
                <w:color w:val="auto"/>
                <w:kern w:val="44"/>
                <w:szCs w:val="44"/>
                <w:highlight w:val="none"/>
                <w:lang w:val="en-US" w:eastAsia="zh-CN"/>
              </w:rPr>
              <w:t>用气</w:t>
            </w:r>
            <w:r>
              <w:rPr>
                <w:rFonts w:hint="default" w:ascii="Times New Roman" w:hAnsi="Times New Roman" w:eastAsia="宋体" w:cs="Times New Roman"/>
                <w:b/>
                <w:color w:val="auto"/>
                <w:kern w:val="44"/>
                <w:szCs w:val="44"/>
                <w:highlight w:val="none"/>
              </w:rPr>
              <w:t>风险</w:t>
            </w:r>
            <w:r>
              <w:rPr>
                <w:rFonts w:hint="default" w:ascii="Times New Roman" w:hAnsi="Times New Roman" w:eastAsia="宋体" w:cs="Times New Roman"/>
                <w:b/>
                <w:color w:val="auto"/>
                <w:kern w:val="44"/>
                <w:szCs w:val="44"/>
                <w:highlight w:val="none"/>
                <w:lang w:val="en-US" w:eastAsia="zh-CN"/>
              </w:rPr>
              <w:t>措施</w:t>
            </w:r>
          </w:p>
          <w:p w14:paraId="00F33751">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aseline"/>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项目</w:t>
            </w:r>
            <w:r>
              <w:rPr>
                <w:rFonts w:hint="default" w:ascii="Times New Roman" w:hAnsi="Times New Roman" w:eastAsia="宋体" w:cs="Times New Roman"/>
                <w:color w:val="auto"/>
                <w:sz w:val="24"/>
                <w:szCs w:val="24"/>
                <w:highlight w:val="none"/>
              </w:rPr>
              <w:t>天然气使用市政管道管网供应，天然气主要成分是甲烷，天然气沸点：-161.4℃</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易燃，引燃温度537℃，相对密度</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shd w:val="clear" w:color="auto" w:fill="FFFFFF"/>
              </w:rPr>
              <w:t>-164℃下为0.426，常温</w:t>
            </w:r>
            <w:r>
              <w:rPr>
                <w:rFonts w:hint="default" w:ascii="Times New Roman" w:hAnsi="Times New Roman" w:eastAsia="宋体" w:cs="Times New Roman"/>
                <w:color w:val="auto"/>
                <w:sz w:val="24"/>
                <w:szCs w:val="24"/>
                <w:highlight w:val="none"/>
                <w:shd w:val="clear" w:color="auto" w:fill="FFFFFF"/>
                <w:lang w:val="en-US" w:eastAsia="zh-CN"/>
              </w:rPr>
              <w:t>状态下为</w:t>
            </w:r>
            <w:r>
              <w:rPr>
                <w:rFonts w:hint="default" w:ascii="Times New Roman" w:hAnsi="Times New Roman" w:eastAsia="宋体" w:cs="Times New Roman"/>
                <w:b w:val="0"/>
                <w:bCs w:val="0"/>
                <w:color w:val="auto"/>
                <w:kern w:val="2"/>
                <w:sz w:val="24"/>
                <w:szCs w:val="24"/>
                <w:highlight w:val="none"/>
                <w:lang w:val="en-US" w:eastAsia="zh-CN"/>
              </w:rPr>
              <w:t>0.7174kg/m</w:t>
            </w:r>
            <w:r>
              <w:rPr>
                <w:rFonts w:hint="default" w:ascii="Times New Roman" w:hAnsi="Times New Roman" w:eastAsia="宋体" w:cs="Times New Roman"/>
                <w:b w:val="0"/>
                <w:bCs w:val="0"/>
                <w:color w:val="auto"/>
                <w:kern w:val="2"/>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shd w:val="clear" w:color="auto" w:fill="FFFFFF"/>
              </w:rPr>
              <w:t>。</w:t>
            </w:r>
            <w:r>
              <w:rPr>
                <w:rFonts w:hint="default" w:ascii="Times New Roman" w:hAnsi="Times New Roman" w:eastAsia="宋体" w:cs="Times New Roman"/>
                <w:color w:val="auto"/>
                <w:sz w:val="24"/>
                <w:szCs w:val="24"/>
                <w:highlight w:val="none"/>
              </w:rPr>
              <w:t>爆炸极限为5%～</w:t>
            </w:r>
            <w:r>
              <w:rPr>
                <w:rFonts w:hint="default" w:ascii="Times New Roman" w:hAnsi="Times New Roman" w:eastAsia="宋体" w:cs="Times New Roman"/>
                <w:color w:val="auto"/>
                <w:sz w:val="24"/>
                <w:szCs w:val="24"/>
                <w:highlight w:val="none"/>
                <w:lang w:val="en-US" w:eastAsia="zh-CN"/>
              </w:rPr>
              <w:t>15%</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若天然气急性中毒，可有头昏、头疼、呕吐、乏力甚至昏迷。病程中尚可出现精神症状，步态不稳，昏迷过程久者，醒后可有运动性失语及偏瘫。长时间接触天然气，可出现神经衰弱综合症。</w:t>
            </w:r>
          </w:p>
          <w:p w14:paraId="77D9677B">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baseline"/>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针对上述天然气风险分析，提出以下措施：</w:t>
            </w:r>
          </w:p>
          <w:p w14:paraId="372A31F2">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（1）加强天然气</w:t>
            </w:r>
            <w:r>
              <w:rPr>
                <w:rFonts w:hint="default" w:ascii="Times New Roman" w:hAnsi="Times New Roman" w:eastAsia="宋体" w:cs="Times New Roman"/>
                <w:color w:val="auto"/>
                <w:sz w:val="24"/>
                <w:szCs w:val="24"/>
                <w:highlight w:val="none"/>
                <w:lang w:val="en-US" w:eastAsia="zh-CN"/>
              </w:rPr>
              <w:t>用气区</w:t>
            </w:r>
            <w:r>
              <w:rPr>
                <w:rFonts w:hint="default" w:ascii="Times New Roman" w:hAnsi="Times New Roman" w:eastAsia="宋体" w:cs="Times New Roman"/>
                <w:color w:val="auto"/>
                <w:sz w:val="24"/>
                <w:szCs w:val="24"/>
                <w:highlight w:val="none"/>
              </w:rPr>
              <w:t>域安全管理，确保安全运行，健全的规章制度和严格的安全管理是防止燃气调压柜发生火灾事故的重要保障。因此站内应建立健全各项安全制度，包括日常管理要求和事故处置应急方案，坚持定期检查和每日巡查制度，对发现的火灾隐患及时进行整改。做到“四勤”，即“勤听”，听是否有漏气声；“勤擦”，通过经常性的设备擦拭，对设备进行维护保养；“勤看”，看设备运转是否有异常现象；“勤闻”，闻是否有异常漏气气味。建立严格的运行记录和交接班制度，每天必须详细记录各个技术数据。在做好内部管理工作的同时，加强对站区外来人员、车辆的管理，燃气调压柜区域内严禁吸烟，禁带任何火源。</w:t>
            </w:r>
          </w:p>
          <w:p w14:paraId="20D0ED62">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w:t>
            </w:r>
            <w:r>
              <w:rPr>
                <w:rFonts w:hint="default" w:ascii="Times New Roman" w:hAnsi="Times New Roman" w:eastAsia="宋体" w:cs="Times New Roman"/>
                <w:color w:val="auto"/>
                <w:sz w:val="24"/>
                <w:szCs w:val="24"/>
                <w:highlight w:val="none"/>
                <w:lang w:eastAsia="zh-CN"/>
              </w:rPr>
              <w:t>项目</w:t>
            </w:r>
            <w:r>
              <w:rPr>
                <w:rFonts w:hint="default" w:ascii="Times New Roman" w:hAnsi="Times New Roman" w:eastAsia="宋体" w:cs="Times New Roman"/>
                <w:color w:val="auto"/>
                <w:sz w:val="24"/>
                <w:szCs w:val="24"/>
                <w:highlight w:val="none"/>
              </w:rPr>
              <w:t>应</w:t>
            </w:r>
            <w:r>
              <w:rPr>
                <w:rFonts w:hint="default" w:ascii="Times New Roman" w:hAnsi="Times New Roman" w:eastAsia="宋体" w:cs="Times New Roman"/>
                <w:color w:val="auto"/>
                <w:sz w:val="24"/>
                <w:szCs w:val="24"/>
                <w:highlight w:val="none"/>
                <w:lang w:val="en-US" w:eastAsia="zh-CN"/>
              </w:rPr>
              <w:t>健</w:t>
            </w:r>
            <w:r>
              <w:rPr>
                <w:rFonts w:hint="default" w:ascii="Times New Roman" w:hAnsi="Times New Roman" w:eastAsia="宋体" w:cs="Times New Roman"/>
                <w:color w:val="auto"/>
                <w:sz w:val="24"/>
                <w:szCs w:val="24"/>
                <w:highlight w:val="none"/>
              </w:rPr>
              <w:t>全一套事故风险应急管理组织机构，制定安全规程。管理人员应职责、权限分明，清楚生产工艺技术和事故风险发生后果，具备解除事故和减缓事故的能力。</w:t>
            </w:r>
          </w:p>
          <w:p w14:paraId="5FCC894B">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只要认真落实好综上所提到的措施，完善事故应急，事故风险概率很低，经过妥善的风险防范措施，环评认为项目的环境风险是正常情况下可接受的。</w:t>
            </w:r>
          </w:p>
          <w:p w14:paraId="1A1ADCC5">
            <w:pPr>
              <w:adjustRightInd w:val="0"/>
              <w:snapToGrid w:val="0"/>
              <w:spacing w:line="360" w:lineRule="auto"/>
              <w:ind w:firstLine="482" w:firstLineChars="200"/>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7.</w:t>
            </w:r>
            <w:r>
              <w:rPr>
                <w:rFonts w:hint="default" w:ascii="Times New Roman" w:hAnsi="Times New Roman" w:cs="Times New Roman"/>
                <w:b/>
                <w:color w:val="auto"/>
                <w:sz w:val="24"/>
                <w:highlight w:val="none"/>
                <w:lang w:val="en-US" w:eastAsia="zh-CN"/>
              </w:rPr>
              <w:t>8 小结</w:t>
            </w:r>
            <w:r>
              <w:rPr>
                <w:rFonts w:hint="default" w:ascii="Times New Roman" w:hAnsi="Times New Roman" w:cs="Times New Roman"/>
                <w:b/>
                <w:color w:val="auto"/>
                <w:sz w:val="24"/>
                <w:highlight w:val="none"/>
              </w:rPr>
              <w:t>：</w:t>
            </w:r>
          </w:p>
          <w:p w14:paraId="1D8A673A">
            <w:pPr>
              <w:adjustRightInd w:val="0"/>
              <w:snapToGrid w:val="0"/>
              <w:spacing w:line="360" w:lineRule="auto"/>
              <w:ind w:firstLine="480" w:firstLineChars="200"/>
              <w:rPr>
                <w:rFonts w:hint="default" w:ascii="Times New Roman" w:hAnsi="Times New Roman" w:cs="Times New Roman"/>
                <w:bCs/>
                <w:color w:val="auto"/>
                <w:spacing w:val="-10"/>
                <w:sz w:val="24"/>
                <w:szCs w:val="21"/>
                <w:highlight w:val="none"/>
              </w:rPr>
            </w:pPr>
            <w:r>
              <w:rPr>
                <w:rFonts w:hint="default" w:ascii="Times New Roman" w:hAnsi="Times New Roman" w:cs="Times New Roman"/>
                <w:bCs/>
                <w:color w:val="auto"/>
                <w:sz w:val="24"/>
                <w:highlight w:val="none"/>
              </w:rPr>
              <w:t>根据项目风险分析，项目在严格落实环评提出各项措施和要求的前提下，项目风险事的响在可恢复范围内，项目环境风险是可以接受的。</w:t>
            </w:r>
          </w:p>
        </w:tc>
      </w:tr>
    </w:tbl>
    <w:p w14:paraId="178651CF">
      <w:pPr>
        <w:rPr>
          <w:rFonts w:hint="default" w:ascii="Times New Roman" w:hAnsi="Times New Roman" w:cs="Times New Roman"/>
          <w:color w:val="auto"/>
        </w:rPr>
        <w:sectPr>
          <w:pgSz w:w="11906" w:h="16838"/>
          <w:pgMar w:top="1440" w:right="1247" w:bottom="1440" w:left="1247" w:header="851" w:footer="851" w:gutter="0"/>
          <w:pgNumType w:fmt="decimal"/>
          <w:cols w:space="720" w:num="1"/>
          <w:docGrid w:linePitch="312" w:charSpace="0"/>
        </w:sectPr>
      </w:pPr>
    </w:p>
    <w:p w14:paraId="7BB1505C">
      <w:pPr>
        <w:keepNext w:val="0"/>
        <w:keepLines w:val="0"/>
        <w:pageBreakBefore w:val="0"/>
        <w:widowControl w:val="0"/>
        <w:kinsoku/>
        <w:wordWrap/>
        <w:overflowPunct/>
        <w:topLinePunct w:val="0"/>
        <w:autoSpaceDE/>
        <w:autoSpaceDN/>
        <w:bidi w:val="0"/>
        <w:adjustRightInd w:val="0"/>
        <w:snapToGrid w:val="0"/>
        <w:spacing w:after="0"/>
        <w:jc w:val="center"/>
        <w:textAlignment w:val="auto"/>
        <w:outlineLvl w:val="0"/>
        <w:rPr>
          <w:rFonts w:hint="default" w:ascii="Times New Roman" w:hAnsi="Times New Roman" w:eastAsia="宋体" w:cs="Times New Roman"/>
          <w:b/>
          <w:bCs/>
          <w:snapToGrid w:val="0"/>
          <w:color w:val="auto"/>
          <w:sz w:val="30"/>
          <w:szCs w:val="30"/>
          <w:highlight w:val="none"/>
        </w:rPr>
      </w:pPr>
      <w:r>
        <w:rPr>
          <w:rFonts w:hint="default" w:ascii="Times New Roman" w:hAnsi="Times New Roman" w:eastAsia="宋体" w:cs="Times New Roman"/>
          <w:b/>
          <w:bCs/>
          <w:snapToGrid w:val="0"/>
          <w:color w:val="auto"/>
          <w:sz w:val="30"/>
          <w:szCs w:val="30"/>
          <w:highlight w:val="none"/>
          <w:lang w:val="en-US" w:eastAsia="zh-CN"/>
        </w:rPr>
        <w:t xml:space="preserve"> </w:t>
      </w:r>
      <w:r>
        <w:rPr>
          <w:rFonts w:hint="default" w:ascii="Times New Roman" w:hAnsi="Times New Roman" w:eastAsia="宋体" w:cs="Times New Roman"/>
          <w:b/>
          <w:bCs/>
          <w:snapToGrid w:val="0"/>
          <w:color w:val="auto"/>
          <w:sz w:val="30"/>
          <w:szCs w:val="30"/>
          <w:highlight w:val="none"/>
        </w:rPr>
        <w:t>五、</w:t>
      </w:r>
      <w:bookmarkStart w:id="17" w:name="_Hlk54167917"/>
      <w:r>
        <w:rPr>
          <w:rFonts w:hint="default" w:ascii="Times New Roman" w:hAnsi="Times New Roman" w:eastAsia="宋体" w:cs="Times New Roman"/>
          <w:b/>
          <w:bCs/>
          <w:snapToGrid w:val="0"/>
          <w:color w:val="auto"/>
          <w:sz w:val="30"/>
          <w:szCs w:val="30"/>
          <w:highlight w:val="none"/>
        </w:rPr>
        <w:t>环境保护措施监督检查清单</w:t>
      </w:r>
      <w:bookmarkEnd w:id="17"/>
    </w:p>
    <w:tbl>
      <w:tblPr>
        <w:tblStyle w:val="34"/>
        <w:tblW w:w="975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83"/>
        <w:gridCol w:w="1992"/>
        <w:gridCol w:w="1245"/>
        <w:gridCol w:w="2583"/>
        <w:gridCol w:w="2954"/>
      </w:tblGrid>
      <w:tr w14:paraId="3E2B61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983" w:type="dxa"/>
            <w:tcBorders>
              <w:tl2br w:val="single" w:color="auto" w:sz="4" w:space="0"/>
            </w:tcBorders>
            <w:noWrap/>
            <w:vAlign w:val="top"/>
          </w:tcPr>
          <w:p w14:paraId="2332A0B5">
            <w:pPr>
              <w:keepNext w:val="0"/>
              <w:keepLines w:val="0"/>
              <w:pageBreakBefore w:val="0"/>
              <w:widowControl w:val="0"/>
              <w:kinsoku/>
              <w:wordWrap/>
              <w:overflowPunct/>
              <w:topLinePunct w:val="0"/>
              <w:autoSpaceDE/>
              <w:autoSpaceDN/>
              <w:bidi w:val="0"/>
              <w:adjustRightInd w:val="0"/>
              <w:snapToGrid w:val="0"/>
              <w:spacing w:after="0"/>
              <w:ind w:firstLine="211" w:firstLineChars="100"/>
              <w:jc w:val="both"/>
              <w:textAlignment w:val="auto"/>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rPr>
              <w:t>内容</w:t>
            </w:r>
          </w:p>
          <w:p w14:paraId="191614C7">
            <w:pPr>
              <w:keepNext w:val="0"/>
              <w:keepLines w:val="0"/>
              <w:pageBreakBefore w:val="0"/>
              <w:widowControl w:val="0"/>
              <w:kinsoku/>
              <w:wordWrap/>
              <w:overflowPunct/>
              <w:topLinePunct w:val="0"/>
              <w:autoSpaceDE/>
              <w:autoSpaceDN/>
              <w:bidi w:val="0"/>
              <w:adjustRightInd w:val="0"/>
              <w:snapToGrid w:val="0"/>
              <w:spacing w:after="0"/>
              <w:jc w:val="both"/>
              <w:textAlignment w:val="auto"/>
              <w:rPr>
                <w:rFonts w:hint="default" w:ascii="Times New Roman" w:hAnsi="Times New Roman" w:eastAsia="宋体" w:cs="Times New Roman"/>
                <w:b/>
                <w:bCs/>
                <w:color w:val="auto"/>
                <w:kern w:val="2"/>
                <w:sz w:val="21"/>
                <w:szCs w:val="21"/>
                <w:highlight w:val="none"/>
              </w:rPr>
            </w:pPr>
          </w:p>
          <w:p w14:paraId="0BF4A713">
            <w:pPr>
              <w:keepNext w:val="0"/>
              <w:keepLines w:val="0"/>
              <w:pageBreakBefore w:val="0"/>
              <w:widowControl w:val="0"/>
              <w:kinsoku/>
              <w:wordWrap/>
              <w:overflowPunct/>
              <w:topLinePunct w:val="0"/>
              <w:autoSpaceDE/>
              <w:autoSpaceDN/>
              <w:bidi w:val="0"/>
              <w:adjustRightInd w:val="0"/>
              <w:snapToGrid w:val="0"/>
              <w:spacing w:after="0"/>
              <w:jc w:val="both"/>
              <w:textAlignment w:val="auto"/>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rPr>
              <w:t>要素</w:t>
            </w:r>
          </w:p>
        </w:tc>
        <w:tc>
          <w:tcPr>
            <w:tcW w:w="1992" w:type="dxa"/>
            <w:noWrap/>
            <w:vAlign w:val="center"/>
          </w:tcPr>
          <w:p w14:paraId="42115491">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rPr>
              <w:t>排放口(编号、名称)/污染源</w:t>
            </w:r>
          </w:p>
        </w:tc>
        <w:tc>
          <w:tcPr>
            <w:tcW w:w="1245" w:type="dxa"/>
            <w:noWrap/>
            <w:vAlign w:val="center"/>
          </w:tcPr>
          <w:p w14:paraId="1B9CF932">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rPr>
              <w:t>污染物项目</w:t>
            </w:r>
          </w:p>
        </w:tc>
        <w:tc>
          <w:tcPr>
            <w:tcW w:w="2583" w:type="dxa"/>
            <w:noWrap/>
            <w:vAlign w:val="center"/>
          </w:tcPr>
          <w:p w14:paraId="1AA37C12">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rPr>
              <w:t>环境保护措施</w:t>
            </w:r>
          </w:p>
        </w:tc>
        <w:tc>
          <w:tcPr>
            <w:tcW w:w="2954" w:type="dxa"/>
            <w:noWrap/>
            <w:vAlign w:val="center"/>
          </w:tcPr>
          <w:p w14:paraId="7E0B3458">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rPr>
              <w:t>执行标准</w:t>
            </w:r>
          </w:p>
        </w:tc>
      </w:tr>
      <w:tr w14:paraId="5BEDDE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983" w:type="dxa"/>
            <w:vMerge w:val="restart"/>
            <w:noWrap/>
            <w:vAlign w:val="center"/>
          </w:tcPr>
          <w:p w14:paraId="12C02BBA">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大气环境</w:t>
            </w:r>
          </w:p>
        </w:tc>
        <w:tc>
          <w:tcPr>
            <w:tcW w:w="1992" w:type="dxa"/>
            <w:shd w:val="clear" w:color="auto" w:fill="auto"/>
            <w:noWrap/>
            <w:vAlign w:val="center"/>
          </w:tcPr>
          <w:p w14:paraId="19530FE8">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锅炉</w:t>
            </w:r>
            <w:r>
              <w:rPr>
                <w:rFonts w:hint="eastAsia" w:ascii="Times New Roman" w:hAnsi="Times New Roman" w:cs="Times New Roman"/>
                <w:color w:val="auto"/>
                <w:sz w:val="21"/>
                <w:szCs w:val="21"/>
                <w:highlight w:val="none"/>
                <w:lang w:val="en-US" w:eastAsia="zh-CN"/>
              </w:rPr>
              <w:t>燃烧</w:t>
            </w:r>
            <w:r>
              <w:rPr>
                <w:rFonts w:hint="default" w:ascii="Times New Roman" w:hAnsi="Times New Roman" w:cs="Times New Roman"/>
                <w:color w:val="auto"/>
                <w:sz w:val="21"/>
                <w:szCs w:val="21"/>
                <w:highlight w:val="none"/>
                <w:lang w:val="en-US" w:eastAsia="zh-CN"/>
              </w:rPr>
              <w:t>废气</w:t>
            </w:r>
          </w:p>
        </w:tc>
        <w:tc>
          <w:tcPr>
            <w:tcW w:w="1245" w:type="dxa"/>
            <w:noWrap/>
            <w:vAlign w:val="center"/>
          </w:tcPr>
          <w:p w14:paraId="72B32819">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cs="Times New Roman"/>
                <w:color w:val="auto"/>
                <w:szCs w:val="21"/>
                <w:highlight w:val="none"/>
                <w:lang w:val="en-US" w:eastAsia="zh-CN"/>
              </w:rPr>
              <w:t>二氧化硫、氮氧化物、烟尘</w:t>
            </w:r>
          </w:p>
        </w:tc>
        <w:tc>
          <w:tcPr>
            <w:tcW w:w="2583" w:type="dxa"/>
            <w:noWrap/>
            <w:vAlign w:val="center"/>
          </w:tcPr>
          <w:p w14:paraId="59A60A8C">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使用低氮燃烧装置</w:t>
            </w:r>
            <w:r>
              <w:rPr>
                <w:rFonts w:hint="default" w:ascii="Times New Roman" w:hAnsi="Times New Roman" w:eastAsia="宋体" w:cs="Times New Roman"/>
                <w:color w:val="auto"/>
                <w:kern w:val="2"/>
                <w:sz w:val="21"/>
                <w:szCs w:val="21"/>
                <w:highlight w:val="none"/>
                <w:lang w:val="en-US" w:eastAsia="zh-CN"/>
              </w:rPr>
              <w:t>处理后于15m</w:t>
            </w:r>
            <w:r>
              <w:rPr>
                <w:rFonts w:hint="default" w:ascii="Times New Roman" w:hAnsi="Times New Roman" w:eastAsia="宋体" w:cs="Times New Roman"/>
                <w:color w:val="auto"/>
                <w:kern w:val="2"/>
                <w:sz w:val="21"/>
                <w:szCs w:val="21"/>
                <w:highlight w:val="none"/>
              </w:rPr>
              <w:t>高排气筒（DA001</w:t>
            </w:r>
            <w:r>
              <w:rPr>
                <w:rFonts w:hint="default" w:ascii="Times New Roman" w:hAnsi="Times New Roman" w:eastAsia="宋体" w:cs="Times New Roman"/>
                <w:color w:val="auto"/>
                <w:kern w:val="2"/>
                <w:sz w:val="21"/>
                <w:szCs w:val="21"/>
                <w:highlight w:val="none"/>
                <w:lang w:val="en-US" w:eastAsia="zh-CN"/>
              </w:rPr>
              <w:t>及DA002</w:t>
            </w:r>
            <w:r>
              <w:rPr>
                <w:rFonts w:hint="default" w:ascii="Times New Roman" w:hAnsi="Times New Roman" w:eastAsia="宋体" w:cs="Times New Roman"/>
                <w:color w:val="auto"/>
                <w:kern w:val="2"/>
                <w:sz w:val="21"/>
                <w:szCs w:val="21"/>
                <w:highlight w:val="none"/>
              </w:rPr>
              <w:t>）排放</w:t>
            </w:r>
          </w:p>
        </w:tc>
        <w:tc>
          <w:tcPr>
            <w:tcW w:w="2954" w:type="dxa"/>
            <w:shd w:val="clear" w:color="auto" w:fill="auto"/>
            <w:noWrap/>
            <w:vAlign w:val="center"/>
          </w:tcPr>
          <w:p w14:paraId="761BE1CE">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《锅炉大气污染物排放标准》（DB44/765-2019）表3特别排放限值</w:t>
            </w:r>
          </w:p>
        </w:tc>
      </w:tr>
      <w:tr w14:paraId="0F0808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983" w:type="dxa"/>
            <w:vMerge w:val="continue"/>
            <w:noWrap/>
            <w:vAlign w:val="center"/>
          </w:tcPr>
          <w:p w14:paraId="40257991">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1992" w:type="dxa"/>
            <w:shd w:val="clear" w:color="auto" w:fill="auto"/>
            <w:noWrap/>
            <w:vAlign w:val="center"/>
          </w:tcPr>
          <w:p w14:paraId="75CC1D56">
            <w:pPr>
              <w:adjustRightInd w:val="0"/>
              <w:snapToGrid w:val="0"/>
              <w:jc w:val="center"/>
              <w:textAlignment w:val="baseline"/>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水泥、粉煤灰筒仓呼吸废气</w:t>
            </w:r>
          </w:p>
        </w:tc>
        <w:tc>
          <w:tcPr>
            <w:tcW w:w="1245" w:type="dxa"/>
            <w:noWrap/>
            <w:vAlign w:val="center"/>
          </w:tcPr>
          <w:p w14:paraId="49D2A07F">
            <w:pPr>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cs="Times New Roman"/>
                <w:color w:val="auto"/>
                <w:szCs w:val="21"/>
                <w:highlight w:val="none"/>
                <w:lang w:val="en-US" w:eastAsia="zh-CN"/>
              </w:rPr>
              <w:t>颗粒物</w:t>
            </w:r>
          </w:p>
        </w:tc>
        <w:tc>
          <w:tcPr>
            <w:tcW w:w="2583" w:type="dxa"/>
            <w:noWrap/>
            <w:vAlign w:val="center"/>
          </w:tcPr>
          <w:p w14:paraId="0FE1B01C">
            <w:pPr>
              <w:adjustRightInd w:val="0"/>
              <w:snapToGrid w:val="0"/>
              <w:jc w:val="center"/>
              <w:textAlignment w:val="baseline"/>
              <w:rPr>
                <w:rFonts w:hint="default" w:ascii="Times New Roman" w:hAnsi="Times New Roman" w:cs="Times New Roman"/>
                <w:b/>
                <w:bCs/>
                <w:color w:val="auto"/>
                <w:szCs w:val="21"/>
                <w:highlight w:val="none"/>
                <w:lang w:val="en-US" w:eastAsia="zh-CN"/>
              </w:rPr>
            </w:pPr>
            <w:r>
              <w:rPr>
                <w:rFonts w:hint="default" w:ascii="Times New Roman" w:hAnsi="Times New Roman" w:cs="Times New Roman"/>
                <w:color w:val="auto"/>
                <w:szCs w:val="21"/>
                <w:highlight w:val="none"/>
                <w:lang w:val="en-US" w:eastAsia="zh-CN"/>
              </w:rPr>
              <w:t>设备自带脉冲布袋除尘器处理后无组织排放</w:t>
            </w:r>
          </w:p>
        </w:tc>
        <w:tc>
          <w:tcPr>
            <w:tcW w:w="2954" w:type="dxa"/>
            <w:vMerge w:val="restart"/>
            <w:shd w:val="clear" w:color="auto" w:fill="auto"/>
            <w:noWrap/>
            <w:vAlign w:val="center"/>
          </w:tcPr>
          <w:p w14:paraId="1E22CBFF">
            <w:pPr>
              <w:adjustRightInd w:val="0"/>
              <w:snapToGrid w:val="0"/>
              <w:spacing w:line="240" w:lineRule="auto"/>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rPr>
              <w:t>水泥工业大气污染物排放标准》（GB4915-2013）中表3大气污染物无组织排放限值</w:t>
            </w:r>
            <w:r>
              <w:rPr>
                <w:rFonts w:hint="default" w:ascii="Times New Roman" w:hAnsi="Times New Roman" w:eastAsia="宋体" w:cs="Times New Roman"/>
                <w:color w:val="auto"/>
                <w:szCs w:val="21"/>
                <w:highlight w:val="none"/>
                <w:lang w:val="en-US" w:eastAsia="zh-CN"/>
              </w:rPr>
              <w:t>及广东省《大气污染物排放限值》（DB44/27-2001）第二时段无组织排放监控浓度限值较严值</w:t>
            </w:r>
          </w:p>
        </w:tc>
      </w:tr>
      <w:tr w14:paraId="5DBE30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983" w:type="dxa"/>
            <w:vMerge w:val="continue"/>
            <w:noWrap/>
            <w:vAlign w:val="center"/>
          </w:tcPr>
          <w:p w14:paraId="69CC5021">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1992" w:type="dxa"/>
            <w:shd w:val="clear" w:color="auto" w:fill="auto"/>
            <w:noWrap/>
            <w:vAlign w:val="center"/>
          </w:tcPr>
          <w:p w14:paraId="29283B41">
            <w:pPr>
              <w:adjustRightInd w:val="0"/>
              <w:snapToGrid w:val="0"/>
              <w:jc w:val="center"/>
              <w:textAlignment w:val="baseline"/>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搅拌废气</w:t>
            </w:r>
          </w:p>
        </w:tc>
        <w:tc>
          <w:tcPr>
            <w:tcW w:w="1245" w:type="dxa"/>
            <w:noWrap/>
            <w:vAlign w:val="center"/>
          </w:tcPr>
          <w:p w14:paraId="0401B86B">
            <w:pPr>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cs="Times New Roman"/>
                <w:color w:val="auto"/>
                <w:szCs w:val="21"/>
                <w:highlight w:val="none"/>
                <w:lang w:val="en-US" w:eastAsia="zh-CN"/>
              </w:rPr>
              <w:t>颗粒物</w:t>
            </w:r>
          </w:p>
        </w:tc>
        <w:tc>
          <w:tcPr>
            <w:tcW w:w="2583" w:type="dxa"/>
            <w:noWrap/>
            <w:vAlign w:val="center"/>
          </w:tcPr>
          <w:p w14:paraId="417C962A">
            <w:pPr>
              <w:adjustRightInd w:val="0"/>
              <w:snapToGrid w:val="0"/>
              <w:jc w:val="center"/>
              <w:textAlignment w:val="baseline"/>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经搅拌设备自带脉冲布袋除尘器处理后无组织排放</w:t>
            </w:r>
          </w:p>
        </w:tc>
        <w:tc>
          <w:tcPr>
            <w:tcW w:w="2954" w:type="dxa"/>
            <w:vMerge w:val="continue"/>
            <w:shd w:val="clear" w:color="auto" w:fill="auto"/>
            <w:noWrap/>
            <w:vAlign w:val="center"/>
          </w:tcPr>
          <w:p w14:paraId="372C6340">
            <w:pPr>
              <w:adjustRightInd w:val="0"/>
              <w:snapToGrid w:val="0"/>
              <w:spacing w:line="240" w:lineRule="auto"/>
              <w:jc w:val="center"/>
              <w:rPr>
                <w:rFonts w:hint="default" w:ascii="Times New Roman" w:hAnsi="Times New Roman" w:eastAsia="宋体" w:cs="Times New Roman"/>
                <w:color w:val="auto"/>
                <w:szCs w:val="21"/>
                <w:highlight w:val="none"/>
                <w:lang w:eastAsia="zh-CN"/>
              </w:rPr>
            </w:pPr>
          </w:p>
        </w:tc>
      </w:tr>
      <w:tr w14:paraId="1016EF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983" w:type="dxa"/>
            <w:vMerge w:val="continue"/>
            <w:noWrap/>
            <w:vAlign w:val="center"/>
          </w:tcPr>
          <w:p w14:paraId="13EB7AFC">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1992" w:type="dxa"/>
            <w:shd w:val="clear" w:color="auto" w:fill="auto"/>
            <w:noWrap/>
            <w:vAlign w:val="center"/>
          </w:tcPr>
          <w:p w14:paraId="40951E30">
            <w:pPr>
              <w:pStyle w:val="29"/>
              <w:widowControl w:val="0"/>
              <w:adjustRightInd w:val="0"/>
              <w:spacing w:before="0" w:beforeAutospacing="0" w:after="0" w:afterAutospacing="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砂石卸料粉尘</w:t>
            </w:r>
          </w:p>
        </w:tc>
        <w:tc>
          <w:tcPr>
            <w:tcW w:w="1245" w:type="dxa"/>
            <w:noWrap/>
            <w:vAlign w:val="center"/>
          </w:tcPr>
          <w:p w14:paraId="50AEB73F">
            <w:pPr>
              <w:adjustRightInd w:val="0"/>
              <w:snapToGrid w:val="0"/>
              <w:jc w:val="center"/>
              <w:textAlignment w:val="baseline"/>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cs="Times New Roman"/>
                <w:color w:val="auto"/>
                <w:szCs w:val="21"/>
                <w:highlight w:val="none"/>
                <w:lang w:val="en-US" w:eastAsia="zh-CN"/>
              </w:rPr>
              <w:t>颗粒物</w:t>
            </w:r>
          </w:p>
        </w:tc>
        <w:tc>
          <w:tcPr>
            <w:tcW w:w="2583" w:type="dxa"/>
            <w:noWrap/>
            <w:vAlign w:val="center"/>
          </w:tcPr>
          <w:p w14:paraId="3C899C6B">
            <w:pPr>
              <w:adjustRightInd w:val="0"/>
              <w:snapToGrid w:val="0"/>
              <w:jc w:val="center"/>
              <w:textAlignment w:val="baseline"/>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洒水抑尘后无组织排放</w:t>
            </w:r>
          </w:p>
        </w:tc>
        <w:tc>
          <w:tcPr>
            <w:tcW w:w="2954" w:type="dxa"/>
            <w:vMerge w:val="continue"/>
            <w:shd w:val="clear" w:color="auto" w:fill="auto"/>
            <w:noWrap/>
            <w:vAlign w:val="center"/>
          </w:tcPr>
          <w:p w14:paraId="656A3479">
            <w:pPr>
              <w:adjustRightInd w:val="0"/>
              <w:snapToGrid w:val="0"/>
              <w:spacing w:line="240" w:lineRule="auto"/>
              <w:jc w:val="center"/>
              <w:rPr>
                <w:rFonts w:hint="default" w:ascii="Times New Roman" w:hAnsi="Times New Roman" w:eastAsia="宋体" w:cs="Times New Roman"/>
                <w:color w:val="auto"/>
                <w:szCs w:val="21"/>
                <w:highlight w:val="none"/>
                <w:lang w:eastAsia="zh-CN"/>
              </w:rPr>
            </w:pPr>
          </w:p>
        </w:tc>
      </w:tr>
      <w:tr w14:paraId="618377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983" w:type="dxa"/>
            <w:vMerge w:val="continue"/>
            <w:noWrap/>
            <w:vAlign w:val="center"/>
          </w:tcPr>
          <w:p w14:paraId="654B6B17">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1992" w:type="dxa"/>
            <w:shd w:val="clear" w:color="auto" w:fill="auto"/>
            <w:noWrap/>
            <w:vAlign w:val="center"/>
          </w:tcPr>
          <w:p w14:paraId="3F384632">
            <w:pPr>
              <w:pStyle w:val="29"/>
              <w:widowControl w:val="0"/>
              <w:adjustRightInd w:val="0"/>
              <w:spacing w:before="0" w:beforeAutospacing="0" w:after="0" w:afterAutospacing="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砂石物料输送粉尘</w:t>
            </w:r>
          </w:p>
        </w:tc>
        <w:tc>
          <w:tcPr>
            <w:tcW w:w="1245" w:type="dxa"/>
            <w:noWrap/>
            <w:vAlign w:val="center"/>
          </w:tcPr>
          <w:p w14:paraId="6D318777">
            <w:pPr>
              <w:adjustRightInd w:val="0"/>
              <w:snapToGrid w:val="0"/>
              <w:jc w:val="center"/>
              <w:textAlignment w:val="baseline"/>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cs="Times New Roman"/>
                <w:color w:val="auto"/>
                <w:szCs w:val="21"/>
                <w:highlight w:val="none"/>
                <w:lang w:val="en-US" w:eastAsia="zh-CN"/>
              </w:rPr>
              <w:t>颗粒物</w:t>
            </w:r>
          </w:p>
        </w:tc>
        <w:tc>
          <w:tcPr>
            <w:tcW w:w="2583" w:type="dxa"/>
            <w:noWrap/>
            <w:vAlign w:val="center"/>
          </w:tcPr>
          <w:p w14:paraId="0989BAFC">
            <w:pPr>
              <w:adjustRightInd w:val="0"/>
              <w:snapToGrid w:val="0"/>
              <w:jc w:val="center"/>
              <w:textAlignment w:val="baseline"/>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洒水抑尘后无组织排放</w:t>
            </w:r>
          </w:p>
        </w:tc>
        <w:tc>
          <w:tcPr>
            <w:tcW w:w="2954" w:type="dxa"/>
            <w:vMerge w:val="continue"/>
            <w:shd w:val="clear" w:color="auto" w:fill="auto"/>
            <w:noWrap/>
            <w:vAlign w:val="center"/>
          </w:tcPr>
          <w:p w14:paraId="733615E2">
            <w:pPr>
              <w:adjustRightInd w:val="0"/>
              <w:snapToGrid w:val="0"/>
              <w:spacing w:line="240" w:lineRule="auto"/>
              <w:jc w:val="center"/>
              <w:rPr>
                <w:rFonts w:hint="default" w:ascii="Times New Roman" w:hAnsi="Times New Roman" w:eastAsia="宋体" w:cs="Times New Roman"/>
                <w:color w:val="auto"/>
                <w:szCs w:val="21"/>
                <w:highlight w:val="none"/>
                <w:lang w:eastAsia="zh-CN"/>
              </w:rPr>
            </w:pPr>
          </w:p>
        </w:tc>
      </w:tr>
      <w:tr w14:paraId="0E9E03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983" w:type="dxa"/>
            <w:vMerge w:val="continue"/>
            <w:noWrap/>
            <w:vAlign w:val="center"/>
          </w:tcPr>
          <w:p w14:paraId="3A1DF97A">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1992" w:type="dxa"/>
            <w:shd w:val="clear" w:color="auto" w:fill="auto"/>
            <w:noWrap/>
            <w:vAlign w:val="center"/>
          </w:tcPr>
          <w:p w14:paraId="7110EFBF">
            <w:pPr>
              <w:pStyle w:val="29"/>
              <w:widowControl w:val="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砂石料仓扬尘</w:t>
            </w:r>
          </w:p>
        </w:tc>
        <w:tc>
          <w:tcPr>
            <w:tcW w:w="1245" w:type="dxa"/>
            <w:noWrap/>
            <w:vAlign w:val="center"/>
          </w:tcPr>
          <w:p w14:paraId="6CF91D3C">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rPr>
              <w:t>颗粒物</w:t>
            </w:r>
          </w:p>
        </w:tc>
        <w:tc>
          <w:tcPr>
            <w:tcW w:w="2583" w:type="dxa"/>
            <w:noWrap/>
            <w:vAlign w:val="center"/>
          </w:tcPr>
          <w:p w14:paraId="47A62FFA">
            <w:pPr>
              <w:adjustRightInd w:val="0"/>
              <w:snapToGrid w:val="0"/>
              <w:jc w:val="center"/>
              <w:textAlignment w:val="baseline"/>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Cs w:val="21"/>
                <w:highlight w:val="none"/>
                <w:lang w:val="en-US" w:eastAsia="zh-CN"/>
              </w:rPr>
              <w:t>洒水抑尘后无组织排放</w:t>
            </w:r>
          </w:p>
        </w:tc>
        <w:tc>
          <w:tcPr>
            <w:tcW w:w="2954" w:type="dxa"/>
            <w:vMerge w:val="continue"/>
            <w:noWrap/>
            <w:vAlign w:val="center"/>
          </w:tcPr>
          <w:p w14:paraId="25890478">
            <w:pPr>
              <w:adjustRightInd w:val="0"/>
              <w:snapToGrid w:val="0"/>
              <w:spacing w:line="240" w:lineRule="auto"/>
              <w:jc w:val="center"/>
              <w:rPr>
                <w:rFonts w:hint="default" w:ascii="Times New Roman" w:hAnsi="Times New Roman" w:cs="Times New Roman"/>
                <w:color w:val="auto"/>
                <w:sz w:val="21"/>
                <w:szCs w:val="21"/>
                <w:highlight w:val="none"/>
                <w:lang w:val="en-US" w:eastAsia="zh-CN"/>
              </w:rPr>
            </w:pPr>
          </w:p>
        </w:tc>
      </w:tr>
      <w:tr w14:paraId="5B7D80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983" w:type="dxa"/>
            <w:vMerge w:val="continue"/>
            <w:noWrap/>
            <w:vAlign w:val="center"/>
          </w:tcPr>
          <w:p w14:paraId="443C8C7B">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1992" w:type="dxa"/>
            <w:shd w:val="clear" w:color="auto" w:fill="auto"/>
            <w:noWrap/>
            <w:vAlign w:val="center"/>
          </w:tcPr>
          <w:p w14:paraId="791AAA22">
            <w:pPr>
              <w:pStyle w:val="29"/>
              <w:widowControl w:val="0"/>
              <w:adjustRightInd w:val="0"/>
              <w:spacing w:before="0" w:beforeAutospacing="0" w:after="0" w:afterAutospacing="0"/>
              <w:jc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kern w:val="2"/>
                <w:sz w:val="21"/>
                <w:szCs w:val="21"/>
                <w:highlight w:val="none"/>
              </w:rPr>
              <w:t>运输车辆动力扬尘</w:t>
            </w:r>
          </w:p>
        </w:tc>
        <w:tc>
          <w:tcPr>
            <w:tcW w:w="1245" w:type="dxa"/>
            <w:noWrap/>
            <w:vAlign w:val="center"/>
          </w:tcPr>
          <w:p w14:paraId="3E815FB5">
            <w:pPr>
              <w:adjustRightInd w:val="0"/>
              <w:snapToGrid w:val="0"/>
              <w:jc w:val="center"/>
              <w:textAlignment w:val="baseline"/>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cs="Times New Roman"/>
                <w:color w:val="auto"/>
                <w:szCs w:val="21"/>
                <w:highlight w:val="none"/>
                <w:lang w:val="en-US" w:eastAsia="zh-CN"/>
              </w:rPr>
              <w:t>颗粒物</w:t>
            </w:r>
          </w:p>
        </w:tc>
        <w:tc>
          <w:tcPr>
            <w:tcW w:w="2583" w:type="dxa"/>
            <w:noWrap/>
            <w:vAlign w:val="center"/>
          </w:tcPr>
          <w:p w14:paraId="23E5D6C4">
            <w:pPr>
              <w:adjustRightInd w:val="0"/>
              <w:snapToGrid w:val="0"/>
              <w:jc w:val="center"/>
              <w:textAlignment w:val="baseline"/>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无组织排放</w:t>
            </w:r>
          </w:p>
        </w:tc>
        <w:tc>
          <w:tcPr>
            <w:tcW w:w="2954" w:type="dxa"/>
            <w:vMerge w:val="continue"/>
            <w:noWrap/>
            <w:vAlign w:val="center"/>
          </w:tcPr>
          <w:p w14:paraId="733C4805">
            <w:pPr>
              <w:adjustRightInd w:val="0"/>
              <w:snapToGrid w:val="0"/>
              <w:spacing w:line="240" w:lineRule="auto"/>
              <w:jc w:val="center"/>
              <w:rPr>
                <w:rFonts w:hint="default" w:ascii="Times New Roman" w:hAnsi="Times New Roman" w:cs="Times New Roman"/>
                <w:color w:val="auto"/>
                <w:sz w:val="21"/>
                <w:szCs w:val="21"/>
                <w:highlight w:val="none"/>
                <w:lang w:val="en-US" w:eastAsia="zh-CN"/>
              </w:rPr>
            </w:pPr>
          </w:p>
        </w:tc>
      </w:tr>
      <w:tr w14:paraId="6D7394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83" w:type="dxa"/>
            <w:vMerge w:val="continue"/>
            <w:noWrap/>
            <w:vAlign w:val="center"/>
          </w:tcPr>
          <w:p w14:paraId="0D670DC9">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1992" w:type="dxa"/>
            <w:shd w:val="clear" w:color="auto" w:fill="auto"/>
            <w:noWrap/>
            <w:vAlign w:val="center"/>
          </w:tcPr>
          <w:p w14:paraId="3D17007C">
            <w:pPr>
              <w:adjustRightInd w:val="0"/>
              <w:snapToGrid w:val="0"/>
              <w:jc w:val="center"/>
              <w:textAlignment w:val="baseline"/>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汽车运输尾气</w:t>
            </w:r>
          </w:p>
        </w:tc>
        <w:tc>
          <w:tcPr>
            <w:tcW w:w="1245" w:type="dxa"/>
            <w:noWrap/>
            <w:vAlign w:val="center"/>
          </w:tcPr>
          <w:p w14:paraId="0D477838">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cs="Times New Roman"/>
                <w:color w:val="auto"/>
                <w:szCs w:val="21"/>
                <w:highlight w:val="none"/>
                <w:lang w:val="en-US" w:eastAsia="zh-CN"/>
              </w:rPr>
              <w:t>CO、NOx、THC</w:t>
            </w:r>
          </w:p>
        </w:tc>
        <w:tc>
          <w:tcPr>
            <w:tcW w:w="2583" w:type="dxa"/>
            <w:noWrap/>
            <w:vAlign w:val="center"/>
          </w:tcPr>
          <w:p w14:paraId="71836011">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Cs w:val="21"/>
                <w:highlight w:val="none"/>
                <w:lang w:val="en-US" w:eastAsia="zh-CN"/>
              </w:rPr>
              <w:t>洒水抑尘</w:t>
            </w:r>
          </w:p>
        </w:tc>
        <w:tc>
          <w:tcPr>
            <w:tcW w:w="2954" w:type="dxa"/>
            <w:noWrap/>
            <w:vAlign w:val="center"/>
          </w:tcPr>
          <w:p w14:paraId="6FFA22B6">
            <w:pPr>
              <w:adjustRightInd w:val="0"/>
              <w:snapToGrid w:val="0"/>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Cs w:val="21"/>
                <w:highlight w:val="none"/>
                <w:lang w:val="en-US" w:eastAsia="zh-CN"/>
              </w:rPr>
              <w:t>广东省《大气污染物排放限值》（DB44/27-2001）第二时段无组织排放监控浓度限值</w:t>
            </w:r>
          </w:p>
        </w:tc>
      </w:tr>
      <w:tr w14:paraId="412A6F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983" w:type="dxa"/>
            <w:vMerge w:val="continue"/>
            <w:noWrap/>
            <w:vAlign w:val="center"/>
          </w:tcPr>
          <w:p w14:paraId="1C874B32">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1992" w:type="dxa"/>
            <w:noWrap/>
            <w:vAlign w:val="center"/>
          </w:tcPr>
          <w:p w14:paraId="131FABD0">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厂界</w:t>
            </w:r>
          </w:p>
        </w:tc>
        <w:tc>
          <w:tcPr>
            <w:tcW w:w="1245" w:type="dxa"/>
            <w:noWrap/>
            <w:vAlign w:val="center"/>
          </w:tcPr>
          <w:p w14:paraId="73E8E97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b w:val="0"/>
                <w:bCs w:val="0"/>
                <w:color w:val="auto"/>
                <w:sz w:val="21"/>
                <w:szCs w:val="21"/>
                <w:highlight w:val="none"/>
                <w:vertAlign w:val="baseline"/>
                <w:lang w:val="en-US" w:eastAsia="zh-CN"/>
              </w:rPr>
              <w:t>颗粒物</w:t>
            </w:r>
          </w:p>
        </w:tc>
        <w:tc>
          <w:tcPr>
            <w:tcW w:w="2583" w:type="dxa"/>
            <w:noWrap/>
            <w:vAlign w:val="center"/>
          </w:tcPr>
          <w:p w14:paraId="6493FB85">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rPr>
              <w:t>加强密闭，减少通风，将污染物尽量截留在产污区域内</w:t>
            </w:r>
          </w:p>
        </w:tc>
        <w:tc>
          <w:tcPr>
            <w:tcW w:w="2954" w:type="dxa"/>
            <w:noWrap/>
            <w:vAlign w:val="center"/>
          </w:tcPr>
          <w:p w14:paraId="150EB644">
            <w:pPr>
              <w:adjustRightInd w:val="0"/>
              <w:snapToGrid w:val="0"/>
              <w:spacing w:line="240" w:lineRule="auto"/>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rPr>
              <w:t>水泥工业大气污染物排放标准》（GB4915-2013）中表3大气污染物无组织排放限值</w:t>
            </w:r>
            <w:r>
              <w:rPr>
                <w:rFonts w:hint="default" w:ascii="Times New Roman" w:hAnsi="Times New Roman" w:eastAsia="宋体" w:cs="Times New Roman"/>
                <w:color w:val="auto"/>
                <w:szCs w:val="21"/>
                <w:highlight w:val="none"/>
                <w:lang w:val="en-US" w:eastAsia="zh-CN"/>
              </w:rPr>
              <w:t>及广东省《大气污染物排放限值》（DB44/27-2001）第二时段无组织排放监控浓度限值较严值</w:t>
            </w:r>
          </w:p>
        </w:tc>
      </w:tr>
      <w:tr w14:paraId="27BBA8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983" w:type="dxa"/>
            <w:vMerge w:val="restart"/>
            <w:noWrap/>
            <w:vAlign w:val="center"/>
          </w:tcPr>
          <w:p w14:paraId="3D49E0B2">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地表水环境</w:t>
            </w:r>
          </w:p>
        </w:tc>
        <w:tc>
          <w:tcPr>
            <w:tcW w:w="1992" w:type="dxa"/>
            <w:vMerge w:val="restart"/>
            <w:noWrap/>
            <w:vAlign w:val="center"/>
          </w:tcPr>
          <w:p w14:paraId="03FA9A60">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rPr>
              <w:t>生活污水</w:t>
            </w:r>
          </w:p>
        </w:tc>
        <w:tc>
          <w:tcPr>
            <w:tcW w:w="1245" w:type="dxa"/>
            <w:noWrap/>
            <w:vAlign w:val="center"/>
          </w:tcPr>
          <w:p w14:paraId="344D31D0">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CODcr</w:t>
            </w:r>
          </w:p>
        </w:tc>
        <w:tc>
          <w:tcPr>
            <w:tcW w:w="2583" w:type="dxa"/>
            <w:vMerge w:val="restart"/>
            <w:noWrap/>
            <w:vAlign w:val="center"/>
          </w:tcPr>
          <w:p w14:paraId="15ACFF5D">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lang w:val="en-US"/>
              </w:rPr>
            </w:pPr>
            <w:r>
              <w:rPr>
                <w:rFonts w:hint="default" w:ascii="Times New Roman" w:hAnsi="Times New Roman" w:eastAsia="宋体" w:cs="Times New Roman"/>
                <w:color w:val="auto"/>
                <w:kern w:val="2"/>
                <w:sz w:val="21"/>
                <w:szCs w:val="21"/>
                <w:highlight w:val="none"/>
                <w:lang w:val="en-US" w:eastAsia="zh-CN"/>
              </w:rPr>
              <w:t>预处理后接入市政管网排入博罗县罗阳街道小金生活污水处理厂深度处理</w:t>
            </w:r>
          </w:p>
        </w:tc>
        <w:tc>
          <w:tcPr>
            <w:tcW w:w="2954" w:type="dxa"/>
            <w:vMerge w:val="restart"/>
            <w:noWrap/>
            <w:vAlign w:val="center"/>
          </w:tcPr>
          <w:p w14:paraId="1EC79329">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color w:val="auto"/>
                <w:kern w:val="2"/>
                <w:sz w:val="21"/>
                <w:szCs w:val="21"/>
                <w:highlight w:val="none"/>
              </w:rPr>
              <w:t>《城镇污水处理厂污染物排放标准》(GB18918-2002）一级A标准和《水污染物排放限值》（DB44/26-2001）第二时段一级标准的较严值</w:t>
            </w:r>
            <w:r>
              <w:rPr>
                <w:rFonts w:hint="eastAsia" w:ascii="Times New Roman" w:hAnsi="Times New Roman" w:eastAsia="宋体" w:cs="Times New Roman"/>
                <w:color w:val="auto"/>
                <w:szCs w:val="21"/>
                <w:highlight w:val="none"/>
                <w:lang w:eastAsia="zh-CN"/>
              </w:rPr>
              <w:t>其中CODcr、氨氮、总磷指标执行《地表水环境质量标准》（GB3838-2002）IV类标准）</w:t>
            </w:r>
          </w:p>
        </w:tc>
      </w:tr>
      <w:tr w14:paraId="037F92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983" w:type="dxa"/>
            <w:vMerge w:val="continue"/>
            <w:noWrap/>
            <w:vAlign w:val="center"/>
          </w:tcPr>
          <w:p w14:paraId="158DA207">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highlight w:val="none"/>
              </w:rPr>
            </w:pPr>
          </w:p>
        </w:tc>
        <w:tc>
          <w:tcPr>
            <w:tcW w:w="1992" w:type="dxa"/>
            <w:vMerge w:val="continue"/>
            <w:noWrap/>
            <w:vAlign w:val="center"/>
          </w:tcPr>
          <w:p w14:paraId="368DB53D">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highlight w:val="none"/>
              </w:rPr>
            </w:pPr>
          </w:p>
        </w:tc>
        <w:tc>
          <w:tcPr>
            <w:tcW w:w="1245" w:type="dxa"/>
            <w:noWrap/>
            <w:vAlign w:val="center"/>
          </w:tcPr>
          <w:p w14:paraId="1961026C">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BOD</w:t>
            </w:r>
            <w:r>
              <w:rPr>
                <w:rFonts w:hint="default" w:ascii="Times New Roman" w:hAnsi="Times New Roman" w:eastAsia="宋体" w:cs="Times New Roman"/>
                <w:color w:val="auto"/>
                <w:kern w:val="2"/>
                <w:sz w:val="21"/>
                <w:szCs w:val="21"/>
                <w:highlight w:val="none"/>
                <w:vertAlign w:val="subscript"/>
              </w:rPr>
              <w:t>5</w:t>
            </w:r>
          </w:p>
        </w:tc>
        <w:tc>
          <w:tcPr>
            <w:tcW w:w="2583" w:type="dxa"/>
            <w:vMerge w:val="continue"/>
            <w:noWrap/>
            <w:vAlign w:val="center"/>
          </w:tcPr>
          <w:p w14:paraId="05D8B8EA">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2954" w:type="dxa"/>
            <w:vMerge w:val="continue"/>
            <w:noWrap/>
            <w:vAlign w:val="center"/>
          </w:tcPr>
          <w:p w14:paraId="4CBB7500">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r>
      <w:tr w14:paraId="0997F8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983" w:type="dxa"/>
            <w:vMerge w:val="continue"/>
            <w:noWrap/>
            <w:vAlign w:val="center"/>
          </w:tcPr>
          <w:p w14:paraId="495DB882">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1992" w:type="dxa"/>
            <w:vMerge w:val="continue"/>
            <w:noWrap/>
            <w:vAlign w:val="center"/>
          </w:tcPr>
          <w:p w14:paraId="67538592">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1245" w:type="dxa"/>
            <w:noWrap/>
            <w:vAlign w:val="center"/>
          </w:tcPr>
          <w:p w14:paraId="1B1209AC">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SS</w:t>
            </w:r>
          </w:p>
        </w:tc>
        <w:tc>
          <w:tcPr>
            <w:tcW w:w="2583" w:type="dxa"/>
            <w:vMerge w:val="continue"/>
            <w:noWrap/>
            <w:vAlign w:val="center"/>
          </w:tcPr>
          <w:p w14:paraId="5008D35E">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2954" w:type="dxa"/>
            <w:vMerge w:val="continue"/>
            <w:noWrap/>
            <w:vAlign w:val="center"/>
          </w:tcPr>
          <w:p w14:paraId="6DED5D51">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r>
      <w:tr w14:paraId="2ACD5A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983" w:type="dxa"/>
            <w:vMerge w:val="continue"/>
            <w:noWrap/>
            <w:vAlign w:val="center"/>
          </w:tcPr>
          <w:p w14:paraId="7946BFD7">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1992" w:type="dxa"/>
            <w:vMerge w:val="continue"/>
            <w:noWrap/>
            <w:vAlign w:val="center"/>
          </w:tcPr>
          <w:p w14:paraId="7ECB23BE">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1245" w:type="dxa"/>
            <w:noWrap/>
            <w:vAlign w:val="center"/>
          </w:tcPr>
          <w:p w14:paraId="4729869C">
            <w:pPr>
              <w:pStyle w:val="99"/>
              <w:keepNext w:val="0"/>
              <w:keepLines w:val="0"/>
              <w:pageBreakBefore w:val="0"/>
              <w:widowControl w:val="0"/>
              <w:kinsoku/>
              <w:wordWrap/>
              <w:overflowPunct/>
              <w:topLinePunct w:val="0"/>
              <w:autoSpaceDE/>
              <w:autoSpaceDN/>
              <w:bidi w:val="0"/>
              <w:adjustRightInd w:val="0"/>
              <w:snapToGrid w:val="0"/>
              <w:spacing w:line="240" w:lineRule="auto"/>
              <w:ind w:firstLine="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氨氮</w:t>
            </w:r>
          </w:p>
        </w:tc>
        <w:tc>
          <w:tcPr>
            <w:tcW w:w="2583" w:type="dxa"/>
            <w:vMerge w:val="continue"/>
            <w:noWrap/>
            <w:vAlign w:val="center"/>
          </w:tcPr>
          <w:p w14:paraId="5F57CE73">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2954" w:type="dxa"/>
            <w:vMerge w:val="continue"/>
            <w:noWrap/>
            <w:vAlign w:val="center"/>
          </w:tcPr>
          <w:p w14:paraId="4B7CF56E">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r>
      <w:tr w14:paraId="716377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983" w:type="dxa"/>
            <w:vMerge w:val="continue"/>
            <w:noWrap/>
            <w:vAlign w:val="center"/>
          </w:tcPr>
          <w:p w14:paraId="03A2FF41">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1992" w:type="dxa"/>
            <w:vMerge w:val="continue"/>
            <w:noWrap/>
            <w:vAlign w:val="center"/>
          </w:tcPr>
          <w:p w14:paraId="6666B424">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1245" w:type="dxa"/>
            <w:noWrap/>
            <w:vAlign w:val="center"/>
          </w:tcPr>
          <w:p w14:paraId="3C41C639">
            <w:pPr>
              <w:pStyle w:val="99"/>
              <w:keepNext w:val="0"/>
              <w:keepLines w:val="0"/>
              <w:pageBreakBefore w:val="0"/>
              <w:widowControl w:val="0"/>
              <w:kinsoku/>
              <w:wordWrap/>
              <w:overflowPunct/>
              <w:topLinePunct w:val="0"/>
              <w:autoSpaceDE/>
              <w:autoSpaceDN/>
              <w:bidi w:val="0"/>
              <w:adjustRightInd w:val="0"/>
              <w:snapToGrid w:val="0"/>
              <w:spacing w:line="240" w:lineRule="auto"/>
              <w:ind w:firstLine="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总</w:t>
            </w:r>
            <w:r>
              <w:rPr>
                <w:rFonts w:hint="default" w:ascii="Times New Roman" w:hAnsi="Times New Roman" w:eastAsia="宋体" w:cs="Times New Roman"/>
                <w:color w:val="auto"/>
                <w:sz w:val="21"/>
                <w:szCs w:val="21"/>
                <w:highlight w:val="none"/>
                <w:lang w:val="en-US" w:eastAsia="zh-CN"/>
              </w:rPr>
              <w:t>磷</w:t>
            </w:r>
          </w:p>
        </w:tc>
        <w:tc>
          <w:tcPr>
            <w:tcW w:w="2583" w:type="dxa"/>
            <w:vMerge w:val="continue"/>
            <w:noWrap/>
            <w:vAlign w:val="center"/>
          </w:tcPr>
          <w:p w14:paraId="41F7401A">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2954" w:type="dxa"/>
            <w:vMerge w:val="continue"/>
            <w:noWrap/>
            <w:vAlign w:val="center"/>
          </w:tcPr>
          <w:p w14:paraId="68090D7C">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r>
      <w:tr w14:paraId="31CEAA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983" w:type="dxa"/>
            <w:vMerge w:val="continue"/>
            <w:noWrap/>
            <w:vAlign w:val="center"/>
          </w:tcPr>
          <w:p w14:paraId="68019511">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1992" w:type="dxa"/>
            <w:vMerge w:val="continue"/>
            <w:noWrap/>
            <w:vAlign w:val="center"/>
          </w:tcPr>
          <w:p w14:paraId="3407F4E2">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1245" w:type="dxa"/>
            <w:noWrap/>
            <w:vAlign w:val="center"/>
          </w:tcPr>
          <w:p w14:paraId="11D02425">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color w:val="auto"/>
                <w:kern w:val="2"/>
                <w:sz w:val="21"/>
                <w:szCs w:val="21"/>
                <w:highlight w:val="none"/>
              </w:rPr>
              <w:t>总</w:t>
            </w:r>
            <w:r>
              <w:rPr>
                <w:rFonts w:hint="default" w:ascii="Times New Roman" w:hAnsi="Times New Roman" w:eastAsia="宋体" w:cs="Times New Roman"/>
                <w:color w:val="auto"/>
                <w:kern w:val="2"/>
                <w:sz w:val="21"/>
                <w:szCs w:val="21"/>
                <w:highlight w:val="none"/>
                <w:lang w:val="en-US" w:eastAsia="zh-CN"/>
              </w:rPr>
              <w:t>氮</w:t>
            </w:r>
          </w:p>
        </w:tc>
        <w:tc>
          <w:tcPr>
            <w:tcW w:w="2583" w:type="dxa"/>
            <w:vMerge w:val="continue"/>
            <w:noWrap/>
            <w:vAlign w:val="center"/>
          </w:tcPr>
          <w:p w14:paraId="5FD7B16A">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2954" w:type="dxa"/>
            <w:vMerge w:val="continue"/>
            <w:noWrap/>
            <w:vAlign w:val="center"/>
          </w:tcPr>
          <w:p w14:paraId="21AE7673">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r>
      <w:tr w14:paraId="4461C6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983" w:type="dxa"/>
            <w:vMerge w:val="continue"/>
            <w:noWrap/>
            <w:vAlign w:val="center"/>
          </w:tcPr>
          <w:p w14:paraId="19ACD263">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1992" w:type="dxa"/>
            <w:shd w:val="clear" w:color="auto" w:fill="auto"/>
            <w:noWrap/>
            <w:vAlign w:val="center"/>
          </w:tcPr>
          <w:p w14:paraId="6F41577A">
            <w:pPr>
              <w:pStyle w:val="29"/>
              <w:widowControl w:val="0"/>
              <w:adjustRightInd w:val="0"/>
              <w:spacing w:before="0" w:beforeAutospacing="0" w:after="0" w:afterAutospacing="0"/>
              <w:jc w:val="center"/>
              <w:rPr>
                <w:rFonts w:hint="default" w:ascii="Times New Roman" w:hAnsi="Times New Roman" w:cs="Times New Roman" w:eastAsiaTheme="minorEastAsia"/>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搅拌机清洗、运输原材料车辆</w:t>
            </w:r>
            <w:r>
              <w:rPr>
                <w:rFonts w:hint="default" w:ascii="Times New Roman" w:hAnsi="Times New Roman" w:cs="Times New Roman"/>
                <w:color w:val="auto"/>
                <w:sz w:val="21"/>
                <w:szCs w:val="21"/>
                <w:highlight w:val="none"/>
                <w:lang w:val="en-US" w:eastAsia="zh-CN"/>
              </w:rPr>
              <w:t>清</w:t>
            </w:r>
            <w:r>
              <w:rPr>
                <w:rFonts w:hint="default" w:ascii="Times New Roman" w:hAnsi="Times New Roman" w:eastAsia="宋体" w:cs="Times New Roman"/>
                <w:i w:val="0"/>
                <w:iCs w:val="0"/>
                <w:color w:val="auto"/>
                <w:kern w:val="0"/>
                <w:sz w:val="21"/>
                <w:szCs w:val="21"/>
                <w:highlight w:val="none"/>
                <w:u w:val="none"/>
                <w:lang w:val="en-US" w:eastAsia="zh-CN" w:bidi="ar"/>
              </w:rPr>
              <w:t>洗</w:t>
            </w:r>
            <w:r>
              <w:rPr>
                <w:rFonts w:hint="default" w:ascii="Times New Roman" w:hAnsi="Times New Roman" w:eastAsia="宋体" w:cs="Times New Roman"/>
                <w:color w:val="auto"/>
                <w:sz w:val="21"/>
                <w:szCs w:val="21"/>
                <w:highlight w:val="none"/>
                <w:lang w:val="en-US" w:eastAsia="zh-CN"/>
              </w:rPr>
              <w:t>、地面清洗废水</w:t>
            </w:r>
          </w:p>
        </w:tc>
        <w:tc>
          <w:tcPr>
            <w:tcW w:w="1245" w:type="dxa"/>
            <w:noWrap/>
            <w:vAlign w:val="center"/>
          </w:tcPr>
          <w:p w14:paraId="53EDC064">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rPr>
              <w:t>SS</w:t>
            </w:r>
          </w:p>
        </w:tc>
        <w:tc>
          <w:tcPr>
            <w:tcW w:w="2583" w:type="dxa"/>
            <w:vMerge w:val="restart"/>
            <w:noWrap/>
            <w:vAlign w:val="center"/>
          </w:tcPr>
          <w:p w14:paraId="7321CE25">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highlight w:val="none"/>
                <w:lang w:val="en-US" w:eastAsia="zh-CN"/>
              </w:rPr>
            </w:pPr>
            <w:r>
              <w:rPr>
                <w:rFonts w:hint="default" w:ascii="Times New Roman" w:hAnsi="Times New Roman" w:eastAsia="宋体" w:cs="Times New Roman"/>
                <w:color w:val="auto"/>
                <w:sz w:val="21"/>
                <w:szCs w:val="21"/>
                <w:highlight w:val="none"/>
                <w:lang w:val="en-US" w:eastAsia="zh-CN"/>
              </w:rPr>
              <w:t>锅炉排污水及软化再生废水</w:t>
            </w:r>
            <w:r>
              <w:rPr>
                <w:rFonts w:hint="eastAsia" w:ascii="Times New Roman" w:hAnsi="Times New Roman" w:eastAsia="宋体" w:cs="Times New Roman"/>
                <w:color w:val="auto"/>
                <w:sz w:val="21"/>
                <w:szCs w:val="21"/>
                <w:highlight w:val="none"/>
                <w:lang w:val="en-US" w:eastAsia="zh-CN"/>
              </w:rPr>
              <w:t>先</w:t>
            </w:r>
            <w:r>
              <w:rPr>
                <w:rFonts w:hint="default" w:ascii="Times New Roman" w:hAnsi="Times New Roman" w:cs="Times New Roman"/>
                <w:color w:val="auto"/>
                <w:highlight w:val="none"/>
                <w:lang w:val="en-US" w:eastAsia="zh-CN"/>
              </w:rPr>
              <w:t>经调节混凝絮凝</w:t>
            </w:r>
            <w:r>
              <w:rPr>
                <w:rFonts w:hint="eastAsia" w:ascii="Times New Roman" w:hAnsi="Times New Roman" w:cs="Times New Roman"/>
                <w:color w:val="auto"/>
                <w:highlight w:val="none"/>
                <w:lang w:val="en-US" w:eastAsia="zh-CN"/>
              </w:rPr>
              <w:t>后再与其他废水</w:t>
            </w:r>
            <w:r>
              <w:rPr>
                <w:rFonts w:hint="default" w:ascii="Times New Roman" w:hAnsi="Times New Roman" w:cs="Times New Roman"/>
                <w:color w:val="auto"/>
                <w:highlight w:val="none"/>
              </w:rPr>
              <w:t>经</w:t>
            </w:r>
            <w:r>
              <w:rPr>
                <w:rFonts w:hint="default" w:ascii="Times New Roman" w:hAnsi="Times New Roman" w:cs="Times New Roman"/>
                <w:color w:val="auto"/>
                <w:highlight w:val="none"/>
                <w:lang w:val="en-US" w:eastAsia="zh-CN"/>
              </w:rPr>
              <w:t>三</w:t>
            </w:r>
            <w:r>
              <w:rPr>
                <w:rFonts w:hint="default" w:ascii="Times New Roman" w:hAnsi="Times New Roman" w:cs="Times New Roman"/>
                <w:color w:val="auto"/>
                <w:highlight w:val="none"/>
              </w:rPr>
              <w:t>级沉淀池处理后</w:t>
            </w:r>
            <w:r>
              <w:rPr>
                <w:rFonts w:hint="default" w:ascii="Times New Roman" w:hAnsi="Times New Roman" w:cs="Times New Roman"/>
                <w:color w:val="auto"/>
                <w:highlight w:val="none"/>
                <w:lang w:eastAsia="zh-CN"/>
              </w:rPr>
              <w:t>回用于</w:t>
            </w:r>
            <w:r>
              <w:rPr>
                <w:rFonts w:hint="default" w:ascii="Times New Roman" w:hAnsi="Times New Roman" w:eastAsia="宋体" w:cs="Times New Roman"/>
                <w:b w:val="0"/>
                <w:bCs/>
                <w:color w:val="auto"/>
                <w:sz w:val="21"/>
                <w:szCs w:val="21"/>
                <w:highlight w:val="none"/>
                <w:vertAlign w:val="baseline"/>
                <w:lang w:val="en-US" w:eastAsia="zh-CN"/>
              </w:rPr>
              <w:t>原料调配用水</w:t>
            </w:r>
            <w:r>
              <w:rPr>
                <w:rFonts w:hint="default" w:ascii="Times New Roman" w:hAnsi="Times New Roman" w:cs="Times New Roman"/>
                <w:color w:val="auto"/>
                <w:highlight w:val="none"/>
              </w:rPr>
              <w:t>，不排放</w:t>
            </w:r>
          </w:p>
        </w:tc>
        <w:tc>
          <w:tcPr>
            <w:tcW w:w="2954" w:type="dxa"/>
            <w:vMerge w:val="restart"/>
            <w:noWrap/>
            <w:vAlign w:val="center"/>
          </w:tcPr>
          <w:p w14:paraId="577EEFBA">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rPr>
              <w:t>《混凝土用水标准》（JGJ 63-2006）中</w:t>
            </w:r>
            <w:r>
              <w:rPr>
                <w:rFonts w:hint="default" w:ascii="Times New Roman" w:hAnsi="Times New Roman" w:eastAsia="宋体" w:cs="Times New Roman"/>
                <w:b w:val="0"/>
                <w:bCs w:val="0"/>
                <w:color w:val="auto"/>
                <w:kern w:val="2"/>
                <w:sz w:val="21"/>
                <w:szCs w:val="21"/>
                <w:highlight w:val="none"/>
                <w:lang w:val="en-US" w:eastAsia="zh-CN"/>
              </w:rPr>
              <w:t>钢筋混凝土拌合用水</w:t>
            </w:r>
            <w:r>
              <w:rPr>
                <w:rFonts w:hint="default" w:ascii="Times New Roman" w:hAnsi="Times New Roman" w:eastAsia="宋体" w:cs="Times New Roman"/>
                <w:color w:val="auto"/>
                <w:kern w:val="2"/>
                <w:sz w:val="21"/>
                <w:szCs w:val="21"/>
                <w:highlight w:val="none"/>
                <w:lang w:val="en-US" w:eastAsia="zh-CN"/>
              </w:rPr>
              <w:t>水质要求</w:t>
            </w:r>
          </w:p>
        </w:tc>
      </w:tr>
      <w:tr w14:paraId="18D5A1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83" w:type="dxa"/>
            <w:vMerge w:val="continue"/>
            <w:noWrap/>
            <w:vAlign w:val="center"/>
          </w:tcPr>
          <w:p w14:paraId="20183F65">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1992" w:type="dxa"/>
            <w:shd w:val="clear" w:color="auto" w:fill="auto"/>
            <w:noWrap/>
            <w:vAlign w:val="center"/>
          </w:tcPr>
          <w:p w14:paraId="54D9EC16">
            <w:pPr>
              <w:pStyle w:val="29"/>
              <w:widowControl w:val="0"/>
              <w:adjustRightInd w:val="0"/>
              <w:spacing w:before="0" w:beforeAutospacing="0" w:after="0" w:afterAutospacing="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锅炉排污水及软化再生废水</w:t>
            </w:r>
          </w:p>
        </w:tc>
        <w:tc>
          <w:tcPr>
            <w:tcW w:w="1245" w:type="dxa"/>
            <w:noWrap/>
            <w:vAlign w:val="center"/>
          </w:tcPr>
          <w:p w14:paraId="32D6699D">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rPr>
              <w:t>Ca</w:t>
            </w:r>
            <w:r>
              <w:rPr>
                <w:rFonts w:hint="default" w:ascii="Times New Roman" w:hAnsi="Times New Roman" w:eastAsia="宋体" w:cs="Times New Roman"/>
                <w:color w:val="auto"/>
                <w:kern w:val="2"/>
                <w:sz w:val="21"/>
                <w:szCs w:val="21"/>
                <w:highlight w:val="none"/>
                <w:vertAlign w:val="superscript"/>
                <w:lang w:val="en-US" w:eastAsia="zh-CN"/>
              </w:rPr>
              <w:t>2+</w:t>
            </w:r>
            <w:r>
              <w:rPr>
                <w:rFonts w:hint="default" w:ascii="Times New Roman" w:hAnsi="Times New Roman" w:eastAsia="宋体" w:cs="Times New Roman"/>
                <w:color w:val="auto"/>
                <w:kern w:val="2"/>
                <w:sz w:val="21"/>
                <w:szCs w:val="21"/>
                <w:highlight w:val="none"/>
                <w:lang w:val="en-US" w:eastAsia="zh-CN"/>
              </w:rPr>
              <w:t>、Mg</w:t>
            </w:r>
            <w:r>
              <w:rPr>
                <w:rFonts w:hint="default" w:ascii="Times New Roman" w:hAnsi="Times New Roman" w:eastAsia="宋体" w:cs="Times New Roman"/>
                <w:color w:val="auto"/>
                <w:kern w:val="2"/>
                <w:sz w:val="21"/>
                <w:szCs w:val="21"/>
                <w:highlight w:val="none"/>
                <w:vertAlign w:val="superscript"/>
                <w:lang w:val="en-US" w:eastAsia="zh-CN"/>
              </w:rPr>
              <w:t>2+</w:t>
            </w:r>
            <w:r>
              <w:rPr>
                <w:rFonts w:hint="default" w:ascii="Times New Roman" w:hAnsi="Times New Roman" w:eastAsia="宋体" w:cs="Times New Roman"/>
                <w:color w:val="auto"/>
                <w:kern w:val="2"/>
                <w:sz w:val="21"/>
                <w:szCs w:val="21"/>
                <w:highlight w:val="none"/>
                <w:lang w:val="en-US" w:eastAsia="zh-CN"/>
              </w:rPr>
              <w:t>、SS等</w:t>
            </w:r>
          </w:p>
        </w:tc>
        <w:tc>
          <w:tcPr>
            <w:tcW w:w="2583" w:type="dxa"/>
            <w:vMerge w:val="continue"/>
            <w:noWrap/>
            <w:vAlign w:val="center"/>
          </w:tcPr>
          <w:p w14:paraId="6644C79A">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highlight w:val="none"/>
                <w:lang w:val="en-US" w:eastAsia="zh-CN"/>
              </w:rPr>
            </w:pPr>
          </w:p>
        </w:tc>
        <w:tc>
          <w:tcPr>
            <w:tcW w:w="2954" w:type="dxa"/>
            <w:vMerge w:val="continue"/>
            <w:noWrap/>
            <w:vAlign w:val="center"/>
          </w:tcPr>
          <w:p w14:paraId="4263968A">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lang w:val="en-US" w:eastAsia="zh-CN"/>
              </w:rPr>
            </w:pPr>
          </w:p>
        </w:tc>
      </w:tr>
      <w:tr w14:paraId="2ED234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83" w:type="dxa"/>
            <w:vMerge w:val="continue"/>
            <w:noWrap/>
            <w:vAlign w:val="center"/>
          </w:tcPr>
          <w:p w14:paraId="5DC3A3A3">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1992" w:type="dxa"/>
            <w:shd w:val="clear" w:color="auto" w:fill="auto"/>
            <w:noWrap/>
            <w:vAlign w:val="center"/>
          </w:tcPr>
          <w:p w14:paraId="151D22A6">
            <w:pPr>
              <w:pStyle w:val="29"/>
              <w:widowControl w:val="0"/>
              <w:adjustRightInd w:val="0"/>
              <w:spacing w:before="0" w:beforeAutospacing="0" w:after="0" w:afterAutospacing="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初期雨水</w:t>
            </w:r>
          </w:p>
        </w:tc>
        <w:tc>
          <w:tcPr>
            <w:tcW w:w="1245" w:type="dxa"/>
            <w:noWrap/>
            <w:vAlign w:val="center"/>
          </w:tcPr>
          <w:p w14:paraId="7600161D">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rPr>
              <w:t>SS</w:t>
            </w:r>
          </w:p>
        </w:tc>
        <w:tc>
          <w:tcPr>
            <w:tcW w:w="2583" w:type="dxa"/>
            <w:noWrap/>
            <w:vAlign w:val="center"/>
          </w:tcPr>
          <w:p w14:paraId="71BC1087">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cs="Times New Roman"/>
                <w:color w:val="auto"/>
                <w:highlight w:val="none"/>
                <w:lang w:val="en-US"/>
              </w:rPr>
            </w:pPr>
            <w:r>
              <w:rPr>
                <w:rFonts w:hint="default" w:ascii="Times New Roman" w:hAnsi="Times New Roman" w:cs="Times New Roman"/>
                <w:color w:val="auto"/>
                <w:highlight w:val="none"/>
              </w:rPr>
              <w:t>经初期雨水收集沉淀后回用于</w:t>
            </w:r>
            <w:r>
              <w:rPr>
                <w:rFonts w:hint="default" w:ascii="Times New Roman" w:hAnsi="Times New Roman" w:cs="Times New Roman"/>
                <w:color w:val="auto"/>
                <w:highlight w:val="none"/>
                <w:lang w:val="en-US" w:eastAsia="zh-CN"/>
              </w:rPr>
              <w:t>养护用水</w:t>
            </w:r>
          </w:p>
        </w:tc>
        <w:tc>
          <w:tcPr>
            <w:tcW w:w="2954" w:type="dxa"/>
            <w:noWrap/>
            <w:vAlign w:val="center"/>
          </w:tcPr>
          <w:p w14:paraId="1AC2C6DE">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rPr>
              <w:t>《混凝土用水标准》（JGJ 63-2006）中</w:t>
            </w:r>
            <w:r>
              <w:rPr>
                <w:rFonts w:hint="default" w:ascii="Times New Roman" w:hAnsi="Times New Roman" w:eastAsia="宋体" w:cs="Times New Roman"/>
                <w:b w:val="0"/>
                <w:bCs w:val="0"/>
                <w:color w:val="auto"/>
                <w:kern w:val="2"/>
                <w:sz w:val="21"/>
                <w:szCs w:val="21"/>
                <w:highlight w:val="none"/>
                <w:lang w:val="en-US" w:eastAsia="zh-CN"/>
              </w:rPr>
              <w:t>钢筋混凝土拌合用水</w:t>
            </w:r>
            <w:r>
              <w:rPr>
                <w:rFonts w:hint="default" w:ascii="Times New Roman" w:hAnsi="Times New Roman" w:eastAsia="宋体" w:cs="Times New Roman"/>
                <w:color w:val="auto"/>
                <w:kern w:val="2"/>
                <w:sz w:val="21"/>
                <w:szCs w:val="21"/>
                <w:highlight w:val="none"/>
                <w:lang w:val="en-US" w:eastAsia="zh-CN"/>
              </w:rPr>
              <w:t>水质要求</w:t>
            </w:r>
          </w:p>
        </w:tc>
      </w:tr>
      <w:tr w14:paraId="75BB5B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47" w:hRule="atLeast"/>
          <w:jc w:val="center"/>
        </w:trPr>
        <w:tc>
          <w:tcPr>
            <w:tcW w:w="983" w:type="dxa"/>
            <w:noWrap/>
            <w:vAlign w:val="center"/>
          </w:tcPr>
          <w:p w14:paraId="40D6A70D">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声环境</w:t>
            </w:r>
          </w:p>
        </w:tc>
        <w:tc>
          <w:tcPr>
            <w:tcW w:w="1992" w:type="dxa"/>
            <w:noWrap/>
            <w:vAlign w:val="center"/>
          </w:tcPr>
          <w:p w14:paraId="000A1154">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rPr>
              <w:t>各类生产设备</w:t>
            </w:r>
          </w:p>
        </w:tc>
        <w:tc>
          <w:tcPr>
            <w:tcW w:w="1245" w:type="dxa"/>
            <w:noWrap/>
            <w:vAlign w:val="center"/>
          </w:tcPr>
          <w:p w14:paraId="3CA8F885">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噪声</w:t>
            </w:r>
          </w:p>
        </w:tc>
        <w:tc>
          <w:tcPr>
            <w:tcW w:w="2583" w:type="dxa"/>
            <w:noWrap/>
            <w:vAlign w:val="center"/>
          </w:tcPr>
          <w:p w14:paraId="1EDAEF0A">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采取消声、减震、隔声等措施</w:t>
            </w:r>
          </w:p>
        </w:tc>
        <w:tc>
          <w:tcPr>
            <w:tcW w:w="2954" w:type="dxa"/>
            <w:noWrap/>
            <w:vAlign w:val="center"/>
          </w:tcPr>
          <w:p w14:paraId="6C0FEE62">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《工业企业厂界环境噪声排放标准》（GB12348-2008）中的</w:t>
            </w:r>
            <w:r>
              <w:rPr>
                <w:rFonts w:hint="default" w:ascii="Times New Roman" w:hAnsi="Times New Roman" w:eastAsia="宋体" w:cs="Times New Roman"/>
                <w:color w:val="auto"/>
                <w:kern w:val="2"/>
                <w:sz w:val="21"/>
                <w:szCs w:val="21"/>
                <w:highlight w:val="none"/>
                <w:lang w:val="en-US" w:eastAsia="zh-CN"/>
              </w:rPr>
              <w:t>3</w:t>
            </w:r>
            <w:r>
              <w:rPr>
                <w:rFonts w:hint="default" w:ascii="Times New Roman" w:hAnsi="Times New Roman" w:eastAsia="宋体" w:cs="Times New Roman"/>
                <w:color w:val="auto"/>
                <w:kern w:val="2"/>
                <w:sz w:val="21"/>
                <w:szCs w:val="21"/>
                <w:highlight w:val="none"/>
              </w:rPr>
              <w:t>类</w:t>
            </w:r>
            <w:r>
              <w:rPr>
                <w:rFonts w:hint="default" w:ascii="Times New Roman" w:hAnsi="Times New Roman" w:eastAsia="宋体" w:cs="Times New Roman"/>
                <w:color w:val="auto"/>
                <w:kern w:val="2"/>
                <w:sz w:val="21"/>
                <w:szCs w:val="21"/>
                <w:highlight w:val="none"/>
                <w:lang w:val="en-US" w:eastAsia="zh-CN"/>
              </w:rPr>
              <w:t>及4a类</w:t>
            </w:r>
            <w:r>
              <w:rPr>
                <w:rFonts w:hint="default" w:ascii="Times New Roman" w:hAnsi="Times New Roman" w:eastAsia="宋体" w:cs="Times New Roman"/>
                <w:color w:val="auto"/>
                <w:kern w:val="2"/>
                <w:sz w:val="21"/>
                <w:szCs w:val="21"/>
                <w:highlight w:val="none"/>
              </w:rPr>
              <w:t>标准</w:t>
            </w:r>
          </w:p>
        </w:tc>
      </w:tr>
      <w:tr w14:paraId="133BD3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983" w:type="dxa"/>
            <w:noWrap/>
            <w:vAlign w:val="center"/>
          </w:tcPr>
          <w:p w14:paraId="316D290D">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电磁辐射</w:t>
            </w:r>
          </w:p>
        </w:tc>
        <w:tc>
          <w:tcPr>
            <w:tcW w:w="8774" w:type="dxa"/>
            <w:gridSpan w:val="4"/>
            <w:noWrap/>
            <w:vAlign w:val="center"/>
          </w:tcPr>
          <w:p w14:paraId="35EA1D37">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w:t>
            </w:r>
          </w:p>
        </w:tc>
      </w:tr>
      <w:tr w14:paraId="4EB1B2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983" w:type="dxa"/>
            <w:vMerge w:val="restart"/>
            <w:noWrap/>
            <w:vAlign w:val="center"/>
          </w:tcPr>
          <w:p w14:paraId="17A4833E">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固体废物</w:t>
            </w:r>
          </w:p>
        </w:tc>
        <w:tc>
          <w:tcPr>
            <w:tcW w:w="3237" w:type="dxa"/>
            <w:gridSpan w:val="2"/>
            <w:noWrap/>
            <w:vAlign w:val="center"/>
          </w:tcPr>
          <w:p w14:paraId="31AF3058">
            <w:pPr>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bCs/>
                <w:color w:val="auto"/>
                <w:szCs w:val="21"/>
                <w:highlight w:val="none"/>
                <w:lang w:eastAsia="zh-CN"/>
              </w:rPr>
              <w:t>布袋收集的粉尘</w:t>
            </w:r>
          </w:p>
        </w:tc>
        <w:tc>
          <w:tcPr>
            <w:tcW w:w="2583" w:type="dxa"/>
            <w:noWrap/>
            <w:vAlign w:val="center"/>
          </w:tcPr>
          <w:p w14:paraId="38BA9E47">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highlight w:val="none"/>
                <w:lang w:val="zh-CN"/>
              </w:rPr>
              <w:t>回用于生产</w:t>
            </w:r>
          </w:p>
        </w:tc>
        <w:tc>
          <w:tcPr>
            <w:tcW w:w="2954" w:type="dxa"/>
            <w:vMerge w:val="restart"/>
            <w:noWrap/>
            <w:vAlign w:val="center"/>
          </w:tcPr>
          <w:p w14:paraId="0B4AF580">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《中华人民共和国固体废物污染环境防治法》（2020年修改）、《广东省固体废物污染环境防治条例》（</w:t>
            </w:r>
            <w:r>
              <w:rPr>
                <w:rFonts w:hint="default" w:ascii="Times New Roman" w:hAnsi="Times New Roman" w:eastAsia="宋体" w:cs="Times New Roman"/>
                <w:color w:val="auto"/>
                <w:kern w:val="2"/>
                <w:sz w:val="21"/>
                <w:szCs w:val="21"/>
                <w:highlight w:val="none"/>
                <w:lang w:val="en-US" w:eastAsia="zh-CN"/>
              </w:rPr>
              <w:t>2022</w:t>
            </w:r>
            <w:r>
              <w:rPr>
                <w:rFonts w:hint="default" w:ascii="Times New Roman" w:hAnsi="Times New Roman" w:eastAsia="宋体" w:cs="Times New Roman"/>
                <w:color w:val="auto"/>
                <w:kern w:val="2"/>
                <w:sz w:val="21"/>
                <w:szCs w:val="21"/>
                <w:highlight w:val="none"/>
              </w:rPr>
              <w:t>年修订）</w:t>
            </w:r>
          </w:p>
        </w:tc>
      </w:tr>
      <w:tr w14:paraId="77167B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983" w:type="dxa"/>
            <w:vMerge w:val="continue"/>
            <w:noWrap/>
            <w:vAlign w:val="center"/>
          </w:tcPr>
          <w:p w14:paraId="1A928BCF">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3237" w:type="dxa"/>
            <w:gridSpan w:val="2"/>
            <w:noWrap/>
            <w:vAlign w:val="center"/>
          </w:tcPr>
          <w:p w14:paraId="76772365">
            <w:pPr>
              <w:jc w:val="center"/>
              <w:rPr>
                <w:rFonts w:hint="default" w:ascii="Times New Roman" w:hAnsi="Times New Roman" w:cs="Times New Roman"/>
                <w:bCs/>
                <w:color w:val="auto"/>
                <w:szCs w:val="21"/>
                <w:highlight w:val="none"/>
                <w:lang w:eastAsia="zh-CN" w:bidi="ar"/>
              </w:rPr>
            </w:pPr>
            <w:r>
              <w:rPr>
                <w:rFonts w:hint="default" w:ascii="Times New Roman" w:hAnsi="Times New Roman" w:eastAsia="宋体" w:cs="Times New Roman"/>
                <w:color w:val="auto"/>
                <w:kern w:val="2"/>
                <w:sz w:val="21"/>
                <w:szCs w:val="21"/>
                <w:highlight w:val="none"/>
                <w:lang w:val="en-US" w:eastAsia="zh-CN" w:bidi="ar-SA"/>
              </w:rPr>
              <w:t>沉淀池沉渣</w:t>
            </w:r>
          </w:p>
        </w:tc>
        <w:tc>
          <w:tcPr>
            <w:tcW w:w="2583" w:type="dxa"/>
            <w:vMerge w:val="restart"/>
            <w:noWrap/>
            <w:vAlign w:val="center"/>
          </w:tcPr>
          <w:p w14:paraId="24DD3BB1">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rPr>
              <w:t>交有相应处理工艺的资质单位处理</w:t>
            </w:r>
          </w:p>
        </w:tc>
        <w:tc>
          <w:tcPr>
            <w:tcW w:w="2954" w:type="dxa"/>
            <w:vMerge w:val="continue"/>
            <w:noWrap/>
            <w:vAlign w:val="center"/>
          </w:tcPr>
          <w:p w14:paraId="4154BFBC">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r>
      <w:tr w14:paraId="13171E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83" w:type="dxa"/>
            <w:vMerge w:val="continue"/>
            <w:noWrap/>
            <w:vAlign w:val="center"/>
          </w:tcPr>
          <w:p w14:paraId="4F4DACFD">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3237" w:type="dxa"/>
            <w:gridSpan w:val="2"/>
            <w:noWrap/>
            <w:vAlign w:val="center"/>
          </w:tcPr>
          <w:p w14:paraId="2B67102D">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雨水沉渣</w:t>
            </w:r>
          </w:p>
        </w:tc>
        <w:tc>
          <w:tcPr>
            <w:tcW w:w="2583" w:type="dxa"/>
            <w:vMerge w:val="continue"/>
            <w:noWrap/>
            <w:vAlign w:val="center"/>
          </w:tcPr>
          <w:p w14:paraId="18B02B29">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2954" w:type="dxa"/>
            <w:vMerge w:val="continue"/>
            <w:noWrap/>
            <w:vAlign w:val="center"/>
          </w:tcPr>
          <w:p w14:paraId="384A2DE3">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r>
      <w:tr w14:paraId="1A50C4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983" w:type="dxa"/>
            <w:vMerge w:val="continue"/>
            <w:noWrap/>
            <w:vAlign w:val="center"/>
          </w:tcPr>
          <w:p w14:paraId="472D309A">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3237" w:type="dxa"/>
            <w:gridSpan w:val="2"/>
            <w:noWrap/>
            <w:vAlign w:val="center"/>
          </w:tcPr>
          <w:p w14:paraId="1BF7E356">
            <w:pPr>
              <w:jc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kern w:val="2"/>
                <w:sz w:val="21"/>
                <w:szCs w:val="21"/>
                <w:highlight w:val="none"/>
                <w:lang w:val="en-US" w:eastAsia="zh-CN" w:bidi="ar-SA"/>
              </w:rPr>
              <w:t>废混凝土块</w:t>
            </w:r>
          </w:p>
        </w:tc>
        <w:tc>
          <w:tcPr>
            <w:tcW w:w="2583" w:type="dxa"/>
            <w:vMerge w:val="restart"/>
            <w:noWrap/>
            <w:vAlign w:val="center"/>
          </w:tcPr>
          <w:p w14:paraId="0B8C8D80">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交专业回收公司回收处理</w:t>
            </w:r>
          </w:p>
        </w:tc>
        <w:tc>
          <w:tcPr>
            <w:tcW w:w="2954" w:type="dxa"/>
            <w:vMerge w:val="continue"/>
            <w:noWrap/>
            <w:vAlign w:val="center"/>
          </w:tcPr>
          <w:p w14:paraId="734DEB48">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r>
      <w:tr w14:paraId="30D058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983" w:type="dxa"/>
            <w:vMerge w:val="continue"/>
            <w:noWrap/>
            <w:vAlign w:val="center"/>
          </w:tcPr>
          <w:p w14:paraId="45DDB4FB">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3237" w:type="dxa"/>
            <w:gridSpan w:val="2"/>
            <w:noWrap/>
            <w:vAlign w:val="center"/>
          </w:tcPr>
          <w:p w14:paraId="39CA5F79">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废塑料膜</w:t>
            </w:r>
          </w:p>
        </w:tc>
        <w:tc>
          <w:tcPr>
            <w:tcW w:w="2583" w:type="dxa"/>
            <w:vMerge w:val="continue"/>
            <w:noWrap/>
            <w:vAlign w:val="center"/>
          </w:tcPr>
          <w:p w14:paraId="77D3F98F">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2954" w:type="dxa"/>
            <w:vMerge w:val="continue"/>
            <w:noWrap/>
            <w:vAlign w:val="center"/>
          </w:tcPr>
          <w:p w14:paraId="7DD9DC52">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r>
      <w:tr w14:paraId="002644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983" w:type="dxa"/>
            <w:vMerge w:val="continue"/>
            <w:noWrap/>
            <w:vAlign w:val="center"/>
          </w:tcPr>
          <w:p w14:paraId="0C78FF6B">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3237" w:type="dxa"/>
            <w:gridSpan w:val="2"/>
            <w:noWrap/>
            <w:vAlign w:val="center"/>
          </w:tcPr>
          <w:p w14:paraId="3146AAAC">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废模具</w:t>
            </w:r>
          </w:p>
        </w:tc>
        <w:tc>
          <w:tcPr>
            <w:tcW w:w="2583" w:type="dxa"/>
            <w:vMerge w:val="continue"/>
            <w:noWrap/>
            <w:vAlign w:val="center"/>
          </w:tcPr>
          <w:p w14:paraId="35F53801">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2954" w:type="dxa"/>
            <w:vMerge w:val="continue"/>
            <w:noWrap/>
            <w:vAlign w:val="center"/>
          </w:tcPr>
          <w:p w14:paraId="272C2F3E">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r>
      <w:tr w14:paraId="1DBB4F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983" w:type="dxa"/>
            <w:vMerge w:val="continue"/>
            <w:noWrap/>
            <w:vAlign w:val="center"/>
          </w:tcPr>
          <w:p w14:paraId="47082F81">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3237" w:type="dxa"/>
            <w:gridSpan w:val="2"/>
            <w:noWrap/>
            <w:vAlign w:val="center"/>
          </w:tcPr>
          <w:p w14:paraId="55217626">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焊渣</w:t>
            </w:r>
          </w:p>
        </w:tc>
        <w:tc>
          <w:tcPr>
            <w:tcW w:w="2583" w:type="dxa"/>
            <w:vMerge w:val="continue"/>
            <w:noWrap/>
            <w:vAlign w:val="center"/>
          </w:tcPr>
          <w:p w14:paraId="0D84FCEF">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2954" w:type="dxa"/>
            <w:vMerge w:val="continue"/>
            <w:noWrap/>
            <w:vAlign w:val="center"/>
          </w:tcPr>
          <w:p w14:paraId="3734C153">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r>
      <w:tr w14:paraId="6B09A0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983" w:type="dxa"/>
            <w:vMerge w:val="continue"/>
            <w:noWrap/>
            <w:vAlign w:val="center"/>
          </w:tcPr>
          <w:p w14:paraId="75669FEE">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3237" w:type="dxa"/>
            <w:gridSpan w:val="2"/>
            <w:noWrap/>
            <w:vAlign w:val="center"/>
          </w:tcPr>
          <w:p w14:paraId="2EB790DC">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废滤袋</w:t>
            </w:r>
          </w:p>
        </w:tc>
        <w:tc>
          <w:tcPr>
            <w:tcW w:w="2583" w:type="dxa"/>
            <w:vMerge w:val="continue"/>
            <w:noWrap/>
            <w:vAlign w:val="center"/>
          </w:tcPr>
          <w:p w14:paraId="047B90C1">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2954" w:type="dxa"/>
            <w:vMerge w:val="continue"/>
            <w:noWrap/>
            <w:vAlign w:val="center"/>
          </w:tcPr>
          <w:p w14:paraId="05FDFEFE">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r>
      <w:tr w14:paraId="1041D6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983" w:type="dxa"/>
            <w:vMerge w:val="continue"/>
            <w:noWrap/>
            <w:vAlign w:val="center"/>
          </w:tcPr>
          <w:p w14:paraId="32FB7FDA">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3237" w:type="dxa"/>
            <w:gridSpan w:val="2"/>
            <w:noWrap/>
            <w:vAlign w:val="center"/>
          </w:tcPr>
          <w:p w14:paraId="02E79135">
            <w:pPr>
              <w:jc w:val="center"/>
              <w:rPr>
                <w:rFonts w:hint="default" w:ascii="Times New Roman" w:hAnsi="Times New Roman" w:cs="Times New Roman"/>
                <w:bCs/>
                <w:color w:val="auto"/>
                <w:szCs w:val="21"/>
                <w:highlight w:val="none"/>
                <w:lang w:eastAsia="zh-CN" w:bidi="ar"/>
              </w:rPr>
            </w:pPr>
            <w:r>
              <w:rPr>
                <w:rFonts w:hint="default" w:ascii="Times New Roman" w:hAnsi="Times New Roman" w:eastAsia="宋体" w:cs="Times New Roman"/>
                <w:color w:val="auto"/>
                <w:kern w:val="2"/>
                <w:sz w:val="21"/>
                <w:szCs w:val="21"/>
                <w:highlight w:val="none"/>
                <w:lang w:val="en-US" w:eastAsia="zh-CN" w:bidi="ar-SA"/>
              </w:rPr>
              <w:t>钢材边角料</w:t>
            </w:r>
          </w:p>
        </w:tc>
        <w:tc>
          <w:tcPr>
            <w:tcW w:w="2583" w:type="dxa"/>
            <w:vMerge w:val="continue"/>
            <w:noWrap/>
            <w:vAlign w:val="center"/>
          </w:tcPr>
          <w:p w14:paraId="28B01D99">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2954" w:type="dxa"/>
            <w:vMerge w:val="continue"/>
            <w:noWrap/>
            <w:vAlign w:val="center"/>
          </w:tcPr>
          <w:p w14:paraId="10346DBF">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r>
      <w:tr w14:paraId="69F332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983" w:type="dxa"/>
            <w:vMerge w:val="continue"/>
            <w:noWrap/>
            <w:vAlign w:val="center"/>
          </w:tcPr>
          <w:p w14:paraId="7B4E2535">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3237" w:type="dxa"/>
            <w:gridSpan w:val="2"/>
            <w:noWrap/>
            <w:vAlign w:val="center"/>
          </w:tcPr>
          <w:p w14:paraId="669A4E1A">
            <w:pPr>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SA"/>
              </w:rPr>
              <w:t>废包装材料</w:t>
            </w:r>
          </w:p>
        </w:tc>
        <w:tc>
          <w:tcPr>
            <w:tcW w:w="2583" w:type="dxa"/>
            <w:vMerge w:val="continue"/>
            <w:noWrap/>
            <w:vAlign w:val="center"/>
          </w:tcPr>
          <w:p w14:paraId="3EB4C48F">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2954" w:type="dxa"/>
            <w:vMerge w:val="continue"/>
            <w:noWrap/>
            <w:vAlign w:val="center"/>
          </w:tcPr>
          <w:p w14:paraId="6263316F">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r>
      <w:tr w14:paraId="78F934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983" w:type="dxa"/>
            <w:vMerge w:val="continue"/>
            <w:noWrap/>
            <w:vAlign w:val="center"/>
          </w:tcPr>
          <w:p w14:paraId="4F362674">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3237" w:type="dxa"/>
            <w:gridSpan w:val="2"/>
            <w:noWrap/>
            <w:vAlign w:val="center"/>
          </w:tcPr>
          <w:p w14:paraId="049474EF">
            <w:pPr>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bCs/>
                <w:color w:val="auto"/>
                <w:sz w:val="21"/>
                <w:szCs w:val="21"/>
                <w:highlight w:val="none"/>
                <w:lang w:bidi="ar"/>
              </w:rPr>
              <w:t>含油手套及废抹布</w:t>
            </w:r>
          </w:p>
        </w:tc>
        <w:tc>
          <w:tcPr>
            <w:tcW w:w="2583" w:type="dxa"/>
            <w:vMerge w:val="restart"/>
            <w:noWrap/>
            <w:vAlign w:val="center"/>
          </w:tcPr>
          <w:p w14:paraId="4A0E5CE2">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交由有危险废物处理资质的单位处理</w:t>
            </w:r>
          </w:p>
        </w:tc>
        <w:tc>
          <w:tcPr>
            <w:tcW w:w="2954" w:type="dxa"/>
            <w:vMerge w:val="restart"/>
            <w:noWrap/>
            <w:vAlign w:val="center"/>
          </w:tcPr>
          <w:p w14:paraId="17663F44">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szCs w:val="21"/>
                <w:highlight w:val="none"/>
              </w:rPr>
              <w:t>《危险废物贮存污染控制标准》（GB18597-2023），2023年1月20日发布</w:t>
            </w:r>
          </w:p>
        </w:tc>
      </w:tr>
      <w:tr w14:paraId="2AE2AD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983" w:type="dxa"/>
            <w:vMerge w:val="continue"/>
            <w:noWrap/>
            <w:vAlign w:val="center"/>
          </w:tcPr>
          <w:p w14:paraId="0FEAF949">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3237" w:type="dxa"/>
            <w:gridSpan w:val="2"/>
            <w:noWrap/>
            <w:vAlign w:val="center"/>
          </w:tcPr>
          <w:p w14:paraId="02C477CA">
            <w:pPr>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bCs/>
                <w:color w:val="auto"/>
                <w:sz w:val="21"/>
                <w:szCs w:val="21"/>
                <w:highlight w:val="none"/>
                <w:lang w:bidi="ar"/>
              </w:rPr>
              <w:t>废机油</w:t>
            </w:r>
          </w:p>
        </w:tc>
        <w:tc>
          <w:tcPr>
            <w:tcW w:w="2583" w:type="dxa"/>
            <w:vMerge w:val="continue"/>
            <w:noWrap/>
            <w:vAlign w:val="center"/>
          </w:tcPr>
          <w:p w14:paraId="2E7981A5">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2954" w:type="dxa"/>
            <w:vMerge w:val="continue"/>
            <w:noWrap/>
            <w:vAlign w:val="center"/>
          </w:tcPr>
          <w:p w14:paraId="387A1A80">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Cs w:val="21"/>
                <w:highlight w:val="none"/>
              </w:rPr>
            </w:pPr>
          </w:p>
        </w:tc>
      </w:tr>
      <w:tr w14:paraId="4FE0B2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983" w:type="dxa"/>
            <w:vMerge w:val="continue"/>
            <w:noWrap/>
            <w:vAlign w:val="center"/>
          </w:tcPr>
          <w:p w14:paraId="7FD48469">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3237" w:type="dxa"/>
            <w:gridSpan w:val="2"/>
            <w:noWrap/>
            <w:vAlign w:val="center"/>
          </w:tcPr>
          <w:p w14:paraId="2A606D90">
            <w:pPr>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bCs/>
                <w:color w:val="auto"/>
                <w:szCs w:val="21"/>
                <w:highlight w:val="none"/>
                <w:lang w:bidi="ar"/>
              </w:rPr>
              <w:t>废机油</w:t>
            </w:r>
            <w:r>
              <w:rPr>
                <w:rFonts w:hint="default" w:ascii="Times New Roman" w:hAnsi="Times New Roman" w:cs="Times New Roman"/>
                <w:bCs/>
                <w:color w:val="auto"/>
                <w:szCs w:val="21"/>
                <w:highlight w:val="none"/>
                <w:lang w:eastAsia="zh-CN" w:bidi="ar"/>
              </w:rPr>
              <w:t xml:space="preserve">桶 </w:t>
            </w:r>
          </w:p>
        </w:tc>
        <w:tc>
          <w:tcPr>
            <w:tcW w:w="2583" w:type="dxa"/>
            <w:vMerge w:val="continue"/>
            <w:noWrap/>
            <w:vAlign w:val="center"/>
          </w:tcPr>
          <w:p w14:paraId="69BF70C7">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2954" w:type="dxa"/>
            <w:vMerge w:val="continue"/>
            <w:noWrap/>
            <w:vAlign w:val="center"/>
          </w:tcPr>
          <w:p w14:paraId="18774599">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r>
      <w:tr w14:paraId="78E045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983" w:type="dxa"/>
            <w:vMerge w:val="continue"/>
            <w:noWrap/>
            <w:vAlign w:val="center"/>
          </w:tcPr>
          <w:p w14:paraId="24BE3833">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3237" w:type="dxa"/>
            <w:gridSpan w:val="2"/>
            <w:noWrap/>
            <w:vAlign w:val="center"/>
          </w:tcPr>
          <w:p w14:paraId="0BABF369">
            <w:pPr>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bCs/>
                <w:color w:val="auto"/>
                <w:szCs w:val="21"/>
                <w:highlight w:val="none"/>
                <w:lang w:eastAsia="zh-CN" w:bidi="ar"/>
              </w:rPr>
              <w:t xml:space="preserve">废包装桶 </w:t>
            </w:r>
          </w:p>
        </w:tc>
        <w:tc>
          <w:tcPr>
            <w:tcW w:w="2583" w:type="dxa"/>
            <w:vMerge w:val="continue"/>
            <w:noWrap/>
            <w:vAlign w:val="center"/>
          </w:tcPr>
          <w:p w14:paraId="072A6CD3">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c>
          <w:tcPr>
            <w:tcW w:w="2954" w:type="dxa"/>
            <w:vMerge w:val="continue"/>
            <w:noWrap/>
            <w:vAlign w:val="center"/>
          </w:tcPr>
          <w:p w14:paraId="02E97E1F">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p>
        </w:tc>
      </w:tr>
      <w:tr w14:paraId="69143A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7" w:hRule="atLeast"/>
          <w:jc w:val="center"/>
        </w:trPr>
        <w:tc>
          <w:tcPr>
            <w:tcW w:w="983" w:type="dxa"/>
            <w:noWrap/>
            <w:vAlign w:val="center"/>
          </w:tcPr>
          <w:p w14:paraId="1424E4FB">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土壤及地下水污染防治措施</w:t>
            </w:r>
          </w:p>
        </w:tc>
        <w:tc>
          <w:tcPr>
            <w:tcW w:w="8774" w:type="dxa"/>
            <w:gridSpan w:val="4"/>
            <w:noWrap/>
            <w:vAlign w:val="center"/>
          </w:tcPr>
          <w:p w14:paraId="22ABAAB5">
            <w:pPr>
              <w:keepNext w:val="0"/>
              <w:keepLines w:val="0"/>
              <w:pageBreakBefore w:val="0"/>
              <w:widowControl w:val="0"/>
              <w:kinsoku/>
              <w:wordWrap/>
              <w:overflowPunct/>
              <w:topLinePunct w:val="0"/>
              <w:autoSpaceDE/>
              <w:autoSpaceDN/>
              <w:bidi w:val="0"/>
              <w:adjustRightInd w:val="0"/>
              <w:snapToGrid w:val="0"/>
              <w:spacing w:after="0"/>
              <w:jc w:val="both"/>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sz w:val="21"/>
                <w:szCs w:val="21"/>
                <w:highlight w:val="none"/>
              </w:rPr>
              <w:t>采取的分区防控措施：危险废物暂存间基础设置防渗地坪，该防渗地坪的具体技术要求为“等效黏土防渗层Mb≥6.0m，渗透系数≤10</w:t>
            </w:r>
            <w:r>
              <w:rPr>
                <w:rFonts w:hint="default" w:ascii="Times New Roman" w:hAnsi="Times New Roman" w:eastAsia="宋体" w:cs="Times New Roman"/>
                <w:color w:val="auto"/>
                <w:sz w:val="21"/>
                <w:szCs w:val="21"/>
                <w:highlight w:val="none"/>
                <w:vertAlign w:val="superscript"/>
              </w:rPr>
              <w:t>-7</w:t>
            </w:r>
            <w:r>
              <w:rPr>
                <w:rFonts w:hint="default" w:ascii="Times New Roman" w:hAnsi="Times New Roman" w:eastAsia="宋体" w:cs="Times New Roman"/>
                <w:color w:val="auto"/>
                <w:sz w:val="21"/>
                <w:szCs w:val="21"/>
                <w:highlight w:val="none"/>
              </w:rPr>
              <w:t>cm/s”。一般固废暂存间必须防雨、防晒、防风，设置防渗地坪，该防渗地坪的具体技术要求为“等效黏土防渗层Mb≥1.5m，渗透系数≤10</w:t>
            </w:r>
            <w:r>
              <w:rPr>
                <w:rFonts w:hint="default" w:ascii="Times New Roman" w:hAnsi="Times New Roman" w:eastAsia="宋体" w:cs="Times New Roman"/>
                <w:color w:val="auto"/>
                <w:sz w:val="21"/>
                <w:szCs w:val="21"/>
                <w:highlight w:val="none"/>
                <w:vertAlign w:val="superscript"/>
              </w:rPr>
              <w:t>-7</w:t>
            </w:r>
            <w:r>
              <w:rPr>
                <w:rFonts w:hint="default" w:ascii="Times New Roman" w:hAnsi="Times New Roman" w:eastAsia="宋体" w:cs="Times New Roman"/>
                <w:color w:val="auto"/>
                <w:sz w:val="21"/>
                <w:szCs w:val="21"/>
                <w:highlight w:val="none"/>
              </w:rPr>
              <w:t>cm/s”。生产车间、仓库的地面采取粘土铺底，再在上层铺设10-15cm的水泥进行硬化。</w:t>
            </w:r>
          </w:p>
        </w:tc>
      </w:tr>
      <w:tr w14:paraId="3BC05A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47" w:hRule="atLeast"/>
          <w:jc w:val="center"/>
        </w:trPr>
        <w:tc>
          <w:tcPr>
            <w:tcW w:w="983" w:type="dxa"/>
            <w:noWrap/>
            <w:vAlign w:val="center"/>
          </w:tcPr>
          <w:p w14:paraId="060327E0">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生态保护措施</w:t>
            </w:r>
          </w:p>
        </w:tc>
        <w:tc>
          <w:tcPr>
            <w:tcW w:w="8774" w:type="dxa"/>
            <w:gridSpan w:val="4"/>
            <w:noWrap/>
            <w:vAlign w:val="center"/>
          </w:tcPr>
          <w:p w14:paraId="0CE56697">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w:t>
            </w:r>
          </w:p>
        </w:tc>
      </w:tr>
      <w:tr w14:paraId="796DC8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51" w:hRule="atLeast"/>
          <w:jc w:val="center"/>
        </w:trPr>
        <w:tc>
          <w:tcPr>
            <w:tcW w:w="983" w:type="dxa"/>
            <w:noWrap/>
            <w:vAlign w:val="center"/>
          </w:tcPr>
          <w:p w14:paraId="5BC46553">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pacing w:val="-8"/>
                <w:kern w:val="2"/>
                <w:sz w:val="21"/>
                <w:szCs w:val="21"/>
                <w:highlight w:val="none"/>
              </w:rPr>
            </w:pPr>
            <w:r>
              <w:rPr>
                <w:rFonts w:hint="default" w:ascii="Times New Roman" w:hAnsi="Times New Roman" w:eastAsia="宋体" w:cs="Times New Roman"/>
                <w:color w:val="auto"/>
                <w:spacing w:val="-8"/>
                <w:kern w:val="2"/>
                <w:sz w:val="21"/>
                <w:szCs w:val="21"/>
                <w:highlight w:val="none"/>
              </w:rPr>
              <w:t>环境风险防范措施</w:t>
            </w:r>
          </w:p>
        </w:tc>
        <w:tc>
          <w:tcPr>
            <w:tcW w:w="8774" w:type="dxa"/>
            <w:gridSpan w:val="4"/>
            <w:noWrap/>
            <w:vAlign w:val="center"/>
          </w:tcPr>
          <w:p w14:paraId="39ED042C">
            <w:pPr>
              <w:keepNext w:val="0"/>
              <w:keepLines w:val="0"/>
              <w:pageBreakBefore w:val="0"/>
              <w:widowControl w:val="0"/>
              <w:kinsoku/>
              <w:wordWrap/>
              <w:overflowPunct/>
              <w:topLinePunct w:val="0"/>
              <w:autoSpaceDE/>
              <w:autoSpaceDN/>
              <w:bidi w:val="0"/>
              <w:adjustRightInd w:val="0"/>
              <w:snapToGrid w:val="0"/>
              <w:spacing w:after="0"/>
              <w:jc w:val="both"/>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建立台账管理制度，确保治理设施正常稳定运行。加强用火管理，厂区内严禁烟火，配备一定数量的灭火器，并定期检查确保其可正常使用，加强电气设备及线路检查，防止线路和设备老化造成的引发事故；制定严格的生产操作规程，加强作业工人的安全教育，杜绝工作失误造成的事故。</w:t>
            </w:r>
          </w:p>
        </w:tc>
      </w:tr>
      <w:tr w14:paraId="27BCC8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74" w:hRule="atLeast"/>
          <w:jc w:val="center"/>
        </w:trPr>
        <w:tc>
          <w:tcPr>
            <w:tcW w:w="983" w:type="dxa"/>
            <w:noWrap/>
            <w:vAlign w:val="center"/>
          </w:tcPr>
          <w:p w14:paraId="08CC4572">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pacing w:val="-8"/>
                <w:kern w:val="2"/>
                <w:sz w:val="21"/>
                <w:szCs w:val="21"/>
                <w:highlight w:val="none"/>
              </w:rPr>
            </w:pPr>
            <w:r>
              <w:rPr>
                <w:rFonts w:hint="default" w:ascii="Times New Roman" w:hAnsi="Times New Roman" w:eastAsia="宋体" w:cs="Times New Roman"/>
                <w:color w:val="auto"/>
                <w:spacing w:val="-8"/>
                <w:kern w:val="2"/>
                <w:sz w:val="21"/>
                <w:szCs w:val="21"/>
                <w:highlight w:val="none"/>
              </w:rPr>
              <w:t>其他环境管理要求</w:t>
            </w:r>
          </w:p>
        </w:tc>
        <w:tc>
          <w:tcPr>
            <w:tcW w:w="8774" w:type="dxa"/>
            <w:gridSpan w:val="4"/>
            <w:noWrap/>
            <w:vAlign w:val="center"/>
          </w:tcPr>
          <w:p w14:paraId="63D2AA94">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w:t>
            </w:r>
          </w:p>
        </w:tc>
      </w:tr>
    </w:tbl>
    <w:p w14:paraId="0D9F3CFF">
      <w:pPr>
        <w:rPr>
          <w:rFonts w:hint="default" w:ascii="Times New Roman" w:hAnsi="Times New Roman" w:cs="Times New Roman"/>
          <w:color w:val="auto"/>
          <w:highlight w:val="none"/>
        </w:rPr>
      </w:pPr>
    </w:p>
    <w:p w14:paraId="1848376C">
      <w:pPr>
        <w:pStyle w:val="29"/>
        <w:adjustRightInd w:val="0"/>
        <w:snapToGrid w:val="0"/>
        <w:spacing w:before="0" w:beforeAutospacing="0" w:after="0" w:afterAutospacing="0"/>
        <w:jc w:val="center"/>
        <w:outlineLvl w:val="0"/>
        <w:rPr>
          <w:rFonts w:hint="default" w:ascii="Times New Roman" w:hAnsi="Times New Roman" w:eastAsia="黑体" w:cs="Times New Roman"/>
          <w:snapToGrid w:val="0"/>
          <w:color w:val="auto"/>
          <w:sz w:val="30"/>
          <w:szCs w:val="30"/>
          <w:highlight w:val="none"/>
        </w:rPr>
        <w:sectPr>
          <w:pgSz w:w="11906" w:h="16838"/>
          <w:pgMar w:top="1440" w:right="1247" w:bottom="1440" w:left="1247" w:header="851" w:footer="1077" w:gutter="0"/>
          <w:pgNumType w:fmt="decimal"/>
          <w:cols w:space="720" w:num="1"/>
          <w:docGrid w:linePitch="312" w:charSpace="0"/>
        </w:sectPr>
      </w:pPr>
    </w:p>
    <w:p w14:paraId="45FE1C4E">
      <w:pPr>
        <w:pStyle w:val="29"/>
        <w:adjustRightInd w:val="0"/>
        <w:snapToGrid w:val="0"/>
        <w:spacing w:before="0" w:beforeAutospacing="0" w:after="0" w:afterAutospacing="0"/>
        <w:jc w:val="center"/>
        <w:outlineLvl w:val="0"/>
        <w:rPr>
          <w:rFonts w:hint="default" w:ascii="Times New Roman" w:hAnsi="Times New Roman" w:eastAsia="黑体" w:cs="Times New Roman"/>
          <w:snapToGrid w:val="0"/>
          <w:color w:val="auto"/>
          <w:sz w:val="30"/>
          <w:szCs w:val="30"/>
          <w:highlight w:val="none"/>
        </w:rPr>
      </w:pPr>
      <w:r>
        <w:rPr>
          <w:rFonts w:hint="default" w:ascii="Times New Roman" w:hAnsi="Times New Roman" w:eastAsia="黑体" w:cs="Times New Roman"/>
          <w:snapToGrid w:val="0"/>
          <w:color w:val="auto"/>
          <w:sz w:val="30"/>
          <w:szCs w:val="30"/>
          <w:highlight w:val="none"/>
        </w:rPr>
        <w:t>六、结论</w:t>
      </w:r>
    </w:p>
    <w:tbl>
      <w:tblPr>
        <w:tblStyle w:val="34"/>
        <w:tblW w:w="914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140"/>
      </w:tblGrid>
      <w:tr w14:paraId="07B04E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95" w:hRule="atLeast"/>
          <w:jc w:val="center"/>
        </w:trPr>
        <w:tc>
          <w:tcPr>
            <w:tcW w:w="9140" w:type="dxa"/>
            <w:noWrap w:val="0"/>
            <w:vAlign w:val="center"/>
          </w:tcPr>
          <w:p w14:paraId="213728E8">
            <w:pPr>
              <w:adjustRightInd w:val="0"/>
              <w:snapToGrid w:val="0"/>
              <w:spacing w:line="360" w:lineRule="auto"/>
              <w:ind w:firstLine="480" w:firstLineChars="200"/>
              <w:rPr>
                <w:rFonts w:hint="default" w:ascii="Times New Roman" w:hAnsi="Times New Roman" w:cs="Times New Roman"/>
                <w:color w:val="auto"/>
                <w:sz w:val="24"/>
                <w:highlight w:val="none"/>
                <w:lang w:val="en-US" w:eastAsia="zh-CN"/>
              </w:rPr>
            </w:pPr>
          </w:p>
          <w:p w14:paraId="66BEB4F7">
            <w:pPr>
              <w:adjustRightInd w:val="0"/>
              <w:snapToGrid w:val="0"/>
              <w:spacing w:line="360" w:lineRule="auto"/>
              <w:ind w:firstLine="480" w:firstLineChars="200"/>
              <w:rPr>
                <w:rFonts w:hint="default" w:ascii="Times New Roman" w:hAnsi="Times New Roman" w:cs="Times New Roman"/>
                <w:color w:val="auto"/>
                <w:sz w:val="24"/>
                <w:highlight w:val="none"/>
                <w:lang w:val="en-US" w:eastAsia="zh-CN"/>
              </w:rPr>
            </w:pPr>
          </w:p>
          <w:p w14:paraId="068C9D16">
            <w:pPr>
              <w:adjustRightInd w:val="0"/>
              <w:snapToGrid w:val="0"/>
              <w:spacing w:line="360" w:lineRule="auto"/>
              <w:ind w:firstLine="480" w:firstLineChars="200"/>
              <w:rPr>
                <w:rFonts w:hint="default" w:ascii="Times New Roman" w:hAnsi="Times New Roman" w:cs="Times New Roman"/>
                <w:color w:val="auto"/>
                <w:sz w:val="24"/>
                <w:highlight w:val="none"/>
                <w:lang w:val="en-US" w:eastAsia="zh-CN"/>
              </w:rPr>
            </w:pPr>
          </w:p>
          <w:p w14:paraId="2A306001">
            <w:pPr>
              <w:adjustRightInd w:val="0"/>
              <w:snapToGrid w:val="0"/>
              <w:spacing w:line="360" w:lineRule="auto"/>
              <w:ind w:firstLine="480" w:firstLineChars="200"/>
              <w:rPr>
                <w:rFonts w:hint="default" w:ascii="Times New Roman" w:hAnsi="Times New Roman" w:cs="Times New Roman"/>
                <w:color w:val="auto"/>
                <w:sz w:val="24"/>
                <w:highlight w:val="none"/>
                <w:lang w:val="en-US" w:eastAsia="zh-CN"/>
              </w:rPr>
            </w:pPr>
          </w:p>
          <w:p w14:paraId="16B308EB">
            <w:pPr>
              <w:adjustRightInd w:val="0"/>
              <w:snapToGrid w:val="0"/>
              <w:spacing w:line="360" w:lineRule="auto"/>
              <w:ind w:firstLine="480" w:firstLineChars="200"/>
              <w:rPr>
                <w:rFonts w:hint="default" w:ascii="Times New Roman" w:hAnsi="Times New Roman" w:cs="Times New Roman"/>
                <w:color w:val="auto"/>
                <w:sz w:val="24"/>
                <w:highlight w:val="none"/>
                <w:lang w:val="en-US" w:eastAsia="zh-CN"/>
              </w:rPr>
            </w:pPr>
          </w:p>
          <w:p w14:paraId="4166ED3A">
            <w:pPr>
              <w:adjustRightInd w:val="0"/>
              <w:snapToGrid w:val="0"/>
              <w:spacing w:line="360" w:lineRule="auto"/>
              <w:ind w:firstLine="480" w:firstLineChars="200"/>
              <w:rPr>
                <w:rFonts w:hint="default" w:ascii="Times New Roman" w:hAnsi="Times New Roman" w:cs="Times New Roman"/>
                <w:color w:val="auto"/>
                <w:sz w:val="24"/>
                <w:highlight w:val="none"/>
                <w:lang w:val="en-US" w:eastAsia="zh-CN"/>
              </w:rPr>
            </w:pPr>
          </w:p>
          <w:p w14:paraId="44B6B79D">
            <w:pPr>
              <w:adjustRightInd w:val="0"/>
              <w:snapToGrid w:val="0"/>
              <w:spacing w:line="360" w:lineRule="auto"/>
              <w:ind w:firstLine="480" w:firstLineChars="200"/>
              <w:rPr>
                <w:rFonts w:hint="default" w:ascii="Times New Roman" w:hAnsi="Times New Roman" w:cs="Times New Roman"/>
                <w:color w:val="auto"/>
                <w:sz w:val="24"/>
                <w:highlight w:val="none"/>
                <w:lang w:val="en-US" w:eastAsia="zh-CN"/>
              </w:rPr>
            </w:pPr>
          </w:p>
          <w:p w14:paraId="3D60E3F7">
            <w:pPr>
              <w:adjustRightInd w:val="0"/>
              <w:snapToGrid w:val="0"/>
              <w:spacing w:line="360" w:lineRule="auto"/>
              <w:ind w:firstLine="480" w:firstLineChars="200"/>
              <w:rPr>
                <w:rFonts w:hint="default" w:ascii="Times New Roman" w:hAnsi="Times New Roman" w:cs="Times New Roman"/>
                <w:color w:val="auto"/>
                <w:sz w:val="24"/>
                <w:highlight w:val="none"/>
                <w:lang w:val="en-US" w:eastAsia="zh-CN"/>
              </w:rPr>
            </w:pPr>
          </w:p>
          <w:p w14:paraId="1E5BAD9A">
            <w:pPr>
              <w:adjustRightInd w:val="0"/>
              <w:snapToGrid w:val="0"/>
              <w:spacing w:line="360" w:lineRule="auto"/>
              <w:ind w:firstLine="480" w:firstLineChars="200"/>
              <w:rPr>
                <w:rFonts w:hint="default" w:ascii="Times New Roman" w:hAnsi="Times New Roman" w:cs="Times New Roman"/>
                <w:color w:val="auto"/>
                <w:sz w:val="24"/>
                <w:highlight w:val="none"/>
                <w:lang w:val="en-US" w:eastAsia="zh-CN"/>
              </w:rPr>
            </w:pPr>
          </w:p>
          <w:p w14:paraId="4BA1CFCD">
            <w:pPr>
              <w:adjustRightInd w:val="0"/>
              <w:snapToGrid w:val="0"/>
              <w:spacing w:line="360" w:lineRule="auto"/>
              <w:ind w:firstLine="960" w:firstLineChars="4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lang w:val="en-US" w:eastAsia="zh-CN"/>
              </w:rPr>
              <w:t>综上所述，从环境保护角度分析，</w:t>
            </w:r>
            <w:r>
              <w:rPr>
                <w:rFonts w:hint="default" w:ascii="Times New Roman" w:hAnsi="Times New Roman" w:cs="Times New Roman"/>
                <w:color w:val="auto"/>
                <w:sz w:val="24"/>
                <w:highlight w:val="none"/>
              </w:rPr>
              <w:t>本</w:t>
            </w:r>
            <w:r>
              <w:rPr>
                <w:rFonts w:hint="default" w:ascii="Times New Roman" w:hAnsi="Times New Roman" w:cs="Times New Roman"/>
                <w:color w:val="auto"/>
                <w:sz w:val="24"/>
                <w:highlight w:val="none"/>
                <w:lang w:eastAsia="zh-CN"/>
              </w:rPr>
              <w:t>项目</w:t>
            </w:r>
            <w:r>
              <w:rPr>
                <w:rFonts w:hint="default" w:ascii="Times New Roman" w:hAnsi="Times New Roman" w:cs="Times New Roman"/>
                <w:color w:val="auto"/>
                <w:sz w:val="24"/>
                <w:highlight w:val="none"/>
                <w:lang w:val="en-US" w:eastAsia="zh-CN"/>
              </w:rPr>
              <w:t>建设具有可行性</w:t>
            </w:r>
            <w:r>
              <w:rPr>
                <w:rFonts w:hint="default" w:ascii="Times New Roman" w:hAnsi="Times New Roman" w:cs="Times New Roman"/>
                <w:color w:val="auto"/>
                <w:sz w:val="24"/>
                <w:highlight w:val="none"/>
              </w:rPr>
              <w:t>。</w:t>
            </w:r>
          </w:p>
          <w:p w14:paraId="2F8FF3BA">
            <w:pPr>
              <w:adjustRightInd w:val="0"/>
              <w:snapToGrid w:val="0"/>
              <w:spacing w:line="360" w:lineRule="auto"/>
              <w:rPr>
                <w:rFonts w:hint="default" w:ascii="Times New Roman" w:hAnsi="Times New Roman" w:cs="Times New Roman"/>
                <w:color w:val="auto"/>
                <w:sz w:val="24"/>
                <w:highlight w:val="none"/>
              </w:rPr>
            </w:pPr>
          </w:p>
          <w:p w14:paraId="26FB98BF">
            <w:pPr>
              <w:adjustRightInd w:val="0"/>
              <w:snapToGrid w:val="0"/>
              <w:spacing w:line="360" w:lineRule="auto"/>
              <w:rPr>
                <w:rFonts w:hint="default" w:ascii="Times New Roman" w:hAnsi="Times New Roman" w:cs="Times New Roman"/>
                <w:color w:val="auto"/>
                <w:sz w:val="24"/>
                <w:highlight w:val="none"/>
              </w:rPr>
            </w:pPr>
          </w:p>
          <w:p w14:paraId="4084A995">
            <w:pPr>
              <w:adjustRightInd w:val="0"/>
              <w:snapToGrid w:val="0"/>
              <w:spacing w:line="360" w:lineRule="auto"/>
              <w:rPr>
                <w:rFonts w:hint="default" w:ascii="Times New Roman" w:hAnsi="Times New Roman" w:cs="Times New Roman"/>
                <w:color w:val="auto"/>
                <w:sz w:val="24"/>
                <w:highlight w:val="none"/>
              </w:rPr>
            </w:pPr>
          </w:p>
          <w:p w14:paraId="0ADEE18E">
            <w:pPr>
              <w:adjustRightInd w:val="0"/>
              <w:snapToGrid w:val="0"/>
              <w:spacing w:line="360" w:lineRule="auto"/>
              <w:rPr>
                <w:rFonts w:hint="default" w:ascii="Times New Roman" w:hAnsi="Times New Roman" w:cs="Times New Roman"/>
                <w:color w:val="auto"/>
                <w:sz w:val="24"/>
                <w:highlight w:val="none"/>
              </w:rPr>
            </w:pPr>
          </w:p>
          <w:p w14:paraId="5FCBA7C0">
            <w:pPr>
              <w:adjustRightInd w:val="0"/>
              <w:snapToGrid w:val="0"/>
              <w:spacing w:line="360" w:lineRule="auto"/>
              <w:rPr>
                <w:rFonts w:hint="default" w:ascii="Times New Roman" w:hAnsi="Times New Roman" w:cs="Times New Roman"/>
                <w:color w:val="auto"/>
                <w:sz w:val="24"/>
                <w:highlight w:val="none"/>
              </w:rPr>
            </w:pPr>
          </w:p>
          <w:p w14:paraId="3F363D20">
            <w:pPr>
              <w:adjustRightInd w:val="0"/>
              <w:snapToGrid w:val="0"/>
              <w:spacing w:line="360" w:lineRule="auto"/>
              <w:rPr>
                <w:rFonts w:hint="default" w:ascii="Times New Roman" w:hAnsi="Times New Roman" w:cs="Times New Roman"/>
                <w:color w:val="auto"/>
                <w:sz w:val="24"/>
                <w:highlight w:val="none"/>
              </w:rPr>
            </w:pPr>
          </w:p>
          <w:p w14:paraId="447FFA79">
            <w:pPr>
              <w:adjustRightInd w:val="0"/>
              <w:snapToGrid w:val="0"/>
              <w:spacing w:line="360" w:lineRule="auto"/>
              <w:rPr>
                <w:rFonts w:hint="default" w:ascii="Times New Roman" w:hAnsi="Times New Roman" w:cs="Times New Roman"/>
                <w:color w:val="auto"/>
                <w:sz w:val="24"/>
                <w:highlight w:val="none"/>
              </w:rPr>
            </w:pPr>
          </w:p>
          <w:p w14:paraId="144DAA3A">
            <w:pPr>
              <w:adjustRightInd w:val="0"/>
              <w:snapToGrid w:val="0"/>
              <w:spacing w:line="360" w:lineRule="auto"/>
              <w:rPr>
                <w:rFonts w:hint="default" w:ascii="Times New Roman" w:hAnsi="Times New Roman" w:cs="Times New Roman"/>
                <w:color w:val="auto"/>
                <w:sz w:val="24"/>
                <w:highlight w:val="none"/>
              </w:rPr>
            </w:pPr>
          </w:p>
          <w:p w14:paraId="7A5FB9B6">
            <w:pPr>
              <w:adjustRightInd w:val="0"/>
              <w:snapToGrid w:val="0"/>
              <w:spacing w:line="360" w:lineRule="auto"/>
              <w:rPr>
                <w:rFonts w:hint="default" w:ascii="Times New Roman" w:hAnsi="Times New Roman" w:cs="Times New Roman"/>
                <w:color w:val="auto"/>
                <w:sz w:val="24"/>
                <w:highlight w:val="none"/>
              </w:rPr>
            </w:pPr>
          </w:p>
          <w:p w14:paraId="46ED490B">
            <w:pPr>
              <w:adjustRightInd w:val="0"/>
              <w:snapToGrid w:val="0"/>
              <w:spacing w:line="360" w:lineRule="auto"/>
              <w:rPr>
                <w:rFonts w:hint="default" w:ascii="Times New Roman" w:hAnsi="Times New Roman" w:cs="Times New Roman"/>
                <w:color w:val="auto"/>
                <w:sz w:val="24"/>
                <w:highlight w:val="none"/>
              </w:rPr>
            </w:pPr>
          </w:p>
          <w:p w14:paraId="4AAFE18A">
            <w:pPr>
              <w:adjustRightInd w:val="0"/>
              <w:snapToGrid w:val="0"/>
              <w:spacing w:line="360" w:lineRule="auto"/>
              <w:rPr>
                <w:rFonts w:hint="default" w:ascii="Times New Roman" w:hAnsi="Times New Roman" w:cs="Times New Roman"/>
                <w:color w:val="auto"/>
                <w:sz w:val="24"/>
                <w:highlight w:val="none"/>
              </w:rPr>
            </w:pPr>
          </w:p>
          <w:p w14:paraId="0EF54025">
            <w:pPr>
              <w:adjustRightInd w:val="0"/>
              <w:snapToGrid w:val="0"/>
              <w:spacing w:line="360" w:lineRule="auto"/>
              <w:rPr>
                <w:rFonts w:hint="default" w:ascii="Times New Roman" w:hAnsi="Times New Roman" w:cs="Times New Roman"/>
                <w:color w:val="auto"/>
                <w:sz w:val="24"/>
                <w:highlight w:val="none"/>
              </w:rPr>
            </w:pPr>
          </w:p>
          <w:p w14:paraId="07DE1FFB">
            <w:pPr>
              <w:adjustRightInd w:val="0"/>
              <w:snapToGrid w:val="0"/>
              <w:spacing w:line="360" w:lineRule="auto"/>
              <w:rPr>
                <w:rFonts w:hint="default" w:ascii="Times New Roman" w:hAnsi="Times New Roman" w:cs="Times New Roman"/>
                <w:color w:val="auto"/>
                <w:sz w:val="24"/>
                <w:highlight w:val="none"/>
              </w:rPr>
            </w:pPr>
          </w:p>
          <w:p w14:paraId="21538B99">
            <w:pPr>
              <w:adjustRightInd w:val="0"/>
              <w:snapToGrid w:val="0"/>
              <w:spacing w:line="360" w:lineRule="auto"/>
              <w:rPr>
                <w:rFonts w:hint="default" w:ascii="Times New Roman" w:hAnsi="Times New Roman" w:cs="Times New Roman"/>
                <w:color w:val="auto"/>
                <w:sz w:val="24"/>
                <w:highlight w:val="none"/>
              </w:rPr>
            </w:pPr>
          </w:p>
          <w:p w14:paraId="1045A840">
            <w:pPr>
              <w:adjustRightInd w:val="0"/>
              <w:snapToGrid w:val="0"/>
              <w:spacing w:line="360" w:lineRule="auto"/>
              <w:rPr>
                <w:rFonts w:hint="default" w:ascii="Times New Roman" w:hAnsi="Times New Roman" w:cs="Times New Roman"/>
                <w:color w:val="auto"/>
                <w:sz w:val="24"/>
                <w:highlight w:val="none"/>
              </w:rPr>
            </w:pPr>
          </w:p>
          <w:p w14:paraId="12C18CDF">
            <w:pPr>
              <w:adjustRightInd w:val="0"/>
              <w:snapToGrid w:val="0"/>
              <w:spacing w:line="360" w:lineRule="auto"/>
              <w:rPr>
                <w:rFonts w:hint="default" w:ascii="Times New Roman" w:hAnsi="Times New Roman" w:cs="Times New Roman"/>
                <w:color w:val="auto"/>
                <w:sz w:val="24"/>
                <w:highlight w:val="none"/>
              </w:rPr>
            </w:pPr>
          </w:p>
          <w:p w14:paraId="47B78AE0">
            <w:pPr>
              <w:adjustRightInd w:val="0"/>
              <w:snapToGrid w:val="0"/>
              <w:spacing w:line="360" w:lineRule="auto"/>
              <w:rPr>
                <w:rFonts w:hint="default" w:ascii="Times New Roman" w:hAnsi="Times New Roman" w:cs="Times New Roman"/>
                <w:color w:val="auto"/>
                <w:sz w:val="24"/>
                <w:highlight w:val="none"/>
              </w:rPr>
            </w:pPr>
          </w:p>
          <w:p w14:paraId="4E019FD7">
            <w:pPr>
              <w:adjustRightInd w:val="0"/>
              <w:snapToGrid w:val="0"/>
              <w:spacing w:line="360" w:lineRule="auto"/>
              <w:rPr>
                <w:rFonts w:hint="default" w:ascii="Times New Roman" w:hAnsi="Times New Roman" w:cs="Times New Roman"/>
                <w:color w:val="auto"/>
                <w:sz w:val="24"/>
                <w:highlight w:val="none"/>
              </w:rPr>
            </w:pPr>
          </w:p>
          <w:p w14:paraId="23031966">
            <w:pPr>
              <w:adjustRightInd w:val="0"/>
              <w:snapToGrid w:val="0"/>
              <w:spacing w:line="360" w:lineRule="auto"/>
              <w:rPr>
                <w:rFonts w:hint="default" w:ascii="Times New Roman" w:hAnsi="Times New Roman" w:cs="Times New Roman"/>
                <w:color w:val="auto"/>
                <w:sz w:val="24"/>
                <w:highlight w:val="none"/>
              </w:rPr>
            </w:pPr>
          </w:p>
          <w:p w14:paraId="66CD19D7">
            <w:pPr>
              <w:adjustRightInd w:val="0"/>
              <w:snapToGrid w:val="0"/>
              <w:spacing w:line="360" w:lineRule="auto"/>
              <w:rPr>
                <w:rFonts w:hint="default" w:ascii="Times New Roman" w:hAnsi="Times New Roman" w:cs="Times New Roman"/>
                <w:color w:val="auto"/>
                <w:sz w:val="24"/>
                <w:highlight w:val="none"/>
              </w:rPr>
            </w:pPr>
          </w:p>
          <w:p w14:paraId="2863B013">
            <w:pPr>
              <w:adjustRightInd w:val="0"/>
              <w:snapToGrid w:val="0"/>
              <w:spacing w:line="360" w:lineRule="auto"/>
              <w:rPr>
                <w:rFonts w:hint="default" w:ascii="Times New Roman" w:hAnsi="Times New Roman" w:cs="Times New Roman"/>
                <w:color w:val="auto"/>
                <w:sz w:val="24"/>
                <w:highlight w:val="none"/>
              </w:rPr>
            </w:pPr>
          </w:p>
        </w:tc>
      </w:tr>
    </w:tbl>
    <w:p w14:paraId="23DDD572">
      <w:pPr>
        <w:rPr>
          <w:rFonts w:hint="default" w:ascii="Times New Roman" w:hAnsi="Times New Roman" w:cs="Times New Roman"/>
          <w:color w:val="auto"/>
          <w:highlight w:val="magenta"/>
        </w:rPr>
        <w:sectPr>
          <w:pgSz w:w="11906" w:h="16838"/>
          <w:pgMar w:top="1440" w:right="1247" w:bottom="1440" w:left="1247" w:header="851" w:footer="1077" w:gutter="0"/>
          <w:pgNumType w:fmt="decimal"/>
          <w:cols w:space="720" w:num="1"/>
          <w:docGrid w:linePitch="312" w:charSpace="0"/>
        </w:sectPr>
      </w:pPr>
    </w:p>
    <w:bookmarkEnd w:id="0"/>
    <w:p w14:paraId="4BB638E7">
      <w:pPr>
        <w:pStyle w:val="29"/>
        <w:adjustRightInd w:val="0"/>
        <w:snapToGrid w:val="0"/>
        <w:spacing w:before="0" w:beforeAutospacing="0" w:after="0" w:afterAutospacing="0" w:line="360" w:lineRule="auto"/>
        <w:outlineLvl w:val="0"/>
        <w:rPr>
          <w:rFonts w:hint="default" w:ascii="Times New Roman" w:hAnsi="Times New Roman" w:eastAsia="黑体" w:cs="Times New Roman"/>
          <w:snapToGrid w:val="0"/>
          <w:color w:val="auto"/>
          <w:sz w:val="32"/>
          <w:szCs w:val="32"/>
          <w:highlight w:val="none"/>
        </w:rPr>
      </w:pPr>
      <w:r>
        <w:rPr>
          <w:rFonts w:hint="default" w:ascii="Times New Roman" w:hAnsi="Times New Roman" w:eastAsia="黑体" w:cs="Times New Roman"/>
          <w:snapToGrid w:val="0"/>
          <w:color w:val="auto"/>
          <w:sz w:val="32"/>
          <w:szCs w:val="32"/>
          <w:highlight w:val="none"/>
        </w:rPr>
        <w:t>附表</w:t>
      </w:r>
    </w:p>
    <w:p w14:paraId="344CAD4B">
      <w:pPr>
        <w:pStyle w:val="29"/>
        <w:adjustRightInd w:val="0"/>
        <w:snapToGrid w:val="0"/>
        <w:spacing w:before="0" w:beforeAutospacing="0" w:after="0" w:afterAutospacing="0"/>
        <w:jc w:val="center"/>
        <w:outlineLvl w:val="0"/>
        <w:rPr>
          <w:rFonts w:hint="default" w:ascii="Times New Roman" w:hAnsi="Times New Roman" w:eastAsia="方正小标宋_GBK" w:cs="Times New Roman"/>
          <w:snapToGrid w:val="0"/>
          <w:color w:val="auto"/>
          <w:sz w:val="24"/>
          <w:szCs w:val="24"/>
          <w:highlight w:val="none"/>
        </w:rPr>
      </w:pPr>
      <w:r>
        <w:rPr>
          <w:rFonts w:hint="default" w:ascii="Times New Roman" w:hAnsi="Times New Roman" w:eastAsia="方正小标宋_GBK" w:cs="Times New Roman"/>
          <w:b/>
          <w:bCs/>
          <w:snapToGrid w:val="0"/>
          <w:color w:val="auto"/>
          <w:sz w:val="24"/>
          <w:szCs w:val="24"/>
          <w:highlight w:val="none"/>
        </w:rPr>
        <w:t>建设</w:t>
      </w:r>
      <w:r>
        <w:rPr>
          <w:rFonts w:hint="default" w:ascii="Times New Roman" w:hAnsi="Times New Roman" w:eastAsia="方正小标宋_GBK" w:cs="Times New Roman"/>
          <w:b/>
          <w:bCs/>
          <w:snapToGrid w:val="0"/>
          <w:color w:val="auto"/>
          <w:sz w:val="24"/>
          <w:szCs w:val="24"/>
          <w:highlight w:val="none"/>
          <w:lang w:eastAsia="zh-CN"/>
        </w:rPr>
        <w:t>项目</w:t>
      </w:r>
      <w:r>
        <w:rPr>
          <w:rFonts w:hint="default" w:ascii="Times New Roman" w:hAnsi="Times New Roman" w:eastAsia="方正小标宋_GBK" w:cs="Times New Roman"/>
          <w:b/>
          <w:bCs/>
          <w:snapToGrid w:val="0"/>
          <w:color w:val="auto"/>
          <w:sz w:val="24"/>
          <w:szCs w:val="24"/>
          <w:highlight w:val="none"/>
        </w:rPr>
        <w:t>污染物排放量汇总表</w:t>
      </w:r>
    </w:p>
    <w:tbl>
      <w:tblPr>
        <w:tblStyle w:val="34"/>
        <w:tblW w:w="14036"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94"/>
        <w:gridCol w:w="2325"/>
        <w:gridCol w:w="1484"/>
        <w:gridCol w:w="1170"/>
        <w:gridCol w:w="1649"/>
        <w:gridCol w:w="1725"/>
        <w:gridCol w:w="1292"/>
        <w:gridCol w:w="1424"/>
        <w:gridCol w:w="1873"/>
      </w:tblGrid>
      <w:tr w14:paraId="598A23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71" w:hRule="atLeast"/>
        </w:trPr>
        <w:tc>
          <w:tcPr>
            <w:tcW w:w="1094" w:type="dxa"/>
            <w:tcBorders>
              <w:tl2br w:val="single" w:color="auto" w:sz="4" w:space="0"/>
            </w:tcBorders>
            <w:tcMar>
              <w:left w:w="28" w:type="dxa"/>
              <w:right w:w="28" w:type="dxa"/>
            </w:tcMar>
            <w:vAlign w:val="center"/>
          </w:tcPr>
          <w:p w14:paraId="582685F0">
            <w:pPr>
              <w:pStyle w:val="83"/>
              <w:spacing w:beforeLines="0" w:afterLines="0" w:line="240" w:lineRule="auto"/>
              <w:rPr>
                <w:rFonts w:hint="default" w:ascii="Times New Roman" w:hAnsi="Times New Roman" w:eastAsia="黑体" w:cs="Times New Roman"/>
                <w:b/>
                <w:bCs/>
                <w:snapToGrid w:val="0"/>
                <w:color w:val="auto"/>
                <w:spacing w:val="-6"/>
                <w:kern w:val="21"/>
                <w:sz w:val="21"/>
                <w:szCs w:val="21"/>
                <w:highlight w:val="none"/>
              </w:rPr>
            </w:pPr>
            <w:r>
              <w:rPr>
                <w:rFonts w:hint="default" w:ascii="Times New Roman" w:hAnsi="Times New Roman" w:eastAsia="黑体" w:cs="Times New Roman"/>
                <w:b/>
                <w:bCs/>
                <w:snapToGrid w:val="0"/>
                <w:color w:val="auto"/>
                <w:spacing w:val="-6"/>
                <w:kern w:val="21"/>
                <w:sz w:val="21"/>
                <w:szCs w:val="21"/>
                <w:highlight w:val="none"/>
                <w:lang w:val="en-US" w:eastAsia="zh-CN"/>
              </w:rPr>
              <w:t xml:space="preserve">    </w:t>
            </w:r>
            <w:r>
              <w:rPr>
                <w:rFonts w:hint="default" w:ascii="Times New Roman" w:hAnsi="Times New Roman" w:eastAsia="黑体" w:cs="Times New Roman"/>
                <w:b/>
                <w:bCs/>
                <w:snapToGrid w:val="0"/>
                <w:color w:val="auto"/>
                <w:spacing w:val="-6"/>
                <w:kern w:val="21"/>
                <w:sz w:val="21"/>
                <w:szCs w:val="21"/>
                <w:highlight w:val="none"/>
                <w:lang w:eastAsia="zh-CN"/>
              </w:rPr>
              <w:t>项目</w:t>
            </w:r>
          </w:p>
          <w:p w14:paraId="1376274D">
            <w:pPr>
              <w:pStyle w:val="83"/>
              <w:spacing w:beforeLines="0" w:afterLines="0" w:line="240" w:lineRule="auto"/>
              <w:jc w:val="both"/>
              <w:rPr>
                <w:rFonts w:hint="default" w:ascii="Times New Roman" w:hAnsi="Times New Roman" w:eastAsia="黑体" w:cs="Times New Roman"/>
                <w:b/>
                <w:bCs/>
                <w:snapToGrid w:val="0"/>
                <w:color w:val="auto"/>
                <w:spacing w:val="-6"/>
                <w:kern w:val="21"/>
                <w:sz w:val="21"/>
                <w:szCs w:val="21"/>
                <w:highlight w:val="none"/>
              </w:rPr>
            </w:pPr>
            <w:r>
              <w:rPr>
                <w:rFonts w:hint="default" w:ascii="Times New Roman" w:hAnsi="Times New Roman" w:eastAsia="黑体" w:cs="Times New Roman"/>
                <w:b/>
                <w:bCs/>
                <w:snapToGrid w:val="0"/>
                <w:color w:val="auto"/>
                <w:spacing w:val="-6"/>
                <w:kern w:val="21"/>
                <w:sz w:val="21"/>
                <w:szCs w:val="21"/>
                <w:highlight w:val="none"/>
              </w:rPr>
              <w:t>分类</w:t>
            </w:r>
          </w:p>
        </w:tc>
        <w:tc>
          <w:tcPr>
            <w:tcW w:w="2325" w:type="dxa"/>
            <w:tcMar>
              <w:left w:w="28" w:type="dxa"/>
              <w:right w:w="28" w:type="dxa"/>
            </w:tcMar>
            <w:vAlign w:val="center"/>
          </w:tcPr>
          <w:p w14:paraId="0205187E">
            <w:pPr>
              <w:pStyle w:val="83"/>
              <w:keepNext w:val="0"/>
              <w:keepLines w:val="0"/>
              <w:pageBreakBefore w:val="0"/>
              <w:widowControl w:val="0"/>
              <w:kinsoku/>
              <w:wordWrap/>
              <w:overflowPunct/>
              <w:topLinePunct w:val="0"/>
              <w:autoSpaceDE/>
              <w:autoSpaceDN/>
              <w:bidi w:val="0"/>
              <w:adjustRightInd w:val="0"/>
              <w:snapToGrid w:val="0"/>
              <w:spacing w:beforeLines="0" w:afterLines="0" w:line="240" w:lineRule="auto"/>
              <w:ind w:left="0" w:firstLine="0" w:firstLineChars="0"/>
              <w:textAlignment w:val="auto"/>
              <w:rPr>
                <w:rFonts w:hint="default" w:ascii="Times New Roman" w:hAnsi="Times New Roman" w:eastAsia="宋体" w:cs="Times New Roman"/>
                <w:b/>
                <w:bCs/>
                <w:snapToGrid w:val="0"/>
                <w:color w:val="auto"/>
                <w:spacing w:val="-6"/>
                <w:kern w:val="21"/>
                <w:sz w:val="21"/>
                <w:szCs w:val="21"/>
                <w:highlight w:val="none"/>
              </w:rPr>
            </w:pPr>
            <w:r>
              <w:rPr>
                <w:rFonts w:hint="default" w:ascii="Times New Roman" w:hAnsi="Times New Roman" w:eastAsia="宋体" w:cs="Times New Roman"/>
                <w:b/>
                <w:bCs/>
                <w:snapToGrid w:val="0"/>
                <w:color w:val="auto"/>
                <w:spacing w:val="-6"/>
                <w:kern w:val="21"/>
                <w:sz w:val="21"/>
                <w:szCs w:val="21"/>
                <w:highlight w:val="none"/>
              </w:rPr>
              <w:t>污染物名称</w:t>
            </w:r>
          </w:p>
        </w:tc>
        <w:tc>
          <w:tcPr>
            <w:tcW w:w="1484" w:type="dxa"/>
            <w:tcMar>
              <w:left w:w="28" w:type="dxa"/>
              <w:right w:w="28" w:type="dxa"/>
            </w:tcMar>
            <w:vAlign w:val="center"/>
          </w:tcPr>
          <w:p w14:paraId="66A8E1CF">
            <w:pPr>
              <w:pStyle w:val="83"/>
              <w:keepNext w:val="0"/>
              <w:keepLines w:val="0"/>
              <w:pageBreakBefore w:val="0"/>
              <w:widowControl w:val="0"/>
              <w:kinsoku/>
              <w:wordWrap/>
              <w:overflowPunct/>
              <w:topLinePunct w:val="0"/>
              <w:autoSpaceDE/>
              <w:autoSpaceDN/>
              <w:bidi w:val="0"/>
              <w:adjustRightInd w:val="0"/>
              <w:snapToGrid w:val="0"/>
              <w:spacing w:beforeLines="0" w:afterLines="0" w:line="240" w:lineRule="auto"/>
              <w:ind w:left="0" w:firstLine="0" w:firstLineChars="0"/>
              <w:textAlignment w:val="auto"/>
              <w:rPr>
                <w:rFonts w:hint="default" w:ascii="Times New Roman" w:hAnsi="Times New Roman" w:eastAsia="宋体" w:cs="Times New Roman"/>
                <w:b/>
                <w:bCs/>
                <w:snapToGrid w:val="0"/>
                <w:color w:val="auto"/>
                <w:spacing w:val="-6"/>
                <w:kern w:val="21"/>
                <w:sz w:val="21"/>
                <w:szCs w:val="21"/>
                <w:highlight w:val="none"/>
              </w:rPr>
            </w:pPr>
            <w:r>
              <w:rPr>
                <w:rFonts w:hint="default" w:ascii="Times New Roman" w:hAnsi="Times New Roman" w:eastAsia="宋体" w:cs="Times New Roman"/>
                <w:b/>
                <w:bCs/>
                <w:snapToGrid w:val="0"/>
                <w:color w:val="auto"/>
                <w:spacing w:val="-6"/>
                <w:kern w:val="21"/>
                <w:sz w:val="21"/>
                <w:szCs w:val="21"/>
                <w:highlight w:val="none"/>
              </w:rPr>
              <w:t>现有工程排放量（固体废物产生量）</w:t>
            </w:r>
            <w:r>
              <w:rPr>
                <w:rFonts w:hint="default" w:ascii="Times New Roman" w:hAnsi="Times New Roman" w:eastAsia="宋体" w:cs="Times New Roman"/>
                <w:b/>
                <w:bCs/>
                <w:snapToGrid w:val="0"/>
                <w:color w:val="auto"/>
                <w:spacing w:val="-6"/>
                <w:kern w:val="21"/>
                <w:sz w:val="21"/>
                <w:szCs w:val="21"/>
                <w:highlight w:val="none"/>
              </w:rPr>
              <w:fldChar w:fldCharType="begin"/>
            </w:r>
            <w:r>
              <w:rPr>
                <w:rFonts w:hint="default" w:ascii="Times New Roman" w:hAnsi="Times New Roman" w:eastAsia="宋体" w:cs="Times New Roman"/>
                <w:b/>
                <w:bCs/>
                <w:snapToGrid w:val="0"/>
                <w:color w:val="auto"/>
                <w:spacing w:val="-6"/>
                <w:kern w:val="21"/>
                <w:sz w:val="21"/>
                <w:szCs w:val="21"/>
                <w:highlight w:val="none"/>
              </w:rPr>
              <w:instrText xml:space="preserve"> = 1 \* GB3 \* MERGEFORMAT </w:instrText>
            </w:r>
            <w:r>
              <w:rPr>
                <w:rFonts w:hint="default" w:ascii="Times New Roman" w:hAnsi="Times New Roman" w:eastAsia="宋体" w:cs="Times New Roman"/>
                <w:b/>
                <w:bCs/>
                <w:snapToGrid w:val="0"/>
                <w:color w:val="auto"/>
                <w:spacing w:val="-6"/>
                <w:kern w:val="21"/>
                <w:sz w:val="21"/>
                <w:szCs w:val="21"/>
                <w:highlight w:val="none"/>
              </w:rPr>
              <w:fldChar w:fldCharType="separate"/>
            </w:r>
            <w:r>
              <w:rPr>
                <w:rFonts w:hint="default" w:ascii="Times New Roman" w:hAnsi="Times New Roman" w:eastAsia="宋体" w:cs="Times New Roman"/>
                <w:b/>
                <w:bCs/>
                <w:color w:val="auto"/>
                <w:kern w:val="2"/>
                <w:sz w:val="21"/>
                <w:szCs w:val="21"/>
                <w:highlight w:val="none"/>
              </w:rPr>
              <w:t>①</w:t>
            </w:r>
            <w:r>
              <w:rPr>
                <w:rFonts w:hint="default" w:ascii="Times New Roman" w:hAnsi="Times New Roman" w:eastAsia="宋体" w:cs="Times New Roman"/>
                <w:b/>
                <w:bCs/>
                <w:snapToGrid w:val="0"/>
                <w:color w:val="auto"/>
                <w:spacing w:val="-6"/>
                <w:kern w:val="21"/>
                <w:sz w:val="21"/>
                <w:szCs w:val="21"/>
                <w:highlight w:val="none"/>
              </w:rPr>
              <w:fldChar w:fldCharType="end"/>
            </w:r>
          </w:p>
        </w:tc>
        <w:tc>
          <w:tcPr>
            <w:tcW w:w="1170" w:type="dxa"/>
            <w:tcMar>
              <w:left w:w="28" w:type="dxa"/>
              <w:right w:w="28" w:type="dxa"/>
            </w:tcMar>
            <w:vAlign w:val="center"/>
          </w:tcPr>
          <w:p w14:paraId="6B1244A7">
            <w:pPr>
              <w:pStyle w:val="83"/>
              <w:keepNext w:val="0"/>
              <w:keepLines w:val="0"/>
              <w:pageBreakBefore w:val="0"/>
              <w:widowControl w:val="0"/>
              <w:kinsoku/>
              <w:wordWrap/>
              <w:overflowPunct/>
              <w:topLinePunct w:val="0"/>
              <w:autoSpaceDE/>
              <w:autoSpaceDN/>
              <w:bidi w:val="0"/>
              <w:adjustRightInd w:val="0"/>
              <w:snapToGrid w:val="0"/>
              <w:spacing w:beforeLines="0" w:afterLines="0" w:line="240" w:lineRule="auto"/>
              <w:ind w:left="0" w:firstLine="0" w:firstLineChars="0"/>
              <w:textAlignment w:val="auto"/>
              <w:rPr>
                <w:rFonts w:hint="default" w:ascii="Times New Roman" w:hAnsi="Times New Roman" w:eastAsia="宋体" w:cs="Times New Roman"/>
                <w:b/>
                <w:bCs/>
                <w:snapToGrid w:val="0"/>
                <w:color w:val="auto"/>
                <w:spacing w:val="-6"/>
                <w:kern w:val="21"/>
                <w:sz w:val="21"/>
                <w:szCs w:val="21"/>
                <w:highlight w:val="none"/>
              </w:rPr>
            </w:pPr>
            <w:r>
              <w:rPr>
                <w:rFonts w:hint="default" w:ascii="Times New Roman" w:hAnsi="Times New Roman" w:eastAsia="宋体" w:cs="Times New Roman"/>
                <w:b/>
                <w:bCs/>
                <w:snapToGrid w:val="0"/>
                <w:color w:val="auto"/>
                <w:spacing w:val="-6"/>
                <w:kern w:val="21"/>
                <w:sz w:val="21"/>
                <w:szCs w:val="21"/>
                <w:highlight w:val="none"/>
              </w:rPr>
              <w:t>现有工程许可排放量</w:t>
            </w:r>
            <w:r>
              <w:rPr>
                <w:rFonts w:hint="default" w:ascii="Times New Roman" w:hAnsi="Times New Roman" w:eastAsia="宋体" w:cs="Times New Roman"/>
                <w:b/>
                <w:bCs/>
                <w:snapToGrid w:val="0"/>
                <w:color w:val="auto"/>
                <w:spacing w:val="-6"/>
                <w:kern w:val="21"/>
                <w:sz w:val="21"/>
                <w:szCs w:val="21"/>
                <w:highlight w:val="none"/>
              </w:rPr>
              <w:fldChar w:fldCharType="begin"/>
            </w:r>
            <w:r>
              <w:rPr>
                <w:rFonts w:hint="default" w:ascii="Times New Roman" w:hAnsi="Times New Roman" w:eastAsia="宋体" w:cs="Times New Roman"/>
                <w:b/>
                <w:bCs/>
                <w:snapToGrid w:val="0"/>
                <w:color w:val="auto"/>
                <w:spacing w:val="-6"/>
                <w:kern w:val="21"/>
                <w:sz w:val="21"/>
                <w:szCs w:val="21"/>
                <w:highlight w:val="none"/>
              </w:rPr>
              <w:instrText xml:space="preserve"> = 2 \* GB3 \* MERGEFORMAT </w:instrText>
            </w:r>
            <w:r>
              <w:rPr>
                <w:rFonts w:hint="default" w:ascii="Times New Roman" w:hAnsi="Times New Roman" w:eastAsia="宋体" w:cs="Times New Roman"/>
                <w:b/>
                <w:bCs/>
                <w:snapToGrid w:val="0"/>
                <w:color w:val="auto"/>
                <w:spacing w:val="-6"/>
                <w:kern w:val="21"/>
                <w:sz w:val="21"/>
                <w:szCs w:val="21"/>
                <w:highlight w:val="none"/>
              </w:rPr>
              <w:fldChar w:fldCharType="separate"/>
            </w:r>
            <w:r>
              <w:rPr>
                <w:rFonts w:hint="default" w:ascii="Times New Roman" w:hAnsi="Times New Roman" w:eastAsia="宋体" w:cs="Times New Roman"/>
                <w:b/>
                <w:bCs/>
                <w:snapToGrid w:val="0"/>
                <w:color w:val="auto"/>
                <w:spacing w:val="-6"/>
                <w:kern w:val="21"/>
                <w:sz w:val="21"/>
                <w:szCs w:val="21"/>
                <w:highlight w:val="none"/>
              </w:rPr>
              <w:t>②</w:t>
            </w:r>
            <w:r>
              <w:rPr>
                <w:rFonts w:hint="default" w:ascii="Times New Roman" w:hAnsi="Times New Roman" w:eastAsia="宋体" w:cs="Times New Roman"/>
                <w:b/>
                <w:bCs/>
                <w:snapToGrid w:val="0"/>
                <w:color w:val="auto"/>
                <w:spacing w:val="-6"/>
                <w:kern w:val="21"/>
                <w:sz w:val="21"/>
                <w:szCs w:val="21"/>
                <w:highlight w:val="none"/>
              </w:rPr>
              <w:fldChar w:fldCharType="end"/>
            </w:r>
          </w:p>
        </w:tc>
        <w:tc>
          <w:tcPr>
            <w:tcW w:w="1649" w:type="dxa"/>
            <w:tcMar>
              <w:left w:w="28" w:type="dxa"/>
              <w:right w:w="28" w:type="dxa"/>
            </w:tcMar>
            <w:vAlign w:val="center"/>
          </w:tcPr>
          <w:p w14:paraId="7064F547">
            <w:pPr>
              <w:pStyle w:val="83"/>
              <w:keepNext w:val="0"/>
              <w:keepLines w:val="0"/>
              <w:pageBreakBefore w:val="0"/>
              <w:widowControl w:val="0"/>
              <w:kinsoku/>
              <w:wordWrap/>
              <w:overflowPunct/>
              <w:topLinePunct w:val="0"/>
              <w:autoSpaceDE/>
              <w:autoSpaceDN/>
              <w:bidi w:val="0"/>
              <w:adjustRightInd w:val="0"/>
              <w:snapToGrid w:val="0"/>
              <w:spacing w:beforeLines="0" w:afterLines="0" w:line="240" w:lineRule="auto"/>
              <w:ind w:left="0" w:firstLine="0" w:firstLineChars="0"/>
              <w:textAlignment w:val="auto"/>
              <w:rPr>
                <w:rFonts w:hint="default" w:ascii="Times New Roman" w:hAnsi="Times New Roman" w:eastAsia="宋体" w:cs="Times New Roman"/>
                <w:b/>
                <w:bCs/>
                <w:snapToGrid w:val="0"/>
                <w:color w:val="auto"/>
                <w:spacing w:val="-6"/>
                <w:kern w:val="21"/>
                <w:sz w:val="21"/>
                <w:szCs w:val="21"/>
                <w:highlight w:val="none"/>
              </w:rPr>
            </w:pPr>
            <w:r>
              <w:rPr>
                <w:rFonts w:hint="default" w:ascii="Times New Roman" w:hAnsi="Times New Roman" w:eastAsia="宋体" w:cs="Times New Roman"/>
                <w:b/>
                <w:bCs/>
                <w:snapToGrid w:val="0"/>
                <w:color w:val="auto"/>
                <w:spacing w:val="-6"/>
                <w:kern w:val="21"/>
                <w:sz w:val="21"/>
                <w:szCs w:val="21"/>
                <w:highlight w:val="none"/>
              </w:rPr>
              <w:t>在建工程排放量（固体废物产生量）</w:t>
            </w:r>
            <w:r>
              <w:rPr>
                <w:rFonts w:hint="default" w:ascii="Times New Roman" w:hAnsi="Times New Roman" w:eastAsia="宋体" w:cs="Times New Roman"/>
                <w:b/>
                <w:bCs/>
                <w:snapToGrid w:val="0"/>
                <w:color w:val="auto"/>
                <w:spacing w:val="-6"/>
                <w:kern w:val="21"/>
                <w:sz w:val="21"/>
                <w:szCs w:val="21"/>
                <w:highlight w:val="none"/>
              </w:rPr>
              <w:fldChar w:fldCharType="begin"/>
            </w:r>
            <w:r>
              <w:rPr>
                <w:rFonts w:hint="default" w:ascii="Times New Roman" w:hAnsi="Times New Roman" w:eastAsia="宋体" w:cs="Times New Roman"/>
                <w:b/>
                <w:bCs/>
                <w:snapToGrid w:val="0"/>
                <w:color w:val="auto"/>
                <w:spacing w:val="-6"/>
                <w:kern w:val="21"/>
                <w:sz w:val="21"/>
                <w:szCs w:val="21"/>
                <w:highlight w:val="none"/>
              </w:rPr>
              <w:instrText xml:space="preserve"> = 3 \* GB3 \* MERGEFORMAT </w:instrText>
            </w:r>
            <w:r>
              <w:rPr>
                <w:rFonts w:hint="default" w:ascii="Times New Roman" w:hAnsi="Times New Roman" w:eastAsia="宋体" w:cs="Times New Roman"/>
                <w:b/>
                <w:bCs/>
                <w:snapToGrid w:val="0"/>
                <w:color w:val="auto"/>
                <w:spacing w:val="-6"/>
                <w:kern w:val="21"/>
                <w:sz w:val="21"/>
                <w:szCs w:val="21"/>
                <w:highlight w:val="none"/>
              </w:rPr>
              <w:fldChar w:fldCharType="separate"/>
            </w:r>
            <w:r>
              <w:rPr>
                <w:rFonts w:hint="default" w:ascii="Times New Roman" w:hAnsi="Times New Roman" w:eastAsia="宋体" w:cs="Times New Roman"/>
                <w:b/>
                <w:bCs/>
                <w:color w:val="auto"/>
                <w:kern w:val="2"/>
                <w:sz w:val="21"/>
                <w:szCs w:val="21"/>
                <w:highlight w:val="none"/>
              </w:rPr>
              <w:t>③</w:t>
            </w:r>
            <w:r>
              <w:rPr>
                <w:rFonts w:hint="default" w:ascii="Times New Roman" w:hAnsi="Times New Roman" w:eastAsia="宋体" w:cs="Times New Roman"/>
                <w:b/>
                <w:bCs/>
                <w:snapToGrid w:val="0"/>
                <w:color w:val="auto"/>
                <w:spacing w:val="-6"/>
                <w:kern w:val="21"/>
                <w:sz w:val="21"/>
                <w:szCs w:val="21"/>
                <w:highlight w:val="none"/>
              </w:rPr>
              <w:fldChar w:fldCharType="end"/>
            </w:r>
          </w:p>
        </w:tc>
        <w:tc>
          <w:tcPr>
            <w:tcW w:w="1725" w:type="dxa"/>
            <w:tcMar>
              <w:left w:w="28" w:type="dxa"/>
              <w:right w:w="28" w:type="dxa"/>
            </w:tcMar>
            <w:vAlign w:val="center"/>
          </w:tcPr>
          <w:p w14:paraId="3B0E7AB5">
            <w:pPr>
              <w:pStyle w:val="83"/>
              <w:keepNext w:val="0"/>
              <w:keepLines w:val="0"/>
              <w:pageBreakBefore w:val="0"/>
              <w:widowControl w:val="0"/>
              <w:kinsoku/>
              <w:wordWrap/>
              <w:overflowPunct/>
              <w:topLinePunct w:val="0"/>
              <w:autoSpaceDE/>
              <w:autoSpaceDN/>
              <w:bidi w:val="0"/>
              <w:adjustRightInd w:val="0"/>
              <w:snapToGrid w:val="0"/>
              <w:spacing w:beforeLines="0" w:afterLines="0" w:line="240" w:lineRule="auto"/>
              <w:ind w:left="0" w:firstLine="0" w:firstLineChars="0"/>
              <w:textAlignment w:val="auto"/>
              <w:rPr>
                <w:rFonts w:hint="default" w:ascii="Times New Roman" w:hAnsi="Times New Roman" w:eastAsia="宋体" w:cs="Times New Roman"/>
                <w:b/>
                <w:bCs/>
                <w:snapToGrid w:val="0"/>
                <w:color w:val="auto"/>
                <w:spacing w:val="-6"/>
                <w:kern w:val="21"/>
                <w:sz w:val="21"/>
                <w:szCs w:val="21"/>
                <w:highlight w:val="none"/>
              </w:rPr>
            </w:pPr>
            <w:r>
              <w:rPr>
                <w:rFonts w:hint="default" w:ascii="Times New Roman" w:hAnsi="Times New Roman" w:eastAsia="宋体" w:cs="Times New Roman"/>
                <w:b/>
                <w:bCs/>
                <w:snapToGrid w:val="0"/>
                <w:color w:val="auto"/>
                <w:spacing w:val="-6"/>
                <w:kern w:val="21"/>
                <w:sz w:val="21"/>
                <w:szCs w:val="21"/>
                <w:highlight w:val="none"/>
                <w:lang w:eastAsia="zh-CN"/>
              </w:rPr>
              <w:t>本项目</w:t>
            </w:r>
            <w:r>
              <w:rPr>
                <w:rFonts w:hint="default" w:ascii="Times New Roman" w:hAnsi="Times New Roman" w:eastAsia="宋体" w:cs="Times New Roman"/>
                <w:b/>
                <w:bCs/>
                <w:snapToGrid w:val="0"/>
                <w:color w:val="auto"/>
                <w:spacing w:val="-6"/>
                <w:kern w:val="21"/>
                <w:sz w:val="21"/>
                <w:szCs w:val="21"/>
                <w:highlight w:val="none"/>
              </w:rPr>
              <w:t>排放量（固体废物产生量）</w:t>
            </w:r>
            <w:r>
              <w:rPr>
                <w:rFonts w:hint="default" w:ascii="Times New Roman" w:hAnsi="Times New Roman" w:eastAsia="宋体" w:cs="Times New Roman"/>
                <w:b/>
                <w:bCs/>
                <w:snapToGrid w:val="0"/>
                <w:color w:val="auto"/>
                <w:spacing w:val="-6"/>
                <w:kern w:val="21"/>
                <w:sz w:val="21"/>
                <w:szCs w:val="21"/>
                <w:highlight w:val="none"/>
              </w:rPr>
              <w:fldChar w:fldCharType="begin"/>
            </w:r>
            <w:r>
              <w:rPr>
                <w:rFonts w:hint="default" w:ascii="Times New Roman" w:hAnsi="Times New Roman" w:eastAsia="宋体" w:cs="Times New Roman"/>
                <w:b/>
                <w:bCs/>
                <w:snapToGrid w:val="0"/>
                <w:color w:val="auto"/>
                <w:spacing w:val="-6"/>
                <w:kern w:val="21"/>
                <w:sz w:val="21"/>
                <w:szCs w:val="21"/>
                <w:highlight w:val="none"/>
              </w:rPr>
              <w:instrText xml:space="preserve"> = 4 \* GB3 \* MERGEFORMAT </w:instrText>
            </w:r>
            <w:r>
              <w:rPr>
                <w:rFonts w:hint="default" w:ascii="Times New Roman" w:hAnsi="Times New Roman" w:eastAsia="宋体" w:cs="Times New Roman"/>
                <w:b/>
                <w:bCs/>
                <w:snapToGrid w:val="0"/>
                <w:color w:val="auto"/>
                <w:spacing w:val="-6"/>
                <w:kern w:val="21"/>
                <w:sz w:val="21"/>
                <w:szCs w:val="21"/>
                <w:highlight w:val="none"/>
              </w:rPr>
              <w:fldChar w:fldCharType="separate"/>
            </w:r>
            <w:r>
              <w:rPr>
                <w:rFonts w:hint="default" w:ascii="Times New Roman" w:hAnsi="Times New Roman" w:eastAsia="宋体" w:cs="Times New Roman"/>
                <w:b/>
                <w:bCs/>
                <w:color w:val="auto"/>
                <w:kern w:val="2"/>
                <w:sz w:val="21"/>
                <w:szCs w:val="21"/>
                <w:highlight w:val="none"/>
              </w:rPr>
              <w:t>④</w:t>
            </w:r>
            <w:r>
              <w:rPr>
                <w:rFonts w:hint="default" w:ascii="Times New Roman" w:hAnsi="Times New Roman" w:eastAsia="宋体" w:cs="Times New Roman"/>
                <w:b/>
                <w:bCs/>
                <w:snapToGrid w:val="0"/>
                <w:color w:val="auto"/>
                <w:spacing w:val="-6"/>
                <w:kern w:val="21"/>
                <w:sz w:val="21"/>
                <w:szCs w:val="21"/>
                <w:highlight w:val="none"/>
              </w:rPr>
              <w:fldChar w:fldCharType="end"/>
            </w:r>
          </w:p>
        </w:tc>
        <w:tc>
          <w:tcPr>
            <w:tcW w:w="1292" w:type="dxa"/>
            <w:tcMar>
              <w:left w:w="28" w:type="dxa"/>
              <w:right w:w="28" w:type="dxa"/>
            </w:tcMar>
            <w:vAlign w:val="center"/>
          </w:tcPr>
          <w:p w14:paraId="5393E112">
            <w:pPr>
              <w:pStyle w:val="83"/>
              <w:keepNext w:val="0"/>
              <w:keepLines w:val="0"/>
              <w:pageBreakBefore w:val="0"/>
              <w:widowControl w:val="0"/>
              <w:kinsoku/>
              <w:wordWrap/>
              <w:overflowPunct/>
              <w:topLinePunct w:val="0"/>
              <w:autoSpaceDE/>
              <w:autoSpaceDN/>
              <w:bidi w:val="0"/>
              <w:adjustRightInd w:val="0"/>
              <w:snapToGrid w:val="0"/>
              <w:spacing w:beforeLines="0" w:afterLines="0" w:line="240" w:lineRule="auto"/>
              <w:ind w:left="0" w:firstLine="0" w:firstLineChars="0"/>
              <w:textAlignment w:val="auto"/>
              <w:rPr>
                <w:rFonts w:hint="default" w:ascii="Times New Roman" w:hAnsi="Times New Roman" w:eastAsia="宋体" w:cs="Times New Roman"/>
                <w:b/>
                <w:bCs/>
                <w:snapToGrid w:val="0"/>
                <w:color w:val="auto"/>
                <w:spacing w:val="-16"/>
                <w:kern w:val="21"/>
                <w:sz w:val="21"/>
                <w:szCs w:val="21"/>
                <w:highlight w:val="none"/>
              </w:rPr>
            </w:pPr>
            <w:r>
              <w:rPr>
                <w:rFonts w:hint="default" w:ascii="Times New Roman" w:hAnsi="Times New Roman" w:eastAsia="宋体" w:cs="Times New Roman"/>
                <w:b/>
                <w:bCs/>
                <w:snapToGrid w:val="0"/>
                <w:color w:val="auto"/>
                <w:spacing w:val="-16"/>
                <w:kern w:val="21"/>
                <w:sz w:val="21"/>
                <w:szCs w:val="21"/>
                <w:highlight w:val="none"/>
              </w:rPr>
              <w:t>以新带老削减量（新建</w:t>
            </w:r>
            <w:r>
              <w:rPr>
                <w:rFonts w:hint="default" w:ascii="Times New Roman" w:hAnsi="Times New Roman" w:eastAsia="宋体" w:cs="Times New Roman"/>
                <w:b/>
                <w:bCs/>
                <w:snapToGrid w:val="0"/>
                <w:color w:val="auto"/>
                <w:spacing w:val="-16"/>
                <w:kern w:val="21"/>
                <w:sz w:val="21"/>
                <w:szCs w:val="21"/>
                <w:highlight w:val="none"/>
                <w:lang w:eastAsia="zh-CN"/>
              </w:rPr>
              <w:t>项目</w:t>
            </w:r>
            <w:r>
              <w:rPr>
                <w:rFonts w:hint="default" w:ascii="Times New Roman" w:hAnsi="Times New Roman" w:eastAsia="宋体" w:cs="Times New Roman"/>
                <w:b/>
                <w:bCs/>
                <w:snapToGrid w:val="0"/>
                <w:color w:val="auto"/>
                <w:spacing w:val="-16"/>
                <w:kern w:val="21"/>
                <w:sz w:val="21"/>
                <w:szCs w:val="21"/>
                <w:highlight w:val="none"/>
              </w:rPr>
              <w:t>不填）</w:t>
            </w:r>
            <w:r>
              <w:rPr>
                <w:rFonts w:hint="default" w:ascii="Times New Roman" w:hAnsi="Times New Roman" w:eastAsia="宋体" w:cs="Times New Roman"/>
                <w:b/>
                <w:bCs/>
                <w:snapToGrid w:val="0"/>
                <w:color w:val="auto"/>
                <w:spacing w:val="-16"/>
                <w:kern w:val="21"/>
                <w:sz w:val="21"/>
                <w:szCs w:val="21"/>
                <w:highlight w:val="none"/>
              </w:rPr>
              <w:fldChar w:fldCharType="begin"/>
            </w:r>
            <w:r>
              <w:rPr>
                <w:rFonts w:hint="default" w:ascii="Times New Roman" w:hAnsi="Times New Roman" w:eastAsia="宋体" w:cs="Times New Roman"/>
                <w:b/>
                <w:bCs/>
                <w:snapToGrid w:val="0"/>
                <w:color w:val="auto"/>
                <w:spacing w:val="-16"/>
                <w:kern w:val="21"/>
                <w:sz w:val="21"/>
                <w:szCs w:val="21"/>
                <w:highlight w:val="none"/>
              </w:rPr>
              <w:instrText xml:space="preserve"> = 5 \* GB3 \* MERGEFORMAT </w:instrText>
            </w:r>
            <w:r>
              <w:rPr>
                <w:rFonts w:hint="default" w:ascii="Times New Roman" w:hAnsi="Times New Roman" w:eastAsia="宋体" w:cs="Times New Roman"/>
                <w:b/>
                <w:bCs/>
                <w:snapToGrid w:val="0"/>
                <w:color w:val="auto"/>
                <w:spacing w:val="-16"/>
                <w:kern w:val="21"/>
                <w:sz w:val="21"/>
                <w:szCs w:val="21"/>
                <w:highlight w:val="none"/>
              </w:rPr>
              <w:fldChar w:fldCharType="separate"/>
            </w:r>
            <w:r>
              <w:rPr>
                <w:rFonts w:hint="default" w:ascii="Times New Roman" w:hAnsi="Times New Roman" w:eastAsia="宋体" w:cs="Times New Roman"/>
                <w:b/>
                <w:bCs/>
                <w:color w:val="auto"/>
                <w:kern w:val="2"/>
                <w:sz w:val="21"/>
                <w:szCs w:val="21"/>
                <w:highlight w:val="none"/>
              </w:rPr>
              <w:t>⑤</w:t>
            </w:r>
            <w:r>
              <w:rPr>
                <w:rFonts w:hint="default" w:ascii="Times New Roman" w:hAnsi="Times New Roman" w:eastAsia="宋体" w:cs="Times New Roman"/>
                <w:b/>
                <w:bCs/>
                <w:snapToGrid w:val="0"/>
                <w:color w:val="auto"/>
                <w:spacing w:val="-16"/>
                <w:kern w:val="21"/>
                <w:sz w:val="21"/>
                <w:szCs w:val="21"/>
                <w:highlight w:val="none"/>
              </w:rPr>
              <w:fldChar w:fldCharType="end"/>
            </w:r>
          </w:p>
        </w:tc>
        <w:tc>
          <w:tcPr>
            <w:tcW w:w="1424" w:type="dxa"/>
            <w:tcMar>
              <w:left w:w="28" w:type="dxa"/>
              <w:right w:w="28" w:type="dxa"/>
            </w:tcMar>
            <w:vAlign w:val="center"/>
          </w:tcPr>
          <w:p w14:paraId="3E4D98DD">
            <w:pPr>
              <w:pStyle w:val="83"/>
              <w:keepNext w:val="0"/>
              <w:keepLines w:val="0"/>
              <w:pageBreakBefore w:val="0"/>
              <w:widowControl w:val="0"/>
              <w:kinsoku/>
              <w:wordWrap/>
              <w:overflowPunct/>
              <w:topLinePunct w:val="0"/>
              <w:autoSpaceDE/>
              <w:autoSpaceDN/>
              <w:bidi w:val="0"/>
              <w:adjustRightInd w:val="0"/>
              <w:snapToGrid w:val="0"/>
              <w:spacing w:beforeLines="0" w:afterLines="0" w:line="240" w:lineRule="auto"/>
              <w:ind w:left="0" w:firstLine="0" w:firstLineChars="0"/>
              <w:textAlignment w:val="auto"/>
              <w:rPr>
                <w:rFonts w:hint="default" w:ascii="Times New Roman" w:hAnsi="Times New Roman" w:eastAsia="宋体" w:cs="Times New Roman"/>
                <w:b/>
                <w:bCs/>
                <w:snapToGrid w:val="0"/>
                <w:color w:val="auto"/>
                <w:spacing w:val="-16"/>
                <w:kern w:val="21"/>
                <w:sz w:val="21"/>
                <w:szCs w:val="21"/>
                <w:highlight w:val="none"/>
              </w:rPr>
            </w:pPr>
            <w:r>
              <w:rPr>
                <w:rFonts w:hint="default" w:ascii="Times New Roman" w:hAnsi="Times New Roman" w:eastAsia="宋体" w:cs="Times New Roman"/>
                <w:b/>
                <w:bCs/>
                <w:snapToGrid w:val="0"/>
                <w:color w:val="auto"/>
                <w:spacing w:val="-16"/>
                <w:kern w:val="21"/>
                <w:sz w:val="21"/>
                <w:szCs w:val="21"/>
                <w:highlight w:val="none"/>
                <w:lang w:eastAsia="zh-CN"/>
              </w:rPr>
              <w:t>项目</w:t>
            </w:r>
            <w:r>
              <w:rPr>
                <w:rFonts w:hint="default" w:ascii="Times New Roman" w:hAnsi="Times New Roman" w:eastAsia="宋体" w:cs="Times New Roman"/>
                <w:b/>
                <w:bCs/>
                <w:snapToGrid w:val="0"/>
                <w:color w:val="auto"/>
                <w:spacing w:val="-16"/>
                <w:kern w:val="21"/>
                <w:sz w:val="21"/>
                <w:szCs w:val="21"/>
                <w:highlight w:val="none"/>
              </w:rPr>
              <w:t>建成后全厂排放量（固体废物产生量）</w:t>
            </w:r>
            <w:r>
              <w:rPr>
                <w:rFonts w:hint="default" w:ascii="Times New Roman" w:hAnsi="Times New Roman" w:eastAsia="宋体" w:cs="Times New Roman"/>
                <w:b/>
                <w:bCs/>
                <w:snapToGrid w:val="0"/>
                <w:color w:val="auto"/>
                <w:spacing w:val="-16"/>
                <w:kern w:val="21"/>
                <w:sz w:val="21"/>
                <w:szCs w:val="21"/>
                <w:highlight w:val="none"/>
              </w:rPr>
              <w:fldChar w:fldCharType="begin"/>
            </w:r>
            <w:r>
              <w:rPr>
                <w:rFonts w:hint="default" w:ascii="Times New Roman" w:hAnsi="Times New Roman" w:eastAsia="宋体" w:cs="Times New Roman"/>
                <w:b/>
                <w:bCs/>
                <w:snapToGrid w:val="0"/>
                <w:color w:val="auto"/>
                <w:spacing w:val="-16"/>
                <w:kern w:val="21"/>
                <w:sz w:val="21"/>
                <w:szCs w:val="21"/>
                <w:highlight w:val="none"/>
              </w:rPr>
              <w:instrText xml:space="preserve"> = 6 \* GB3 \* MERGEFORMAT </w:instrText>
            </w:r>
            <w:r>
              <w:rPr>
                <w:rFonts w:hint="default" w:ascii="Times New Roman" w:hAnsi="Times New Roman" w:eastAsia="宋体" w:cs="Times New Roman"/>
                <w:b/>
                <w:bCs/>
                <w:snapToGrid w:val="0"/>
                <w:color w:val="auto"/>
                <w:spacing w:val="-16"/>
                <w:kern w:val="21"/>
                <w:sz w:val="21"/>
                <w:szCs w:val="21"/>
                <w:highlight w:val="none"/>
              </w:rPr>
              <w:fldChar w:fldCharType="separate"/>
            </w:r>
            <w:r>
              <w:rPr>
                <w:rFonts w:hint="default" w:ascii="Times New Roman" w:hAnsi="Times New Roman" w:eastAsia="宋体" w:cs="Times New Roman"/>
                <w:b/>
                <w:bCs/>
                <w:color w:val="auto"/>
                <w:kern w:val="2"/>
                <w:sz w:val="21"/>
                <w:szCs w:val="21"/>
                <w:highlight w:val="none"/>
              </w:rPr>
              <w:t>⑥</w:t>
            </w:r>
            <w:r>
              <w:rPr>
                <w:rFonts w:hint="default" w:ascii="Times New Roman" w:hAnsi="Times New Roman" w:eastAsia="宋体" w:cs="Times New Roman"/>
                <w:b/>
                <w:bCs/>
                <w:snapToGrid w:val="0"/>
                <w:color w:val="auto"/>
                <w:spacing w:val="-16"/>
                <w:kern w:val="21"/>
                <w:sz w:val="21"/>
                <w:szCs w:val="21"/>
                <w:highlight w:val="none"/>
              </w:rPr>
              <w:fldChar w:fldCharType="end"/>
            </w:r>
          </w:p>
        </w:tc>
        <w:tc>
          <w:tcPr>
            <w:tcW w:w="1873" w:type="dxa"/>
            <w:tcMar>
              <w:left w:w="28" w:type="dxa"/>
              <w:right w:w="28" w:type="dxa"/>
            </w:tcMar>
            <w:vAlign w:val="center"/>
          </w:tcPr>
          <w:p w14:paraId="132267A2">
            <w:pPr>
              <w:pStyle w:val="83"/>
              <w:spacing w:beforeLines="0" w:afterLines="0" w:line="240" w:lineRule="auto"/>
              <w:rPr>
                <w:rFonts w:hint="default" w:ascii="Times New Roman" w:hAnsi="Times New Roman" w:eastAsia="宋体" w:cs="Times New Roman"/>
                <w:b/>
                <w:bCs/>
                <w:snapToGrid w:val="0"/>
                <w:color w:val="auto"/>
                <w:spacing w:val="-6"/>
                <w:kern w:val="21"/>
                <w:sz w:val="21"/>
                <w:szCs w:val="21"/>
                <w:highlight w:val="none"/>
              </w:rPr>
            </w:pPr>
            <w:r>
              <w:rPr>
                <w:rFonts w:hint="default" w:ascii="Times New Roman" w:hAnsi="Times New Roman" w:eastAsia="宋体" w:cs="Times New Roman"/>
                <w:b/>
                <w:bCs/>
                <w:snapToGrid w:val="0"/>
                <w:color w:val="auto"/>
                <w:spacing w:val="-6"/>
                <w:kern w:val="21"/>
                <w:sz w:val="21"/>
                <w:szCs w:val="21"/>
                <w:highlight w:val="none"/>
              </w:rPr>
              <w:t>变化量</w:t>
            </w:r>
            <w:r>
              <w:rPr>
                <w:rFonts w:hint="default" w:ascii="Times New Roman" w:hAnsi="Times New Roman" w:eastAsia="宋体" w:cs="Times New Roman"/>
                <w:b/>
                <w:bCs/>
                <w:snapToGrid w:val="0"/>
                <w:color w:val="auto"/>
                <w:spacing w:val="-6"/>
                <w:kern w:val="21"/>
                <w:sz w:val="21"/>
                <w:szCs w:val="21"/>
                <w:highlight w:val="none"/>
              </w:rPr>
              <w:fldChar w:fldCharType="begin"/>
            </w:r>
            <w:r>
              <w:rPr>
                <w:rFonts w:hint="default" w:ascii="Times New Roman" w:hAnsi="Times New Roman" w:eastAsia="宋体" w:cs="Times New Roman"/>
                <w:b/>
                <w:bCs/>
                <w:snapToGrid w:val="0"/>
                <w:color w:val="auto"/>
                <w:spacing w:val="-6"/>
                <w:kern w:val="21"/>
                <w:sz w:val="21"/>
                <w:szCs w:val="21"/>
                <w:highlight w:val="none"/>
              </w:rPr>
              <w:instrText xml:space="preserve"> = 7 \* GB3 \* MERGEFORMAT </w:instrText>
            </w:r>
            <w:r>
              <w:rPr>
                <w:rFonts w:hint="default" w:ascii="Times New Roman" w:hAnsi="Times New Roman" w:eastAsia="宋体" w:cs="Times New Roman"/>
                <w:b/>
                <w:bCs/>
                <w:snapToGrid w:val="0"/>
                <w:color w:val="auto"/>
                <w:spacing w:val="-6"/>
                <w:kern w:val="21"/>
                <w:sz w:val="21"/>
                <w:szCs w:val="21"/>
                <w:highlight w:val="none"/>
              </w:rPr>
              <w:fldChar w:fldCharType="separate"/>
            </w:r>
            <w:r>
              <w:rPr>
                <w:rFonts w:hint="default" w:ascii="Times New Roman" w:hAnsi="Times New Roman" w:eastAsia="宋体" w:cs="Times New Roman"/>
                <w:b/>
                <w:bCs/>
                <w:color w:val="auto"/>
                <w:kern w:val="2"/>
                <w:sz w:val="21"/>
                <w:szCs w:val="21"/>
                <w:highlight w:val="none"/>
              </w:rPr>
              <w:t>⑦</w:t>
            </w:r>
            <w:r>
              <w:rPr>
                <w:rFonts w:hint="default" w:ascii="Times New Roman" w:hAnsi="Times New Roman" w:eastAsia="宋体" w:cs="Times New Roman"/>
                <w:b/>
                <w:bCs/>
                <w:snapToGrid w:val="0"/>
                <w:color w:val="auto"/>
                <w:spacing w:val="-6"/>
                <w:kern w:val="21"/>
                <w:sz w:val="21"/>
                <w:szCs w:val="21"/>
                <w:highlight w:val="none"/>
              </w:rPr>
              <w:fldChar w:fldCharType="end"/>
            </w:r>
          </w:p>
        </w:tc>
      </w:tr>
      <w:tr w14:paraId="45189E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1094" w:type="dxa"/>
            <w:vMerge w:val="restart"/>
            <w:vAlign w:val="center"/>
          </w:tcPr>
          <w:p w14:paraId="77972D56">
            <w:pPr>
              <w:pStyle w:val="83"/>
              <w:keepNext w:val="0"/>
              <w:keepLines w:val="0"/>
              <w:pageBreakBefore w:val="0"/>
              <w:widowControl w:val="0"/>
              <w:kinsoku/>
              <w:wordWrap/>
              <w:overflowPunct/>
              <w:topLinePunct w:val="0"/>
              <w:autoSpaceDE/>
              <w:autoSpaceDN/>
              <w:bidi w:val="0"/>
              <w:adjustRightInd w:val="0"/>
              <w:snapToGrid w:val="0"/>
              <w:spacing w:beforeLines="0" w:afterLines="0" w:line="240" w:lineRule="auto"/>
              <w:ind w:left="0" w:firstLine="0" w:firstLineChars="0"/>
              <w:textAlignment w:val="auto"/>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废气</w:t>
            </w:r>
          </w:p>
        </w:tc>
        <w:tc>
          <w:tcPr>
            <w:tcW w:w="2325" w:type="dxa"/>
            <w:vAlign w:val="center"/>
          </w:tcPr>
          <w:p w14:paraId="2EEC6F85">
            <w:pPr>
              <w:pStyle w:val="83"/>
              <w:spacing w:beforeLines="0" w:afterLines="0" w:line="240" w:lineRule="auto"/>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color w:val="auto"/>
                <w:sz w:val="21"/>
                <w:szCs w:val="21"/>
                <w:highlight w:val="none"/>
                <w:lang w:val="en-US" w:eastAsia="zh-CN"/>
              </w:rPr>
              <w:t>颗粒物</w:t>
            </w:r>
          </w:p>
        </w:tc>
        <w:tc>
          <w:tcPr>
            <w:tcW w:w="1484" w:type="dxa"/>
            <w:vAlign w:val="center"/>
          </w:tcPr>
          <w:p w14:paraId="1930270B">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170" w:type="dxa"/>
            <w:vAlign w:val="center"/>
          </w:tcPr>
          <w:p w14:paraId="5FD8C78A">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649" w:type="dxa"/>
            <w:vAlign w:val="center"/>
          </w:tcPr>
          <w:p w14:paraId="531BE2A7">
            <w:pPr>
              <w:spacing w:beforeLines="0" w:afterLines="0" w:line="240" w:lineRule="auto"/>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lang w:val="en-US" w:eastAsia="zh-CN"/>
              </w:rPr>
              <w:t>0</w:t>
            </w:r>
          </w:p>
        </w:tc>
        <w:tc>
          <w:tcPr>
            <w:tcW w:w="1725" w:type="dxa"/>
            <w:vAlign w:val="center"/>
          </w:tcPr>
          <w:p w14:paraId="6A128669">
            <w:pPr>
              <w:widowControl w:val="0"/>
              <w:adjustRightInd/>
              <w:spacing w:after="0"/>
              <w:jc w:val="center"/>
              <w:rPr>
                <w:rFonts w:hint="default" w:ascii="Times New Roman" w:hAnsi="Times New Roman" w:eastAsia="宋体" w:cs="Times New Roman"/>
                <w:snapToGrid w:val="0"/>
                <w:color w:val="auto"/>
                <w:kern w:val="21"/>
                <w:sz w:val="21"/>
                <w:szCs w:val="21"/>
                <w:highlight w:val="none"/>
                <w:lang w:val="en-US" w:eastAsia="zh-CN"/>
              </w:rPr>
            </w:pPr>
            <w:r>
              <w:rPr>
                <w:rFonts w:hint="eastAsia" w:ascii="Times New Roman" w:hAnsi="Times New Roman" w:cs="Times New Roman"/>
                <w:color w:val="auto"/>
                <w:highlight w:val="none"/>
                <w:lang w:val="en-US" w:eastAsia="zh-CN"/>
              </w:rPr>
              <w:t>5.0129</w:t>
            </w:r>
            <w:r>
              <w:rPr>
                <w:rFonts w:hint="default" w:ascii="Times New Roman" w:hAnsi="Times New Roman" w:cs="Times New Roman"/>
                <w:color w:val="auto"/>
                <w:highlight w:val="none"/>
              </w:rPr>
              <w:t>t/a</w:t>
            </w:r>
          </w:p>
        </w:tc>
        <w:tc>
          <w:tcPr>
            <w:tcW w:w="1292" w:type="dxa"/>
            <w:vAlign w:val="center"/>
          </w:tcPr>
          <w:p w14:paraId="1A0AECE3">
            <w:pPr>
              <w:pStyle w:val="83"/>
              <w:spacing w:beforeLines="0" w:afterLines="0" w:line="240" w:lineRule="auto"/>
              <w:rPr>
                <w:rFonts w:hint="default" w:ascii="Times New Roman" w:hAnsi="Times New Roman" w:eastAsia="宋体"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0</w:t>
            </w:r>
          </w:p>
        </w:tc>
        <w:tc>
          <w:tcPr>
            <w:tcW w:w="1424" w:type="dxa"/>
            <w:vAlign w:val="center"/>
          </w:tcPr>
          <w:p w14:paraId="2DF1A8ED">
            <w:pPr>
              <w:widowControl w:val="0"/>
              <w:adjustRightInd/>
              <w:spacing w:after="0"/>
              <w:jc w:val="center"/>
              <w:rPr>
                <w:rFonts w:hint="default" w:ascii="Times New Roman" w:hAnsi="Times New Roman" w:eastAsia="宋体" w:cs="Times New Roman"/>
                <w:snapToGrid w:val="0"/>
                <w:color w:val="auto"/>
                <w:kern w:val="21"/>
                <w:sz w:val="21"/>
                <w:szCs w:val="21"/>
                <w:highlight w:val="none"/>
                <w:lang w:val="en-US" w:eastAsia="zh-CN"/>
              </w:rPr>
            </w:pPr>
            <w:r>
              <w:rPr>
                <w:rFonts w:hint="eastAsia" w:ascii="Times New Roman" w:hAnsi="Times New Roman" w:cs="Times New Roman"/>
                <w:color w:val="auto"/>
                <w:highlight w:val="none"/>
                <w:lang w:val="en-US" w:eastAsia="zh-CN"/>
              </w:rPr>
              <w:t>5.0129</w:t>
            </w:r>
            <w:r>
              <w:rPr>
                <w:rFonts w:hint="default" w:ascii="Times New Roman" w:hAnsi="Times New Roman" w:cs="Times New Roman"/>
                <w:color w:val="auto"/>
                <w:highlight w:val="none"/>
              </w:rPr>
              <w:t>t/a</w:t>
            </w:r>
          </w:p>
        </w:tc>
        <w:tc>
          <w:tcPr>
            <w:tcW w:w="1873" w:type="dxa"/>
            <w:vAlign w:val="center"/>
          </w:tcPr>
          <w:p w14:paraId="4992E31D">
            <w:pPr>
              <w:widowControl w:val="0"/>
              <w:adjustRightInd/>
              <w:spacing w:after="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highlight w:val="none"/>
                <w:lang w:val="en-US" w:eastAsia="zh-CN"/>
              </w:rPr>
              <w:t>5.0129</w:t>
            </w:r>
            <w:r>
              <w:rPr>
                <w:rFonts w:hint="default" w:ascii="Times New Roman" w:hAnsi="Times New Roman" w:cs="Times New Roman"/>
                <w:color w:val="auto"/>
                <w:highlight w:val="none"/>
              </w:rPr>
              <w:t>t/a</w:t>
            </w:r>
          </w:p>
        </w:tc>
      </w:tr>
      <w:tr w14:paraId="54EAAA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1094" w:type="dxa"/>
            <w:vMerge w:val="continue"/>
            <w:vAlign w:val="center"/>
          </w:tcPr>
          <w:p w14:paraId="0C30FCC1">
            <w:pPr>
              <w:pStyle w:val="83"/>
              <w:keepNext w:val="0"/>
              <w:keepLines w:val="0"/>
              <w:pageBreakBefore w:val="0"/>
              <w:widowControl w:val="0"/>
              <w:kinsoku/>
              <w:wordWrap/>
              <w:overflowPunct/>
              <w:topLinePunct w:val="0"/>
              <w:autoSpaceDE/>
              <w:autoSpaceDN/>
              <w:bidi w:val="0"/>
              <w:adjustRightInd w:val="0"/>
              <w:snapToGrid w:val="0"/>
              <w:spacing w:beforeLines="0" w:afterLines="0" w:line="240" w:lineRule="auto"/>
              <w:ind w:left="0" w:firstLine="0" w:firstLineChars="0"/>
              <w:textAlignment w:val="auto"/>
              <w:rPr>
                <w:rFonts w:hint="default" w:ascii="Times New Roman" w:hAnsi="Times New Roman" w:cs="Times New Roman"/>
                <w:snapToGrid w:val="0"/>
                <w:color w:val="auto"/>
                <w:kern w:val="21"/>
                <w:sz w:val="21"/>
                <w:szCs w:val="21"/>
                <w:highlight w:val="none"/>
              </w:rPr>
            </w:pPr>
          </w:p>
        </w:tc>
        <w:tc>
          <w:tcPr>
            <w:tcW w:w="2325" w:type="dxa"/>
            <w:vAlign w:val="center"/>
          </w:tcPr>
          <w:p w14:paraId="17BA337E">
            <w:pPr>
              <w:widowControl w:val="0"/>
              <w:adjustRightInd/>
              <w:snapToGrid/>
              <w:spacing w:after="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二氧化硫</w:t>
            </w:r>
          </w:p>
        </w:tc>
        <w:tc>
          <w:tcPr>
            <w:tcW w:w="1484" w:type="dxa"/>
            <w:vAlign w:val="center"/>
          </w:tcPr>
          <w:p w14:paraId="7BB93EF7">
            <w:pPr>
              <w:spacing w:beforeLines="0" w:afterLines="0" w:line="240" w:lineRule="auto"/>
              <w:jc w:val="center"/>
              <w:rPr>
                <w:rFonts w:hint="default" w:ascii="Times New Roman" w:hAnsi="Times New Roman"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170" w:type="dxa"/>
            <w:vAlign w:val="center"/>
          </w:tcPr>
          <w:p w14:paraId="4A7704F3">
            <w:pPr>
              <w:spacing w:beforeLines="0" w:afterLines="0" w:line="240" w:lineRule="auto"/>
              <w:jc w:val="center"/>
              <w:rPr>
                <w:rFonts w:hint="default" w:ascii="Times New Roman" w:hAnsi="Times New Roman"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649" w:type="dxa"/>
            <w:vAlign w:val="center"/>
          </w:tcPr>
          <w:p w14:paraId="67FFDDCE">
            <w:pPr>
              <w:spacing w:beforeLines="0" w:afterLines="0" w:line="240" w:lineRule="auto"/>
              <w:jc w:val="center"/>
              <w:rPr>
                <w:rFonts w:hint="default" w:ascii="Times New Roman" w:hAnsi="Times New Roman"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725" w:type="dxa"/>
            <w:vAlign w:val="center"/>
          </w:tcPr>
          <w:p w14:paraId="50BD1BA1">
            <w:pPr>
              <w:snapToGrid w:val="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0.0078</w:t>
            </w:r>
            <w:r>
              <w:rPr>
                <w:rFonts w:hint="default" w:ascii="Times New Roman" w:hAnsi="Times New Roman" w:cs="Times New Roman"/>
                <w:color w:val="auto"/>
                <w:highlight w:val="none"/>
              </w:rPr>
              <w:t>t/a</w:t>
            </w:r>
          </w:p>
        </w:tc>
        <w:tc>
          <w:tcPr>
            <w:tcW w:w="1292" w:type="dxa"/>
            <w:vAlign w:val="center"/>
          </w:tcPr>
          <w:p w14:paraId="083B3E35">
            <w:pPr>
              <w:pStyle w:val="83"/>
              <w:spacing w:beforeLines="0" w:afterLines="0" w:line="240" w:lineRule="auto"/>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0</w:t>
            </w:r>
          </w:p>
        </w:tc>
        <w:tc>
          <w:tcPr>
            <w:tcW w:w="1424" w:type="dxa"/>
            <w:vAlign w:val="center"/>
          </w:tcPr>
          <w:p w14:paraId="04422F31">
            <w:pPr>
              <w:snapToGrid w:val="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0.0078</w:t>
            </w:r>
            <w:r>
              <w:rPr>
                <w:rFonts w:hint="default" w:ascii="Times New Roman" w:hAnsi="Times New Roman" w:cs="Times New Roman"/>
                <w:color w:val="auto"/>
                <w:highlight w:val="none"/>
              </w:rPr>
              <w:t>t/a</w:t>
            </w:r>
          </w:p>
        </w:tc>
        <w:tc>
          <w:tcPr>
            <w:tcW w:w="1873" w:type="dxa"/>
            <w:vAlign w:val="center"/>
          </w:tcPr>
          <w:p w14:paraId="08133F14">
            <w:pPr>
              <w:snapToGrid w:val="0"/>
              <w:jc w:val="center"/>
              <w:rPr>
                <w:rFonts w:hint="default" w:ascii="Times New Roman" w:hAnsi="Times New Roman" w:cs="Times New Roman"/>
                <w:color w:val="auto"/>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+0.0078</w:t>
            </w:r>
            <w:r>
              <w:rPr>
                <w:rFonts w:hint="default" w:ascii="Times New Roman" w:hAnsi="Times New Roman" w:cs="Times New Roman"/>
                <w:color w:val="auto"/>
                <w:highlight w:val="none"/>
              </w:rPr>
              <w:t>t/a</w:t>
            </w:r>
          </w:p>
        </w:tc>
      </w:tr>
      <w:tr w14:paraId="1840E3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1094" w:type="dxa"/>
            <w:vMerge w:val="continue"/>
            <w:vAlign w:val="center"/>
          </w:tcPr>
          <w:p w14:paraId="23C5441C">
            <w:pPr>
              <w:pStyle w:val="83"/>
              <w:keepNext w:val="0"/>
              <w:keepLines w:val="0"/>
              <w:pageBreakBefore w:val="0"/>
              <w:widowControl w:val="0"/>
              <w:kinsoku/>
              <w:wordWrap/>
              <w:overflowPunct/>
              <w:topLinePunct w:val="0"/>
              <w:autoSpaceDE/>
              <w:autoSpaceDN/>
              <w:bidi w:val="0"/>
              <w:adjustRightInd w:val="0"/>
              <w:snapToGrid w:val="0"/>
              <w:spacing w:beforeLines="0" w:afterLines="0" w:line="240" w:lineRule="auto"/>
              <w:ind w:left="0" w:firstLine="0" w:firstLineChars="0"/>
              <w:textAlignment w:val="auto"/>
              <w:rPr>
                <w:rFonts w:hint="default" w:ascii="Times New Roman" w:hAnsi="Times New Roman" w:cs="Times New Roman"/>
                <w:snapToGrid w:val="0"/>
                <w:color w:val="auto"/>
                <w:kern w:val="21"/>
                <w:sz w:val="21"/>
                <w:szCs w:val="21"/>
                <w:highlight w:val="none"/>
              </w:rPr>
            </w:pPr>
          </w:p>
        </w:tc>
        <w:tc>
          <w:tcPr>
            <w:tcW w:w="2325" w:type="dxa"/>
            <w:vAlign w:val="center"/>
          </w:tcPr>
          <w:p w14:paraId="73C6159E">
            <w:pPr>
              <w:widowControl w:val="0"/>
              <w:adjustRightInd/>
              <w:snapToGrid/>
              <w:spacing w:after="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highlight w:val="none"/>
                <w:lang w:val="en-US" w:eastAsia="zh-CN"/>
              </w:rPr>
              <w:t>氮氧化物</w:t>
            </w:r>
          </w:p>
        </w:tc>
        <w:tc>
          <w:tcPr>
            <w:tcW w:w="1484" w:type="dxa"/>
            <w:vAlign w:val="center"/>
          </w:tcPr>
          <w:p w14:paraId="3F154E8D">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170" w:type="dxa"/>
            <w:vAlign w:val="center"/>
          </w:tcPr>
          <w:p w14:paraId="03779CD2">
            <w:pPr>
              <w:spacing w:beforeLines="0" w:afterLines="0" w:line="240" w:lineRule="auto"/>
              <w:jc w:val="center"/>
              <w:rPr>
                <w:rFonts w:hint="default" w:ascii="Times New Roman" w:hAnsi="Times New Roman" w:cs="Times New Roman" w:eastAsiaTheme="minorEastAsia"/>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649" w:type="dxa"/>
            <w:vAlign w:val="center"/>
          </w:tcPr>
          <w:p w14:paraId="048A0DCD">
            <w:pPr>
              <w:spacing w:beforeLines="0" w:afterLines="0" w:line="240" w:lineRule="auto"/>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lang w:val="en-US" w:eastAsia="zh-CN"/>
              </w:rPr>
              <w:t>0</w:t>
            </w:r>
          </w:p>
        </w:tc>
        <w:tc>
          <w:tcPr>
            <w:tcW w:w="1725" w:type="dxa"/>
            <w:vAlign w:val="center"/>
          </w:tcPr>
          <w:p w14:paraId="6E6CB37F">
            <w:pPr>
              <w:snapToGrid w:val="0"/>
              <w:jc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0.054</w:t>
            </w:r>
            <w:r>
              <w:rPr>
                <w:rFonts w:hint="default" w:ascii="Times New Roman" w:hAnsi="Times New Roman" w:cs="Times New Roman"/>
                <w:color w:val="auto"/>
                <w:highlight w:val="none"/>
              </w:rPr>
              <w:t>t/a</w:t>
            </w:r>
          </w:p>
        </w:tc>
        <w:tc>
          <w:tcPr>
            <w:tcW w:w="1292" w:type="dxa"/>
            <w:vAlign w:val="center"/>
          </w:tcPr>
          <w:p w14:paraId="2F066168">
            <w:pPr>
              <w:pStyle w:val="83"/>
              <w:spacing w:beforeLines="0" w:afterLines="0" w:line="240" w:lineRule="auto"/>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0</w:t>
            </w:r>
          </w:p>
        </w:tc>
        <w:tc>
          <w:tcPr>
            <w:tcW w:w="1424" w:type="dxa"/>
            <w:vAlign w:val="center"/>
          </w:tcPr>
          <w:p w14:paraId="4D11DB7C">
            <w:pPr>
              <w:snapToGrid w:val="0"/>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0.054</w:t>
            </w:r>
            <w:r>
              <w:rPr>
                <w:rFonts w:hint="default" w:ascii="Times New Roman" w:hAnsi="Times New Roman" w:cs="Times New Roman"/>
                <w:color w:val="auto"/>
                <w:highlight w:val="none"/>
              </w:rPr>
              <w:t>t/a</w:t>
            </w:r>
          </w:p>
        </w:tc>
        <w:tc>
          <w:tcPr>
            <w:tcW w:w="1873" w:type="dxa"/>
            <w:vAlign w:val="center"/>
          </w:tcPr>
          <w:p w14:paraId="11026404">
            <w:pPr>
              <w:snapToGrid w:val="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color w:val="auto"/>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0.054</w:t>
            </w:r>
            <w:r>
              <w:rPr>
                <w:rFonts w:hint="default" w:ascii="Times New Roman" w:hAnsi="Times New Roman" w:cs="Times New Roman"/>
                <w:color w:val="auto"/>
                <w:highlight w:val="none"/>
              </w:rPr>
              <w:t>t/a</w:t>
            </w:r>
          </w:p>
        </w:tc>
      </w:tr>
      <w:tr w14:paraId="244854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1094" w:type="dxa"/>
            <w:vMerge w:val="restart"/>
            <w:vAlign w:val="center"/>
          </w:tcPr>
          <w:p w14:paraId="27F19656">
            <w:pPr>
              <w:pStyle w:val="83"/>
              <w:keepNext w:val="0"/>
              <w:keepLines w:val="0"/>
              <w:pageBreakBefore w:val="0"/>
              <w:widowControl w:val="0"/>
              <w:kinsoku/>
              <w:wordWrap/>
              <w:overflowPunct/>
              <w:topLinePunct w:val="0"/>
              <w:autoSpaceDE/>
              <w:autoSpaceDN/>
              <w:bidi w:val="0"/>
              <w:adjustRightInd w:val="0"/>
              <w:snapToGrid w:val="0"/>
              <w:spacing w:beforeLines="0" w:afterLines="0" w:line="240" w:lineRule="auto"/>
              <w:ind w:left="0" w:firstLine="0" w:firstLineChars="0"/>
              <w:textAlignment w:val="auto"/>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生活废水</w:t>
            </w:r>
          </w:p>
        </w:tc>
        <w:tc>
          <w:tcPr>
            <w:tcW w:w="2325" w:type="dxa"/>
            <w:vAlign w:val="center"/>
          </w:tcPr>
          <w:p w14:paraId="5BC3C862">
            <w:pPr>
              <w:adjustRightInd w:val="0"/>
              <w:snapToGrid w:val="0"/>
              <w:jc w:val="center"/>
              <w:rPr>
                <w:rFonts w:hint="default" w:ascii="Times New Roman" w:hAnsi="Times New Roman" w:cs="Times New Roman" w:eastAsiaTheme="minorEastAsia"/>
                <w:snapToGrid w:val="0"/>
                <w:color w:val="auto"/>
                <w:kern w:val="21"/>
                <w:sz w:val="21"/>
                <w:szCs w:val="21"/>
                <w:highlight w:val="none"/>
                <w:lang w:eastAsia="zh-CN"/>
              </w:rPr>
            </w:pPr>
            <w:r>
              <w:rPr>
                <w:rFonts w:hint="default" w:ascii="Times New Roman" w:hAnsi="Times New Roman" w:cs="Times New Roman"/>
                <w:snapToGrid w:val="0"/>
                <w:color w:val="auto"/>
                <w:kern w:val="21"/>
                <w:sz w:val="21"/>
                <w:szCs w:val="21"/>
                <w:highlight w:val="none"/>
                <w:lang w:eastAsia="zh-CN"/>
              </w:rPr>
              <w:t>废水产生量</w:t>
            </w:r>
          </w:p>
        </w:tc>
        <w:tc>
          <w:tcPr>
            <w:tcW w:w="1484" w:type="dxa"/>
            <w:vAlign w:val="center"/>
          </w:tcPr>
          <w:p w14:paraId="0AEC37F2">
            <w:pPr>
              <w:spacing w:beforeLines="0" w:afterLines="0" w:line="240" w:lineRule="auto"/>
              <w:jc w:val="center"/>
              <w:rPr>
                <w:rFonts w:hint="default" w:ascii="Times New Roman" w:hAnsi="Times New Roman" w:cs="Times New Roman" w:eastAsiaTheme="minorEastAsia"/>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170" w:type="dxa"/>
            <w:vAlign w:val="center"/>
          </w:tcPr>
          <w:p w14:paraId="3261C0F2">
            <w:pPr>
              <w:spacing w:beforeLines="0" w:afterLines="0" w:line="240" w:lineRule="auto"/>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lang w:val="en-US" w:eastAsia="zh-CN"/>
              </w:rPr>
              <w:t>0</w:t>
            </w:r>
          </w:p>
        </w:tc>
        <w:tc>
          <w:tcPr>
            <w:tcW w:w="1649" w:type="dxa"/>
            <w:vAlign w:val="center"/>
          </w:tcPr>
          <w:p w14:paraId="302F881A">
            <w:pPr>
              <w:spacing w:beforeLines="0" w:afterLines="0" w:line="240" w:lineRule="auto"/>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lang w:val="en-US" w:eastAsia="zh-CN"/>
              </w:rPr>
              <w:t>0</w:t>
            </w:r>
          </w:p>
        </w:tc>
        <w:tc>
          <w:tcPr>
            <w:tcW w:w="1725" w:type="dxa"/>
            <w:vAlign w:val="center"/>
          </w:tcPr>
          <w:p w14:paraId="3C20E7F8">
            <w:pPr>
              <w:widowControl w:val="0"/>
              <w:adjustRightInd/>
              <w:spacing w:after="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540</w:t>
            </w:r>
            <w:r>
              <w:rPr>
                <w:rFonts w:hint="default" w:ascii="Times New Roman" w:hAnsi="Times New Roman" w:eastAsia="宋体" w:cs="Times New Roman"/>
                <w:i w:val="0"/>
                <w:iCs w:val="0"/>
                <w:color w:val="auto"/>
                <w:kern w:val="0"/>
                <w:sz w:val="21"/>
                <w:szCs w:val="21"/>
                <w:highlight w:val="none"/>
                <w:u w:val="none"/>
                <w:lang w:val="en-US" w:eastAsia="zh-CN" w:bidi="ar"/>
              </w:rPr>
              <w:t>t</w:t>
            </w:r>
            <w:r>
              <w:rPr>
                <w:rFonts w:hint="default" w:ascii="Times New Roman" w:hAnsi="Times New Roman" w:cs="Times New Roman"/>
                <w:snapToGrid w:val="0"/>
                <w:color w:val="auto"/>
                <w:kern w:val="21"/>
                <w:szCs w:val="21"/>
                <w:highlight w:val="none"/>
                <w:lang w:val="en-US" w:eastAsia="zh-CN"/>
              </w:rPr>
              <w:t>/a</w:t>
            </w:r>
          </w:p>
        </w:tc>
        <w:tc>
          <w:tcPr>
            <w:tcW w:w="1292" w:type="dxa"/>
            <w:vAlign w:val="center"/>
          </w:tcPr>
          <w:p w14:paraId="11E855BA">
            <w:pPr>
              <w:pStyle w:val="83"/>
              <w:spacing w:beforeLines="0" w:afterLines="0" w:line="240" w:lineRule="auto"/>
              <w:rPr>
                <w:rFonts w:hint="default" w:ascii="Times New Roman" w:hAnsi="Times New Roman" w:cs="Times New Roman" w:eastAsiaTheme="minorEastAsia"/>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rPr>
              <w:t>0</w:t>
            </w:r>
          </w:p>
        </w:tc>
        <w:tc>
          <w:tcPr>
            <w:tcW w:w="1424" w:type="dxa"/>
            <w:vAlign w:val="center"/>
          </w:tcPr>
          <w:p w14:paraId="0D7C52F8">
            <w:pPr>
              <w:widowControl w:val="0"/>
              <w:adjustRightInd/>
              <w:spacing w:after="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540</w:t>
            </w:r>
            <w:r>
              <w:rPr>
                <w:rFonts w:hint="default" w:ascii="Times New Roman" w:hAnsi="Times New Roman" w:eastAsia="宋体" w:cs="Times New Roman"/>
                <w:i w:val="0"/>
                <w:iCs w:val="0"/>
                <w:color w:val="auto"/>
                <w:kern w:val="0"/>
                <w:sz w:val="21"/>
                <w:szCs w:val="21"/>
                <w:highlight w:val="none"/>
                <w:u w:val="none"/>
                <w:lang w:val="en-US" w:eastAsia="zh-CN" w:bidi="ar"/>
              </w:rPr>
              <w:t>t</w:t>
            </w:r>
            <w:r>
              <w:rPr>
                <w:rFonts w:hint="default" w:ascii="Times New Roman" w:hAnsi="Times New Roman" w:cs="Times New Roman"/>
                <w:snapToGrid w:val="0"/>
                <w:color w:val="auto"/>
                <w:kern w:val="21"/>
                <w:szCs w:val="21"/>
                <w:highlight w:val="none"/>
                <w:lang w:val="en-US" w:eastAsia="zh-CN"/>
              </w:rPr>
              <w:t>/a</w:t>
            </w:r>
          </w:p>
        </w:tc>
        <w:tc>
          <w:tcPr>
            <w:tcW w:w="1873" w:type="dxa"/>
            <w:vAlign w:val="center"/>
          </w:tcPr>
          <w:p w14:paraId="393F960D">
            <w:pPr>
              <w:widowControl w:val="0"/>
              <w:adjustRightInd/>
              <w:spacing w:after="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highlight w:val="none"/>
                <w:lang w:val="en-US" w:eastAsia="zh-CN"/>
              </w:rPr>
              <w:t>+</w:t>
            </w:r>
            <w:r>
              <w:rPr>
                <w:rFonts w:hint="default" w:ascii="Times New Roman" w:hAnsi="Times New Roman" w:eastAsia="宋体" w:cs="Times New Roman"/>
                <w:color w:val="auto"/>
                <w:sz w:val="21"/>
                <w:szCs w:val="21"/>
                <w:highlight w:val="none"/>
                <w:lang w:val="en-US" w:eastAsia="zh-CN"/>
              </w:rPr>
              <w:t>540</w:t>
            </w:r>
            <w:r>
              <w:rPr>
                <w:rFonts w:hint="default" w:ascii="Times New Roman" w:hAnsi="Times New Roman" w:eastAsia="宋体" w:cs="Times New Roman"/>
                <w:i w:val="0"/>
                <w:iCs w:val="0"/>
                <w:color w:val="auto"/>
                <w:kern w:val="0"/>
                <w:sz w:val="21"/>
                <w:szCs w:val="21"/>
                <w:highlight w:val="none"/>
                <w:u w:val="none"/>
                <w:lang w:val="en-US" w:eastAsia="zh-CN" w:bidi="ar"/>
              </w:rPr>
              <w:t>t</w:t>
            </w:r>
            <w:r>
              <w:rPr>
                <w:rFonts w:hint="default" w:ascii="Times New Roman" w:hAnsi="Times New Roman" w:cs="Times New Roman"/>
                <w:snapToGrid w:val="0"/>
                <w:color w:val="auto"/>
                <w:kern w:val="21"/>
                <w:szCs w:val="21"/>
                <w:highlight w:val="none"/>
                <w:lang w:val="en-US" w:eastAsia="zh-CN"/>
              </w:rPr>
              <w:t>/a</w:t>
            </w:r>
          </w:p>
        </w:tc>
      </w:tr>
      <w:tr w14:paraId="7E5A56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1094" w:type="dxa"/>
            <w:vMerge w:val="continue"/>
            <w:vAlign w:val="center"/>
          </w:tcPr>
          <w:p w14:paraId="320F90AF">
            <w:pPr>
              <w:pStyle w:val="83"/>
              <w:keepNext w:val="0"/>
              <w:keepLines w:val="0"/>
              <w:pageBreakBefore w:val="0"/>
              <w:widowControl w:val="0"/>
              <w:kinsoku/>
              <w:wordWrap/>
              <w:overflowPunct/>
              <w:topLinePunct w:val="0"/>
              <w:autoSpaceDE/>
              <w:autoSpaceDN/>
              <w:bidi w:val="0"/>
              <w:adjustRightInd w:val="0"/>
              <w:snapToGrid w:val="0"/>
              <w:spacing w:beforeLines="0" w:afterLines="0" w:line="240" w:lineRule="auto"/>
              <w:ind w:left="0" w:firstLine="0" w:firstLineChars="0"/>
              <w:textAlignment w:val="auto"/>
              <w:rPr>
                <w:rFonts w:hint="default" w:ascii="Times New Roman" w:hAnsi="Times New Roman" w:cs="Times New Roman"/>
                <w:snapToGrid w:val="0"/>
                <w:color w:val="auto"/>
                <w:kern w:val="21"/>
                <w:sz w:val="21"/>
                <w:szCs w:val="21"/>
                <w:highlight w:val="none"/>
              </w:rPr>
            </w:pPr>
          </w:p>
        </w:tc>
        <w:tc>
          <w:tcPr>
            <w:tcW w:w="2325" w:type="dxa"/>
            <w:vAlign w:val="center"/>
          </w:tcPr>
          <w:p w14:paraId="2A9D17D2">
            <w:pPr>
              <w:adjustRightInd w:val="0"/>
              <w:snapToGrid w:val="0"/>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CODcr</w:t>
            </w:r>
          </w:p>
        </w:tc>
        <w:tc>
          <w:tcPr>
            <w:tcW w:w="1484" w:type="dxa"/>
            <w:vAlign w:val="center"/>
          </w:tcPr>
          <w:p w14:paraId="15C2EB9E">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170" w:type="dxa"/>
            <w:vAlign w:val="center"/>
          </w:tcPr>
          <w:p w14:paraId="41F35299">
            <w:pPr>
              <w:spacing w:beforeLines="0" w:afterLines="0" w:line="240" w:lineRule="auto"/>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lang w:val="en-US" w:eastAsia="zh-CN"/>
              </w:rPr>
              <w:t>0</w:t>
            </w:r>
          </w:p>
        </w:tc>
        <w:tc>
          <w:tcPr>
            <w:tcW w:w="1649" w:type="dxa"/>
            <w:vAlign w:val="center"/>
          </w:tcPr>
          <w:p w14:paraId="6605E35B">
            <w:pPr>
              <w:spacing w:beforeLines="0" w:afterLines="0" w:line="240" w:lineRule="auto"/>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lang w:val="en-US" w:eastAsia="zh-CN"/>
              </w:rPr>
              <w:t>0</w:t>
            </w:r>
          </w:p>
        </w:tc>
        <w:tc>
          <w:tcPr>
            <w:tcW w:w="1725" w:type="dxa"/>
            <w:vAlign w:val="center"/>
          </w:tcPr>
          <w:p w14:paraId="5AFE85EF">
            <w:pPr>
              <w:widowControl w:val="0"/>
              <w:adjustRightInd/>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0.0</w:t>
            </w:r>
            <w:r>
              <w:rPr>
                <w:rFonts w:hint="eastAsia" w:ascii="Times New Roman" w:hAnsi="Times New Roman" w:eastAsia="宋体" w:cs="Times New Roman"/>
                <w:color w:val="auto"/>
                <w:sz w:val="21"/>
                <w:szCs w:val="21"/>
                <w:highlight w:val="none"/>
                <w:lang w:val="en-US" w:eastAsia="zh-CN"/>
              </w:rPr>
              <w:t>16t</w:t>
            </w:r>
            <w:r>
              <w:rPr>
                <w:rFonts w:hint="default" w:ascii="Times New Roman" w:hAnsi="Times New Roman" w:cs="Times New Roman"/>
                <w:snapToGrid w:val="0"/>
                <w:color w:val="auto"/>
                <w:kern w:val="21"/>
                <w:szCs w:val="21"/>
                <w:highlight w:val="none"/>
              </w:rPr>
              <w:t>/a</w:t>
            </w:r>
          </w:p>
        </w:tc>
        <w:tc>
          <w:tcPr>
            <w:tcW w:w="1292" w:type="dxa"/>
            <w:vAlign w:val="center"/>
          </w:tcPr>
          <w:p w14:paraId="4DE59891">
            <w:pPr>
              <w:pStyle w:val="83"/>
              <w:spacing w:beforeLines="0" w:afterLines="0" w:line="240" w:lineRule="auto"/>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0</w:t>
            </w:r>
          </w:p>
        </w:tc>
        <w:tc>
          <w:tcPr>
            <w:tcW w:w="1424" w:type="dxa"/>
            <w:vAlign w:val="center"/>
          </w:tcPr>
          <w:p w14:paraId="692D060D">
            <w:pPr>
              <w:widowControl w:val="0"/>
              <w:adjustRightInd/>
              <w:spacing w:after="0"/>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w:t>
            </w:r>
            <w:r>
              <w:rPr>
                <w:rFonts w:hint="eastAsia" w:ascii="Times New Roman" w:hAnsi="Times New Roman" w:eastAsia="宋体" w:cs="Times New Roman"/>
                <w:color w:val="auto"/>
                <w:sz w:val="21"/>
                <w:szCs w:val="21"/>
                <w:highlight w:val="none"/>
                <w:lang w:val="en-US" w:eastAsia="zh-CN"/>
              </w:rPr>
              <w:t>16t</w:t>
            </w:r>
            <w:r>
              <w:rPr>
                <w:rFonts w:hint="default" w:ascii="Times New Roman" w:hAnsi="Times New Roman" w:cs="Times New Roman"/>
                <w:snapToGrid w:val="0"/>
                <w:color w:val="auto"/>
                <w:kern w:val="21"/>
                <w:szCs w:val="21"/>
                <w:highlight w:val="none"/>
              </w:rPr>
              <w:t>/a</w:t>
            </w:r>
          </w:p>
        </w:tc>
        <w:tc>
          <w:tcPr>
            <w:tcW w:w="1873" w:type="dxa"/>
            <w:vAlign w:val="center"/>
          </w:tcPr>
          <w:p w14:paraId="2001C49F">
            <w:pPr>
              <w:widowControl w:val="0"/>
              <w:adjustRightInd/>
              <w:spacing w:after="0"/>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0.0</w:t>
            </w:r>
            <w:r>
              <w:rPr>
                <w:rFonts w:hint="eastAsia" w:ascii="Times New Roman" w:hAnsi="Times New Roman" w:eastAsia="宋体" w:cs="Times New Roman"/>
                <w:color w:val="auto"/>
                <w:sz w:val="21"/>
                <w:szCs w:val="21"/>
                <w:highlight w:val="none"/>
                <w:lang w:val="en-US" w:eastAsia="zh-CN"/>
              </w:rPr>
              <w:t>16t</w:t>
            </w:r>
            <w:r>
              <w:rPr>
                <w:rFonts w:hint="default" w:ascii="Times New Roman" w:hAnsi="Times New Roman" w:cs="Times New Roman"/>
                <w:snapToGrid w:val="0"/>
                <w:color w:val="auto"/>
                <w:kern w:val="21"/>
                <w:szCs w:val="21"/>
                <w:highlight w:val="none"/>
              </w:rPr>
              <w:t>/a</w:t>
            </w:r>
          </w:p>
        </w:tc>
      </w:tr>
      <w:tr w14:paraId="12DB37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1094" w:type="dxa"/>
            <w:vMerge w:val="continue"/>
            <w:vAlign w:val="center"/>
          </w:tcPr>
          <w:p w14:paraId="3BCB8C08">
            <w:pPr>
              <w:pStyle w:val="83"/>
              <w:keepNext w:val="0"/>
              <w:keepLines w:val="0"/>
              <w:pageBreakBefore w:val="0"/>
              <w:widowControl w:val="0"/>
              <w:kinsoku/>
              <w:wordWrap/>
              <w:overflowPunct/>
              <w:topLinePunct w:val="0"/>
              <w:autoSpaceDE/>
              <w:autoSpaceDN/>
              <w:bidi w:val="0"/>
              <w:adjustRightInd w:val="0"/>
              <w:snapToGrid w:val="0"/>
              <w:spacing w:beforeLines="0" w:afterLines="0" w:line="240" w:lineRule="auto"/>
              <w:ind w:left="0" w:firstLine="0" w:firstLineChars="0"/>
              <w:textAlignment w:val="auto"/>
              <w:rPr>
                <w:rFonts w:hint="default" w:ascii="Times New Roman" w:hAnsi="Times New Roman" w:cs="Times New Roman"/>
                <w:snapToGrid w:val="0"/>
                <w:color w:val="auto"/>
                <w:kern w:val="21"/>
                <w:sz w:val="21"/>
                <w:szCs w:val="21"/>
                <w:highlight w:val="none"/>
              </w:rPr>
            </w:pPr>
          </w:p>
        </w:tc>
        <w:tc>
          <w:tcPr>
            <w:tcW w:w="2325" w:type="dxa"/>
            <w:vAlign w:val="center"/>
          </w:tcPr>
          <w:p w14:paraId="255EC16F">
            <w:pPr>
              <w:adjustRightInd w:val="0"/>
              <w:snapToGrid w:val="0"/>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氨氮</w:t>
            </w:r>
          </w:p>
        </w:tc>
        <w:tc>
          <w:tcPr>
            <w:tcW w:w="1484" w:type="dxa"/>
            <w:vAlign w:val="center"/>
          </w:tcPr>
          <w:p w14:paraId="315C820E">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170" w:type="dxa"/>
            <w:vAlign w:val="center"/>
          </w:tcPr>
          <w:p w14:paraId="5F61F7EE">
            <w:pPr>
              <w:spacing w:beforeLines="0" w:afterLines="0" w:line="240" w:lineRule="auto"/>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lang w:val="en-US" w:eastAsia="zh-CN"/>
              </w:rPr>
              <w:t>0</w:t>
            </w:r>
          </w:p>
        </w:tc>
        <w:tc>
          <w:tcPr>
            <w:tcW w:w="1649" w:type="dxa"/>
            <w:vAlign w:val="center"/>
          </w:tcPr>
          <w:p w14:paraId="26FD8895">
            <w:pPr>
              <w:spacing w:beforeLines="0" w:afterLines="0" w:line="240" w:lineRule="auto"/>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lang w:val="en-US" w:eastAsia="zh-CN"/>
              </w:rPr>
              <w:t>0</w:t>
            </w:r>
          </w:p>
        </w:tc>
        <w:tc>
          <w:tcPr>
            <w:tcW w:w="1725" w:type="dxa"/>
            <w:vAlign w:val="center"/>
          </w:tcPr>
          <w:p w14:paraId="52764235">
            <w:pPr>
              <w:keepNext w:val="0"/>
              <w:keepLines w:val="0"/>
              <w:widowControl/>
              <w:suppressLineNumbers w:val="0"/>
              <w:jc w:val="center"/>
              <w:textAlignment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sz w:val="21"/>
                <w:szCs w:val="21"/>
                <w:highlight w:val="none"/>
                <w:lang w:val="en-US" w:eastAsia="zh-CN"/>
              </w:rPr>
              <w:t>0.00</w:t>
            </w:r>
            <w:r>
              <w:rPr>
                <w:rFonts w:hint="eastAsia"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i w:val="0"/>
                <w:iCs w:val="0"/>
                <w:color w:val="auto"/>
                <w:kern w:val="0"/>
                <w:sz w:val="21"/>
                <w:szCs w:val="21"/>
                <w:highlight w:val="none"/>
                <w:u w:val="none"/>
                <w:lang w:val="en-US" w:eastAsia="zh-CN" w:bidi="ar"/>
              </w:rPr>
              <w:t>t</w:t>
            </w:r>
            <w:r>
              <w:rPr>
                <w:rFonts w:hint="default" w:ascii="Times New Roman" w:hAnsi="Times New Roman" w:cs="Times New Roman"/>
                <w:snapToGrid w:val="0"/>
                <w:color w:val="auto"/>
                <w:kern w:val="21"/>
                <w:szCs w:val="21"/>
                <w:highlight w:val="none"/>
              </w:rPr>
              <w:t>/a</w:t>
            </w:r>
          </w:p>
        </w:tc>
        <w:tc>
          <w:tcPr>
            <w:tcW w:w="1292" w:type="dxa"/>
            <w:vAlign w:val="center"/>
          </w:tcPr>
          <w:p w14:paraId="33BF7AFE">
            <w:pPr>
              <w:pStyle w:val="83"/>
              <w:spacing w:beforeLines="0" w:afterLines="0" w:line="240" w:lineRule="auto"/>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0</w:t>
            </w:r>
          </w:p>
        </w:tc>
        <w:tc>
          <w:tcPr>
            <w:tcW w:w="1424" w:type="dxa"/>
            <w:vAlign w:val="center"/>
          </w:tcPr>
          <w:p w14:paraId="060EDAAD">
            <w:pPr>
              <w:keepNext w:val="0"/>
              <w:keepLines w:val="0"/>
              <w:widowControl/>
              <w:suppressLineNumbers w:val="0"/>
              <w:jc w:val="center"/>
              <w:textAlignment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0.00</w:t>
            </w:r>
            <w:r>
              <w:rPr>
                <w:rFonts w:hint="eastAsia"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i w:val="0"/>
                <w:iCs w:val="0"/>
                <w:color w:val="auto"/>
                <w:kern w:val="0"/>
                <w:sz w:val="21"/>
                <w:szCs w:val="21"/>
                <w:highlight w:val="none"/>
                <w:u w:val="none"/>
                <w:lang w:val="en-US" w:eastAsia="zh-CN" w:bidi="ar"/>
              </w:rPr>
              <w:t>t</w:t>
            </w:r>
            <w:r>
              <w:rPr>
                <w:rFonts w:hint="default" w:ascii="Times New Roman" w:hAnsi="Times New Roman" w:cs="Times New Roman"/>
                <w:snapToGrid w:val="0"/>
                <w:color w:val="auto"/>
                <w:kern w:val="21"/>
                <w:szCs w:val="21"/>
                <w:highlight w:val="none"/>
              </w:rPr>
              <w:t>/a</w:t>
            </w:r>
          </w:p>
        </w:tc>
        <w:tc>
          <w:tcPr>
            <w:tcW w:w="1873" w:type="dxa"/>
            <w:vAlign w:val="center"/>
          </w:tcPr>
          <w:p w14:paraId="0C9C2BAD">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0.00</w:t>
            </w:r>
            <w:r>
              <w:rPr>
                <w:rFonts w:hint="eastAsia"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i w:val="0"/>
                <w:iCs w:val="0"/>
                <w:color w:val="auto"/>
                <w:kern w:val="0"/>
                <w:sz w:val="21"/>
                <w:szCs w:val="21"/>
                <w:highlight w:val="none"/>
                <w:u w:val="none"/>
                <w:lang w:val="en-US" w:eastAsia="zh-CN" w:bidi="ar"/>
              </w:rPr>
              <w:t>t</w:t>
            </w:r>
            <w:r>
              <w:rPr>
                <w:rFonts w:hint="default" w:ascii="Times New Roman" w:hAnsi="Times New Roman" w:cs="Times New Roman"/>
                <w:snapToGrid w:val="0"/>
                <w:color w:val="auto"/>
                <w:kern w:val="21"/>
                <w:szCs w:val="21"/>
                <w:highlight w:val="none"/>
              </w:rPr>
              <w:t>/a</w:t>
            </w:r>
          </w:p>
        </w:tc>
      </w:tr>
      <w:tr w14:paraId="012785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1094" w:type="dxa"/>
            <w:vMerge w:val="restart"/>
            <w:vAlign w:val="center"/>
          </w:tcPr>
          <w:p w14:paraId="78E5C7D6">
            <w:pPr>
              <w:pStyle w:val="83"/>
              <w:keepNext w:val="0"/>
              <w:keepLines w:val="0"/>
              <w:pageBreakBefore w:val="0"/>
              <w:widowControl w:val="0"/>
              <w:kinsoku/>
              <w:wordWrap/>
              <w:overflowPunct/>
              <w:topLinePunct w:val="0"/>
              <w:autoSpaceDE/>
              <w:autoSpaceDN/>
              <w:bidi w:val="0"/>
              <w:adjustRightInd w:val="0"/>
              <w:snapToGrid w:val="0"/>
              <w:spacing w:beforeLines="0" w:afterLines="0" w:line="240" w:lineRule="auto"/>
              <w:ind w:left="0" w:firstLine="0" w:firstLineChars="0"/>
              <w:textAlignment w:val="auto"/>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一般工业固体废物</w:t>
            </w:r>
          </w:p>
        </w:tc>
        <w:tc>
          <w:tcPr>
            <w:tcW w:w="2325" w:type="dxa"/>
            <w:vAlign w:val="center"/>
          </w:tcPr>
          <w:p w14:paraId="10CEBD14">
            <w:pPr>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bCs/>
                <w:color w:val="auto"/>
                <w:sz w:val="21"/>
                <w:szCs w:val="21"/>
                <w:highlight w:val="none"/>
                <w:lang w:eastAsia="zh-CN"/>
              </w:rPr>
              <w:t>布袋收集的粉尘</w:t>
            </w:r>
          </w:p>
        </w:tc>
        <w:tc>
          <w:tcPr>
            <w:tcW w:w="1484" w:type="dxa"/>
            <w:vAlign w:val="center"/>
          </w:tcPr>
          <w:p w14:paraId="57A702A0">
            <w:pPr>
              <w:spacing w:beforeLines="0" w:afterLines="0" w:line="240" w:lineRule="auto"/>
              <w:jc w:val="center"/>
              <w:rPr>
                <w:rFonts w:hint="default" w:ascii="Times New Roman" w:hAnsi="Times New Roman" w:eastAsia="宋体"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lang w:val="en-US" w:eastAsia="zh-CN"/>
              </w:rPr>
              <w:t>0</w:t>
            </w:r>
          </w:p>
        </w:tc>
        <w:tc>
          <w:tcPr>
            <w:tcW w:w="1170" w:type="dxa"/>
            <w:vAlign w:val="center"/>
          </w:tcPr>
          <w:p w14:paraId="56E8FD64">
            <w:pPr>
              <w:spacing w:beforeLines="0" w:afterLines="0" w:line="240" w:lineRule="auto"/>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lang w:val="en-US" w:eastAsia="zh-CN"/>
              </w:rPr>
              <w:t>0</w:t>
            </w:r>
          </w:p>
        </w:tc>
        <w:tc>
          <w:tcPr>
            <w:tcW w:w="1649" w:type="dxa"/>
            <w:vAlign w:val="center"/>
          </w:tcPr>
          <w:p w14:paraId="53707806">
            <w:pPr>
              <w:spacing w:beforeLines="0" w:afterLines="0" w:line="240" w:lineRule="auto"/>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lang w:val="en-US" w:eastAsia="zh-CN"/>
              </w:rPr>
              <w:t>0</w:t>
            </w:r>
          </w:p>
        </w:tc>
        <w:tc>
          <w:tcPr>
            <w:tcW w:w="1725" w:type="dxa"/>
            <w:vAlign w:val="center"/>
          </w:tcPr>
          <w:p w14:paraId="234918C0">
            <w:pPr>
              <w:jc w:val="center"/>
              <w:rPr>
                <w:rFonts w:hint="default" w:ascii="Times New Roman" w:hAnsi="Times New Roman" w:eastAsia="宋体" w:cs="Times New Roman"/>
                <w:snapToGrid w:val="0"/>
                <w:color w:val="auto"/>
                <w:kern w:val="21"/>
                <w:sz w:val="21"/>
                <w:szCs w:val="21"/>
                <w:highlight w:val="none"/>
              </w:rPr>
            </w:pPr>
            <w:r>
              <w:rPr>
                <w:rFonts w:hint="eastAsia" w:ascii="Times New Roman" w:cs="Times New Roman"/>
                <w:bCs/>
                <w:color w:val="auto"/>
                <w:szCs w:val="21"/>
                <w:highlight w:val="none"/>
                <w:lang w:val="en-US" w:eastAsia="zh-CN"/>
              </w:rPr>
              <w:t>295.943</w:t>
            </w:r>
            <w:r>
              <w:rPr>
                <w:rFonts w:hint="default" w:ascii="Times New Roman" w:hAnsi="Times New Roman" w:cs="Times New Roman"/>
                <w:color w:val="auto"/>
                <w:highlight w:val="none"/>
              </w:rPr>
              <w:t>t/a</w:t>
            </w:r>
          </w:p>
        </w:tc>
        <w:tc>
          <w:tcPr>
            <w:tcW w:w="1292" w:type="dxa"/>
            <w:vAlign w:val="center"/>
          </w:tcPr>
          <w:p w14:paraId="37C82850">
            <w:pPr>
              <w:pStyle w:val="83"/>
              <w:spacing w:beforeLines="0" w:afterLines="0" w:line="240" w:lineRule="auto"/>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0</w:t>
            </w:r>
          </w:p>
        </w:tc>
        <w:tc>
          <w:tcPr>
            <w:tcW w:w="1424" w:type="dxa"/>
            <w:vAlign w:val="center"/>
          </w:tcPr>
          <w:p w14:paraId="178E1693">
            <w:pPr>
              <w:jc w:val="center"/>
              <w:rPr>
                <w:rFonts w:hint="default" w:ascii="Times New Roman" w:hAnsi="Times New Roman" w:eastAsia="宋体" w:cs="Times New Roman"/>
                <w:snapToGrid w:val="0"/>
                <w:color w:val="auto"/>
                <w:kern w:val="21"/>
                <w:sz w:val="21"/>
                <w:szCs w:val="21"/>
                <w:highlight w:val="none"/>
                <w:lang w:val="en-US" w:eastAsia="zh-CN"/>
              </w:rPr>
            </w:pPr>
            <w:r>
              <w:rPr>
                <w:rFonts w:hint="eastAsia" w:ascii="Times New Roman" w:cs="Times New Roman"/>
                <w:bCs/>
                <w:color w:val="auto"/>
                <w:szCs w:val="21"/>
                <w:highlight w:val="none"/>
                <w:lang w:val="en-US" w:eastAsia="zh-CN"/>
              </w:rPr>
              <w:t>295.943</w:t>
            </w:r>
            <w:r>
              <w:rPr>
                <w:rFonts w:hint="default" w:ascii="Times New Roman" w:hAnsi="Times New Roman" w:eastAsia="宋体" w:cs="Times New Roman"/>
                <w:bCs/>
                <w:color w:val="auto"/>
                <w:kern w:val="2"/>
                <w:sz w:val="24"/>
                <w:szCs w:val="24"/>
                <w:highlight w:val="none"/>
                <w:lang w:val="en-US" w:eastAsia="zh-CN" w:bidi="ar-SA"/>
              </w:rPr>
              <w:t>t/a</w:t>
            </w:r>
          </w:p>
        </w:tc>
        <w:tc>
          <w:tcPr>
            <w:tcW w:w="1873" w:type="dxa"/>
            <w:vAlign w:val="center"/>
          </w:tcPr>
          <w:p w14:paraId="70154839">
            <w:pPr>
              <w:jc w:val="center"/>
              <w:rPr>
                <w:rFonts w:hint="default" w:ascii="Times New Roman" w:hAnsi="Times New Roman" w:eastAsia="宋体" w:cs="Times New Roman"/>
                <w:color w:val="auto"/>
                <w:sz w:val="21"/>
                <w:szCs w:val="21"/>
                <w:highlight w:val="none"/>
              </w:rPr>
            </w:pPr>
            <w:r>
              <w:rPr>
                <w:rFonts w:hint="eastAsia" w:ascii="Times New Roman" w:hAnsi="Times New Roman" w:cs="Times New Roman"/>
                <w:bCs/>
                <w:color w:val="auto"/>
                <w:szCs w:val="21"/>
                <w:highlight w:val="none"/>
                <w:lang w:val="en-US" w:eastAsia="zh-CN"/>
              </w:rPr>
              <w:t>+</w:t>
            </w:r>
            <w:r>
              <w:rPr>
                <w:rFonts w:hint="eastAsia" w:ascii="Times New Roman" w:cs="Times New Roman"/>
                <w:bCs/>
                <w:color w:val="auto"/>
                <w:szCs w:val="21"/>
                <w:highlight w:val="none"/>
                <w:lang w:val="en-US" w:eastAsia="zh-CN"/>
              </w:rPr>
              <w:t>295.943</w:t>
            </w:r>
            <w:r>
              <w:rPr>
                <w:rFonts w:hint="default" w:ascii="Times New Roman" w:hAnsi="Times New Roman" w:eastAsia="宋体" w:cs="Times New Roman"/>
                <w:bCs/>
                <w:color w:val="auto"/>
                <w:kern w:val="2"/>
                <w:sz w:val="24"/>
                <w:szCs w:val="24"/>
                <w:highlight w:val="none"/>
                <w:lang w:val="en-US" w:eastAsia="zh-CN" w:bidi="ar-SA"/>
              </w:rPr>
              <w:t>t/a</w:t>
            </w:r>
          </w:p>
        </w:tc>
      </w:tr>
      <w:tr w14:paraId="796FFB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1094" w:type="dxa"/>
            <w:vMerge w:val="continue"/>
            <w:vAlign w:val="center"/>
          </w:tcPr>
          <w:p w14:paraId="2FBFFC75">
            <w:pPr>
              <w:pStyle w:val="83"/>
              <w:keepNext w:val="0"/>
              <w:keepLines w:val="0"/>
              <w:pageBreakBefore w:val="0"/>
              <w:widowControl w:val="0"/>
              <w:kinsoku/>
              <w:wordWrap/>
              <w:overflowPunct/>
              <w:topLinePunct w:val="0"/>
              <w:autoSpaceDE/>
              <w:autoSpaceDN/>
              <w:bidi w:val="0"/>
              <w:adjustRightInd w:val="0"/>
              <w:snapToGrid w:val="0"/>
              <w:spacing w:beforeLines="0" w:afterLines="0" w:line="240" w:lineRule="auto"/>
              <w:ind w:left="0" w:firstLine="0" w:firstLineChars="0"/>
              <w:textAlignment w:val="auto"/>
              <w:rPr>
                <w:rFonts w:hint="default" w:ascii="Times New Roman" w:hAnsi="Times New Roman" w:cs="Times New Roman"/>
                <w:snapToGrid w:val="0"/>
                <w:color w:val="auto"/>
                <w:kern w:val="21"/>
                <w:sz w:val="21"/>
                <w:szCs w:val="21"/>
                <w:highlight w:val="none"/>
              </w:rPr>
            </w:pPr>
          </w:p>
        </w:tc>
        <w:tc>
          <w:tcPr>
            <w:tcW w:w="2325" w:type="dxa"/>
            <w:vAlign w:val="center"/>
          </w:tcPr>
          <w:p w14:paraId="29B4F1B3">
            <w:pPr>
              <w:jc w:val="center"/>
              <w:rPr>
                <w:rFonts w:hint="default" w:ascii="Times New Roman" w:hAnsi="Times New Roman" w:cs="Times New Roman"/>
                <w:bCs/>
                <w:color w:val="auto"/>
                <w:sz w:val="21"/>
                <w:szCs w:val="21"/>
                <w:highlight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废混凝土块</w:t>
            </w:r>
          </w:p>
        </w:tc>
        <w:tc>
          <w:tcPr>
            <w:tcW w:w="1484" w:type="dxa"/>
            <w:vAlign w:val="center"/>
          </w:tcPr>
          <w:p w14:paraId="2F635675">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170" w:type="dxa"/>
            <w:vAlign w:val="center"/>
          </w:tcPr>
          <w:p w14:paraId="7DADFB2F">
            <w:pPr>
              <w:spacing w:beforeLines="0" w:afterLines="0" w:line="240" w:lineRule="auto"/>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lang w:val="en-US" w:eastAsia="zh-CN"/>
              </w:rPr>
              <w:t>0</w:t>
            </w:r>
          </w:p>
        </w:tc>
        <w:tc>
          <w:tcPr>
            <w:tcW w:w="1649" w:type="dxa"/>
            <w:vAlign w:val="center"/>
          </w:tcPr>
          <w:p w14:paraId="5DDDFFD8">
            <w:pPr>
              <w:spacing w:beforeLines="0" w:afterLines="0" w:line="240" w:lineRule="auto"/>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lang w:val="en-US" w:eastAsia="zh-CN"/>
              </w:rPr>
              <w:t>0</w:t>
            </w:r>
          </w:p>
        </w:tc>
        <w:tc>
          <w:tcPr>
            <w:tcW w:w="1725" w:type="dxa"/>
            <w:vAlign w:val="center"/>
          </w:tcPr>
          <w:p w14:paraId="55866F92">
            <w:pPr>
              <w:jc w:val="center"/>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bCs/>
                <w:color w:val="auto"/>
                <w:szCs w:val="21"/>
                <w:highlight w:val="none"/>
                <w:lang w:val="en-US" w:eastAsia="zh-CN"/>
              </w:rPr>
              <w:t>120</w:t>
            </w:r>
            <w:r>
              <w:rPr>
                <w:rFonts w:hint="default" w:ascii="Times New Roman" w:hAnsi="Times New Roman" w:cs="Times New Roman"/>
                <w:color w:val="auto"/>
                <w:highlight w:val="none"/>
              </w:rPr>
              <w:t>t/a</w:t>
            </w:r>
          </w:p>
        </w:tc>
        <w:tc>
          <w:tcPr>
            <w:tcW w:w="1292" w:type="dxa"/>
            <w:vAlign w:val="center"/>
          </w:tcPr>
          <w:p w14:paraId="15231EF3">
            <w:pPr>
              <w:spacing w:beforeLines="0" w:afterLines="0" w:line="240" w:lineRule="auto"/>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eastAsia="宋体" w:cs="Times New Roman"/>
                <w:snapToGrid w:val="0"/>
                <w:color w:val="auto"/>
                <w:kern w:val="21"/>
                <w:sz w:val="21"/>
                <w:szCs w:val="21"/>
                <w:highlight w:val="none"/>
                <w:lang w:val="en-US" w:eastAsia="zh-CN"/>
              </w:rPr>
              <w:t>0</w:t>
            </w:r>
          </w:p>
        </w:tc>
        <w:tc>
          <w:tcPr>
            <w:tcW w:w="1424" w:type="dxa"/>
            <w:vAlign w:val="center"/>
          </w:tcPr>
          <w:p w14:paraId="7C99F193">
            <w:pPr>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cs="Times New Roman"/>
                <w:bCs/>
                <w:color w:val="auto"/>
                <w:szCs w:val="21"/>
                <w:highlight w:val="none"/>
                <w:lang w:val="en-US" w:eastAsia="zh-CN"/>
              </w:rPr>
              <w:t>120</w:t>
            </w:r>
            <w:r>
              <w:rPr>
                <w:rFonts w:hint="default" w:ascii="Times New Roman" w:hAnsi="Times New Roman" w:cs="Times New Roman"/>
                <w:color w:val="auto"/>
                <w:highlight w:val="none"/>
              </w:rPr>
              <w:t>t/a</w:t>
            </w:r>
          </w:p>
        </w:tc>
        <w:tc>
          <w:tcPr>
            <w:tcW w:w="1873" w:type="dxa"/>
            <w:vAlign w:val="center"/>
          </w:tcPr>
          <w:p w14:paraId="1D807A1C">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bCs/>
                <w:color w:val="auto"/>
                <w:szCs w:val="21"/>
                <w:highlight w:val="none"/>
                <w:lang w:val="en-US" w:eastAsia="zh-CN"/>
              </w:rPr>
              <w:t>120</w:t>
            </w:r>
            <w:r>
              <w:rPr>
                <w:rFonts w:hint="default" w:ascii="Times New Roman" w:hAnsi="Times New Roman" w:cs="Times New Roman"/>
                <w:color w:val="auto"/>
                <w:highlight w:val="none"/>
              </w:rPr>
              <w:t>t/a</w:t>
            </w:r>
          </w:p>
        </w:tc>
      </w:tr>
      <w:tr w14:paraId="217826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1094" w:type="dxa"/>
            <w:vMerge w:val="continue"/>
            <w:vAlign w:val="center"/>
          </w:tcPr>
          <w:p w14:paraId="7E06DB01">
            <w:pPr>
              <w:pStyle w:val="83"/>
              <w:keepNext w:val="0"/>
              <w:keepLines w:val="0"/>
              <w:pageBreakBefore w:val="0"/>
              <w:widowControl w:val="0"/>
              <w:kinsoku/>
              <w:wordWrap/>
              <w:overflowPunct/>
              <w:topLinePunct w:val="0"/>
              <w:autoSpaceDE/>
              <w:autoSpaceDN/>
              <w:bidi w:val="0"/>
              <w:adjustRightInd w:val="0"/>
              <w:snapToGrid w:val="0"/>
              <w:spacing w:beforeLines="0" w:afterLines="0" w:line="240" w:lineRule="auto"/>
              <w:ind w:left="0" w:firstLine="0" w:firstLineChars="0"/>
              <w:textAlignment w:val="auto"/>
              <w:rPr>
                <w:rFonts w:hint="default" w:ascii="Times New Roman" w:hAnsi="Times New Roman" w:cs="Times New Roman"/>
                <w:snapToGrid w:val="0"/>
                <w:color w:val="auto"/>
                <w:kern w:val="21"/>
                <w:sz w:val="21"/>
                <w:szCs w:val="21"/>
                <w:highlight w:val="none"/>
              </w:rPr>
            </w:pPr>
          </w:p>
        </w:tc>
        <w:tc>
          <w:tcPr>
            <w:tcW w:w="2325" w:type="dxa"/>
            <w:vAlign w:val="center"/>
          </w:tcPr>
          <w:p w14:paraId="47FF7726">
            <w:pPr>
              <w:jc w:val="center"/>
              <w:rPr>
                <w:rFonts w:hint="default" w:ascii="Times New Roman" w:hAnsi="Times New Roman" w:cs="Times New Roman"/>
                <w:bCs/>
                <w:color w:val="auto"/>
                <w:szCs w:val="21"/>
                <w:highlight w:val="none"/>
                <w:lang w:eastAsia="zh-CN"/>
              </w:rPr>
            </w:pPr>
            <w:r>
              <w:rPr>
                <w:rFonts w:hint="default" w:ascii="Times New Roman" w:hAnsi="Times New Roman" w:eastAsia="宋体" w:cs="Times New Roman"/>
                <w:color w:val="auto"/>
                <w:kern w:val="2"/>
                <w:sz w:val="21"/>
                <w:szCs w:val="21"/>
                <w:highlight w:val="none"/>
                <w:lang w:val="en-US" w:eastAsia="zh-CN" w:bidi="ar-SA"/>
              </w:rPr>
              <w:t>沉淀池沉渣</w:t>
            </w:r>
          </w:p>
        </w:tc>
        <w:tc>
          <w:tcPr>
            <w:tcW w:w="1484" w:type="dxa"/>
            <w:vAlign w:val="center"/>
          </w:tcPr>
          <w:p w14:paraId="62316D23">
            <w:pPr>
              <w:spacing w:beforeLines="0" w:afterLines="0" w:line="240" w:lineRule="auto"/>
              <w:jc w:val="center"/>
              <w:rPr>
                <w:rFonts w:hint="default" w:ascii="Times New Roman" w:hAnsi="Times New Roman"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170" w:type="dxa"/>
            <w:vAlign w:val="center"/>
          </w:tcPr>
          <w:p w14:paraId="433ABE43">
            <w:pPr>
              <w:spacing w:beforeLines="0" w:afterLines="0" w:line="240" w:lineRule="auto"/>
              <w:jc w:val="center"/>
              <w:rPr>
                <w:rFonts w:hint="default" w:ascii="Times New Roman" w:hAnsi="Times New Roman"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649" w:type="dxa"/>
            <w:vAlign w:val="center"/>
          </w:tcPr>
          <w:p w14:paraId="53D01761">
            <w:pPr>
              <w:spacing w:beforeLines="0" w:afterLines="0" w:line="240" w:lineRule="auto"/>
              <w:jc w:val="center"/>
              <w:rPr>
                <w:rFonts w:hint="default" w:ascii="Times New Roman" w:hAnsi="Times New Roman"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725" w:type="dxa"/>
            <w:vAlign w:val="center"/>
          </w:tcPr>
          <w:p w14:paraId="6EBC72F7">
            <w:pPr>
              <w:jc w:val="center"/>
              <w:rPr>
                <w:rFonts w:hint="default"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45.529</w:t>
            </w:r>
            <w:r>
              <w:rPr>
                <w:rFonts w:hint="default" w:ascii="Times New Roman" w:hAnsi="Times New Roman" w:cs="Times New Roman"/>
                <w:color w:val="auto"/>
                <w:highlight w:val="none"/>
              </w:rPr>
              <w:t>t/a</w:t>
            </w:r>
          </w:p>
        </w:tc>
        <w:tc>
          <w:tcPr>
            <w:tcW w:w="1292" w:type="dxa"/>
            <w:vAlign w:val="center"/>
          </w:tcPr>
          <w:p w14:paraId="7161668A">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rPr>
              <w:t>0</w:t>
            </w:r>
          </w:p>
        </w:tc>
        <w:tc>
          <w:tcPr>
            <w:tcW w:w="1424" w:type="dxa"/>
            <w:vAlign w:val="center"/>
          </w:tcPr>
          <w:p w14:paraId="4F4588BF">
            <w:pPr>
              <w:jc w:val="center"/>
              <w:rPr>
                <w:rFonts w:hint="default"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45.529</w:t>
            </w:r>
            <w:r>
              <w:rPr>
                <w:rFonts w:hint="default" w:ascii="Times New Roman" w:hAnsi="Times New Roman" w:cs="Times New Roman"/>
                <w:color w:val="auto"/>
                <w:highlight w:val="none"/>
              </w:rPr>
              <w:t>t/a</w:t>
            </w:r>
          </w:p>
        </w:tc>
        <w:tc>
          <w:tcPr>
            <w:tcW w:w="1873" w:type="dxa"/>
            <w:vAlign w:val="center"/>
          </w:tcPr>
          <w:p w14:paraId="5DE3A0E7">
            <w:pPr>
              <w:jc w:val="center"/>
              <w:rPr>
                <w:rFonts w:hint="default" w:ascii="Times New Roman" w:hAnsi="Times New Roman" w:cs="Times New Roman"/>
                <w:color w:val="auto"/>
                <w:highlight w:val="none"/>
                <w:lang w:val="en-US" w:eastAsia="zh-CN"/>
              </w:rPr>
            </w:pPr>
            <w:r>
              <w:rPr>
                <w:rFonts w:hint="eastAsia" w:ascii="Times New Roman" w:hAnsi="Times New Roman" w:cs="Times New Roman"/>
                <w:bCs/>
                <w:color w:val="auto"/>
                <w:szCs w:val="21"/>
                <w:highlight w:val="none"/>
                <w:lang w:val="en-US" w:eastAsia="zh-CN"/>
              </w:rPr>
              <w:t>+45.529</w:t>
            </w:r>
            <w:r>
              <w:rPr>
                <w:rFonts w:hint="default" w:ascii="Times New Roman" w:hAnsi="Times New Roman" w:cs="Times New Roman"/>
                <w:color w:val="auto"/>
                <w:highlight w:val="none"/>
              </w:rPr>
              <w:t>t/a</w:t>
            </w:r>
          </w:p>
        </w:tc>
      </w:tr>
      <w:tr w14:paraId="170076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1094" w:type="dxa"/>
            <w:vMerge w:val="continue"/>
            <w:vAlign w:val="center"/>
          </w:tcPr>
          <w:p w14:paraId="468DED54">
            <w:pPr>
              <w:pStyle w:val="83"/>
              <w:keepNext w:val="0"/>
              <w:keepLines w:val="0"/>
              <w:pageBreakBefore w:val="0"/>
              <w:widowControl w:val="0"/>
              <w:kinsoku/>
              <w:wordWrap/>
              <w:overflowPunct/>
              <w:topLinePunct w:val="0"/>
              <w:autoSpaceDE/>
              <w:autoSpaceDN/>
              <w:bidi w:val="0"/>
              <w:adjustRightInd w:val="0"/>
              <w:snapToGrid w:val="0"/>
              <w:spacing w:beforeLines="0" w:afterLines="0" w:line="240" w:lineRule="auto"/>
              <w:ind w:left="0" w:firstLine="0" w:firstLineChars="0"/>
              <w:textAlignment w:val="auto"/>
              <w:rPr>
                <w:rFonts w:hint="default" w:ascii="Times New Roman" w:hAnsi="Times New Roman" w:cs="Times New Roman"/>
                <w:snapToGrid w:val="0"/>
                <w:color w:val="auto"/>
                <w:kern w:val="21"/>
                <w:sz w:val="21"/>
                <w:szCs w:val="21"/>
                <w:highlight w:val="none"/>
              </w:rPr>
            </w:pPr>
          </w:p>
        </w:tc>
        <w:tc>
          <w:tcPr>
            <w:tcW w:w="2325" w:type="dxa"/>
            <w:vAlign w:val="center"/>
          </w:tcPr>
          <w:p w14:paraId="337DA973">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废塑料膜</w:t>
            </w:r>
          </w:p>
        </w:tc>
        <w:tc>
          <w:tcPr>
            <w:tcW w:w="1484" w:type="dxa"/>
            <w:vAlign w:val="center"/>
          </w:tcPr>
          <w:p w14:paraId="4721B9C7">
            <w:pPr>
              <w:spacing w:beforeLines="0" w:afterLines="0" w:line="240" w:lineRule="auto"/>
              <w:jc w:val="center"/>
              <w:rPr>
                <w:rFonts w:hint="default" w:ascii="Times New Roman" w:hAnsi="Times New Roman"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170" w:type="dxa"/>
            <w:vAlign w:val="center"/>
          </w:tcPr>
          <w:p w14:paraId="2B1FDD4C">
            <w:pPr>
              <w:spacing w:beforeLines="0" w:afterLines="0" w:line="240" w:lineRule="auto"/>
              <w:jc w:val="center"/>
              <w:rPr>
                <w:rFonts w:hint="default" w:ascii="Times New Roman" w:hAnsi="Times New Roman"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649" w:type="dxa"/>
            <w:vAlign w:val="center"/>
          </w:tcPr>
          <w:p w14:paraId="37191D08">
            <w:pPr>
              <w:spacing w:beforeLines="0" w:afterLines="0" w:line="240" w:lineRule="auto"/>
              <w:jc w:val="center"/>
              <w:rPr>
                <w:rFonts w:hint="default" w:ascii="Times New Roman" w:hAnsi="Times New Roman"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725" w:type="dxa"/>
            <w:vAlign w:val="center"/>
          </w:tcPr>
          <w:p w14:paraId="78413484">
            <w:pPr>
              <w:jc w:val="center"/>
              <w:rPr>
                <w:rFonts w:hint="default" w:ascii="Times New Roman" w:hAnsi="Times New Roman" w:cs="Times New Roman"/>
                <w:bCs/>
                <w:color w:val="auto"/>
                <w:szCs w:val="21"/>
                <w:highlight w:val="none"/>
                <w:lang w:val="en-US" w:eastAsia="zh-CN"/>
              </w:rPr>
            </w:pPr>
            <w:r>
              <w:rPr>
                <w:rFonts w:hint="default" w:ascii="Times New Roman" w:hAnsi="Times New Roman" w:cs="Times New Roman"/>
                <w:bCs/>
                <w:color w:val="auto"/>
                <w:szCs w:val="21"/>
                <w:highlight w:val="none"/>
                <w:lang w:val="en-US" w:eastAsia="zh-CN"/>
              </w:rPr>
              <w:t>3</w:t>
            </w:r>
            <w:r>
              <w:rPr>
                <w:rFonts w:hint="default" w:ascii="Times New Roman" w:hAnsi="Times New Roman" w:cs="Times New Roman"/>
                <w:color w:val="auto"/>
                <w:highlight w:val="none"/>
              </w:rPr>
              <w:t>t/a</w:t>
            </w:r>
          </w:p>
        </w:tc>
        <w:tc>
          <w:tcPr>
            <w:tcW w:w="1292" w:type="dxa"/>
            <w:vAlign w:val="center"/>
          </w:tcPr>
          <w:p w14:paraId="11A4CAF3">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rPr>
              <w:t>0</w:t>
            </w:r>
          </w:p>
        </w:tc>
        <w:tc>
          <w:tcPr>
            <w:tcW w:w="1424" w:type="dxa"/>
            <w:vAlign w:val="center"/>
          </w:tcPr>
          <w:p w14:paraId="62FEFB2B">
            <w:pPr>
              <w:jc w:val="center"/>
              <w:rPr>
                <w:rFonts w:hint="default" w:ascii="Times New Roman" w:hAnsi="Times New Roman" w:cs="Times New Roman"/>
                <w:bCs/>
                <w:color w:val="auto"/>
                <w:szCs w:val="21"/>
                <w:highlight w:val="none"/>
                <w:lang w:val="en-US" w:eastAsia="zh-CN"/>
              </w:rPr>
            </w:pPr>
            <w:r>
              <w:rPr>
                <w:rFonts w:hint="default" w:ascii="Times New Roman" w:hAnsi="Times New Roman" w:cs="Times New Roman"/>
                <w:bCs/>
                <w:color w:val="auto"/>
                <w:szCs w:val="21"/>
                <w:highlight w:val="none"/>
                <w:lang w:val="en-US" w:eastAsia="zh-CN"/>
              </w:rPr>
              <w:t>3</w:t>
            </w:r>
            <w:r>
              <w:rPr>
                <w:rFonts w:hint="default" w:ascii="Times New Roman" w:hAnsi="Times New Roman" w:cs="Times New Roman"/>
                <w:color w:val="auto"/>
                <w:highlight w:val="none"/>
              </w:rPr>
              <w:t>t/a</w:t>
            </w:r>
          </w:p>
        </w:tc>
        <w:tc>
          <w:tcPr>
            <w:tcW w:w="1873" w:type="dxa"/>
            <w:vAlign w:val="center"/>
          </w:tcPr>
          <w:p w14:paraId="2DEDA8D4">
            <w:pPr>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w:t>
            </w:r>
            <w:r>
              <w:rPr>
                <w:rFonts w:hint="default" w:ascii="Times New Roman" w:hAnsi="Times New Roman" w:cs="Times New Roman"/>
                <w:bCs/>
                <w:color w:val="auto"/>
                <w:szCs w:val="21"/>
                <w:highlight w:val="none"/>
                <w:lang w:val="en-US" w:eastAsia="zh-CN"/>
              </w:rPr>
              <w:t>3</w:t>
            </w:r>
            <w:r>
              <w:rPr>
                <w:rFonts w:hint="default" w:ascii="Times New Roman" w:hAnsi="Times New Roman" w:cs="Times New Roman"/>
                <w:color w:val="auto"/>
                <w:highlight w:val="none"/>
              </w:rPr>
              <w:t>t/a</w:t>
            </w:r>
          </w:p>
        </w:tc>
      </w:tr>
      <w:tr w14:paraId="0443EA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1094" w:type="dxa"/>
            <w:vMerge w:val="continue"/>
            <w:vAlign w:val="center"/>
          </w:tcPr>
          <w:p w14:paraId="41839439">
            <w:pPr>
              <w:pStyle w:val="83"/>
              <w:keepNext w:val="0"/>
              <w:keepLines w:val="0"/>
              <w:pageBreakBefore w:val="0"/>
              <w:widowControl w:val="0"/>
              <w:kinsoku/>
              <w:wordWrap/>
              <w:overflowPunct/>
              <w:topLinePunct w:val="0"/>
              <w:autoSpaceDE/>
              <w:autoSpaceDN/>
              <w:bidi w:val="0"/>
              <w:adjustRightInd w:val="0"/>
              <w:snapToGrid w:val="0"/>
              <w:spacing w:beforeLines="0" w:afterLines="0" w:line="240" w:lineRule="auto"/>
              <w:ind w:left="0" w:firstLine="0" w:firstLineChars="0"/>
              <w:textAlignment w:val="auto"/>
              <w:rPr>
                <w:rFonts w:hint="default" w:ascii="Times New Roman" w:hAnsi="Times New Roman" w:cs="Times New Roman"/>
                <w:snapToGrid w:val="0"/>
                <w:color w:val="auto"/>
                <w:kern w:val="21"/>
                <w:sz w:val="21"/>
                <w:szCs w:val="21"/>
                <w:highlight w:val="none"/>
              </w:rPr>
            </w:pPr>
          </w:p>
        </w:tc>
        <w:tc>
          <w:tcPr>
            <w:tcW w:w="2325" w:type="dxa"/>
            <w:vAlign w:val="center"/>
          </w:tcPr>
          <w:p w14:paraId="0284D09C">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废模具</w:t>
            </w:r>
          </w:p>
        </w:tc>
        <w:tc>
          <w:tcPr>
            <w:tcW w:w="1484" w:type="dxa"/>
            <w:vAlign w:val="center"/>
          </w:tcPr>
          <w:p w14:paraId="0CA97A2C">
            <w:pPr>
              <w:spacing w:beforeLines="0" w:afterLines="0" w:line="240" w:lineRule="auto"/>
              <w:jc w:val="center"/>
              <w:rPr>
                <w:rFonts w:hint="default" w:ascii="Times New Roman" w:hAnsi="Times New Roman"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170" w:type="dxa"/>
            <w:vAlign w:val="center"/>
          </w:tcPr>
          <w:p w14:paraId="36F8EB8A">
            <w:pPr>
              <w:spacing w:beforeLines="0" w:afterLines="0" w:line="240" w:lineRule="auto"/>
              <w:jc w:val="center"/>
              <w:rPr>
                <w:rFonts w:hint="default" w:ascii="Times New Roman" w:hAnsi="Times New Roman"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649" w:type="dxa"/>
            <w:vAlign w:val="center"/>
          </w:tcPr>
          <w:p w14:paraId="7258015A">
            <w:pPr>
              <w:spacing w:beforeLines="0" w:afterLines="0" w:line="240" w:lineRule="auto"/>
              <w:jc w:val="center"/>
              <w:rPr>
                <w:rFonts w:hint="default" w:ascii="Times New Roman" w:hAnsi="Times New Roman"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725" w:type="dxa"/>
            <w:vAlign w:val="center"/>
          </w:tcPr>
          <w:p w14:paraId="6D5B2DF7">
            <w:pPr>
              <w:jc w:val="center"/>
              <w:rPr>
                <w:rFonts w:hint="default" w:ascii="Times New Roman" w:hAnsi="Times New Roman" w:cs="Times New Roman"/>
                <w:bCs/>
                <w:color w:val="auto"/>
                <w:szCs w:val="21"/>
                <w:highlight w:val="none"/>
                <w:lang w:val="en-US" w:eastAsia="zh-CN"/>
              </w:rPr>
            </w:pPr>
            <w:r>
              <w:rPr>
                <w:rFonts w:hint="default" w:ascii="Times New Roman" w:hAnsi="Times New Roman" w:cs="Times New Roman"/>
                <w:bCs/>
                <w:color w:val="auto"/>
                <w:szCs w:val="21"/>
                <w:highlight w:val="none"/>
                <w:lang w:val="en-US" w:eastAsia="zh-CN"/>
              </w:rPr>
              <w:t>100套/年</w:t>
            </w:r>
          </w:p>
        </w:tc>
        <w:tc>
          <w:tcPr>
            <w:tcW w:w="1292" w:type="dxa"/>
            <w:vAlign w:val="center"/>
          </w:tcPr>
          <w:p w14:paraId="375EB736">
            <w:pPr>
              <w:pStyle w:val="83"/>
              <w:spacing w:beforeLines="0" w:afterLines="0" w:line="240" w:lineRule="auto"/>
              <w:ind w:left="420" w:leftChars="0" w:hanging="420" w:hangingChars="200"/>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rPr>
              <w:t>0</w:t>
            </w:r>
          </w:p>
        </w:tc>
        <w:tc>
          <w:tcPr>
            <w:tcW w:w="1424" w:type="dxa"/>
            <w:vAlign w:val="center"/>
          </w:tcPr>
          <w:p w14:paraId="691653A8">
            <w:pPr>
              <w:jc w:val="center"/>
              <w:rPr>
                <w:rFonts w:hint="default" w:ascii="Times New Roman" w:hAnsi="Times New Roman" w:cs="Times New Roman"/>
                <w:bCs/>
                <w:color w:val="auto"/>
                <w:szCs w:val="21"/>
                <w:highlight w:val="none"/>
                <w:lang w:val="en-US" w:eastAsia="zh-CN"/>
              </w:rPr>
            </w:pPr>
            <w:r>
              <w:rPr>
                <w:rFonts w:hint="default" w:ascii="Times New Roman" w:hAnsi="Times New Roman" w:cs="Times New Roman"/>
                <w:bCs/>
                <w:color w:val="auto"/>
                <w:szCs w:val="21"/>
                <w:highlight w:val="none"/>
                <w:lang w:val="en-US" w:eastAsia="zh-CN"/>
              </w:rPr>
              <w:t>100套/年</w:t>
            </w:r>
          </w:p>
        </w:tc>
        <w:tc>
          <w:tcPr>
            <w:tcW w:w="1873" w:type="dxa"/>
            <w:vAlign w:val="center"/>
          </w:tcPr>
          <w:p w14:paraId="6BA67CF2">
            <w:pPr>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w:t>
            </w:r>
            <w:r>
              <w:rPr>
                <w:rFonts w:hint="default" w:ascii="Times New Roman" w:hAnsi="Times New Roman" w:cs="Times New Roman"/>
                <w:bCs/>
                <w:color w:val="auto"/>
                <w:szCs w:val="21"/>
                <w:highlight w:val="none"/>
                <w:lang w:val="en-US" w:eastAsia="zh-CN"/>
              </w:rPr>
              <w:t>100套/年</w:t>
            </w:r>
          </w:p>
        </w:tc>
      </w:tr>
      <w:tr w14:paraId="712768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1094" w:type="dxa"/>
            <w:vMerge w:val="continue"/>
            <w:vAlign w:val="center"/>
          </w:tcPr>
          <w:p w14:paraId="103E1363">
            <w:pPr>
              <w:pStyle w:val="83"/>
              <w:keepNext w:val="0"/>
              <w:keepLines w:val="0"/>
              <w:pageBreakBefore w:val="0"/>
              <w:widowControl w:val="0"/>
              <w:kinsoku/>
              <w:wordWrap/>
              <w:overflowPunct/>
              <w:topLinePunct w:val="0"/>
              <w:autoSpaceDE/>
              <w:autoSpaceDN/>
              <w:bidi w:val="0"/>
              <w:adjustRightInd w:val="0"/>
              <w:snapToGrid w:val="0"/>
              <w:spacing w:beforeLines="0" w:afterLines="0" w:line="240" w:lineRule="auto"/>
              <w:ind w:left="0" w:firstLine="0" w:firstLineChars="0"/>
              <w:textAlignment w:val="auto"/>
              <w:rPr>
                <w:rFonts w:hint="default" w:ascii="Times New Roman" w:hAnsi="Times New Roman" w:cs="Times New Roman"/>
                <w:snapToGrid w:val="0"/>
                <w:color w:val="auto"/>
                <w:kern w:val="21"/>
                <w:sz w:val="21"/>
                <w:szCs w:val="21"/>
                <w:highlight w:val="none"/>
              </w:rPr>
            </w:pPr>
          </w:p>
        </w:tc>
        <w:tc>
          <w:tcPr>
            <w:tcW w:w="2325" w:type="dxa"/>
            <w:vAlign w:val="center"/>
          </w:tcPr>
          <w:p w14:paraId="0AF17914">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焊渣</w:t>
            </w:r>
          </w:p>
        </w:tc>
        <w:tc>
          <w:tcPr>
            <w:tcW w:w="1484" w:type="dxa"/>
            <w:vAlign w:val="center"/>
          </w:tcPr>
          <w:p w14:paraId="17A4DA73">
            <w:pPr>
              <w:spacing w:beforeLines="0" w:afterLines="0" w:line="240" w:lineRule="auto"/>
              <w:jc w:val="center"/>
              <w:rPr>
                <w:rFonts w:hint="default" w:ascii="Times New Roman" w:hAnsi="Times New Roman"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170" w:type="dxa"/>
            <w:vAlign w:val="center"/>
          </w:tcPr>
          <w:p w14:paraId="0DF5F1BD">
            <w:pPr>
              <w:spacing w:beforeLines="0" w:afterLines="0" w:line="240" w:lineRule="auto"/>
              <w:jc w:val="center"/>
              <w:rPr>
                <w:rFonts w:hint="default" w:ascii="Times New Roman" w:hAnsi="Times New Roman"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649" w:type="dxa"/>
            <w:vAlign w:val="center"/>
          </w:tcPr>
          <w:p w14:paraId="05661D71">
            <w:pPr>
              <w:spacing w:beforeLines="0" w:afterLines="0" w:line="240" w:lineRule="auto"/>
              <w:jc w:val="center"/>
              <w:rPr>
                <w:rFonts w:hint="default" w:ascii="Times New Roman" w:hAnsi="Times New Roman"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725" w:type="dxa"/>
            <w:vAlign w:val="center"/>
          </w:tcPr>
          <w:p w14:paraId="2C1009EB">
            <w:pPr>
              <w:jc w:val="center"/>
              <w:rPr>
                <w:rFonts w:hint="default" w:ascii="Times New Roman" w:hAnsi="Times New Roman" w:cs="Times New Roman"/>
                <w:bCs/>
                <w:color w:val="auto"/>
                <w:szCs w:val="21"/>
                <w:highlight w:val="none"/>
                <w:lang w:val="en-US" w:eastAsia="zh-CN"/>
              </w:rPr>
            </w:pPr>
            <w:r>
              <w:rPr>
                <w:rFonts w:hint="default" w:ascii="Times New Roman" w:hAnsi="Times New Roman" w:cs="Times New Roman"/>
                <w:bCs/>
                <w:color w:val="auto"/>
                <w:szCs w:val="21"/>
                <w:highlight w:val="none"/>
                <w:lang w:val="en-US" w:eastAsia="zh-CN"/>
              </w:rPr>
              <w:t>0.5</w:t>
            </w:r>
            <w:r>
              <w:rPr>
                <w:rFonts w:hint="default" w:ascii="Times New Roman" w:hAnsi="Times New Roman" w:cs="Times New Roman"/>
                <w:color w:val="auto"/>
                <w:highlight w:val="none"/>
              </w:rPr>
              <w:t>t/a</w:t>
            </w:r>
          </w:p>
        </w:tc>
        <w:tc>
          <w:tcPr>
            <w:tcW w:w="1292" w:type="dxa"/>
            <w:vAlign w:val="center"/>
          </w:tcPr>
          <w:p w14:paraId="7C8534BA">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rPr>
              <w:t>0</w:t>
            </w:r>
          </w:p>
        </w:tc>
        <w:tc>
          <w:tcPr>
            <w:tcW w:w="1424" w:type="dxa"/>
            <w:vAlign w:val="center"/>
          </w:tcPr>
          <w:p w14:paraId="77B8B8EB">
            <w:pPr>
              <w:jc w:val="center"/>
              <w:rPr>
                <w:rFonts w:hint="default" w:ascii="Times New Roman" w:hAnsi="Times New Roman" w:cs="Times New Roman"/>
                <w:bCs/>
                <w:color w:val="auto"/>
                <w:szCs w:val="21"/>
                <w:highlight w:val="none"/>
                <w:lang w:val="en-US" w:eastAsia="zh-CN"/>
              </w:rPr>
            </w:pPr>
            <w:r>
              <w:rPr>
                <w:rFonts w:hint="default" w:ascii="Times New Roman" w:hAnsi="Times New Roman" w:cs="Times New Roman"/>
                <w:bCs/>
                <w:color w:val="auto"/>
                <w:szCs w:val="21"/>
                <w:highlight w:val="none"/>
                <w:lang w:val="en-US" w:eastAsia="zh-CN"/>
              </w:rPr>
              <w:t>0.5</w:t>
            </w:r>
            <w:r>
              <w:rPr>
                <w:rFonts w:hint="default" w:ascii="Times New Roman" w:hAnsi="Times New Roman" w:cs="Times New Roman"/>
                <w:color w:val="auto"/>
                <w:highlight w:val="none"/>
              </w:rPr>
              <w:t>t/a</w:t>
            </w:r>
          </w:p>
        </w:tc>
        <w:tc>
          <w:tcPr>
            <w:tcW w:w="1873" w:type="dxa"/>
            <w:vAlign w:val="center"/>
          </w:tcPr>
          <w:p w14:paraId="5DFD145D">
            <w:pPr>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w:t>
            </w:r>
            <w:r>
              <w:rPr>
                <w:rFonts w:hint="default" w:ascii="Times New Roman" w:hAnsi="Times New Roman" w:cs="Times New Roman"/>
                <w:bCs/>
                <w:color w:val="auto"/>
                <w:szCs w:val="21"/>
                <w:highlight w:val="none"/>
                <w:lang w:val="en-US" w:eastAsia="zh-CN"/>
              </w:rPr>
              <w:t>0.5</w:t>
            </w:r>
            <w:r>
              <w:rPr>
                <w:rFonts w:hint="default" w:ascii="Times New Roman" w:hAnsi="Times New Roman" w:cs="Times New Roman"/>
                <w:color w:val="auto"/>
                <w:highlight w:val="none"/>
              </w:rPr>
              <w:t>t/a</w:t>
            </w:r>
          </w:p>
        </w:tc>
      </w:tr>
      <w:tr w14:paraId="43EFC7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1094" w:type="dxa"/>
            <w:vMerge w:val="continue"/>
            <w:vAlign w:val="center"/>
          </w:tcPr>
          <w:p w14:paraId="18CCAAFB">
            <w:pPr>
              <w:pStyle w:val="83"/>
              <w:keepNext w:val="0"/>
              <w:keepLines w:val="0"/>
              <w:pageBreakBefore w:val="0"/>
              <w:widowControl w:val="0"/>
              <w:kinsoku/>
              <w:wordWrap/>
              <w:overflowPunct/>
              <w:topLinePunct w:val="0"/>
              <w:autoSpaceDE/>
              <w:autoSpaceDN/>
              <w:bidi w:val="0"/>
              <w:adjustRightInd w:val="0"/>
              <w:snapToGrid w:val="0"/>
              <w:spacing w:beforeLines="0" w:afterLines="0" w:line="240" w:lineRule="auto"/>
              <w:ind w:left="0" w:firstLine="0" w:firstLineChars="0"/>
              <w:textAlignment w:val="auto"/>
              <w:rPr>
                <w:rFonts w:hint="default" w:ascii="Times New Roman" w:hAnsi="Times New Roman" w:cs="Times New Roman"/>
                <w:snapToGrid w:val="0"/>
                <w:color w:val="auto"/>
                <w:kern w:val="21"/>
                <w:sz w:val="21"/>
                <w:szCs w:val="21"/>
                <w:highlight w:val="none"/>
              </w:rPr>
            </w:pPr>
          </w:p>
        </w:tc>
        <w:tc>
          <w:tcPr>
            <w:tcW w:w="2325" w:type="dxa"/>
            <w:vAlign w:val="center"/>
          </w:tcPr>
          <w:p w14:paraId="2933E253">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废滤袋</w:t>
            </w:r>
          </w:p>
        </w:tc>
        <w:tc>
          <w:tcPr>
            <w:tcW w:w="1484" w:type="dxa"/>
            <w:vAlign w:val="center"/>
          </w:tcPr>
          <w:p w14:paraId="4E5361A3">
            <w:pPr>
              <w:spacing w:beforeLines="0" w:afterLines="0" w:line="240" w:lineRule="auto"/>
              <w:jc w:val="center"/>
              <w:rPr>
                <w:rFonts w:hint="default" w:ascii="Times New Roman" w:hAnsi="Times New Roman"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170" w:type="dxa"/>
            <w:vAlign w:val="center"/>
          </w:tcPr>
          <w:p w14:paraId="58A72553">
            <w:pPr>
              <w:spacing w:beforeLines="0" w:afterLines="0" w:line="240" w:lineRule="auto"/>
              <w:jc w:val="center"/>
              <w:rPr>
                <w:rFonts w:hint="default" w:ascii="Times New Roman" w:hAnsi="Times New Roman"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649" w:type="dxa"/>
            <w:vAlign w:val="center"/>
          </w:tcPr>
          <w:p w14:paraId="30A741C2">
            <w:pPr>
              <w:spacing w:beforeLines="0" w:afterLines="0" w:line="240" w:lineRule="auto"/>
              <w:jc w:val="center"/>
              <w:rPr>
                <w:rFonts w:hint="default" w:ascii="Times New Roman" w:hAnsi="Times New Roman"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725" w:type="dxa"/>
            <w:vAlign w:val="center"/>
          </w:tcPr>
          <w:p w14:paraId="7579E20A">
            <w:pPr>
              <w:jc w:val="center"/>
              <w:rPr>
                <w:rFonts w:hint="default" w:ascii="Times New Roman" w:hAnsi="Times New Roman" w:cs="Times New Roman"/>
                <w:bCs/>
                <w:color w:val="auto"/>
                <w:szCs w:val="21"/>
                <w:highlight w:val="none"/>
                <w:lang w:val="en-US" w:eastAsia="zh-CN"/>
              </w:rPr>
            </w:pPr>
            <w:r>
              <w:rPr>
                <w:rFonts w:hint="default" w:ascii="Times New Roman" w:hAnsi="Times New Roman" w:cs="Times New Roman"/>
                <w:bCs/>
                <w:color w:val="auto"/>
                <w:szCs w:val="21"/>
                <w:highlight w:val="none"/>
                <w:lang w:val="en-US" w:eastAsia="zh-CN"/>
              </w:rPr>
              <w:t>5年更换1次</w:t>
            </w:r>
          </w:p>
        </w:tc>
        <w:tc>
          <w:tcPr>
            <w:tcW w:w="1292" w:type="dxa"/>
            <w:vAlign w:val="center"/>
          </w:tcPr>
          <w:p w14:paraId="3C79BE9C">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rPr>
              <w:t>0</w:t>
            </w:r>
          </w:p>
        </w:tc>
        <w:tc>
          <w:tcPr>
            <w:tcW w:w="1424" w:type="dxa"/>
            <w:vAlign w:val="center"/>
          </w:tcPr>
          <w:p w14:paraId="13733C81">
            <w:pPr>
              <w:jc w:val="center"/>
              <w:rPr>
                <w:rFonts w:hint="default" w:ascii="Times New Roman" w:hAnsi="Times New Roman" w:cs="Times New Roman"/>
                <w:bCs/>
                <w:color w:val="auto"/>
                <w:szCs w:val="21"/>
                <w:highlight w:val="none"/>
                <w:lang w:val="en-US" w:eastAsia="zh-CN"/>
              </w:rPr>
            </w:pPr>
            <w:r>
              <w:rPr>
                <w:rFonts w:hint="default" w:ascii="Times New Roman" w:hAnsi="Times New Roman" w:cs="Times New Roman"/>
                <w:bCs/>
                <w:color w:val="auto"/>
                <w:szCs w:val="21"/>
                <w:highlight w:val="none"/>
                <w:lang w:val="en-US" w:eastAsia="zh-CN"/>
              </w:rPr>
              <w:t>5年更换1次</w:t>
            </w:r>
          </w:p>
        </w:tc>
        <w:tc>
          <w:tcPr>
            <w:tcW w:w="1873" w:type="dxa"/>
            <w:vAlign w:val="center"/>
          </w:tcPr>
          <w:p w14:paraId="1D12F956">
            <w:pPr>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w:t>
            </w:r>
            <w:r>
              <w:rPr>
                <w:rFonts w:hint="default" w:ascii="Times New Roman" w:hAnsi="Times New Roman" w:cs="Times New Roman"/>
                <w:bCs/>
                <w:color w:val="auto"/>
                <w:szCs w:val="21"/>
                <w:highlight w:val="none"/>
                <w:lang w:val="en-US" w:eastAsia="zh-CN"/>
              </w:rPr>
              <w:t>5年更换1次</w:t>
            </w:r>
          </w:p>
        </w:tc>
      </w:tr>
      <w:tr w14:paraId="52CF6A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1094" w:type="dxa"/>
            <w:vMerge w:val="continue"/>
            <w:vAlign w:val="center"/>
          </w:tcPr>
          <w:p w14:paraId="4C741DCA">
            <w:pPr>
              <w:pStyle w:val="83"/>
              <w:keepNext w:val="0"/>
              <w:keepLines w:val="0"/>
              <w:pageBreakBefore w:val="0"/>
              <w:widowControl w:val="0"/>
              <w:kinsoku/>
              <w:wordWrap/>
              <w:overflowPunct/>
              <w:topLinePunct w:val="0"/>
              <w:autoSpaceDE/>
              <w:autoSpaceDN/>
              <w:bidi w:val="0"/>
              <w:adjustRightInd w:val="0"/>
              <w:snapToGrid w:val="0"/>
              <w:spacing w:beforeLines="0" w:afterLines="0" w:line="240" w:lineRule="auto"/>
              <w:ind w:left="0" w:firstLine="0" w:firstLineChars="0"/>
              <w:textAlignment w:val="auto"/>
              <w:rPr>
                <w:rFonts w:hint="default" w:ascii="Times New Roman" w:hAnsi="Times New Roman" w:cs="Times New Roman"/>
                <w:snapToGrid w:val="0"/>
                <w:color w:val="auto"/>
                <w:kern w:val="21"/>
                <w:sz w:val="21"/>
                <w:szCs w:val="21"/>
                <w:highlight w:val="none"/>
              </w:rPr>
            </w:pPr>
          </w:p>
        </w:tc>
        <w:tc>
          <w:tcPr>
            <w:tcW w:w="2325" w:type="dxa"/>
            <w:vAlign w:val="center"/>
          </w:tcPr>
          <w:p w14:paraId="346AA0E0">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雨水沉渣</w:t>
            </w:r>
          </w:p>
        </w:tc>
        <w:tc>
          <w:tcPr>
            <w:tcW w:w="1484" w:type="dxa"/>
            <w:vAlign w:val="center"/>
          </w:tcPr>
          <w:p w14:paraId="2C6478F1">
            <w:pPr>
              <w:spacing w:beforeLines="0" w:afterLines="0" w:line="240" w:lineRule="auto"/>
              <w:jc w:val="center"/>
              <w:rPr>
                <w:rFonts w:hint="default" w:ascii="Times New Roman" w:hAnsi="Times New Roman"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170" w:type="dxa"/>
            <w:vAlign w:val="center"/>
          </w:tcPr>
          <w:p w14:paraId="213CFF82">
            <w:pPr>
              <w:spacing w:beforeLines="0" w:afterLines="0" w:line="240" w:lineRule="auto"/>
              <w:jc w:val="center"/>
              <w:rPr>
                <w:rFonts w:hint="default" w:ascii="Times New Roman" w:hAnsi="Times New Roman"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649" w:type="dxa"/>
            <w:vAlign w:val="center"/>
          </w:tcPr>
          <w:p w14:paraId="1B5402AC">
            <w:pPr>
              <w:spacing w:beforeLines="0" w:afterLines="0" w:line="240" w:lineRule="auto"/>
              <w:jc w:val="center"/>
              <w:rPr>
                <w:rFonts w:hint="default" w:ascii="Times New Roman" w:hAnsi="Times New Roman"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725" w:type="dxa"/>
            <w:vAlign w:val="center"/>
          </w:tcPr>
          <w:p w14:paraId="58E5DCD2">
            <w:pPr>
              <w:jc w:val="center"/>
              <w:rPr>
                <w:rFonts w:hint="default" w:ascii="Times New Roman" w:hAnsi="Times New Roman" w:cs="Times New Roman"/>
                <w:bCs/>
                <w:color w:val="auto"/>
                <w:szCs w:val="21"/>
                <w:highlight w:val="none"/>
                <w:lang w:val="en-US" w:eastAsia="zh-CN"/>
              </w:rPr>
            </w:pPr>
            <w:r>
              <w:rPr>
                <w:rFonts w:hint="default" w:ascii="Times New Roman" w:hAnsi="Times New Roman" w:cs="Times New Roman"/>
                <w:bCs/>
                <w:color w:val="auto"/>
                <w:szCs w:val="21"/>
                <w:highlight w:val="none"/>
                <w:lang w:val="en-US" w:eastAsia="zh-CN"/>
              </w:rPr>
              <w:t>1.5</w:t>
            </w:r>
            <w:r>
              <w:rPr>
                <w:rFonts w:hint="default" w:ascii="Times New Roman" w:hAnsi="Times New Roman" w:cs="Times New Roman"/>
                <w:color w:val="auto"/>
                <w:highlight w:val="none"/>
              </w:rPr>
              <w:t>t/a</w:t>
            </w:r>
          </w:p>
        </w:tc>
        <w:tc>
          <w:tcPr>
            <w:tcW w:w="1292" w:type="dxa"/>
            <w:vAlign w:val="center"/>
          </w:tcPr>
          <w:p w14:paraId="25DE912F">
            <w:pPr>
              <w:pStyle w:val="83"/>
              <w:spacing w:beforeLines="0" w:afterLines="0" w:line="240" w:lineRule="auto"/>
              <w:ind w:left="420" w:leftChars="0" w:hanging="420" w:hangingChars="200"/>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rPr>
              <w:t>0</w:t>
            </w:r>
          </w:p>
        </w:tc>
        <w:tc>
          <w:tcPr>
            <w:tcW w:w="1424" w:type="dxa"/>
            <w:vAlign w:val="center"/>
          </w:tcPr>
          <w:p w14:paraId="1F408C01">
            <w:pPr>
              <w:jc w:val="center"/>
              <w:rPr>
                <w:rFonts w:hint="default" w:ascii="Times New Roman" w:hAnsi="Times New Roman" w:cs="Times New Roman"/>
                <w:bCs/>
                <w:color w:val="auto"/>
                <w:szCs w:val="21"/>
                <w:highlight w:val="none"/>
                <w:lang w:val="en-US" w:eastAsia="zh-CN"/>
              </w:rPr>
            </w:pPr>
            <w:r>
              <w:rPr>
                <w:rFonts w:hint="default" w:ascii="Times New Roman" w:hAnsi="Times New Roman" w:cs="Times New Roman"/>
                <w:bCs/>
                <w:color w:val="auto"/>
                <w:szCs w:val="21"/>
                <w:highlight w:val="none"/>
                <w:lang w:val="en-US" w:eastAsia="zh-CN"/>
              </w:rPr>
              <w:t>1.5</w:t>
            </w:r>
            <w:r>
              <w:rPr>
                <w:rFonts w:hint="default" w:ascii="Times New Roman" w:hAnsi="Times New Roman" w:cs="Times New Roman"/>
                <w:color w:val="auto"/>
                <w:highlight w:val="none"/>
              </w:rPr>
              <w:t>t/a</w:t>
            </w:r>
          </w:p>
        </w:tc>
        <w:tc>
          <w:tcPr>
            <w:tcW w:w="1873" w:type="dxa"/>
            <w:vAlign w:val="center"/>
          </w:tcPr>
          <w:p w14:paraId="3EE8F166">
            <w:pPr>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w:t>
            </w:r>
            <w:r>
              <w:rPr>
                <w:rFonts w:hint="default" w:ascii="Times New Roman" w:hAnsi="Times New Roman" w:cs="Times New Roman"/>
                <w:bCs/>
                <w:color w:val="auto"/>
                <w:szCs w:val="21"/>
                <w:highlight w:val="none"/>
                <w:lang w:val="en-US" w:eastAsia="zh-CN"/>
              </w:rPr>
              <w:t>1.5</w:t>
            </w:r>
            <w:r>
              <w:rPr>
                <w:rFonts w:hint="default" w:ascii="Times New Roman" w:hAnsi="Times New Roman" w:cs="Times New Roman"/>
                <w:color w:val="auto"/>
                <w:highlight w:val="none"/>
              </w:rPr>
              <w:t>t/a</w:t>
            </w:r>
          </w:p>
        </w:tc>
      </w:tr>
      <w:tr w14:paraId="2CC7B1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1094" w:type="dxa"/>
            <w:vMerge w:val="continue"/>
            <w:vAlign w:val="center"/>
          </w:tcPr>
          <w:p w14:paraId="067E3EC2">
            <w:pPr>
              <w:pStyle w:val="83"/>
              <w:keepNext w:val="0"/>
              <w:keepLines w:val="0"/>
              <w:pageBreakBefore w:val="0"/>
              <w:widowControl w:val="0"/>
              <w:kinsoku/>
              <w:wordWrap/>
              <w:overflowPunct/>
              <w:topLinePunct w:val="0"/>
              <w:autoSpaceDE/>
              <w:autoSpaceDN/>
              <w:bidi w:val="0"/>
              <w:adjustRightInd w:val="0"/>
              <w:snapToGrid w:val="0"/>
              <w:spacing w:beforeLines="0" w:afterLines="0" w:line="240" w:lineRule="auto"/>
              <w:ind w:left="0" w:firstLine="0" w:firstLineChars="0"/>
              <w:textAlignment w:val="auto"/>
              <w:rPr>
                <w:rFonts w:hint="default" w:ascii="Times New Roman" w:hAnsi="Times New Roman" w:cs="Times New Roman"/>
                <w:snapToGrid w:val="0"/>
                <w:color w:val="auto"/>
                <w:kern w:val="21"/>
                <w:sz w:val="21"/>
                <w:szCs w:val="21"/>
                <w:highlight w:val="none"/>
              </w:rPr>
            </w:pPr>
          </w:p>
        </w:tc>
        <w:tc>
          <w:tcPr>
            <w:tcW w:w="2325" w:type="dxa"/>
            <w:vAlign w:val="center"/>
          </w:tcPr>
          <w:p w14:paraId="2CDBF222">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钢材边角料</w:t>
            </w:r>
          </w:p>
        </w:tc>
        <w:tc>
          <w:tcPr>
            <w:tcW w:w="1484" w:type="dxa"/>
            <w:vAlign w:val="center"/>
          </w:tcPr>
          <w:p w14:paraId="4BB2451B">
            <w:pPr>
              <w:spacing w:beforeLines="0" w:afterLines="0" w:line="240" w:lineRule="auto"/>
              <w:jc w:val="center"/>
              <w:rPr>
                <w:rFonts w:hint="default" w:ascii="Times New Roman" w:hAnsi="Times New Roman"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170" w:type="dxa"/>
            <w:vAlign w:val="center"/>
          </w:tcPr>
          <w:p w14:paraId="0366BB3F">
            <w:pPr>
              <w:spacing w:beforeLines="0" w:afterLines="0" w:line="240" w:lineRule="auto"/>
              <w:jc w:val="center"/>
              <w:rPr>
                <w:rFonts w:hint="default" w:ascii="Times New Roman" w:hAnsi="Times New Roman"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649" w:type="dxa"/>
            <w:vAlign w:val="center"/>
          </w:tcPr>
          <w:p w14:paraId="690C82B4">
            <w:pPr>
              <w:spacing w:beforeLines="0" w:afterLines="0" w:line="240" w:lineRule="auto"/>
              <w:jc w:val="center"/>
              <w:rPr>
                <w:rFonts w:hint="default" w:ascii="Times New Roman" w:hAnsi="Times New Roman"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725" w:type="dxa"/>
            <w:vAlign w:val="center"/>
          </w:tcPr>
          <w:p w14:paraId="1AAD2CDB">
            <w:pPr>
              <w:jc w:val="center"/>
              <w:rPr>
                <w:rFonts w:hint="default" w:ascii="Times New Roman" w:hAnsi="Times New Roman" w:cs="Times New Roman"/>
                <w:bCs/>
                <w:color w:val="auto"/>
                <w:szCs w:val="21"/>
                <w:highlight w:val="none"/>
                <w:lang w:val="en-US" w:eastAsia="zh-CN"/>
              </w:rPr>
            </w:pPr>
            <w:r>
              <w:rPr>
                <w:rFonts w:hint="default" w:ascii="Times New Roman" w:hAnsi="Times New Roman" w:cs="Times New Roman"/>
                <w:bCs/>
                <w:color w:val="auto"/>
                <w:szCs w:val="21"/>
                <w:highlight w:val="none"/>
                <w:lang w:val="en-US" w:eastAsia="zh-CN"/>
              </w:rPr>
              <w:t>10</w:t>
            </w:r>
            <w:r>
              <w:rPr>
                <w:rFonts w:hint="default" w:ascii="Times New Roman" w:hAnsi="Times New Roman" w:cs="Times New Roman"/>
                <w:color w:val="auto"/>
                <w:highlight w:val="none"/>
              </w:rPr>
              <w:t>t/a</w:t>
            </w:r>
          </w:p>
        </w:tc>
        <w:tc>
          <w:tcPr>
            <w:tcW w:w="1292" w:type="dxa"/>
            <w:vAlign w:val="center"/>
          </w:tcPr>
          <w:p w14:paraId="324AA9A9">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rPr>
              <w:t>0</w:t>
            </w:r>
          </w:p>
        </w:tc>
        <w:tc>
          <w:tcPr>
            <w:tcW w:w="1424" w:type="dxa"/>
            <w:vAlign w:val="center"/>
          </w:tcPr>
          <w:p w14:paraId="39119DB0">
            <w:pPr>
              <w:jc w:val="center"/>
              <w:rPr>
                <w:rFonts w:hint="default" w:ascii="Times New Roman" w:hAnsi="Times New Roman" w:cs="Times New Roman"/>
                <w:bCs/>
                <w:color w:val="auto"/>
                <w:szCs w:val="21"/>
                <w:highlight w:val="none"/>
                <w:lang w:val="en-US" w:eastAsia="zh-CN"/>
              </w:rPr>
            </w:pPr>
            <w:r>
              <w:rPr>
                <w:rFonts w:hint="default" w:ascii="Times New Roman" w:hAnsi="Times New Roman" w:cs="Times New Roman"/>
                <w:bCs/>
                <w:color w:val="auto"/>
                <w:szCs w:val="21"/>
                <w:highlight w:val="none"/>
                <w:lang w:val="en-US" w:eastAsia="zh-CN"/>
              </w:rPr>
              <w:t>10</w:t>
            </w:r>
            <w:r>
              <w:rPr>
                <w:rFonts w:hint="default" w:ascii="Times New Roman" w:hAnsi="Times New Roman" w:cs="Times New Roman"/>
                <w:color w:val="auto"/>
                <w:highlight w:val="none"/>
              </w:rPr>
              <w:t>t/a</w:t>
            </w:r>
          </w:p>
        </w:tc>
        <w:tc>
          <w:tcPr>
            <w:tcW w:w="1873" w:type="dxa"/>
            <w:vAlign w:val="center"/>
          </w:tcPr>
          <w:p w14:paraId="5169A1C4">
            <w:pPr>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w:t>
            </w:r>
            <w:r>
              <w:rPr>
                <w:rFonts w:hint="default" w:ascii="Times New Roman" w:hAnsi="Times New Roman" w:cs="Times New Roman"/>
                <w:bCs/>
                <w:color w:val="auto"/>
                <w:szCs w:val="21"/>
                <w:highlight w:val="none"/>
                <w:lang w:val="en-US" w:eastAsia="zh-CN"/>
              </w:rPr>
              <w:t>10</w:t>
            </w:r>
            <w:r>
              <w:rPr>
                <w:rFonts w:hint="default" w:ascii="Times New Roman" w:hAnsi="Times New Roman" w:cs="Times New Roman"/>
                <w:color w:val="auto"/>
                <w:highlight w:val="none"/>
              </w:rPr>
              <w:t>t/a</w:t>
            </w:r>
          </w:p>
        </w:tc>
      </w:tr>
      <w:tr w14:paraId="3AB1BD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1094" w:type="dxa"/>
            <w:vMerge w:val="continue"/>
            <w:vAlign w:val="center"/>
          </w:tcPr>
          <w:p w14:paraId="109EF7A1">
            <w:pPr>
              <w:pStyle w:val="83"/>
              <w:keepNext w:val="0"/>
              <w:keepLines w:val="0"/>
              <w:pageBreakBefore w:val="0"/>
              <w:widowControl w:val="0"/>
              <w:kinsoku/>
              <w:wordWrap/>
              <w:overflowPunct/>
              <w:topLinePunct w:val="0"/>
              <w:autoSpaceDE/>
              <w:autoSpaceDN/>
              <w:bidi w:val="0"/>
              <w:adjustRightInd w:val="0"/>
              <w:snapToGrid w:val="0"/>
              <w:spacing w:beforeLines="0" w:afterLines="0" w:line="240" w:lineRule="auto"/>
              <w:ind w:left="0" w:firstLine="0" w:firstLineChars="0"/>
              <w:textAlignment w:val="auto"/>
              <w:rPr>
                <w:rFonts w:hint="default" w:ascii="Times New Roman" w:hAnsi="Times New Roman" w:cs="Times New Roman"/>
                <w:snapToGrid w:val="0"/>
                <w:color w:val="auto"/>
                <w:kern w:val="21"/>
                <w:sz w:val="21"/>
                <w:szCs w:val="21"/>
                <w:highlight w:val="none"/>
              </w:rPr>
            </w:pPr>
          </w:p>
        </w:tc>
        <w:tc>
          <w:tcPr>
            <w:tcW w:w="2325" w:type="dxa"/>
            <w:vAlign w:val="center"/>
          </w:tcPr>
          <w:p w14:paraId="6CCA4FFE">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废包装材料</w:t>
            </w:r>
          </w:p>
        </w:tc>
        <w:tc>
          <w:tcPr>
            <w:tcW w:w="1484" w:type="dxa"/>
            <w:vAlign w:val="center"/>
          </w:tcPr>
          <w:p w14:paraId="5B7400B9">
            <w:pPr>
              <w:spacing w:beforeLines="0" w:afterLines="0" w:line="240" w:lineRule="auto"/>
              <w:jc w:val="center"/>
              <w:rPr>
                <w:rFonts w:hint="default" w:ascii="Times New Roman" w:hAnsi="Times New Roman"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170" w:type="dxa"/>
            <w:vAlign w:val="center"/>
          </w:tcPr>
          <w:p w14:paraId="2229F3A1">
            <w:pPr>
              <w:spacing w:beforeLines="0" w:afterLines="0" w:line="240" w:lineRule="auto"/>
              <w:jc w:val="center"/>
              <w:rPr>
                <w:rFonts w:hint="default" w:ascii="Times New Roman" w:hAnsi="Times New Roman"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649" w:type="dxa"/>
            <w:vAlign w:val="center"/>
          </w:tcPr>
          <w:p w14:paraId="36F6D5B6">
            <w:pPr>
              <w:spacing w:beforeLines="0" w:afterLines="0" w:line="240" w:lineRule="auto"/>
              <w:jc w:val="center"/>
              <w:rPr>
                <w:rFonts w:hint="default" w:ascii="Times New Roman" w:hAnsi="Times New Roman"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725" w:type="dxa"/>
            <w:vAlign w:val="center"/>
          </w:tcPr>
          <w:p w14:paraId="241F440B">
            <w:pPr>
              <w:jc w:val="center"/>
              <w:rPr>
                <w:rFonts w:hint="default" w:ascii="Times New Roman" w:hAnsi="Times New Roman" w:cs="Times New Roman"/>
                <w:bCs/>
                <w:color w:val="auto"/>
                <w:szCs w:val="21"/>
                <w:highlight w:val="none"/>
                <w:lang w:val="en-US" w:eastAsia="zh-CN"/>
              </w:rPr>
            </w:pPr>
            <w:r>
              <w:rPr>
                <w:rFonts w:hint="default" w:ascii="Times New Roman" w:hAnsi="Times New Roman" w:cs="Times New Roman"/>
                <w:bCs/>
                <w:color w:val="auto"/>
                <w:szCs w:val="21"/>
                <w:highlight w:val="none"/>
                <w:lang w:val="en-US" w:eastAsia="zh-CN"/>
              </w:rPr>
              <w:t>1</w:t>
            </w:r>
            <w:r>
              <w:rPr>
                <w:rFonts w:hint="default" w:ascii="Times New Roman" w:hAnsi="Times New Roman" w:cs="Times New Roman"/>
                <w:color w:val="auto"/>
                <w:highlight w:val="none"/>
              </w:rPr>
              <w:t>t/a</w:t>
            </w:r>
          </w:p>
        </w:tc>
        <w:tc>
          <w:tcPr>
            <w:tcW w:w="1292" w:type="dxa"/>
            <w:vAlign w:val="center"/>
          </w:tcPr>
          <w:p w14:paraId="4F60ABC9">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rPr>
              <w:t>0</w:t>
            </w:r>
          </w:p>
        </w:tc>
        <w:tc>
          <w:tcPr>
            <w:tcW w:w="1424" w:type="dxa"/>
            <w:vAlign w:val="center"/>
          </w:tcPr>
          <w:p w14:paraId="310BAEF1">
            <w:pPr>
              <w:jc w:val="center"/>
              <w:rPr>
                <w:rFonts w:hint="default" w:ascii="Times New Roman" w:hAnsi="Times New Roman" w:cs="Times New Roman"/>
                <w:bCs/>
                <w:color w:val="auto"/>
                <w:szCs w:val="21"/>
                <w:highlight w:val="none"/>
                <w:lang w:val="en-US" w:eastAsia="zh-CN"/>
              </w:rPr>
            </w:pPr>
            <w:r>
              <w:rPr>
                <w:rFonts w:hint="default" w:ascii="Times New Roman" w:hAnsi="Times New Roman" w:cs="Times New Roman"/>
                <w:bCs/>
                <w:color w:val="auto"/>
                <w:szCs w:val="21"/>
                <w:highlight w:val="none"/>
                <w:lang w:val="en-US" w:eastAsia="zh-CN"/>
              </w:rPr>
              <w:t>1</w:t>
            </w:r>
            <w:r>
              <w:rPr>
                <w:rFonts w:hint="default" w:ascii="Times New Roman" w:hAnsi="Times New Roman" w:cs="Times New Roman"/>
                <w:color w:val="auto"/>
                <w:highlight w:val="none"/>
              </w:rPr>
              <w:t>t/a</w:t>
            </w:r>
          </w:p>
        </w:tc>
        <w:tc>
          <w:tcPr>
            <w:tcW w:w="1873" w:type="dxa"/>
            <w:vAlign w:val="center"/>
          </w:tcPr>
          <w:p w14:paraId="29A14B3C">
            <w:pPr>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w:t>
            </w:r>
            <w:r>
              <w:rPr>
                <w:rFonts w:hint="default" w:ascii="Times New Roman" w:hAnsi="Times New Roman" w:cs="Times New Roman"/>
                <w:bCs/>
                <w:color w:val="auto"/>
                <w:szCs w:val="21"/>
                <w:highlight w:val="none"/>
                <w:lang w:val="en-US" w:eastAsia="zh-CN"/>
              </w:rPr>
              <w:t>1</w:t>
            </w:r>
            <w:r>
              <w:rPr>
                <w:rFonts w:hint="default" w:ascii="Times New Roman" w:hAnsi="Times New Roman" w:cs="Times New Roman"/>
                <w:color w:val="auto"/>
                <w:highlight w:val="none"/>
              </w:rPr>
              <w:t>t/a</w:t>
            </w:r>
          </w:p>
        </w:tc>
      </w:tr>
      <w:tr w14:paraId="579D88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1094" w:type="dxa"/>
            <w:vMerge w:val="continue"/>
            <w:vAlign w:val="center"/>
          </w:tcPr>
          <w:p w14:paraId="14155FA0">
            <w:pPr>
              <w:pStyle w:val="83"/>
              <w:keepNext w:val="0"/>
              <w:keepLines w:val="0"/>
              <w:pageBreakBefore w:val="0"/>
              <w:widowControl w:val="0"/>
              <w:kinsoku/>
              <w:wordWrap/>
              <w:overflowPunct/>
              <w:topLinePunct w:val="0"/>
              <w:autoSpaceDE/>
              <w:autoSpaceDN/>
              <w:bidi w:val="0"/>
              <w:adjustRightInd w:val="0"/>
              <w:snapToGrid w:val="0"/>
              <w:spacing w:beforeLines="0" w:afterLines="0" w:line="240" w:lineRule="auto"/>
              <w:ind w:left="0" w:firstLine="0" w:firstLineChars="0"/>
              <w:textAlignment w:val="auto"/>
              <w:rPr>
                <w:rFonts w:hint="default" w:ascii="Times New Roman" w:hAnsi="Times New Roman" w:cs="Times New Roman"/>
                <w:snapToGrid w:val="0"/>
                <w:color w:val="auto"/>
                <w:kern w:val="21"/>
                <w:sz w:val="21"/>
                <w:szCs w:val="21"/>
                <w:highlight w:val="none"/>
              </w:rPr>
            </w:pPr>
          </w:p>
        </w:tc>
        <w:tc>
          <w:tcPr>
            <w:tcW w:w="2325" w:type="dxa"/>
            <w:vAlign w:val="center"/>
          </w:tcPr>
          <w:p w14:paraId="623B98E7">
            <w:pPr>
              <w:jc w:val="center"/>
              <w:rPr>
                <w:rFonts w:hint="default" w:ascii="Times New Roman" w:hAnsi="Times New Roman" w:cs="Times New Roman"/>
                <w:bCs/>
                <w:color w:val="auto"/>
                <w:szCs w:val="21"/>
                <w:highlight w:val="none"/>
                <w:lang w:eastAsia="zh-CN"/>
              </w:rPr>
            </w:pPr>
            <w:r>
              <w:rPr>
                <w:rFonts w:hint="default" w:ascii="Times New Roman" w:hAnsi="Times New Roman" w:eastAsia="宋体" w:cs="Times New Roman"/>
                <w:color w:val="auto"/>
                <w:kern w:val="2"/>
                <w:sz w:val="21"/>
                <w:szCs w:val="21"/>
                <w:highlight w:val="none"/>
                <w:lang w:val="en-US" w:eastAsia="zh-CN" w:bidi="ar-SA"/>
              </w:rPr>
              <w:t>废脱模剂桶</w:t>
            </w:r>
          </w:p>
        </w:tc>
        <w:tc>
          <w:tcPr>
            <w:tcW w:w="1484" w:type="dxa"/>
            <w:vAlign w:val="center"/>
          </w:tcPr>
          <w:p w14:paraId="3035C42E">
            <w:pPr>
              <w:spacing w:beforeLines="0" w:afterLines="0" w:line="240" w:lineRule="auto"/>
              <w:jc w:val="center"/>
              <w:rPr>
                <w:rFonts w:hint="default" w:ascii="Times New Roman" w:hAnsi="Times New Roman"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170" w:type="dxa"/>
            <w:vAlign w:val="center"/>
          </w:tcPr>
          <w:p w14:paraId="636A88A2">
            <w:pPr>
              <w:spacing w:beforeLines="0" w:afterLines="0" w:line="240" w:lineRule="auto"/>
              <w:jc w:val="center"/>
              <w:rPr>
                <w:rFonts w:hint="default" w:ascii="Times New Roman" w:hAnsi="Times New Roman"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649" w:type="dxa"/>
            <w:vAlign w:val="center"/>
          </w:tcPr>
          <w:p w14:paraId="08CB900B">
            <w:pPr>
              <w:spacing w:beforeLines="0" w:afterLines="0" w:line="240" w:lineRule="auto"/>
              <w:jc w:val="center"/>
              <w:rPr>
                <w:rFonts w:hint="default" w:ascii="Times New Roman" w:hAnsi="Times New Roman"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725" w:type="dxa"/>
            <w:vAlign w:val="center"/>
          </w:tcPr>
          <w:p w14:paraId="682515B3">
            <w:pPr>
              <w:jc w:val="center"/>
              <w:rPr>
                <w:rFonts w:hint="default" w:ascii="Times New Roman" w:hAnsi="Times New Roman" w:cs="Times New Roman"/>
                <w:bCs/>
                <w:color w:val="auto"/>
                <w:szCs w:val="21"/>
                <w:highlight w:val="none"/>
                <w:lang w:val="en-US" w:eastAsia="zh-CN"/>
              </w:rPr>
            </w:pPr>
            <w:r>
              <w:rPr>
                <w:rFonts w:hint="default" w:ascii="Times New Roman" w:hAnsi="Times New Roman" w:cs="Times New Roman"/>
                <w:bCs/>
                <w:color w:val="auto"/>
                <w:szCs w:val="21"/>
                <w:highlight w:val="none"/>
                <w:lang w:val="en-US" w:eastAsia="zh-CN"/>
              </w:rPr>
              <w:t>0.2</w:t>
            </w:r>
            <w:r>
              <w:rPr>
                <w:rFonts w:hint="default" w:ascii="Times New Roman" w:hAnsi="Times New Roman" w:cs="Times New Roman"/>
                <w:color w:val="auto"/>
                <w:highlight w:val="none"/>
              </w:rPr>
              <w:t>t/a</w:t>
            </w:r>
          </w:p>
        </w:tc>
        <w:tc>
          <w:tcPr>
            <w:tcW w:w="1292" w:type="dxa"/>
            <w:vAlign w:val="center"/>
          </w:tcPr>
          <w:p w14:paraId="2E689E8C">
            <w:pPr>
              <w:pStyle w:val="83"/>
              <w:spacing w:beforeLines="0" w:afterLines="0" w:line="240" w:lineRule="auto"/>
              <w:ind w:left="420" w:leftChars="0" w:hanging="420" w:hangingChars="200"/>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rPr>
              <w:t>0</w:t>
            </w:r>
          </w:p>
        </w:tc>
        <w:tc>
          <w:tcPr>
            <w:tcW w:w="1424" w:type="dxa"/>
            <w:vAlign w:val="center"/>
          </w:tcPr>
          <w:p w14:paraId="4F9202E2">
            <w:pPr>
              <w:jc w:val="center"/>
              <w:rPr>
                <w:rFonts w:hint="default" w:ascii="Times New Roman" w:hAnsi="Times New Roman" w:cs="Times New Roman"/>
                <w:bCs/>
                <w:color w:val="auto"/>
                <w:szCs w:val="21"/>
                <w:highlight w:val="none"/>
                <w:lang w:val="en-US" w:eastAsia="zh-CN"/>
              </w:rPr>
            </w:pPr>
            <w:r>
              <w:rPr>
                <w:rFonts w:hint="default" w:ascii="Times New Roman" w:hAnsi="Times New Roman" w:cs="Times New Roman"/>
                <w:bCs/>
                <w:color w:val="auto"/>
                <w:szCs w:val="21"/>
                <w:highlight w:val="none"/>
                <w:lang w:val="en-US" w:eastAsia="zh-CN"/>
              </w:rPr>
              <w:t>0.2</w:t>
            </w:r>
            <w:r>
              <w:rPr>
                <w:rFonts w:hint="default" w:ascii="Times New Roman" w:hAnsi="Times New Roman" w:cs="Times New Roman"/>
                <w:color w:val="auto"/>
                <w:highlight w:val="none"/>
              </w:rPr>
              <w:t>t/a</w:t>
            </w:r>
          </w:p>
        </w:tc>
        <w:tc>
          <w:tcPr>
            <w:tcW w:w="1873" w:type="dxa"/>
            <w:vAlign w:val="center"/>
          </w:tcPr>
          <w:p w14:paraId="6D6B57D9">
            <w:pPr>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w:t>
            </w:r>
            <w:r>
              <w:rPr>
                <w:rFonts w:hint="default" w:ascii="Times New Roman" w:hAnsi="Times New Roman" w:cs="Times New Roman"/>
                <w:bCs/>
                <w:color w:val="auto"/>
                <w:szCs w:val="21"/>
                <w:highlight w:val="none"/>
                <w:lang w:val="en-US" w:eastAsia="zh-CN"/>
              </w:rPr>
              <w:t>0.2</w:t>
            </w:r>
            <w:r>
              <w:rPr>
                <w:rFonts w:hint="default" w:ascii="Times New Roman" w:hAnsi="Times New Roman" w:cs="Times New Roman"/>
                <w:color w:val="auto"/>
                <w:highlight w:val="none"/>
              </w:rPr>
              <w:t>t/a</w:t>
            </w:r>
          </w:p>
        </w:tc>
      </w:tr>
      <w:tr w14:paraId="0F4FFB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1094" w:type="dxa"/>
            <w:vMerge w:val="restart"/>
            <w:vAlign w:val="center"/>
          </w:tcPr>
          <w:p w14:paraId="24C47E34">
            <w:pPr>
              <w:pStyle w:val="83"/>
              <w:keepNext w:val="0"/>
              <w:keepLines w:val="0"/>
              <w:pageBreakBefore w:val="0"/>
              <w:widowControl w:val="0"/>
              <w:kinsoku/>
              <w:wordWrap/>
              <w:overflowPunct/>
              <w:topLinePunct w:val="0"/>
              <w:autoSpaceDE/>
              <w:autoSpaceDN/>
              <w:bidi w:val="0"/>
              <w:adjustRightInd w:val="0"/>
              <w:snapToGrid w:val="0"/>
              <w:spacing w:beforeLines="0" w:afterLines="0" w:line="240" w:lineRule="auto"/>
              <w:ind w:left="0" w:firstLine="0" w:firstLineChars="0"/>
              <w:textAlignment w:val="auto"/>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危险废物</w:t>
            </w:r>
          </w:p>
        </w:tc>
        <w:tc>
          <w:tcPr>
            <w:tcW w:w="2325" w:type="dxa"/>
            <w:vAlign w:val="center"/>
          </w:tcPr>
          <w:p w14:paraId="5167E93E">
            <w:pPr>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bidi="ar"/>
              </w:rPr>
              <w:t>含油手套及废抹布</w:t>
            </w:r>
          </w:p>
        </w:tc>
        <w:tc>
          <w:tcPr>
            <w:tcW w:w="1484" w:type="dxa"/>
            <w:vAlign w:val="center"/>
          </w:tcPr>
          <w:p w14:paraId="33CE7210">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170" w:type="dxa"/>
            <w:vAlign w:val="center"/>
          </w:tcPr>
          <w:p w14:paraId="6E4E56C5">
            <w:pPr>
              <w:spacing w:beforeLines="0" w:afterLines="0" w:line="240" w:lineRule="auto"/>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lang w:val="en-US" w:eastAsia="zh-CN"/>
              </w:rPr>
              <w:t>0</w:t>
            </w:r>
          </w:p>
        </w:tc>
        <w:tc>
          <w:tcPr>
            <w:tcW w:w="1649" w:type="dxa"/>
            <w:vAlign w:val="center"/>
          </w:tcPr>
          <w:p w14:paraId="11CA6850">
            <w:pPr>
              <w:spacing w:beforeLines="0" w:afterLines="0" w:line="240" w:lineRule="auto"/>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lang w:val="en-US" w:eastAsia="zh-CN"/>
              </w:rPr>
              <w:t>0</w:t>
            </w:r>
          </w:p>
        </w:tc>
        <w:tc>
          <w:tcPr>
            <w:tcW w:w="1725" w:type="dxa"/>
            <w:vAlign w:val="center"/>
          </w:tcPr>
          <w:p w14:paraId="25622A46">
            <w:pPr>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cs="Times New Roman"/>
                <w:color w:val="auto"/>
                <w:szCs w:val="21"/>
                <w:highlight w:val="none"/>
                <w:lang w:val="en-US" w:eastAsia="zh-CN"/>
              </w:rPr>
              <w:t>0.05</w:t>
            </w:r>
            <w:r>
              <w:rPr>
                <w:rFonts w:hint="default" w:ascii="Times New Roman" w:hAnsi="Times New Roman" w:cs="Times New Roman"/>
                <w:color w:val="auto"/>
                <w:highlight w:val="none"/>
              </w:rPr>
              <w:t>t/a</w:t>
            </w:r>
          </w:p>
        </w:tc>
        <w:tc>
          <w:tcPr>
            <w:tcW w:w="1292" w:type="dxa"/>
            <w:vAlign w:val="center"/>
          </w:tcPr>
          <w:p w14:paraId="3596C4DF">
            <w:pPr>
              <w:spacing w:beforeLines="0" w:afterLines="0" w:line="240" w:lineRule="auto"/>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lang w:val="en-US" w:eastAsia="zh-CN"/>
              </w:rPr>
              <w:t>0</w:t>
            </w:r>
          </w:p>
        </w:tc>
        <w:tc>
          <w:tcPr>
            <w:tcW w:w="1424" w:type="dxa"/>
            <w:vAlign w:val="center"/>
          </w:tcPr>
          <w:p w14:paraId="0A0C58E4">
            <w:pPr>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cs="Times New Roman"/>
                <w:color w:val="auto"/>
                <w:szCs w:val="21"/>
                <w:highlight w:val="none"/>
                <w:lang w:val="en-US" w:eastAsia="zh-CN"/>
              </w:rPr>
              <w:t>0.05</w:t>
            </w:r>
            <w:r>
              <w:rPr>
                <w:rFonts w:hint="default" w:ascii="Times New Roman" w:hAnsi="Times New Roman" w:cs="Times New Roman"/>
                <w:color w:val="auto"/>
                <w:highlight w:val="none"/>
              </w:rPr>
              <w:t>t/a</w:t>
            </w:r>
          </w:p>
        </w:tc>
        <w:tc>
          <w:tcPr>
            <w:tcW w:w="1873" w:type="dxa"/>
            <w:vAlign w:val="center"/>
          </w:tcPr>
          <w:p w14:paraId="2AB31397">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highlight w:val="none"/>
                <w:lang w:val="en-US" w:eastAsia="zh-CN"/>
              </w:rPr>
              <w:t>+</w:t>
            </w:r>
            <w:r>
              <w:rPr>
                <w:rFonts w:hint="default" w:ascii="Times New Roman" w:hAnsi="Times New Roman" w:cs="Times New Roman"/>
                <w:color w:val="auto"/>
                <w:szCs w:val="21"/>
                <w:highlight w:val="none"/>
                <w:lang w:val="en-US" w:eastAsia="zh-CN"/>
              </w:rPr>
              <w:t>0.05</w:t>
            </w:r>
            <w:r>
              <w:rPr>
                <w:rFonts w:hint="default" w:ascii="Times New Roman" w:hAnsi="Times New Roman" w:cs="Times New Roman"/>
                <w:color w:val="auto"/>
                <w:highlight w:val="none"/>
              </w:rPr>
              <w:t>t/a</w:t>
            </w:r>
          </w:p>
        </w:tc>
      </w:tr>
      <w:tr w14:paraId="3C2704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1094" w:type="dxa"/>
            <w:vMerge w:val="continue"/>
            <w:vAlign w:val="center"/>
          </w:tcPr>
          <w:p w14:paraId="65D54F03">
            <w:pPr>
              <w:pStyle w:val="83"/>
              <w:keepNext w:val="0"/>
              <w:keepLines w:val="0"/>
              <w:pageBreakBefore w:val="0"/>
              <w:widowControl w:val="0"/>
              <w:kinsoku/>
              <w:wordWrap/>
              <w:overflowPunct/>
              <w:topLinePunct w:val="0"/>
              <w:autoSpaceDE/>
              <w:autoSpaceDN/>
              <w:bidi w:val="0"/>
              <w:adjustRightInd w:val="0"/>
              <w:snapToGrid w:val="0"/>
              <w:spacing w:beforeLines="0" w:afterLines="0" w:line="240" w:lineRule="auto"/>
              <w:ind w:left="0" w:firstLine="0" w:firstLineChars="0"/>
              <w:textAlignment w:val="auto"/>
              <w:rPr>
                <w:rFonts w:hint="default" w:ascii="Times New Roman" w:hAnsi="Times New Roman" w:cs="Times New Roman"/>
                <w:snapToGrid w:val="0"/>
                <w:color w:val="auto"/>
                <w:kern w:val="21"/>
                <w:sz w:val="21"/>
                <w:szCs w:val="21"/>
                <w:highlight w:val="none"/>
              </w:rPr>
            </w:pPr>
          </w:p>
        </w:tc>
        <w:tc>
          <w:tcPr>
            <w:tcW w:w="2325" w:type="dxa"/>
            <w:vAlign w:val="center"/>
          </w:tcPr>
          <w:p w14:paraId="031FE119">
            <w:pPr>
              <w:jc w:val="center"/>
              <w:rPr>
                <w:rFonts w:hint="default" w:ascii="Times New Roman" w:hAnsi="Times New Roman" w:cs="Times New Roman"/>
                <w:bCs/>
                <w:color w:val="auto"/>
                <w:sz w:val="21"/>
                <w:szCs w:val="21"/>
                <w:highlight w:val="none"/>
                <w:lang w:bidi="ar"/>
              </w:rPr>
            </w:pPr>
            <w:r>
              <w:rPr>
                <w:rFonts w:hint="default" w:ascii="Times New Roman" w:hAnsi="Times New Roman" w:cs="Times New Roman"/>
                <w:bCs/>
                <w:color w:val="auto"/>
                <w:sz w:val="21"/>
                <w:szCs w:val="21"/>
                <w:highlight w:val="none"/>
                <w:lang w:bidi="ar"/>
              </w:rPr>
              <w:t>废机油</w:t>
            </w:r>
          </w:p>
        </w:tc>
        <w:tc>
          <w:tcPr>
            <w:tcW w:w="1484" w:type="dxa"/>
            <w:vAlign w:val="center"/>
          </w:tcPr>
          <w:p w14:paraId="3C965A06">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170" w:type="dxa"/>
            <w:vAlign w:val="center"/>
          </w:tcPr>
          <w:p w14:paraId="11FAE184">
            <w:pPr>
              <w:spacing w:beforeLines="0" w:afterLines="0" w:line="240" w:lineRule="auto"/>
              <w:jc w:val="center"/>
              <w:rPr>
                <w:rFonts w:hint="default" w:ascii="Times New Roman" w:hAnsi="Times New Roman"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649" w:type="dxa"/>
            <w:vAlign w:val="center"/>
          </w:tcPr>
          <w:p w14:paraId="2825A21A">
            <w:pPr>
              <w:spacing w:beforeLines="0" w:afterLines="0" w:line="240" w:lineRule="auto"/>
              <w:jc w:val="center"/>
              <w:rPr>
                <w:rFonts w:hint="default" w:ascii="Times New Roman" w:hAnsi="Times New Roman"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725" w:type="dxa"/>
            <w:vAlign w:val="center"/>
          </w:tcPr>
          <w:p w14:paraId="30E69244">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Cs w:val="21"/>
                <w:highlight w:val="none"/>
                <w:lang w:val="en-US" w:eastAsia="zh-CN"/>
              </w:rPr>
              <w:t>0.2</w:t>
            </w:r>
            <w:r>
              <w:rPr>
                <w:rFonts w:hint="default" w:ascii="Times New Roman" w:hAnsi="Times New Roman" w:cs="Times New Roman"/>
                <w:color w:val="auto"/>
                <w:highlight w:val="none"/>
              </w:rPr>
              <w:t>t/a</w:t>
            </w:r>
          </w:p>
        </w:tc>
        <w:tc>
          <w:tcPr>
            <w:tcW w:w="1292" w:type="dxa"/>
            <w:vAlign w:val="center"/>
          </w:tcPr>
          <w:p w14:paraId="1D05053C">
            <w:pPr>
              <w:spacing w:beforeLines="0" w:afterLines="0" w:line="240" w:lineRule="auto"/>
              <w:jc w:val="center"/>
              <w:rPr>
                <w:rFonts w:hint="default" w:ascii="Times New Roman" w:hAnsi="Times New Roman"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424" w:type="dxa"/>
            <w:vAlign w:val="center"/>
          </w:tcPr>
          <w:p w14:paraId="0B45E489">
            <w:pPr>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cs="Times New Roman"/>
                <w:color w:val="auto"/>
                <w:szCs w:val="21"/>
                <w:highlight w:val="none"/>
                <w:lang w:val="en-US" w:eastAsia="zh-CN"/>
              </w:rPr>
              <w:t>0.2</w:t>
            </w:r>
            <w:r>
              <w:rPr>
                <w:rFonts w:hint="default" w:ascii="Times New Roman" w:hAnsi="Times New Roman" w:cs="Times New Roman"/>
                <w:color w:val="auto"/>
                <w:highlight w:val="none"/>
              </w:rPr>
              <w:t>t/a</w:t>
            </w:r>
          </w:p>
        </w:tc>
        <w:tc>
          <w:tcPr>
            <w:tcW w:w="1873" w:type="dxa"/>
            <w:vAlign w:val="center"/>
          </w:tcPr>
          <w:p w14:paraId="6A108F50">
            <w:pPr>
              <w:jc w:val="center"/>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color w:val="auto"/>
                <w:highlight w:val="none"/>
                <w:lang w:val="en-US" w:eastAsia="zh-CN"/>
              </w:rPr>
              <w:t>+</w:t>
            </w:r>
            <w:r>
              <w:rPr>
                <w:rFonts w:hint="default" w:ascii="Times New Roman" w:hAnsi="Times New Roman" w:cs="Times New Roman"/>
                <w:color w:val="auto"/>
                <w:szCs w:val="21"/>
                <w:highlight w:val="none"/>
                <w:lang w:val="en-US" w:eastAsia="zh-CN"/>
              </w:rPr>
              <w:t>0.2</w:t>
            </w:r>
            <w:r>
              <w:rPr>
                <w:rFonts w:hint="default" w:ascii="Times New Roman" w:hAnsi="Times New Roman" w:cs="Times New Roman"/>
                <w:color w:val="auto"/>
                <w:highlight w:val="none"/>
              </w:rPr>
              <w:t>t/a</w:t>
            </w:r>
          </w:p>
        </w:tc>
      </w:tr>
      <w:tr w14:paraId="423E79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1094" w:type="dxa"/>
            <w:vMerge w:val="continue"/>
            <w:vAlign w:val="center"/>
          </w:tcPr>
          <w:p w14:paraId="09AE48FF">
            <w:pPr>
              <w:pStyle w:val="83"/>
              <w:keepNext w:val="0"/>
              <w:keepLines w:val="0"/>
              <w:pageBreakBefore w:val="0"/>
              <w:widowControl w:val="0"/>
              <w:kinsoku/>
              <w:wordWrap/>
              <w:overflowPunct/>
              <w:topLinePunct w:val="0"/>
              <w:autoSpaceDE/>
              <w:autoSpaceDN/>
              <w:bidi w:val="0"/>
              <w:adjustRightInd w:val="0"/>
              <w:snapToGrid w:val="0"/>
              <w:spacing w:beforeLines="0" w:afterLines="0" w:line="240" w:lineRule="auto"/>
              <w:ind w:left="0" w:firstLine="0" w:firstLineChars="0"/>
              <w:textAlignment w:val="auto"/>
              <w:rPr>
                <w:rFonts w:hint="default" w:ascii="Times New Roman" w:hAnsi="Times New Roman" w:cs="Times New Roman"/>
                <w:snapToGrid w:val="0"/>
                <w:color w:val="auto"/>
                <w:kern w:val="21"/>
                <w:sz w:val="21"/>
                <w:szCs w:val="21"/>
                <w:highlight w:val="none"/>
              </w:rPr>
            </w:pPr>
          </w:p>
        </w:tc>
        <w:tc>
          <w:tcPr>
            <w:tcW w:w="2325" w:type="dxa"/>
            <w:vAlign w:val="center"/>
          </w:tcPr>
          <w:p w14:paraId="08CE40B0">
            <w:pPr>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bCs/>
                <w:color w:val="auto"/>
                <w:szCs w:val="21"/>
                <w:highlight w:val="none"/>
                <w:lang w:bidi="ar"/>
              </w:rPr>
              <w:t>废机油</w:t>
            </w:r>
            <w:r>
              <w:rPr>
                <w:rFonts w:hint="default" w:ascii="Times New Roman" w:hAnsi="Times New Roman" w:cs="Times New Roman"/>
                <w:bCs/>
                <w:color w:val="auto"/>
                <w:szCs w:val="21"/>
                <w:highlight w:val="none"/>
                <w:lang w:eastAsia="zh-CN" w:bidi="ar"/>
              </w:rPr>
              <w:t xml:space="preserve">桶 </w:t>
            </w:r>
          </w:p>
        </w:tc>
        <w:tc>
          <w:tcPr>
            <w:tcW w:w="1484" w:type="dxa"/>
            <w:vAlign w:val="center"/>
          </w:tcPr>
          <w:p w14:paraId="257323E2">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170" w:type="dxa"/>
            <w:vAlign w:val="center"/>
          </w:tcPr>
          <w:p w14:paraId="440F63B3">
            <w:pPr>
              <w:spacing w:beforeLines="0" w:afterLines="0" w:line="240" w:lineRule="auto"/>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lang w:val="en-US" w:eastAsia="zh-CN"/>
              </w:rPr>
              <w:t>0</w:t>
            </w:r>
          </w:p>
        </w:tc>
        <w:tc>
          <w:tcPr>
            <w:tcW w:w="1649" w:type="dxa"/>
            <w:vAlign w:val="center"/>
          </w:tcPr>
          <w:p w14:paraId="32D4F5D8">
            <w:pPr>
              <w:spacing w:beforeLines="0" w:afterLines="0" w:line="240" w:lineRule="auto"/>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lang w:val="en-US" w:eastAsia="zh-CN"/>
              </w:rPr>
              <w:t>0</w:t>
            </w:r>
          </w:p>
        </w:tc>
        <w:tc>
          <w:tcPr>
            <w:tcW w:w="1725" w:type="dxa"/>
            <w:vAlign w:val="center"/>
          </w:tcPr>
          <w:p w14:paraId="47173C8A">
            <w:pPr>
              <w:jc w:val="center"/>
              <w:rPr>
                <w:rFonts w:hint="default" w:ascii="Times New Roman" w:hAnsi="Times New Roman" w:eastAsia="宋体" w:cs="Times New Roman"/>
                <w:snapToGrid w:val="0"/>
                <w:color w:val="auto"/>
                <w:kern w:val="21"/>
                <w:sz w:val="21"/>
                <w:szCs w:val="21"/>
                <w:highlight w:val="none"/>
                <w:lang w:eastAsia="zh-CN"/>
              </w:rPr>
            </w:pPr>
            <w:r>
              <w:rPr>
                <w:rFonts w:hint="default" w:ascii="Times New Roman" w:hAnsi="Times New Roman" w:eastAsia="宋体" w:cs="Times New Roman"/>
                <w:color w:val="auto"/>
                <w:szCs w:val="21"/>
                <w:highlight w:val="none"/>
                <w:lang w:val="en-US" w:eastAsia="zh-CN"/>
              </w:rPr>
              <w:t>0.04</w:t>
            </w:r>
            <w:r>
              <w:rPr>
                <w:rFonts w:hint="default" w:ascii="Times New Roman" w:hAnsi="Times New Roman" w:cs="Times New Roman"/>
                <w:color w:val="auto"/>
                <w:highlight w:val="none"/>
              </w:rPr>
              <w:t>t/a</w:t>
            </w:r>
          </w:p>
        </w:tc>
        <w:tc>
          <w:tcPr>
            <w:tcW w:w="1292" w:type="dxa"/>
            <w:vAlign w:val="center"/>
          </w:tcPr>
          <w:p w14:paraId="386FA5CF">
            <w:pPr>
              <w:spacing w:beforeLines="0" w:afterLines="0" w:line="240" w:lineRule="auto"/>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lang w:val="en-US" w:eastAsia="zh-CN"/>
              </w:rPr>
              <w:t>0</w:t>
            </w:r>
          </w:p>
        </w:tc>
        <w:tc>
          <w:tcPr>
            <w:tcW w:w="1424" w:type="dxa"/>
            <w:vAlign w:val="center"/>
          </w:tcPr>
          <w:p w14:paraId="0A0BD319">
            <w:pPr>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color w:val="auto"/>
                <w:szCs w:val="21"/>
                <w:highlight w:val="none"/>
                <w:lang w:val="en-US" w:eastAsia="zh-CN"/>
              </w:rPr>
              <w:t>0.04</w:t>
            </w:r>
            <w:r>
              <w:rPr>
                <w:rFonts w:hint="default" w:ascii="Times New Roman" w:hAnsi="Times New Roman" w:cs="Times New Roman"/>
                <w:color w:val="auto"/>
                <w:highlight w:val="none"/>
              </w:rPr>
              <w:t>t/a</w:t>
            </w:r>
          </w:p>
        </w:tc>
        <w:tc>
          <w:tcPr>
            <w:tcW w:w="1873" w:type="dxa"/>
            <w:vAlign w:val="center"/>
          </w:tcPr>
          <w:p w14:paraId="1824625A">
            <w:pPr>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highlight w:val="none"/>
                <w:lang w:val="en-US" w:eastAsia="zh-CN"/>
              </w:rPr>
              <w:t>+</w:t>
            </w:r>
            <w:r>
              <w:rPr>
                <w:rFonts w:hint="default" w:ascii="Times New Roman" w:hAnsi="Times New Roman" w:eastAsia="宋体" w:cs="Times New Roman"/>
                <w:color w:val="auto"/>
                <w:szCs w:val="21"/>
                <w:highlight w:val="none"/>
                <w:lang w:val="en-US" w:eastAsia="zh-CN"/>
              </w:rPr>
              <w:t>0.04</w:t>
            </w:r>
            <w:r>
              <w:rPr>
                <w:rFonts w:hint="default" w:ascii="Times New Roman" w:hAnsi="Times New Roman" w:cs="Times New Roman"/>
                <w:color w:val="auto"/>
                <w:highlight w:val="none"/>
              </w:rPr>
              <w:t>t/a</w:t>
            </w:r>
          </w:p>
        </w:tc>
      </w:tr>
      <w:tr w14:paraId="47B4EF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094" w:type="dxa"/>
            <w:vAlign w:val="center"/>
          </w:tcPr>
          <w:p w14:paraId="75343C99">
            <w:pPr>
              <w:pStyle w:val="83"/>
              <w:keepNext w:val="0"/>
              <w:keepLines w:val="0"/>
              <w:pageBreakBefore w:val="0"/>
              <w:widowControl w:val="0"/>
              <w:kinsoku/>
              <w:wordWrap/>
              <w:overflowPunct/>
              <w:topLinePunct w:val="0"/>
              <w:autoSpaceDE/>
              <w:autoSpaceDN/>
              <w:bidi w:val="0"/>
              <w:adjustRightInd w:val="0"/>
              <w:snapToGrid w:val="0"/>
              <w:spacing w:beforeLines="0" w:afterLines="0" w:line="240" w:lineRule="auto"/>
              <w:ind w:left="0" w:firstLine="0" w:firstLineChars="0"/>
              <w:textAlignment w:val="auto"/>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 xml:space="preserve">生活垃圾                </w:t>
            </w:r>
          </w:p>
        </w:tc>
        <w:tc>
          <w:tcPr>
            <w:tcW w:w="2325" w:type="dxa"/>
            <w:vAlign w:val="center"/>
          </w:tcPr>
          <w:p w14:paraId="61CE6E1F">
            <w:pPr>
              <w:topLinePunct/>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生活垃圾</w:t>
            </w:r>
          </w:p>
        </w:tc>
        <w:tc>
          <w:tcPr>
            <w:tcW w:w="1484" w:type="dxa"/>
            <w:vAlign w:val="center"/>
          </w:tcPr>
          <w:p w14:paraId="4EA4E1F1">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0</w:t>
            </w:r>
          </w:p>
        </w:tc>
        <w:tc>
          <w:tcPr>
            <w:tcW w:w="1170" w:type="dxa"/>
            <w:vAlign w:val="center"/>
          </w:tcPr>
          <w:p w14:paraId="19E61531">
            <w:pPr>
              <w:spacing w:beforeLines="0" w:afterLines="0" w:line="240" w:lineRule="auto"/>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lang w:val="en-US" w:eastAsia="zh-CN"/>
              </w:rPr>
              <w:t>0</w:t>
            </w:r>
          </w:p>
        </w:tc>
        <w:tc>
          <w:tcPr>
            <w:tcW w:w="1649" w:type="dxa"/>
            <w:vAlign w:val="center"/>
          </w:tcPr>
          <w:p w14:paraId="3A52A396">
            <w:pPr>
              <w:spacing w:beforeLines="0" w:afterLines="0" w:line="240" w:lineRule="auto"/>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lang w:val="en-US" w:eastAsia="zh-CN"/>
              </w:rPr>
              <w:t>0</w:t>
            </w:r>
          </w:p>
        </w:tc>
        <w:tc>
          <w:tcPr>
            <w:tcW w:w="1725" w:type="dxa"/>
            <w:vAlign w:val="center"/>
          </w:tcPr>
          <w:p w14:paraId="6824FDE6">
            <w:pPr>
              <w:jc w:val="center"/>
              <w:rPr>
                <w:rFonts w:hint="default" w:ascii="Times New Roman" w:hAnsi="Times New Roman" w:eastAsia="宋体" w:cs="Times New Roman"/>
                <w:snapToGrid w:val="0"/>
                <w:color w:val="auto"/>
                <w:kern w:val="21"/>
                <w:sz w:val="21"/>
                <w:szCs w:val="21"/>
                <w:highlight w:val="none"/>
              </w:rPr>
            </w:pPr>
            <w:r>
              <w:rPr>
                <w:rFonts w:hint="default" w:ascii="Times New Roman" w:hAnsi="Times New Roman" w:cs="Times New Roman"/>
                <w:bCs/>
                <w:color w:val="auto"/>
                <w:szCs w:val="21"/>
                <w:highlight w:val="none"/>
                <w:lang w:val="en-US" w:eastAsia="zh-CN"/>
              </w:rPr>
              <w:t>9</w:t>
            </w:r>
            <w:r>
              <w:rPr>
                <w:rFonts w:hint="default" w:ascii="Times New Roman" w:hAnsi="Times New Roman" w:cs="Times New Roman"/>
                <w:color w:val="auto"/>
                <w:highlight w:val="none"/>
              </w:rPr>
              <w:t>t/a</w:t>
            </w:r>
          </w:p>
        </w:tc>
        <w:tc>
          <w:tcPr>
            <w:tcW w:w="1292" w:type="dxa"/>
            <w:vAlign w:val="center"/>
          </w:tcPr>
          <w:p w14:paraId="2315D8C4">
            <w:pPr>
              <w:pStyle w:val="83"/>
              <w:spacing w:beforeLines="0" w:afterLines="0" w:line="240" w:lineRule="auto"/>
              <w:rPr>
                <w:rFonts w:hint="default" w:ascii="Times New Roman" w:hAnsi="Times New Roman" w:eastAsia="宋体"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lang w:val="en-US" w:eastAsia="zh-CN"/>
              </w:rPr>
              <w:t>0</w:t>
            </w:r>
          </w:p>
        </w:tc>
        <w:tc>
          <w:tcPr>
            <w:tcW w:w="1424" w:type="dxa"/>
            <w:vAlign w:val="center"/>
          </w:tcPr>
          <w:p w14:paraId="7299CEA6">
            <w:pPr>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cs="Times New Roman"/>
                <w:bCs/>
                <w:color w:val="auto"/>
                <w:szCs w:val="21"/>
                <w:highlight w:val="none"/>
                <w:lang w:val="en-US" w:eastAsia="zh-CN"/>
              </w:rPr>
              <w:t>9</w:t>
            </w:r>
            <w:r>
              <w:rPr>
                <w:rFonts w:hint="default" w:ascii="Times New Roman" w:hAnsi="Times New Roman" w:cs="Times New Roman"/>
                <w:color w:val="auto"/>
                <w:highlight w:val="none"/>
              </w:rPr>
              <w:t>t/a</w:t>
            </w:r>
          </w:p>
        </w:tc>
        <w:tc>
          <w:tcPr>
            <w:tcW w:w="1873" w:type="dxa"/>
            <w:vAlign w:val="center"/>
          </w:tcPr>
          <w:p w14:paraId="64AF29FB">
            <w:pPr>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color w:val="auto"/>
                <w:highlight w:val="none"/>
                <w:lang w:val="en-US" w:eastAsia="zh-CN"/>
              </w:rPr>
              <w:t>+</w:t>
            </w:r>
            <w:r>
              <w:rPr>
                <w:rFonts w:hint="default" w:ascii="Times New Roman" w:hAnsi="Times New Roman" w:cs="Times New Roman"/>
                <w:bCs/>
                <w:color w:val="auto"/>
                <w:szCs w:val="21"/>
                <w:highlight w:val="none"/>
                <w:lang w:val="en-US" w:eastAsia="zh-CN"/>
              </w:rPr>
              <w:t>9</w:t>
            </w:r>
            <w:r>
              <w:rPr>
                <w:rFonts w:hint="default" w:ascii="Times New Roman" w:hAnsi="Times New Roman" w:cs="Times New Roman"/>
                <w:color w:val="auto"/>
                <w:highlight w:val="none"/>
              </w:rPr>
              <w:t>t/a</w:t>
            </w:r>
          </w:p>
        </w:tc>
      </w:tr>
    </w:tbl>
    <w:p w14:paraId="2B0EC81C">
      <w:pPr>
        <w:pStyle w:val="83"/>
        <w:keepNext w:val="0"/>
        <w:keepLines w:val="0"/>
        <w:pageBreakBefore w:val="0"/>
        <w:widowControl w:val="0"/>
        <w:kinsoku/>
        <w:wordWrap/>
        <w:overflowPunct/>
        <w:topLinePunct w:val="0"/>
        <w:autoSpaceDE/>
        <w:autoSpaceDN/>
        <w:bidi w:val="0"/>
        <w:spacing w:beforeLines="0" w:afterLines="0" w:line="240" w:lineRule="auto"/>
        <w:jc w:val="left"/>
        <w:textAlignment w:val="auto"/>
        <w:rPr>
          <w:rFonts w:hint="default" w:ascii="Times New Roman" w:hAnsi="Times New Roman" w:cs="Times New Roman"/>
          <w:snapToGrid w:val="0"/>
          <w:color w:val="auto"/>
          <w:spacing w:val="-6"/>
          <w:kern w:val="21"/>
          <w:sz w:val="21"/>
          <w:szCs w:val="21"/>
          <w:highlight w:val="none"/>
        </w:rPr>
      </w:pPr>
      <w:r>
        <w:rPr>
          <w:rFonts w:hint="default" w:ascii="Times New Roman" w:hAnsi="Times New Roman" w:cs="Times New Roman"/>
          <w:snapToGrid w:val="0"/>
          <w:color w:val="auto"/>
          <w:kern w:val="21"/>
          <w:sz w:val="21"/>
          <w:szCs w:val="21"/>
          <w:highlight w:val="none"/>
        </w:rPr>
        <w:t>注：</w:t>
      </w:r>
      <w:r>
        <w:rPr>
          <w:rFonts w:hint="default" w:ascii="Times New Roman" w:hAnsi="Times New Roman" w:cs="Times New Roman"/>
          <w:snapToGrid w:val="0"/>
          <w:color w:val="auto"/>
          <w:spacing w:val="-16"/>
          <w:kern w:val="21"/>
          <w:sz w:val="21"/>
          <w:szCs w:val="21"/>
          <w:highlight w:val="none"/>
        </w:rPr>
        <w:fldChar w:fldCharType="begin"/>
      </w:r>
      <w:r>
        <w:rPr>
          <w:rFonts w:hint="default" w:ascii="Times New Roman" w:hAnsi="Times New Roman" w:cs="Times New Roman"/>
          <w:snapToGrid w:val="0"/>
          <w:color w:val="auto"/>
          <w:spacing w:val="-16"/>
          <w:kern w:val="21"/>
          <w:sz w:val="21"/>
          <w:szCs w:val="21"/>
          <w:highlight w:val="none"/>
        </w:rPr>
        <w:instrText xml:space="preserve"> = 6 \* GB3 \* MERGEFORMAT </w:instrText>
      </w:r>
      <w:r>
        <w:rPr>
          <w:rFonts w:hint="default" w:ascii="Times New Roman" w:hAnsi="Times New Roman" w:cs="Times New Roman"/>
          <w:snapToGrid w:val="0"/>
          <w:color w:val="auto"/>
          <w:spacing w:val="-16"/>
          <w:kern w:val="21"/>
          <w:sz w:val="21"/>
          <w:szCs w:val="21"/>
          <w:highlight w:val="none"/>
        </w:rPr>
        <w:fldChar w:fldCharType="separate"/>
      </w:r>
      <w:r>
        <w:rPr>
          <w:rFonts w:hint="default" w:ascii="Times New Roman" w:hAnsi="Times New Roman" w:cs="Times New Roman"/>
          <w:color w:val="auto"/>
          <w:sz w:val="21"/>
          <w:szCs w:val="21"/>
          <w:highlight w:val="none"/>
        </w:rPr>
        <w:t>⑥</w:t>
      </w:r>
      <w:r>
        <w:rPr>
          <w:rFonts w:hint="default" w:ascii="Times New Roman" w:hAnsi="Times New Roman" w:cs="Times New Roman"/>
          <w:snapToGrid w:val="0"/>
          <w:color w:val="auto"/>
          <w:spacing w:val="-16"/>
          <w:kern w:val="21"/>
          <w:sz w:val="21"/>
          <w:szCs w:val="21"/>
          <w:highlight w:val="none"/>
        </w:rPr>
        <w:fldChar w:fldCharType="end"/>
      </w:r>
      <w:r>
        <w:rPr>
          <w:rFonts w:hint="default" w:ascii="Times New Roman" w:hAnsi="Times New Roman" w:cs="Times New Roman"/>
          <w:snapToGrid w:val="0"/>
          <w:color w:val="auto"/>
          <w:spacing w:val="-16"/>
          <w:kern w:val="21"/>
          <w:sz w:val="21"/>
          <w:szCs w:val="21"/>
          <w:highlight w:val="none"/>
        </w:rPr>
        <w:t>=</w:t>
      </w:r>
      <w:r>
        <w:rPr>
          <w:rFonts w:hint="default" w:ascii="Times New Roman" w:hAnsi="Times New Roman" w:cs="Times New Roman"/>
          <w:snapToGrid w:val="0"/>
          <w:color w:val="auto"/>
          <w:spacing w:val="-6"/>
          <w:kern w:val="21"/>
          <w:sz w:val="21"/>
          <w:szCs w:val="21"/>
          <w:highlight w:val="none"/>
        </w:rPr>
        <w:fldChar w:fldCharType="begin"/>
      </w:r>
      <w:r>
        <w:rPr>
          <w:rFonts w:hint="default" w:ascii="Times New Roman" w:hAnsi="Times New Roman" w:cs="Times New Roman"/>
          <w:snapToGrid w:val="0"/>
          <w:color w:val="auto"/>
          <w:spacing w:val="-6"/>
          <w:kern w:val="21"/>
          <w:sz w:val="21"/>
          <w:szCs w:val="21"/>
          <w:highlight w:val="none"/>
        </w:rPr>
        <w:instrText xml:space="preserve"> = 1 \* GB3 \* MERGEFORMAT </w:instrText>
      </w:r>
      <w:r>
        <w:rPr>
          <w:rFonts w:hint="default" w:ascii="Times New Roman" w:hAnsi="Times New Roman" w:cs="Times New Roman"/>
          <w:snapToGrid w:val="0"/>
          <w:color w:val="auto"/>
          <w:spacing w:val="-6"/>
          <w:kern w:val="21"/>
          <w:sz w:val="21"/>
          <w:szCs w:val="21"/>
          <w:highlight w:val="none"/>
        </w:rPr>
        <w:fldChar w:fldCharType="separate"/>
      </w:r>
      <w:r>
        <w:rPr>
          <w:rFonts w:hint="default" w:ascii="Times New Roman" w:hAnsi="Times New Roman" w:cs="Times New Roman"/>
          <w:color w:val="auto"/>
          <w:sz w:val="21"/>
          <w:szCs w:val="21"/>
          <w:highlight w:val="none"/>
        </w:rPr>
        <w:t>①</w:t>
      </w:r>
      <w:r>
        <w:rPr>
          <w:rFonts w:hint="default" w:ascii="Times New Roman" w:hAnsi="Times New Roman" w:cs="Times New Roman"/>
          <w:snapToGrid w:val="0"/>
          <w:color w:val="auto"/>
          <w:spacing w:val="-6"/>
          <w:kern w:val="21"/>
          <w:sz w:val="21"/>
          <w:szCs w:val="21"/>
          <w:highlight w:val="none"/>
        </w:rPr>
        <w:fldChar w:fldCharType="end"/>
      </w:r>
      <w:r>
        <w:rPr>
          <w:rFonts w:hint="default" w:ascii="Times New Roman" w:hAnsi="Times New Roman" w:cs="Times New Roman"/>
          <w:snapToGrid w:val="0"/>
          <w:color w:val="auto"/>
          <w:spacing w:val="-6"/>
          <w:kern w:val="21"/>
          <w:sz w:val="21"/>
          <w:szCs w:val="21"/>
          <w:highlight w:val="none"/>
        </w:rPr>
        <w:t>+</w:t>
      </w:r>
      <w:r>
        <w:rPr>
          <w:rFonts w:hint="default" w:ascii="Times New Roman" w:hAnsi="Times New Roman" w:cs="Times New Roman"/>
          <w:snapToGrid w:val="0"/>
          <w:color w:val="auto"/>
          <w:spacing w:val="-6"/>
          <w:kern w:val="21"/>
          <w:sz w:val="21"/>
          <w:szCs w:val="21"/>
          <w:highlight w:val="none"/>
        </w:rPr>
        <w:fldChar w:fldCharType="begin"/>
      </w:r>
      <w:r>
        <w:rPr>
          <w:rFonts w:hint="default" w:ascii="Times New Roman" w:hAnsi="Times New Roman" w:cs="Times New Roman"/>
          <w:snapToGrid w:val="0"/>
          <w:color w:val="auto"/>
          <w:spacing w:val="-6"/>
          <w:kern w:val="21"/>
          <w:sz w:val="21"/>
          <w:szCs w:val="21"/>
          <w:highlight w:val="none"/>
        </w:rPr>
        <w:instrText xml:space="preserve"> = 3 \* GB3 \* MERGEFORMAT </w:instrText>
      </w:r>
      <w:r>
        <w:rPr>
          <w:rFonts w:hint="default" w:ascii="Times New Roman" w:hAnsi="Times New Roman" w:cs="Times New Roman"/>
          <w:snapToGrid w:val="0"/>
          <w:color w:val="auto"/>
          <w:spacing w:val="-6"/>
          <w:kern w:val="21"/>
          <w:sz w:val="21"/>
          <w:szCs w:val="21"/>
          <w:highlight w:val="none"/>
        </w:rPr>
        <w:fldChar w:fldCharType="separate"/>
      </w:r>
      <w:r>
        <w:rPr>
          <w:rFonts w:hint="default" w:ascii="Times New Roman" w:hAnsi="Times New Roman" w:cs="Times New Roman"/>
          <w:color w:val="auto"/>
          <w:sz w:val="21"/>
          <w:szCs w:val="21"/>
          <w:highlight w:val="none"/>
        </w:rPr>
        <w:t>③</w:t>
      </w:r>
      <w:r>
        <w:rPr>
          <w:rFonts w:hint="default" w:ascii="Times New Roman" w:hAnsi="Times New Roman" w:cs="Times New Roman"/>
          <w:snapToGrid w:val="0"/>
          <w:color w:val="auto"/>
          <w:spacing w:val="-6"/>
          <w:kern w:val="21"/>
          <w:sz w:val="21"/>
          <w:szCs w:val="21"/>
          <w:highlight w:val="none"/>
        </w:rPr>
        <w:fldChar w:fldCharType="end"/>
      </w:r>
      <w:r>
        <w:rPr>
          <w:rFonts w:hint="default" w:ascii="Times New Roman" w:hAnsi="Times New Roman" w:cs="Times New Roman"/>
          <w:snapToGrid w:val="0"/>
          <w:color w:val="auto"/>
          <w:spacing w:val="-6"/>
          <w:kern w:val="21"/>
          <w:sz w:val="21"/>
          <w:szCs w:val="21"/>
          <w:highlight w:val="none"/>
        </w:rPr>
        <w:t>+</w:t>
      </w:r>
      <w:r>
        <w:rPr>
          <w:rFonts w:hint="default" w:ascii="Times New Roman" w:hAnsi="Times New Roman" w:cs="Times New Roman"/>
          <w:snapToGrid w:val="0"/>
          <w:color w:val="auto"/>
          <w:spacing w:val="-6"/>
          <w:kern w:val="21"/>
          <w:sz w:val="21"/>
          <w:szCs w:val="21"/>
          <w:highlight w:val="none"/>
        </w:rPr>
        <w:fldChar w:fldCharType="begin"/>
      </w:r>
      <w:r>
        <w:rPr>
          <w:rFonts w:hint="default" w:ascii="Times New Roman" w:hAnsi="Times New Roman" w:cs="Times New Roman"/>
          <w:snapToGrid w:val="0"/>
          <w:color w:val="auto"/>
          <w:spacing w:val="-6"/>
          <w:kern w:val="21"/>
          <w:sz w:val="21"/>
          <w:szCs w:val="21"/>
          <w:highlight w:val="none"/>
        </w:rPr>
        <w:instrText xml:space="preserve"> = 4 \* GB3 \* MERGEFORMAT </w:instrText>
      </w:r>
      <w:r>
        <w:rPr>
          <w:rFonts w:hint="default" w:ascii="Times New Roman" w:hAnsi="Times New Roman" w:cs="Times New Roman"/>
          <w:snapToGrid w:val="0"/>
          <w:color w:val="auto"/>
          <w:spacing w:val="-6"/>
          <w:kern w:val="21"/>
          <w:sz w:val="21"/>
          <w:szCs w:val="21"/>
          <w:highlight w:val="none"/>
        </w:rPr>
        <w:fldChar w:fldCharType="separate"/>
      </w:r>
      <w:r>
        <w:rPr>
          <w:rFonts w:hint="default" w:ascii="Times New Roman" w:hAnsi="Times New Roman" w:cs="Times New Roman"/>
          <w:color w:val="auto"/>
          <w:sz w:val="21"/>
          <w:szCs w:val="21"/>
          <w:highlight w:val="none"/>
        </w:rPr>
        <w:t>④</w:t>
      </w:r>
      <w:r>
        <w:rPr>
          <w:rFonts w:hint="default" w:ascii="Times New Roman" w:hAnsi="Times New Roman" w:cs="Times New Roman"/>
          <w:snapToGrid w:val="0"/>
          <w:color w:val="auto"/>
          <w:spacing w:val="-6"/>
          <w:kern w:val="21"/>
          <w:sz w:val="21"/>
          <w:szCs w:val="21"/>
          <w:highlight w:val="none"/>
        </w:rPr>
        <w:fldChar w:fldCharType="end"/>
      </w:r>
      <w:r>
        <w:rPr>
          <w:rFonts w:hint="default" w:ascii="Times New Roman" w:hAnsi="Times New Roman" w:cs="Times New Roman"/>
          <w:snapToGrid w:val="0"/>
          <w:color w:val="auto"/>
          <w:spacing w:val="-6"/>
          <w:kern w:val="21"/>
          <w:sz w:val="21"/>
          <w:szCs w:val="21"/>
          <w:highlight w:val="none"/>
        </w:rPr>
        <w:t>-</w:t>
      </w:r>
      <w:r>
        <w:rPr>
          <w:rFonts w:hint="default" w:ascii="Times New Roman" w:hAnsi="Times New Roman" w:cs="Times New Roman"/>
          <w:snapToGrid w:val="0"/>
          <w:color w:val="auto"/>
          <w:spacing w:val="-16"/>
          <w:kern w:val="21"/>
          <w:sz w:val="21"/>
          <w:szCs w:val="21"/>
          <w:highlight w:val="none"/>
        </w:rPr>
        <w:fldChar w:fldCharType="begin"/>
      </w:r>
      <w:r>
        <w:rPr>
          <w:rFonts w:hint="default" w:ascii="Times New Roman" w:hAnsi="Times New Roman" w:cs="Times New Roman"/>
          <w:snapToGrid w:val="0"/>
          <w:color w:val="auto"/>
          <w:spacing w:val="-16"/>
          <w:kern w:val="21"/>
          <w:sz w:val="21"/>
          <w:szCs w:val="21"/>
          <w:highlight w:val="none"/>
        </w:rPr>
        <w:instrText xml:space="preserve"> = 5 \* GB3 \* MERGEFORMAT </w:instrText>
      </w:r>
      <w:r>
        <w:rPr>
          <w:rFonts w:hint="default" w:ascii="Times New Roman" w:hAnsi="Times New Roman" w:cs="Times New Roman"/>
          <w:snapToGrid w:val="0"/>
          <w:color w:val="auto"/>
          <w:spacing w:val="-16"/>
          <w:kern w:val="21"/>
          <w:sz w:val="21"/>
          <w:szCs w:val="21"/>
          <w:highlight w:val="none"/>
        </w:rPr>
        <w:fldChar w:fldCharType="separate"/>
      </w:r>
      <w:r>
        <w:rPr>
          <w:rFonts w:hint="default" w:ascii="Times New Roman" w:hAnsi="Times New Roman" w:cs="Times New Roman"/>
          <w:color w:val="auto"/>
          <w:sz w:val="21"/>
          <w:szCs w:val="21"/>
          <w:highlight w:val="none"/>
        </w:rPr>
        <w:t>⑤</w:t>
      </w:r>
      <w:r>
        <w:rPr>
          <w:rFonts w:hint="default" w:ascii="Times New Roman" w:hAnsi="Times New Roman" w:cs="Times New Roman"/>
          <w:snapToGrid w:val="0"/>
          <w:color w:val="auto"/>
          <w:spacing w:val="-16"/>
          <w:kern w:val="21"/>
          <w:sz w:val="21"/>
          <w:szCs w:val="21"/>
          <w:highlight w:val="none"/>
        </w:rPr>
        <w:fldChar w:fldCharType="end"/>
      </w:r>
      <w:r>
        <w:rPr>
          <w:rFonts w:hint="default" w:ascii="Times New Roman" w:hAnsi="Times New Roman" w:cs="Times New Roman"/>
          <w:snapToGrid w:val="0"/>
          <w:color w:val="auto"/>
          <w:spacing w:val="-16"/>
          <w:kern w:val="21"/>
          <w:sz w:val="21"/>
          <w:szCs w:val="21"/>
          <w:highlight w:val="none"/>
        </w:rPr>
        <w:t>；</w:t>
      </w:r>
      <w:r>
        <w:rPr>
          <w:rFonts w:hint="default" w:ascii="Times New Roman" w:hAnsi="Times New Roman" w:cs="Times New Roman"/>
          <w:snapToGrid w:val="0"/>
          <w:color w:val="auto"/>
          <w:spacing w:val="-6"/>
          <w:kern w:val="21"/>
          <w:sz w:val="21"/>
          <w:szCs w:val="21"/>
          <w:highlight w:val="none"/>
        </w:rPr>
        <w:fldChar w:fldCharType="begin"/>
      </w:r>
      <w:r>
        <w:rPr>
          <w:rFonts w:hint="default" w:ascii="Times New Roman" w:hAnsi="Times New Roman" w:cs="Times New Roman"/>
          <w:snapToGrid w:val="0"/>
          <w:color w:val="auto"/>
          <w:spacing w:val="-6"/>
          <w:kern w:val="21"/>
          <w:sz w:val="21"/>
          <w:szCs w:val="21"/>
          <w:highlight w:val="none"/>
        </w:rPr>
        <w:instrText xml:space="preserve"> = 7 \* GB3 \* MERGEFORMAT </w:instrText>
      </w:r>
      <w:r>
        <w:rPr>
          <w:rFonts w:hint="default" w:ascii="Times New Roman" w:hAnsi="Times New Roman" w:cs="Times New Roman"/>
          <w:snapToGrid w:val="0"/>
          <w:color w:val="auto"/>
          <w:spacing w:val="-6"/>
          <w:kern w:val="21"/>
          <w:sz w:val="21"/>
          <w:szCs w:val="21"/>
          <w:highlight w:val="none"/>
        </w:rPr>
        <w:fldChar w:fldCharType="separate"/>
      </w:r>
      <w:r>
        <w:rPr>
          <w:rFonts w:hint="default" w:ascii="Times New Roman" w:hAnsi="Times New Roman" w:cs="Times New Roman"/>
          <w:color w:val="auto"/>
          <w:sz w:val="21"/>
          <w:szCs w:val="21"/>
          <w:highlight w:val="none"/>
        </w:rPr>
        <w:t>⑦</w:t>
      </w:r>
      <w:r>
        <w:rPr>
          <w:rFonts w:hint="default" w:ascii="Times New Roman" w:hAnsi="Times New Roman" w:cs="Times New Roman"/>
          <w:snapToGrid w:val="0"/>
          <w:color w:val="auto"/>
          <w:spacing w:val="-6"/>
          <w:kern w:val="21"/>
          <w:sz w:val="21"/>
          <w:szCs w:val="21"/>
          <w:highlight w:val="none"/>
        </w:rPr>
        <w:fldChar w:fldCharType="end"/>
      </w:r>
      <w:r>
        <w:rPr>
          <w:rFonts w:hint="default" w:ascii="Times New Roman" w:hAnsi="Times New Roman" w:cs="Times New Roman"/>
          <w:snapToGrid w:val="0"/>
          <w:color w:val="auto"/>
          <w:spacing w:val="-6"/>
          <w:kern w:val="21"/>
          <w:sz w:val="21"/>
          <w:szCs w:val="21"/>
          <w:highlight w:val="none"/>
        </w:rPr>
        <w:t>=</w:t>
      </w:r>
      <w:r>
        <w:rPr>
          <w:rFonts w:hint="default" w:ascii="Times New Roman" w:hAnsi="Times New Roman" w:cs="Times New Roman"/>
          <w:snapToGrid w:val="0"/>
          <w:color w:val="auto"/>
          <w:spacing w:val="-16"/>
          <w:kern w:val="21"/>
          <w:sz w:val="21"/>
          <w:szCs w:val="21"/>
          <w:highlight w:val="none"/>
        </w:rPr>
        <w:fldChar w:fldCharType="begin"/>
      </w:r>
      <w:r>
        <w:rPr>
          <w:rFonts w:hint="default" w:ascii="Times New Roman" w:hAnsi="Times New Roman" w:cs="Times New Roman"/>
          <w:snapToGrid w:val="0"/>
          <w:color w:val="auto"/>
          <w:spacing w:val="-16"/>
          <w:kern w:val="21"/>
          <w:sz w:val="21"/>
          <w:szCs w:val="21"/>
          <w:highlight w:val="none"/>
        </w:rPr>
        <w:instrText xml:space="preserve"> = 6 \* GB3 \* MERGEFORMAT </w:instrText>
      </w:r>
      <w:r>
        <w:rPr>
          <w:rFonts w:hint="default" w:ascii="Times New Roman" w:hAnsi="Times New Roman" w:cs="Times New Roman"/>
          <w:snapToGrid w:val="0"/>
          <w:color w:val="auto"/>
          <w:spacing w:val="-16"/>
          <w:kern w:val="21"/>
          <w:sz w:val="21"/>
          <w:szCs w:val="21"/>
          <w:highlight w:val="none"/>
        </w:rPr>
        <w:fldChar w:fldCharType="separate"/>
      </w:r>
      <w:r>
        <w:rPr>
          <w:rFonts w:hint="default" w:ascii="Times New Roman" w:hAnsi="Times New Roman" w:cs="Times New Roman"/>
          <w:color w:val="auto"/>
          <w:sz w:val="21"/>
          <w:szCs w:val="21"/>
          <w:highlight w:val="none"/>
        </w:rPr>
        <w:t>⑥</w:t>
      </w:r>
      <w:r>
        <w:rPr>
          <w:rFonts w:hint="default" w:ascii="Times New Roman" w:hAnsi="Times New Roman" w:cs="Times New Roman"/>
          <w:snapToGrid w:val="0"/>
          <w:color w:val="auto"/>
          <w:spacing w:val="-16"/>
          <w:kern w:val="21"/>
          <w:sz w:val="21"/>
          <w:szCs w:val="21"/>
          <w:highlight w:val="none"/>
        </w:rPr>
        <w:fldChar w:fldCharType="end"/>
      </w:r>
      <w:r>
        <w:rPr>
          <w:rFonts w:hint="default" w:ascii="Times New Roman" w:hAnsi="Times New Roman" w:cs="Times New Roman"/>
          <w:snapToGrid w:val="0"/>
          <w:color w:val="auto"/>
          <w:spacing w:val="-16"/>
          <w:kern w:val="21"/>
          <w:sz w:val="21"/>
          <w:szCs w:val="21"/>
          <w:highlight w:val="none"/>
        </w:rPr>
        <w:t>-</w:t>
      </w:r>
      <w:r>
        <w:rPr>
          <w:rFonts w:hint="default" w:ascii="Times New Roman" w:hAnsi="Times New Roman" w:cs="Times New Roman"/>
          <w:snapToGrid w:val="0"/>
          <w:color w:val="auto"/>
          <w:spacing w:val="-6"/>
          <w:kern w:val="21"/>
          <w:sz w:val="21"/>
          <w:szCs w:val="21"/>
          <w:highlight w:val="none"/>
        </w:rPr>
        <w:fldChar w:fldCharType="begin"/>
      </w:r>
      <w:r>
        <w:rPr>
          <w:rFonts w:hint="default" w:ascii="Times New Roman" w:hAnsi="Times New Roman" w:cs="Times New Roman"/>
          <w:snapToGrid w:val="0"/>
          <w:color w:val="auto"/>
          <w:spacing w:val="-6"/>
          <w:kern w:val="21"/>
          <w:sz w:val="21"/>
          <w:szCs w:val="21"/>
          <w:highlight w:val="none"/>
        </w:rPr>
        <w:instrText xml:space="preserve"> = 1 \* GB3 \* MERGEFORMAT </w:instrText>
      </w:r>
      <w:r>
        <w:rPr>
          <w:rFonts w:hint="default" w:ascii="Times New Roman" w:hAnsi="Times New Roman" w:cs="Times New Roman"/>
          <w:snapToGrid w:val="0"/>
          <w:color w:val="auto"/>
          <w:spacing w:val="-6"/>
          <w:kern w:val="21"/>
          <w:sz w:val="21"/>
          <w:szCs w:val="21"/>
          <w:highlight w:val="none"/>
        </w:rPr>
        <w:fldChar w:fldCharType="separate"/>
      </w:r>
      <w:r>
        <w:rPr>
          <w:rFonts w:hint="default" w:ascii="Times New Roman" w:hAnsi="Times New Roman" w:cs="Times New Roman"/>
          <w:color w:val="auto"/>
          <w:sz w:val="21"/>
          <w:szCs w:val="21"/>
          <w:highlight w:val="none"/>
        </w:rPr>
        <w:t>①</w:t>
      </w:r>
      <w:r>
        <w:rPr>
          <w:rFonts w:hint="default" w:ascii="Times New Roman" w:hAnsi="Times New Roman" w:cs="Times New Roman"/>
          <w:snapToGrid w:val="0"/>
          <w:color w:val="auto"/>
          <w:spacing w:val="-6"/>
          <w:kern w:val="21"/>
          <w:sz w:val="21"/>
          <w:szCs w:val="21"/>
          <w:highlight w:val="none"/>
        </w:rPr>
        <w:fldChar w:fldCharType="end"/>
      </w:r>
    </w:p>
    <w:p w14:paraId="1218B6E8">
      <w:pPr>
        <w:keepNext w:val="0"/>
        <w:keepLines w:val="0"/>
        <w:pageBreakBefore w:val="0"/>
        <w:widowControl w:val="0"/>
        <w:kinsoku/>
        <w:wordWrap/>
        <w:overflowPunct/>
        <w:topLinePunct w:val="0"/>
        <w:autoSpaceDE/>
        <w:autoSpaceDN/>
        <w:bidi w:val="0"/>
        <w:spacing w:line="240" w:lineRule="auto"/>
        <w:textAlignment w:val="auto"/>
        <w:rPr>
          <w:rFonts w:hint="default" w:ascii="Times New Roman" w:hAnsi="Times New Roman" w:cs="Times New Roman"/>
          <w:color w:val="0000FF"/>
          <w:sz w:val="21"/>
          <w:szCs w:val="21"/>
          <w:highlight w:val="none"/>
        </w:rPr>
        <w:sectPr>
          <w:footerReference r:id="rId6" w:type="default"/>
          <w:pgSz w:w="16838" w:h="11906" w:orient="landscape"/>
          <w:pgMar w:top="1440" w:right="1440" w:bottom="1440" w:left="1440" w:header="851" w:footer="851" w:gutter="0"/>
          <w:pgNumType w:fmt="decimal"/>
          <w:cols w:space="720" w:num="1"/>
          <w:docGrid w:linePitch="312" w:charSpace="0"/>
        </w:sectPr>
      </w:pPr>
    </w:p>
    <w:p w14:paraId="30D40533">
      <w:pPr>
        <w:pStyle w:val="51"/>
        <w:keepNext w:val="0"/>
        <w:keepLines w:val="0"/>
        <w:pageBreakBefore w:val="0"/>
        <w:widowControl w:val="0"/>
        <w:kinsoku/>
        <w:wordWrap/>
        <w:overflowPunct/>
        <w:topLinePunct w:val="0"/>
        <w:autoSpaceDE/>
        <w:autoSpaceDN/>
        <w:bidi w:val="0"/>
        <w:adjustRightInd w:val="0"/>
        <w:snapToGrid w:val="0"/>
        <w:jc w:val="center"/>
        <w:textAlignment w:val="auto"/>
        <w:rPr>
          <w:rFonts w:hint="default" w:cs="Times New Roman"/>
          <w:b/>
          <w:bCs/>
          <w:lang w:val="en-US" w:eastAsia="zh-CN"/>
        </w:rPr>
      </w:pPr>
    </w:p>
    <w:sectPr>
      <w:footerReference r:id="rId7" w:type="default"/>
      <w:pgSz w:w="11906" w:h="16838"/>
      <w:pgMar w:top="1134" w:right="1134" w:bottom="1134" w:left="1134" w:header="720" w:footer="720" w:gutter="0"/>
      <w:pgNumType w:fmt="decimal"/>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swiss"/>
    <w:pitch w:val="default"/>
    <w:sig w:usb0="00000000" w:usb1="00000000" w:usb2="0000007F" w:usb3="00000000" w:csb0="203F01FF" w:csb1="DFFF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Roman">
    <w:altName w:val="Times New Roman"/>
    <w:panose1 w:val="00000000000000000000"/>
    <w:charset w:val="00"/>
    <w:family w:val="roman"/>
    <w:pitch w:val="default"/>
    <w:sig w:usb0="00000000" w:usb1="00000000" w:usb2="00000000" w:usb3="00000000" w:csb0="00040001" w:csb1="00000000"/>
  </w:font>
  <w:font w:name="Yu Mincho Light">
    <w:altName w:val="MS Gothic"/>
    <w:panose1 w:val="00000000000000000000"/>
    <w:charset w:val="80"/>
    <w:family w:val="roman"/>
    <w:pitch w:val="default"/>
    <w:sig w:usb0="00000000" w:usb1="00000000" w:usb2="00000012" w:usb3="00000000" w:csb0="0002009F" w:csb1="00000000"/>
  </w:font>
  <w:font w:name="MS Gothic">
    <w:panose1 w:val="020B0609070205080204"/>
    <w:charset w:val="80"/>
    <w:family w:val="auto"/>
    <w:pitch w:val="default"/>
    <w:sig w:usb0="E00002FF" w:usb1="6AC7FDFB" w:usb2="08000012" w:usb3="00000000" w:csb0="4002009F" w:csb1="DFD7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方正小标宋_GBK">
    <w:altName w:val="微软雅黑"/>
    <w:panose1 w:val="02000000000000000000"/>
    <w:charset w:val="86"/>
    <w:family w:val="script"/>
    <w:pitch w:val="default"/>
    <w:sig w:usb0="00000000" w:usb1="00000000"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3C650E">
    <w:pPr>
      <w:pStyle w:val="22"/>
      <w:ind w:right="360" w:firstLine="360"/>
    </w:pPr>
    <w:r>
      <w:rPr>
        <w:sz w:val="18"/>
      </w:rPr>
      <mc:AlternateContent>
        <mc:Choice Requires="wps">
          <w:drawing>
            <wp:anchor distT="0" distB="0" distL="114300" distR="114300" simplePos="0" relativeHeight="251660288" behindDoc="0" locked="0" layoutInCell="1" allowOverlap="1">
              <wp:simplePos x="0" y="0"/>
              <wp:positionH relativeFrom="margin">
                <wp:posOffset>2927350</wp:posOffset>
              </wp:positionH>
              <wp:positionV relativeFrom="paragraph">
                <wp:posOffset>0</wp:posOffset>
              </wp:positionV>
              <wp:extent cx="245745" cy="173990"/>
              <wp:effectExtent l="0" t="0" r="0" b="0"/>
              <wp:wrapNone/>
              <wp:docPr id="237" name="文本框 237"/>
              <wp:cNvGraphicFramePr/>
              <a:graphic xmlns:a="http://schemas.openxmlformats.org/drawingml/2006/main">
                <a:graphicData uri="http://schemas.microsoft.com/office/word/2010/wordprocessingShape">
                  <wps:wsp>
                    <wps:cNvSpPr txBox="1"/>
                    <wps:spPr>
                      <a:xfrm>
                        <a:off x="0" y="0"/>
                        <a:ext cx="245745" cy="1739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E0465F">
                          <w:pPr>
                            <w:pStyle w:val="22"/>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30.5pt;margin-top:0pt;height:13.7pt;width:19.35pt;mso-position-horizontal-relative:margin;z-index:251660288;mso-width-relative:page;mso-height-relative:page;" filled="f" stroked="f" coordsize="21600,21600" o:gfxdata="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rQX6UdgAAAAHAQAADwAAAAAAAAABACAAAAAiAAAAZHJzL2Rv&#10;d25yZXYueG1sUEsBAhQAFAAAAAgAh07iQEEi+Nk6AgAAZQQAAA4AAAAAAAAAAQAgAAAAJwEAAGRy&#10;cy9lMm9Eb2MueG1sUEsFBgAAAAAGAAYAWQEAANMFAAAAAA==&#10;">
              <v:fill on="f" focussize="0,0"/>
              <v:stroke on="f" weight="0.5pt"/>
              <v:imagedata o:title=""/>
              <o:lock v:ext="edit" aspectratio="f"/>
              <v:textbox inset="0mm,0mm,0mm,0mm">
                <w:txbxContent>
                  <w:p w14:paraId="00E0465F">
                    <w:pPr>
                      <w:pStyle w:val="22"/>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EC8CC">
    <w:pPr>
      <w:pStyle w:val="22"/>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2" name="文本框 1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BD06B4">
                          <w:pPr>
                            <w:pStyle w:val="22"/>
                          </w:pPr>
                          <w:r>
                            <w:fldChar w:fldCharType="begin"/>
                          </w:r>
                          <w:r>
                            <w:instrText xml:space="preserve"> PAGE  \* MERGEFORMAT </w:instrText>
                          </w:r>
                          <w:r>
                            <w:fldChar w:fldCharType="separate"/>
                          </w:r>
                          <w:r>
                            <w:t>90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b1M9kz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b1M9kzAgAAZQQAAA4AAAAAAAAAAQAgAAAAHwEAAGRycy9lMm9Eb2MueG1sUEsF&#10;BgAAAAAGAAYAWQEAAMQFAAAAAA==&#10;">
              <v:fill on="f" focussize="0,0"/>
              <v:stroke on="f" weight="0.5pt"/>
              <v:imagedata o:title=""/>
              <o:lock v:ext="edit" aspectratio="f"/>
              <v:textbox inset="0mm,0mm,0mm,0mm" style="mso-fit-shape-to-text:t;">
                <w:txbxContent>
                  <w:p w14:paraId="7CBD06B4">
                    <w:pPr>
                      <w:pStyle w:val="22"/>
                    </w:pPr>
                    <w:r>
                      <w:fldChar w:fldCharType="begin"/>
                    </w:r>
                    <w:r>
                      <w:instrText xml:space="preserve"> PAGE  \* MERGEFORMAT </w:instrText>
                    </w:r>
                    <w:r>
                      <w:fldChar w:fldCharType="separate"/>
                    </w:r>
                    <w:r>
                      <w:t>90</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C7AAC8">
    <w:pPr>
      <w:pStyle w:val="22"/>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594FC1"/>
    <w:multiLevelType w:val="singleLevel"/>
    <w:tmpl w:val="11594FC1"/>
    <w:lvl w:ilvl="0" w:tentative="0">
      <w:start w:val="1"/>
      <w:numFmt w:val="decimal"/>
      <w:suff w:val="nothing"/>
      <w:lvlText w:val="（%1）"/>
      <w:lvlJc w:val="left"/>
    </w:lvl>
  </w:abstractNum>
  <w:abstractNum w:abstractNumId="1">
    <w:nsid w:val="12E4736C"/>
    <w:multiLevelType w:val="singleLevel"/>
    <w:tmpl w:val="12E4736C"/>
    <w:lvl w:ilvl="0" w:tentative="0">
      <w:start w:val="4"/>
      <w:numFmt w:val="decimal"/>
      <w:lvlText w:val="%1."/>
      <w:lvlJc w:val="left"/>
      <w:pPr>
        <w:tabs>
          <w:tab w:val="left" w:pos="312"/>
        </w:tabs>
      </w:pPr>
    </w:lvl>
  </w:abstractNum>
  <w:abstractNum w:abstractNumId="2">
    <w:nsid w:val="2ECE10AE"/>
    <w:multiLevelType w:val="singleLevel"/>
    <w:tmpl w:val="2ECE10AE"/>
    <w:lvl w:ilvl="0" w:tentative="0">
      <w:start w:val="1"/>
      <w:numFmt w:val="decimal"/>
      <w:lvlText w:val="%1."/>
      <w:lvlJc w:val="left"/>
      <w:pPr>
        <w:tabs>
          <w:tab w:val="left" w:pos="312"/>
        </w:tabs>
      </w:pPr>
    </w:lvl>
  </w:abstractNum>
  <w:abstractNum w:abstractNumId="3">
    <w:nsid w:val="34E8C3C4"/>
    <w:multiLevelType w:val="singleLevel"/>
    <w:tmpl w:val="34E8C3C4"/>
    <w:lvl w:ilvl="0" w:tentative="0">
      <w:start w:val="2"/>
      <w:numFmt w:val="decimal"/>
      <w:suff w:val="nothing"/>
      <w:lvlText w:val="（%1）"/>
      <w:lvlJc w:val="left"/>
      <w:pPr>
        <w:ind w:left="-60"/>
      </w:pPr>
    </w:lvl>
  </w:abstractNum>
  <w:abstractNum w:abstractNumId="4">
    <w:nsid w:val="3F317AD8"/>
    <w:multiLevelType w:val="singleLevel"/>
    <w:tmpl w:val="3F317AD8"/>
    <w:lvl w:ilvl="0" w:tentative="0">
      <w:start w:val="1"/>
      <w:numFmt w:val="bullet"/>
      <w:pStyle w:val="9"/>
      <w:lvlText w:val=""/>
      <w:lvlJc w:val="left"/>
      <w:pPr>
        <w:tabs>
          <w:tab w:val="left" w:pos="780"/>
        </w:tabs>
        <w:ind w:left="780" w:hanging="360"/>
      </w:pPr>
      <w:rPr>
        <w:rFonts w:hint="default" w:ascii="Wingdings" w:hAnsi="Wingdings"/>
      </w:rPr>
    </w:lvl>
  </w:abstractNum>
  <w:abstractNum w:abstractNumId="5">
    <w:nsid w:val="66178D65"/>
    <w:multiLevelType w:val="singleLevel"/>
    <w:tmpl w:val="66178D65"/>
    <w:lvl w:ilvl="0" w:tentative="0">
      <w:start w:val="4"/>
      <w:numFmt w:val="decimal"/>
      <w:suff w:val="space"/>
      <w:lvlText w:val="%1."/>
      <w:lvlJc w:val="left"/>
      <w:pPr>
        <w:ind w:left="-62"/>
      </w:pPr>
    </w:lvl>
  </w:abstractNum>
  <w:abstractNum w:abstractNumId="6">
    <w:nsid w:val="68754263"/>
    <w:multiLevelType w:val="multilevel"/>
    <w:tmpl w:val="68754263"/>
    <w:lvl w:ilvl="0" w:tentative="0">
      <w:start w:val="1"/>
      <w:numFmt w:val="chineseCounting"/>
      <w:lvlText w:val="%1、"/>
      <w:lvlJc w:val="left"/>
      <w:pPr>
        <w:tabs>
          <w:tab w:val="left" w:pos="420"/>
        </w:tabs>
        <w:ind w:left="425" w:hanging="425"/>
      </w:pPr>
      <w:rPr>
        <w:rFonts w:hint="eastAsia" w:ascii="宋体" w:hAnsi="宋体" w:eastAsia="宋体" w:cs="宋体"/>
        <w:b/>
        <w:bCs/>
        <w:sz w:val="30"/>
        <w:szCs w:val="30"/>
      </w:rPr>
    </w:lvl>
    <w:lvl w:ilvl="1" w:tentative="0">
      <w:start w:val="1"/>
      <w:numFmt w:val="decimal"/>
      <w:pStyle w:val="96"/>
      <w:isLgl/>
      <w:suff w:val="space"/>
      <w:lvlText w:val="表%1-%2"/>
      <w:lvlJc w:val="left"/>
      <w:pPr>
        <w:tabs>
          <w:tab w:val="left" w:pos="0"/>
        </w:tabs>
        <w:ind w:left="3087" w:hanging="3087"/>
      </w:pPr>
      <w:rPr>
        <w:rFonts w:hint="default" w:ascii="Times New Roman" w:hAnsi="Times New Roman" w:eastAsia="宋体" w:cs="Times New Roman"/>
        <w:sz w:val="24"/>
        <w:szCs w:val="24"/>
      </w:rPr>
    </w:lvl>
    <w:lvl w:ilvl="2" w:tentative="0">
      <w:start w:val="1"/>
      <w:numFmt w:val="none"/>
      <w:lvlText w:val="表3-%1 "/>
      <w:lvlJc w:val="left"/>
      <w:pPr>
        <w:ind w:left="709" w:hanging="709"/>
      </w:pPr>
      <w:rPr>
        <w:rFonts w:hint="eastAsia" w:ascii="宋体" w:hAnsi="宋体" w:eastAsia="宋体" w:cs="宋体"/>
      </w:rPr>
    </w:lvl>
    <w:lvl w:ilvl="3" w:tentative="0">
      <w:start w:val="1"/>
      <w:numFmt w:val="none"/>
      <w:lvlText w:val="表4-%1 "/>
      <w:lvlJc w:val="left"/>
      <w:pPr>
        <w:ind w:left="850" w:hanging="850"/>
      </w:pPr>
      <w:rPr>
        <w:rFonts w:hint="eastAsia" w:ascii="宋体" w:hAnsi="宋体" w:eastAsia="宋体" w:cs="宋体"/>
      </w:rPr>
    </w:lvl>
    <w:lvl w:ilvl="4" w:tentative="0">
      <w:start w:val="1"/>
      <w:numFmt w:val="none"/>
      <w:lvlText w:val="表5-%1 "/>
      <w:lvlJc w:val="left"/>
      <w:pPr>
        <w:ind w:left="991" w:hanging="991"/>
      </w:pPr>
      <w:rPr>
        <w:rFonts w:hint="eastAsia" w:ascii="宋体" w:hAnsi="宋体" w:eastAsia="宋体" w:cs="宋体"/>
      </w:rPr>
    </w:lvl>
    <w:lvl w:ilvl="5" w:tentative="0">
      <w:start w:val="1"/>
      <w:numFmt w:val="none"/>
      <w:lvlText w:val="表6-%1 "/>
      <w:lvlJc w:val="left"/>
      <w:pPr>
        <w:ind w:left="1134" w:hanging="1134"/>
      </w:pPr>
      <w:rPr>
        <w:rFonts w:hint="eastAsia" w:ascii="宋体" w:hAnsi="宋体" w:eastAsia="宋体" w:cs="宋体"/>
      </w:rPr>
    </w:lvl>
    <w:lvl w:ilvl="6" w:tentative="0">
      <w:start w:val="1"/>
      <w:numFmt w:val="none"/>
      <w:lvlText w:val="表7-%1 "/>
      <w:lvlJc w:val="left"/>
      <w:pPr>
        <w:ind w:left="1275" w:hanging="1275"/>
      </w:pPr>
      <w:rPr>
        <w:rFonts w:hint="eastAsia" w:ascii="宋体" w:hAnsi="宋体" w:eastAsia="宋体" w:cs="宋体"/>
      </w:rPr>
    </w:lvl>
    <w:lvl w:ilvl="7" w:tentative="0">
      <w:start w:val="1"/>
      <w:numFmt w:val="none"/>
      <w:lvlText w:val="表8-%1 "/>
      <w:lvlJc w:val="left"/>
      <w:pPr>
        <w:ind w:left="1418" w:hanging="1418"/>
      </w:pPr>
      <w:rPr>
        <w:rFonts w:hint="eastAsia" w:ascii="宋体" w:hAnsi="宋体" w:eastAsia="宋体" w:cs="宋体"/>
      </w:rPr>
    </w:lvl>
    <w:lvl w:ilvl="8" w:tentative="0">
      <w:start w:val="1"/>
      <w:numFmt w:val="none"/>
      <w:lvlText w:val="表9-%1 "/>
      <w:lvlJc w:val="left"/>
      <w:pPr>
        <w:ind w:left="1558" w:hanging="1558"/>
      </w:pPr>
      <w:rPr>
        <w:rFonts w:hint="eastAsia" w:ascii="宋体" w:hAnsi="宋体" w:eastAsia="宋体" w:cs="宋体"/>
      </w:rPr>
    </w:lvl>
  </w:abstractNum>
  <w:num w:numId="1">
    <w:abstractNumId w:val="4"/>
  </w:num>
  <w:num w:numId="2">
    <w:abstractNumId w:val="6"/>
  </w:num>
  <w:num w:numId="3">
    <w:abstractNumId w:val="2"/>
  </w:num>
  <w:num w:numId="4">
    <w:abstractNumId w:val="1"/>
  </w:num>
  <w:num w:numId="5">
    <w:abstractNumId w:val="5"/>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dkYmU2NDI4Njc0Yjk0ZTA4MWQ5NDUxNWQyMzFiNTQifQ=="/>
  </w:docVars>
  <w:rsids>
    <w:rsidRoot w:val="00172A27"/>
    <w:rsid w:val="00013654"/>
    <w:rsid w:val="000143D9"/>
    <w:rsid w:val="0002561E"/>
    <w:rsid w:val="00052A18"/>
    <w:rsid w:val="000A42A7"/>
    <w:rsid w:val="000A552D"/>
    <w:rsid w:val="000B573E"/>
    <w:rsid w:val="000B6B45"/>
    <w:rsid w:val="000C0C91"/>
    <w:rsid w:val="000D3F69"/>
    <w:rsid w:val="000E00AB"/>
    <w:rsid w:val="000E3FC3"/>
    <w:rsid w:val="000E52E7"/>
    <w:rsid w:val="000F13B6"/>
    <w:rsid w:val="00124B60"/>
    <w:rsid w:val="00135135"/>
    <w:rsid w:val="00143AA4"/>
    <w:rsid w:val="00155351"/>
    <w:rsid w:val="001669D4"/>
    <w:rsid w:val="00172A27"/>
    <w:rsid w:val="00196A99"/>
    <w:rsid w:val="002117F7"/>
    <w:rsid w:val="002410F1"/>
    <w:rsid w:val="00245594"/>
    <w:rsid w:val="002671E1"/>
    <w:rsid w:val="00275C59"/>
    <w:rsid w:val="0028264D"/>
    <w:rsid w:val="0028606D"/>
    <w:rsid w:val="00294AD1"/>
    <w:rsid w:val="002F2738"/>
    <w:rsid w:val="00300177"/>
    <w:rsid w:val="00311A5F"/>
    <w:rsid w:val="003128A5"/>
    <w:rsid w:val="00313CC8"/>
    <w:rsid w:val="00326DA6"/>
    <w:rsid w:val="003468AA"/>
    <w:rsid w:val="003550AC"/>
    <w:rsid w:val="00364D50"/>
    <w:rsid w:val="003752C8"/>
    <w:rsid w:val="00386D05"/>
    <w:rsid w:val="003A0914"/>
    <w:rsid w:val="003A6B66"/>
    <w:rsid w:val="003A6C5C"/>
    <w:rsid w:val="003C4A4A"/>
    <w:rsid w:val="003D0404"/>
    <w:rsid w:val="00417E0F"/>
    <w:rsid w:val="00417EF4"/>
    <w:rsid w:val="00425A1B"/>
    <w:rsid w:val="00432C75"/>
    <w:rsid w:val="004479E5"/>
    <w:rsid w:val="004615F6"/>
    <w:rsid w:val="00467AE6"/>
    <w:rsid w:val="00473031"/>
    <w:rsid w:val="00474948"/>
    <w:rsid w:val="00481DEF"/>
    <w:rsid w:val="00490EBE"/>
    <w:rsid w:val="004A126A"/>
    <w:rsid w:val="004A268D"/>
    <w:rsid w:val="004A2E06"/>
    <w:rsid w:val="004B2B21"/>
    <w:rsid w:val="004D6899"/>
    <w:rsid w:val="004E0863"/>
    <w:rsid w:val="004E2611"/>
    <w:rsid w:val="004E43BF"/>
    <w:rsid w:val="004E616D"/>
    <w:rsid w:val="00500138"/>
    <w:rsid w:val="00523EB0"/>
    <w:rsid w:val="005326F9"/>
    <w:rsid w:val="0053420E"/>
    <w:rsid w:val="00537C28"/>
    <w:rsid w:val="005514C3"/>
    <w:rsid w:val="005537C6"/>
    <w:rsid w:val="005714C6"/>
    <w:rsid w:val="0057493B"/>
    <w:rsid w:val="00593490"/>
    <w:rsid w:val="0059473C"/>
    <w:rsid w:val="005A2C38"/>
    <w:rsid w:val="005A489F"/>
    <w:rsid w:val="005C6ADC"/>
    <w:rsid w:val="005F1599"/>
    <w:rsid w:val="005F4BA9"/>
    <w:rsid w:val="005F65CD"/>
    <w:rsid w:val="00610597"/>
    <w:rsid w:val="006140F3"/>
    <w:rsid w:val="00615EAD"/>
    <w:rsid w:val="00616BB5"/>
    <w:rsid w:val="00665831"/>
    <w:rsid w:val="00665BAD"/>
    <w:rsid w:val="0066749F"/>
    <w:rsid w:val="006A1F35"/>
    <w:rsid w:val="006A72B0"/>
    <w:rsid w:val="006B31C3"/>
    <w:rsid w:val="006D20C6"/>
    <w:rsid w:val="006D47A1"/>
    <w:rsid w:val="00726C2C"/>
    <w:rsid w:val="007331E4"/>
    <w:rsid w:val="007402CA"/>
    <w:rsid w:val="00744526"/>
    <w:rsid w:val="007465DF"/>
    <w:rsid w:val="0075194C"/>
    <w:rsid w:val="00755DF0"/>
    <w:rsid w:val="00767033"/>
    <w:rsid w:val="00770424"/>
    <w:rsid w:val="00774B32"/>
    <w:rsid w:val="0077731D"/>
    <w:rsid w:val="0078396B"/>
    <w:rsid w:val="007958E0"/>
    <w:rsid w:val="00796E84"/>
    <w:rsid w:val="007A1121"/>
    <w:rsid w:val="007D4296"/>
    <w:rsid w:val="007E2EF7"/>
    <w:rsid w:val="007F4616"/>
    <w:rsid w:val="007F5350"/>
    <w:rsid w:val="008102F1"/>
    <w:rsid w:val="00810C03"/>
    <w:rsid w:val="00814795"/>
    <w:rsid w:val="00816543"/>
    <w:rsid w:val="00824719"/>
    <w:rsid w:val="0083050D"/>
    <w:rsid w:val="008423B0"/>
    <w:rsid w:val="0086286A"/>
    <w:rsid w:val="00867FFD"/>
    <w:rsid w:val="00877F19"/>
    <w:rsid w:val="00895298"/>
    <w:rsid w:val="008A2738"/>
    <w:rsid w:val="008D1457"/>
    <w:rsid w:val="008D313A"/>
    <w:rsid w:val="008E2A0E"/>
    <w:rsid w:val="008E390F"/>
    <w:rsid w:val="008E6C31"/>
    <w:rsid w:val="00907B3B"/>
    <w:rsid w:val="00913B9C"/>
    <w:rsid w:val="009444C8"/>
    <w:rsid w:val="0098242A"/>
    <w:rsid w:val="00991ADF"/>
    <w:rsid w:val="009B0CF2"/>
    <w:rsid w:val="009C4EAC"/>
    <w:rsid w:val="009D033E"/>
    <w:rsid w:val="009D0EA3"/>
    <w:rsid w:val="009E35CF"/>
    <w:rsid w:val="009E5347"/>
    <w:rsid w:val="009F3D66"/>
    <w:rsid w:val="00A10993"/>
    <w:rsid w:val="00A23749"/>
    <w:rsid w:val="00A3018A"/>
    <w:rsid w:val="00A3295D"/>
    <w:rsid w:val="00A364B9"/>
    <w:rsid w:val="00A40483"/>
    <w:rsid w:val="00A566D5"/>
    <w:rsid w:val="00A641FB"/>
    <w:rsid w:val="00A65FA9"/>
    <w:rsid w:val="00A746C4"/>
    <w:rsid w:val="00A83AD0"/>
    <w:rsid w:val="00A840A3"/>
    <w:rsid w:val="00AA5E84"/>
    <w:rsid w:val="00AA64BF"/>
    <w:rsid w:val="00AB35C0"/>
    <w:rsid w:val="00AB7A64"/>
    <w:rsid w:val="00AD7338"/>
    <w:rsid w:val="00AE30B0"/>
    <w:rsid w:val="00B00BD6"/>
    <w:rsid w:val="00B02347"/>
    <w:rsid w:val="00B06E28"/>
    <w:rsid w:val="00B1610B"/>
    <w:rsid w:val="00B1674F"/>
    <w:rsid w:val="00B1727E"/>
    <w:rsid w:val="00B3474A"/>
    <w:rsid w:val="00B91918"/>
    <w:rsid w:val="00BA3803"/>
    <w:rsid w:val="00BC57CD"/>
    <w:rsid w:val="00BE2405"/>
    <w:rsid w:val="00BE32F3"/>
    <w:rsid w:val="00BF23D9"/>
    <w:rsid w:val="00C84172"/>
    <w:rsid w:val="00C91C98"/>
    <w:rsid w:val="00CA1CCC"/>
    <w:rsid w:val="00CA613C"/>
    <w:rsid w:val="00CD1788"/>
    <w:rsid w:val="00D01307"/>
    <w:rsid w:val="00D074CA"/>
    <w:rsid w:val="00D1645E"/>
    <w:rsid w:val="00D26D9F"/>
    <w:rsid w:val="00D64AE1"/>
    <w:rsid w:val="00D74D61"/>
    <w:rsid w:val="00D9637F"/>
    <w:rsid w:val="00DB3D48"/>
    <w:rsid w:val="00DC7D05"/>
    <w:rsid w:val="00DD6755"/>
    <w:rsid w:val="00DE21A3"/>
    <w:rsid w:val="00DE3523"/>
    <w:rsid w:val="00DE3995"/>
    <w:rsid w:val="00DE5743"/>
    <w:rsid w:val="00E16FE2"/>
    <w:rsid w:val="00E645F8"/>
    <w:rsid w:val="00E82796"/>
    <w:rsid w:val="00E865C2"/>
    <w:rsid w:val="00E86DF9"/>
    <w:rsid w:val="00ED3BD8"/>
    <w:rsid w:val="00EF16FF"/>
    <w:rsid w:val="00F05477"/>
    <w:rsid w:val="00F420EA"/>
    <w:rsid w:val="00F50CDF"/>
    <w:rsid w:val="00F663A1"/>
    <w:rsid w:val="00F66F31"/>
    <w:rsid w:val="00F907CF"/>
    <w:rsid w:val="00F9257D"/>
    <w:rsid w:val="00FB4547"/>
    <w:rsid w:val="00FC3E1B"/>
    <w:rsid w:val="00FE4037"/>
    <w:rsid w:val="00FE5DE6"/>
    <w:rsid w:val="00FF0163"/>
    <w:rsid w:val="01000B1C"/>
    <w:rsid w:val="010158F6"/>
    <w:rsid w:val="01023D73"/>
    <w:rsid w:val="01032B2B"/>
    <w:rsid w:val="010333FC"/>
    <w:rsid w:val="010351AA"/>
    <w:rsid w:val="0105156D"/>
    <w:rsid w:val="01060F50"/>
    <w:rsid w:val="01080A12"/>
    <w:rsid w:val="010827C0"/>
    <w:rsid w:val="01087145"/>
    <w:rsid w:val="0108730E"/>
    <w:rsid w:val="010A3390"/>
    <w:rsid w:val="010A4537"/>
    <w:rsid w:val="010B22B0"/>
    <w:rsid w:val="010B7362"/>
    <w:rsid w:val="010D17E7"/>
    <w:rsid w:val="010D427B"/>
    <w:rsid w:val="011138F0"/>
    <w:rsid w:val="01113D6B"/>
    <w:rsid w:val="011163E8"/>
    <w:rsid w:val="01154EDD"/>
    <w:rsid w:val="01172A03"/>
    <w:rsid w:val="01193BAB"/>
    <w:rsid w:val="011957F7"/>
    <w:rsid w:val="01197824"/>
    <w:rsid w:val="011D2710"/>
    <w:rsid w:val="011D7F2F"/>
    <w:rsid w:val="011E1FE4"/>
    <w:rsid w:val="01203FAE"/>
    <w:rsid w:val="01213E97"/>
    <w:rsid w:val="0122253C"/>
    <w:rsid w:val="01253372"/>
    <w:rsid w:val="01255DC7"/>
    <w:rsid w:val="012723F3"/>
    <w:rsid w:val="0127533C"/>
    <w:rsid w:val="01277FD4"/>
    <w:rsid w:val="012810B4"/>
    <w:rsid w:val="01287E75"/>
    <w:rsid w:val="012A1FD4"/>
    <w:rsid w:val="012D66CB"/>
    <w:rsid w:val="012E0DA4"/>
    <w:rsid w:val="012F0915"/>
    <w:rsid w:val="012F5F9F"/>
    <w:rsid w:val="01300309"/>
    <w:rsid w:val="01326F3B"/>
    <w:rsid w:val="01337CD0"/>
    <w:rsid w:val="013637D1"/>
    <w:rsid w:val="0136732D"/>
    <w:rsid w:val="013730A5"/>
    <w:rsid w:val="0137659F"/>
    <w:rsid w:val="01390BCC"/>
    <w:rsid w:val="01395070"/>
    <w:rsid w:val="013B2B96"/>
    <w:rsid w:val="01401F5A"/>
    <w:rsid w:val="014063FE"/>
    <w:rsid w:val="01415B32"/>
    <w:rsid w:val="01422176"/>
    <w:rsid w:val="0147778C"/>
    <w:rsid w:val="014852B3"/>
    <w:rsid w:val="01487061"/>
    <w:rsid w:val="014B4F11"/>
    <w:rsid w:val="014C3A5D"/>
    <w:rsid w:val="014C4DA3"/>
    <w:rsid w:val="014D28C9"/>
    <w:rsid w:val="014E290D"/>
    <w:rsid w:val="014F053B"/>
    <w:rsid w:val="01541EA9"/>
    <w:rsid w:val="0156770E"/>
    <w:rsid w:val="015754F6"/>
    <w:rsid w:val="015A4046"/>
    <w:rsid w:val="015B3238"/>
    <w:rsid w:val="015B3B47"/>
    <w:rsid w:val="015B4FE6"/>
    <w:rsid w:val="015C48BA"/>
    <w:rsid w:val="015E0632"/>
    <w:rsid w:val="015E4AD6"/>
    <w:rsid w:val="015E55D7"/>
    <w:rsid w:val="01607930"/>
    <w:rsid w:val="01610122"/>
    <w:rsid w:val="016140C6"/>
    <w:rsid w:val="01623770"/>
    <w:rsid w:val="016245C6"/>
    <w:rsid w:val="01632570"/>
    <w:rsid w:val="01661B19"/>
    <w:rsid w:val="01671BDD"/>
    <w:rsid w:val="01675739"/>
    <w:rsid w:val="0167635A"/>
    <w:rsid w:val="016C2D4F"/>
    <w:rsid w:val="016D50E6"/>
    <w:rsid w:val="016E5EFE"/>
    <w:rsid w:val="016E6773"/>
    <w:rsid w:val="01710DA3"/>
    <w:rsid w:val="01760C13"/>
    <w:rsid w:val="01761E20"/>
    <w:rsid w:val="01763BCE"/>
    <w:rsid w:val="01785675"/>
    <w:rsid w:val="01787946"/>
    <w:rsid w:val="017936BE"/>
    <w:rsid w:val="017A2875"/>
    <w:rsid w:val="017B3FF0"/>
    <w:rsid w:val="017E162C"/>
    <w:rsid w:val="01802C9E"/>
    <w:rsid w:val="018207C5"/>
    <w:rsid w:val="01822573"/>
    <w:rsid w:val="01822782"/>
    <w:rsid w:val="01823610"/>
    <w:rsid w:val="018265F8"/>
    <w:rsid w:val="0182778C"/>
    <w:rsid w:val="0183453D"/>
    <w:rsid w:val="01860179"/>
    <w:rsid w:val="0187402D"/>
    <w:rsid w:val="018A7508"/>
    <w:rsid w:val="018B6198"/>
    <w:rsid w:val="018B752F"/>
    <w:rsid w:val="018C4326"/>
    <w:rsid w:val="018C519F"/>
    <w:rsid w:val="018D7895"/>
    <w:rsid w:val="018F4217"/>
    <w:rsid w:val="018F6A3E"/>
    <w:rsid w:val="01910159"/>
    <w:rsid w:val="01913DF5"/>
    <w:rsid w:val="01921BDD"/>
    <w:rsid w:val="0192652E"/>
    <w:rsid w:val="01934780"/>
    <w:rsid w:val="01935BDA"/>
    <w:rsid w:val="019422A6"/>
    <w:rsid w:val="01967DCC"/>
    <w:rsid w:val="019715E0"/>
    <w:rsid w:val="01973B44"/>
    <w:rsid w:val="01975F7E"/>
    <w:rsid w:val="019B3634"/>
    <w:rsid w:val="019D115B"/>
    <w:rsid w:val="019F1377"/>
    <w:rsid w:val="01A3073B"/>
    <w:rsid w:val="01A31BC0"/>
    <w:rsid w:val="01A324E9"/>
    <w:rsid w:val="01A4468C"/>
    <w:rsid w:val="01A506ED"/>
    <w:rsid w:val="01A544B3"/>
    <w:rsid w:val="01A85D51"/>
    <w:rsid w:val="01A93850"/>
    <w:rsid w:val="01AA0F21"/>
    <w:rsid w:val="01AA1BA5"/>
    <w:rsid w:val="01AA4EAC"/>
    <w:rsid w:val="01AE02E5"/>
    <w:rsid w:val="01B354EA"/>
    <w:rsid w:val="01B666C0"/>
    <w:rsid w:val="01B822F8"/>
    <w:rsid w:val="01B841E6"/>
    <w:rsid w:val="01B85F94"/>
    <w:rsid w:val="01BB3CD7"/>
    <w:rsid w:val="01BE7323"/>
    <w:rsid w:val="01BF1B14"/>
    <w:rsid w:val="01C0309B"/>
    <w:rsid w:val="01C25065"/>
    <w:rsid w:val="01C34939"/>
    <w:rsid w:val="01C47B75"/>
    <w:rsid w:val="01C95207"/>
    <w:rsid w:val="01CA148C"/>
    <w:rsid w:val="01CA3F1A"/>
    <w:rsid w:val="01CE5F6D"/>
    <w:rsid w:val="01CF1FD5"/>
    <w:rsid w:val="01CF7782"/>
    <w:rsid w:val="01D2424E"/>
    <w:rsid w:val="01D54D98"/>
    <w:rsid w:val="01D60B10"/>
    <w:rsid w:val="01D628BE"/>
    <w:rsid w:val="01D86637"/>
    <w:rsid w:val="01DA5E9C"/>
    <w:rsid w:val="01DB7ED5"/>
    <w:rsid w:val="01DD1E9F"/>
    <w:rsid w:val="01DD3C4D"/>
    <w:rsid w:val="01DF2CA3"/>
    <w:rsid w:val="01E6321A"/>
    <w:rsid w:val="01E81930"/>
    <w:rsid w:val="01E9478D"/>
    <w:rsid w:val="01E95FA0"/>
    <w:rsid w:val="01EC3072"/>
    <w:rsid w:val="01F14C8C"/>
    <w:rsid w:val="01FA47FF"/>
    <w:rsid w:val="01FB40D3"/>
    <w:rsid w:val="01FD42EF"/>
    <w:rsid w:val="01FE5971"/>
    <w:rsid w:val="01FF3BC3"/>
    <w:rsid w:val="020016E9"/>
    <w:rsid w:val="02005B8D"/>
    <w:rsid w:val="02006E7C"/>
    <w:rsid w:val="02036A74"/>
    <w:rsid w:val="020411DA"/>
    <w:rsid w:val="02056D00"/>
    <w:rsid w:val="020767FA"/>
    <w:rsid w:val="02076DB5"/>
    <w:rsid w:val="02082220"/>
    <w:rsid w:val="020A385D"/>
    <w:rsid w:val="020D22D4"/>
    <w:rsid w:val="020D6F0C"/>
    <w:rsid w:val="020D728E"/>
    <w:rsid w:val="020F59C0"/>
    <w:rsid w:val="02111B48"/>
    <w:rsid w:val="02117D9A"/>
    <w:rsid w:val="02184C85"/>
    <w:rsid w:val="021A27AB"/>
    <w:rsid w:val="021A4127"/>
    <w:rsid w:val="021B4775"/>
    <w:rsid w:val="021D673F"/>
    <w:rsid w:val="02206E0A"/>
    <w:rsid w:val="02223D56"/>
    <w:rsid w:val="02225B04"/>
    <w:rsid w:val="02241B7C"/>
    <w:rsid w:val="02262814"/>
    <w:rsid w:val="022644A3"/>
    <w:rsid w:val="0227311A"/>
    <w:rsid w:val="02283E7E"/>
    <w:rsid w:val="02290C40"/>
    <w:rsid w:val="022A6118"/>
    <w:rsid w:val="022E1342"/>
    <w:rsid w:val="022E26FA"/>
    <w:rsid w:val="022E44A8"/>
    <w:rsid w:val="02301FCF"/>
    <w:rsid w:val="02311EFB"/>
    <w:rsid w:val="02337D11"/>
    <w:rsid w:val="02355837"/>
    <w:rsid w:val="02357FBD"/>
    <w:rsid w:val="023615AF"/>
    <w:rsid w:val="023A11D8"/>
    <w:rsid w:val="023B0973"/>
    <w:rsid w:val="023D0B8F"/>
    <w:rsid w:val="023F66B6"/>
    <w:rsid w:val="02405F8A"/>
    <w:rsid w:val="02411BF5"/>
    <w:rsid w:val="02421D02"/>
    <w:rsid w:val="02427F54"/>
    <w:rsid w:val="02460EBC"/>
    <w:rsid w:val="024617F2"/>
    <w:rsid w:val="024912E2"/>
    <w:rsid w:val="02493090"/>
    <w:rsid w:val="02497534"/>
    <w:rsid w:val="024B6DB0"/>
    <w:rsid w:val="024C2B81"/>
    <w:rsid w:val="024C492F"/>
    <w:rsid w:val="024C61BE"/>
    <w:rsid w:val="024D5CBA"/>
    <w:rsid w:val="024E4E2D"/>
    <w:rsid w:val="02502671"/>
    <w:rsid w:val="0256755B"/>
    <w:rsid w:val="02595FE8"/>
    <w:rsid w:val="025D08EA"/>
    <w:rsid w:val="025D2311"/>
    <w:rsid w:val="025D4742"/>
    <w:rsid w:val="025D6B3C"/>
    <w:rsid w:val="025F28B4"/>
    <w:rsid w:val="026305F6"/>
    <w:rsid w:val="026337DB"/>
    <w:rsid w:val="02671768"/>
    <w:rsid w:val="02685C0C"/>
    <w:rsid w:val="026954E1"/>
    <w:rsid w:val="026B3007"/>
    <w:rsid w:val="026D0AA3"/>
    <w:rsid w:val="026D3223"/>
    <w:rsid w:val="026D51C8"/>
    <w:rsid w:val="02706AF5"/>
    <w:rsid w:val="02712372"/>
    <w:rsid w:val="02716D58"/>
    <w:rsid w:val="02720839"/>
    <w:rsid w:val="027341E7"/>
    <w:rsid w:val="02750329"/>
    <w:rsid w:val="02756033"/>
    <w:rsid w:val="02785724"/>
    <w:rsid w:val="027A369F"/>
    <w:rsid w:val="027A5940"/>
    <w:rsid w:val="027D71DE"/>
    <w:rsid w:val="0280238C"/>
    <w:rsid w:val="02820350"/>
    <w:rsid w:val="02843A23"/>
    <w:rsid w:val="02860F03"/>
    <w:rsid w:val="028A4A19"/>
    <w:rsid w:val="028B18FB"/>
    <w:rsid w:val="028B75EF"/>
    <w:rsid w:val="028C0A7F"/>
    <w:rsid w:val="028D1F0F"/>
    <w:rsid w:val="028D411B"/>
    <w:rsid w:val="028D4AE0"/>
    <w:rsid w:val="028D7421"/>
    <w:rsid w:val="028E3199"/>
    <w:rsid w:val="028F5726"/>
    <w:rsid w:val="029033EA"/>
    <w:rsid w:val="02906F11"/>
    <w:rsid w:val="02913461"/>
    <w:rsid w:val="02913644"/>
    <w:rsid w:val="02922C89"/>
    <w:rsid w:val="02931780"/>
    <w:rsid w:val="02954528"/>
    <w:rsid w:val="029664E3"/>
    <w:rsid w:val="029A175F"/>
    <w:rsid w:val="029F0F02"/>
    <w:rsid w:val="02A1111E"/>
    <w:rsid w:val="02A12F56"/>
    <w:rsid w:val="02A36C44"/>
    <w:rsid w:val="02A824AD"/>
    <w:rsid w:val="02A97FD3"/>
    <w:rsid w:val="02AA2D4A"/>
    <w:rsid w:val="02AC4B0F"/>
    <w:rsid w:val="02AD361F"/>
    <w:rsid w:val="02AE00DE"/>
    <w:rsid w:val="02AE7397"/>
    <w:rsid w:val="02B01361"/>
    <w:rsid w:val="02B04EBD"/>
    <w:rsid w:val="02B12A4B"/>
    <w:rsid w:val="02B26E88"/>
    <w:rsid w:val="02B37CE0"/>
    <w:rsid w:val="02B52978"/>
    <w:rsid w:val="02B53946"/>
    <w:rsid w:val="02B726F0"/>
    <w:rsid w:val="02B7449E"/>
    <w:rsid w:val="02B74A8F"/>
    <w:rsid w:val="02B7624C"/>
    <w:rsid w:val="02B80216"/>
    <w:rsid w:val="02B92656"/>
    <w:rsid w:val="02BA3F8E"/>
    <w:rsid w:val="02BD1121"/>
    <w:rsid w:val="02BE126D"/>
    <w:rsid w:val="02BE582C"/>
    <w:rsid w:val="02BF15A4"/>
    <w:rsid w:val="02C170CB"/>
    <w:rsid w:val="02C40969"/>
    <w:rsid w:val="02C47780"/>
    <w:rsid w:val="02C646E1"/>
    <w:rsid w:val="02CE0A54"/>
    <w:rsid w:val="02CE17E8"/>
    <w:rsid w:val="02CF3880"/>
    <w:rsid w:val="02D212D8"/>
    <w:rsid w:val="02D7069C"/>
    <w:rsid w:val="02D74595"/>
    <w:rsid w:val="02D85BF6"/>
    <w:rsid w:val="02DA63DE"/>
    <w:rsid w:val="02DB7B2E"/>
    <w:rsid w:val="02DC2156"/>
    <w:rsid w:val="02DC3F04"/>
    <w:rsid w:val="02E34EA5"/>
    <w:rsid w:val="02E43152"/>
    <w:rsid w:val="02EA4873"/>
    <w:rsid w:val="02EB2027"/>
    <w:rsid w:val="02ED29D1"/>
    <w:rsid w:val="02ED7EC0"/>
    <w:rsid w:val="02EF1E8A"/>
    <w:rsid w:val="02F15CEB"/>
    <w:rsid w:val="02F41532"/>
    <w:rsid w:val="02F654CA"/>
    <w:rsid w:val="02F70D3E"/>
    <w:rsid w:val="02F93752"/>
    <w:rsid w:val="02FC6355"/>
    <w:rsid w:val="02FE0C2D"/>
    <w:rsid w:val="03027722"/>
    <w:rsid w:val="030516AD"/>
    <w:rsid w:val="03062D2F"/>
    <w:rsid w:val="0306478D"/>
    <w:rsid w:val="03081CBD"/>
    <w:rsid w:val="03082F4B"/>
    <w:rsid w:val="03083097"/>
    <w:rsid w:val="03092820"/>
    <w:rsid w:val="0309798A"/>
    <w:rsid w:val="030A29F1"/>
    <w:rsid w:val="030B47EA"/>
    <w:rsid w:val="030B6598"/>
    <w:rsid w:val="030E3B1D"/>
    <w:rsid w:val="030F6088"/>
    <w:rsid w:val="03103BAE"/>
    <w:rsid w:val="03141323"/>
    <w:rsid w:val="031418F0"/>
    <w:rsid w:val="0317318F"/>
    <w:rsid w:val="0318102D"/>
    <w:rsid w:val="03192A63"/>
    <w:rsid w:val="03195159"/>
    <w:rsid w:val="031A4A2D"/>
    <w:rsid w:val="031B26F3"/>
    <w:rsid w:val="031B2C7F"/>
    <w:rsid w:val="031B6DD5"/>
    <w:rsid w:val="031C2553"/>
    <w:rsid w:val="031E020B"/>
    <w:rsid w:val="031F2043"/>
    <w:rsid w:val="031F2398"/>
    <w:rsid w:val="031F3DF1"/>
    <w:rsid w:val="03200295"/>
    <w:rsid w:val="032126A3"/>
    <w:rsid w:val="03217B2D"/>
    <w:rsid w:val="0327463D"/>
    <w:rsid w:val="03280EF8"/>
    <w:rsid w:val="0328400E"/>
    <w:rsid w:val="032A2EC2"/>
    <w:rsid w:val="032D4760"/>
    <w:rsid w:val="032D650E"/>
    <w:rsid w:val="032F184E"/>
    <w:rsid w:val="03322076"/>
    <w:rsid w:val="03325C82"/>
    <w:rsid w:val="03327438"/>
    <w:rsid w:val="03353615"/>
    <w:rsid w:val="033738C7"/>
    <w:rsid w:val="033923C2"/>
    <w:rsid w:val="0339322C"/>
    <w:rsid w:val="033A6423"/>
    <w:rsid w:val="033B50CF"/>
    <w:rsid w:val="033C0E47"/>
    <w:rsid w:val="033C49A3"/>
    <w:rsid w:val="033E4825"/>
    <w:rsid w:val="034026E5"/>
    <w:rsid w:val="0341249E"/>
    <w:rsid w:val="034321D6"/>
    <w:rsid w:val="03435D32"/>
    <w:rsid w:val="03441833"/>
    <w:rsid w:val="034443F1"/>
    <w:rsid w:val="034725CB"/>
    <w:rsid w:val="034B2E38"/>
    <w:rsid w:val="034D4E02"/>
    <w:rsid w:val="034F0B7A"/>
    <w:rsid w:val="035241C7"/>
    <w:rsid w:val="035246AA"/>
    <w:rsid w:val="03525F75"/>
    <w:rsid w:val="03547F3F"/>
    <w:rsid w:val="0357268A"/>
    <w:rsid w:val="03575C81"/>
    <w:rsid w:val="035C1025"/>
    <w:rsid w:val="035D2421"/>
    <w:rsid w:val="035E0DBD"/>
    <w:rsid w:val="0361440A"/>
    <w:rsid w:val="03627757"/>
    <w:rsid w:val="03633EEE"/>
    <w:rsid w:val="036400D2"/>
    <w:rsid w:val="03655CA8"/>
    <w:rsid w:val="0366407D"/>
    <w:rsid w:val="03682804"/>
    <w:rsid w:val="036A3FA2"/>
    <w:rsid w:val="036A59B4"/>
    <w:rsid w:val="036B1176"/>
    <w:rsid w:val="036B5251"/>
    <w:rsid w:val="036B582E"/>
    <w:rsid w:val="036D521A"/>
    <w:rsid w:val="036F2FCB"/>
    <w:rsid w:val="036F4D79"/>
    <w:rsid w:val="0371289F"/>
    <w:rsid w:val="03752F2A"/>
    <w:rsid w:val="037545AD"/>
    <w:rsid w:val="037737F4"/>
    <w:rsid w:val="03773C2D"/>
    <w:rsid w:val="037759DB"/>
    <w:rsid w:val="03791753"/>
    <w:rsid w:val="037936EC"/>
    <w:rsid w:val="037B371D"/>
    <w:rsid w:val="037D56E7"/>
    <w:rsid w:val="037E4841"/>
    <w:rsid w:val="03800D34"/>
    <w:rsid w:val="0381685A"/>
    <w:rsid w:val="0385634A"/>
    <w:rsid w:val="03863E70"/>
    <w:rsid w:val="038832EC"/>
    <w:rsid w:val="038A1793"/>
    <w:rsid w:val="038A570F"/>
    <w:rsid w:val="038B0074"/>
    <w:rsid w:val="038D16A3"/>
    <w:rsid w:val="038D51FF"/>
    <w:rsid w:val="038E44DF"/>
    <w:rsid w:val="038F541B"/>
    <w:rsid w:val="03914CEF"/>
    <w:rsid w:val="03920A67"/>
    <w:rsid w:val="03922815"/>
    <w:rsid w:val="03925F09"/>
    <w:rsid w:val="03936CB9"/>
    <w:rsid w:val="039447DF"/>
    <w:rsid w:val="039842CF"/>
    <w:rsid w:val="039C5442"/>
    <w:rsid w:val="039D7B38"/>
    <w:rsid w:val="039E11BA"/>
    <w:rsid w:val="03A1357E"/>
    <w:rsid w:val="03A414C8"/>
    <w:rsid w:val="03A52548"/>
    <w:rsid w:val="03A54C14"/>
    <w:rsid w:val="03AA7B5F"/>
    <w:rsid w:val="03AC38D7"/>
    <w:rsid w:val="03AC3B74"/>
    <w:rsid w:val="03B1031E"/>
    <w:rsid w:val="03B1493A"/>
    <w:rsid w:val="03B22EB7"/>
    <w:rsid w:val="03B3749D"/>
    <w:rsid w:val="03B84E23"/>
    <w:rsid w:val="03B90C75"/>
    <w:rsid w:val="03BB1D6C"/>
    <w:rsid w:val="03BB21D9"/>
    <w:rsid w:val="03BC7892"/>
    <w:rsid w:val="03BE185C"/>
    <w:rsid w:val="03BE7AAE"/>
    <w:rsid w:val="03BF0B5A"/>
    <w:rsid w:val="03BF0F9B"/>
    <w:rsid w:val="03C055D4"/>
    <w:rsid w:val="03C30C20"/>
    <w:rsid w:val="03C33BD1"/>
    <w:rsid w:val="03C50D14"/>
    <w:rsid w:val="03C52BEB"/>
    <w:rsid w:val="03C54999"/>
    <w:rsid w:val="03C60829"/>
    <w:rsid w:val="03C70711"/>
    <w:rsid w:val="03C84489"/>
    <w:rsid w:val="03C97C6A"/>
    <w:rsid w:val="03CB4D44"/>
    <w:rsid w:val="03CE2ABF"/>
    <w:rsid w:val="03CF3A69"/>
    <w:rsid w:val="03CF4F1E"/>
    <w:rsid w:val="03CF5817"/>
    <w:rsid w:val="03D25216"/>
    <w:rsid w:val="03D42E2E"/>
    <w:rsid w:val="03D60954"/>
    <w:rsid w:val="03D80B70"/>
    <w:rsid w:val="03D917D8"/>
    <w:rsid w:val="03DB5362"/>
    <w:rsid w:val="03DE1D6C"/>
    <w:rsid w:val="03DF62C8"/>
    <w:rsid w:val="03E07A24"/>
    <w:rsid w:val="03E272F9"/>
    <w:rsid w:val="03E33071"/>
    <w:rsid w:val="03E75194"/>
    <w:rsid w:val="03E80687"/>
    <w:rsid w:val="03E94B2B"/>
    <w:rsid w:val="03EA2A18"/>
    <w:rsid w:val="03EC0FC4"/>
    <w:rsid w:val="03EC7C72"/>
    <w:rsid w:val="03EE3EEF"/>
    <w:rsid w:val="03EF5EB9"/>
    <w:rsid w:val="03F20BC5"/>
    <w:rsid w:val="03F24E78"/>
    <w:rsid w:val="03F40ED9"/>
    <w:rsid w:val="03F434D0"/>
    <w:rsid w:val="03F4527E"/>
    <w:rsid w:val="03F4702C"/>
    <w:rsid w:val="03F62DA4"/>
    <w:rsid w:val="03F733D5"/>
    <w:rsid w:val="03FA23CC"/>
    <w:rsid w:val="03FA5973"/>
    <w:rsid w:val="03FA61DB"/>
    <w:rsid w:val="03FF434E"/>
    <w:rsid w:val="03FF48AB"/>
    <w:rsid w:val="03FF60FC"/>
    <w:rsid w:val="04001E75"/>
    <w:rsid w:val="0402799B"/>
    <w:rsid w:val="04082AD7"/>
    <w:rsid w:val="04095165"/>
    <w:rsid w:val="040B3430"/>
    <w:rsid w:val="040C5A1F"/>
    <w:rsid w:val="040E6340"/>
    <w:rsid w:val="0410030A"/>
    <w:rsid w:val="04117BDE"/>
    <w:rsid w:val="04133956"/>
    <w:rsid w:val="04137DFA"/>
    <w:rsid w:val="04163446"/>
    <w:rsid w:val="04170BAF"/>
    <w:rsid w:val="041A1DAA"/>
    <w:rsid w:val="041A2429"/>
    <w:rsid w:val="041B280B"/>
    <w:rsid w:val="041B6CAE"/>
    <w:rsid w:val="041C1D99"/>
    <w:rsid w:val="041D4D73"/>
    <w:rsid w:val="041E09C7"/>
    <w:rsid w:val="041F3E95"/>
    <w:rsid w:val="042174CC"/>
    <w:rsid w:val="04227975"/>
    <w:rsid w:val="04237B2C"/>
    <w:rsid w:val="04247911"/>
    <w:rsid w:val="04277401"/>
    <w:rsid w:val="042929E0"/>
    <w:rsid w:val="04293179"/>
    <w:rsid w:val="042B5EBC"/>
    <w:rsid w:val="042C0EBC"/>
    <w:rsid w:val="042C571E"/>
    <w:rsid w:val="042D1146"/>
    <w:rsid w:val="043164D2"/>
    <w:rsid w:val="04333FF8"/>
    <w:rsid w:val="04335DA6"/>
    <w:rsid w:val="043525B3"/>
    <w:rsid w:val="04365896"/>
    <w:rsid w:val="04367B0B"/>
    <w:rsid w:val="0437112A"/>
    <w:rsid w:val="043867EE"/>
    <w:rsid w:val="04387860"/>
    <w:rsid w:val="043A1855"/>
    <w:rsid w:val="043A5387"/>
    <w:rsid w:val="043B3E27"/>
    <w:rsid w:val="043D4E77"/>
    <w:rsid w:val="043D4F04"/>
    <w:rsid w:val="043D6C25"/>
    <w:rsid w:val="044004C3"/>
    <w:rsid w:val="04406715"/>
    <w:rsid w:val="0442423B"/>
    <w:rsid w:val="044259F2"/>
    <w:rsid w:val="04441D61"/>
    <w:rsid w:val="04446205"/>
    <w:rsid w:val="04447FB3"/>
    <w:rsid w:val="04462B6B"/>
    <w:rsid w:val="04464EF9"/>
    <w:rsid w:val="044A1802"/>
    <w:rsid w:val="044A41C9"/>
    <w:rsid w:val="044B7594"/>
    <w:rsid w:val="044C0C16"/>
    <w:rsid w:val="044C330C"/>
    <w:rsid w:val="044C50BA"/>
    <w:rsid w:val="044F0706"/>
    <w:rsid w:val="04504BAA"/>
    <w:rsid w:val="04506958"/>
    <w:rsid w:val="04510922"/>
    <w:rsid w:val="04527D06"/>
    <w:rsid w:val="04531644"/>
    <w:rsid w:val="04561A95"/>
    <w:rsid w:val="045A77D7"/>
    <w:rsid w:val="045B52FD"/>
    <w:rsid w:val="045B76E7"/>
    <w:rsid w:val="045C29A7"/>
    <w:rsid w:val="045C354F"/>
    <w:rsid w:val="045D2E23"/>
    <w:rsid w:val="045E1BB5"/>
    <w:rsid w:val="045E556B"/>
    <w:rsid w:val="045F50B9"/>
    <w:rsid w:val="04602913"/>
    <w:rsid w:val="046057CC"/>
    <w:rsid w:val="046161A6"/>
    <w:rsid w:val="046248DD"/>
    <w:rsid w:val="0462668B"/>
    <w:rsid w:val="04635C6F"/>
    <w:rsid w:val="04637D6B"/>
    <w:rsid w:val="046441B2"/>
    <w:rsid w:val="04651CD8"/>
    <w:rsid w:val="04657F2A"/>
    <w:rsid w:val="046631AC"/>
    <w:rsid w:val="04694C49"/>
    <w:rsid w:val="046B3792"/>
    <w:rsid w:val="046B5540"/>
    <w:rsid w:val="046C12B8"/>
    <w:rsid w:val="046E630F"/>
    <w:rsid w:val="047168CE"/>
    <w:rsid w:val="04717860"/>
    <w:rsid w:val="04730898"/>
    <w:rsid w:val="04751F31"/>
    <w:rsid w:val="04763EE5"/>
    <w:rsid w:val="04767C80"/>
    <w:rsid w:val="04770A3F"/>
    <w:rsid w:val="04781A0B"/>
    <w:rsid w:val="04785EAF"/>
    <w:rsid w:val="047F01CC"/>
    <w:rsid w:val="047F2D99"/>
    <w:rsid w:val="04800661"/>
    <w:rsid w:val="04806B11"/>
    <w:rsid w:val="0481456B"/>
    <w:rsid w:val="04845678"/>
    <w:rsid w:val="048605CC"/>
    <w:rsid w:val="0488407F"/>
    <w:rsid w:val="048B39FD"/>
    <w:rsid w:val="048B6871"/>
    <w:rsid w:val="048C54B6"/>
    <w:rsid w:val="048D195A"/>
    <w:rsid w:val="048D2141"/>
    <w:rsid w:val="048E3B90"/>
    <w:rsid w:val="048E56D2"/>
    <w:rsid w:val="048F148B"/>
    <w:rsid w:val="0490144A"/>
    <w:rsid w:val="049031F8"/>
    <w:rsid w:val="04910D1F"/>
    <w:rsid w:val="04912ACD"/>
    <w:rsid w:val="0491590C"/>
    <w:rsid w:val="049250DF"/>
    <w:rsid w:val="04936845"/>
    <w:rsid w:val="04956A61"/>
    <w:rsid w:val="04966335"/>
    <w:rsid w:val="049802FF"/>
    <w:rsid w:val="049820AD"/>
    <w:rsid w:val="049A4077"/>
    <w:rsid w:val="049A7BD3"/>
    <w:rsid w:val="049C7DEF"/>
    <w:rsid w:val="049D275A"/>
    <w:rsid w:val="049D3B67"/>
    <w:rsid w:val="049D5915"/>
    <w:rsid w:val="049D6FEC"/>
    <w:rsid w:val="049D76C3"/>
    <w:rsid w:val="04A2256B"/>
    <w:rsid w:val="04A42800"/>
    <w:rsid w:val="04A46CA4"/>
    <w:rsid w:val="04A568F3"/>
    <w:rsid w:val="04A60DFC"/>
    <w:rsid w:val="04A62637"/>
    <w:rsid w:val="04A86794"/>
    <w:rsid w:val="04A932C7"/>
    <w:rsid w:val="04AB0032"/>
    <w:rsid w:val="04AB3B8E"/>
    <w:rsid w:val="04AF34DB"/>
    <w:rsid w:val="04AF62B0"/>
    <w:rsid w:val="04B12070"/>
    <w:rsid w:val="04B52C5F"/>
    <w:rsid w:val="04B54A0D"/>
    <w:rsid w:val="04B8274F"/>
    <w:rsid w:val="04B844FD"/>
    <w:rsid w:val="04BA0DCB"/>
    <w:rsid w:val="04BA64C7"/>
    <w:rsid w:val="04BC223F"/>
    <w:rsid w:val="04BC3FEE"/>
    <w:rsid w:val="04BC5D9C"/>
    <w:rsid w:val="04BE40A5"/>
    <w:rsid w:val="04C11604"/>
    <w:rsid w:val="04C21B55"/>
    <w:rsid w:val="04C44C50"/>
    <w:rsid w:val="04C609C8"/>
    <w:rsid w:val="04C63C0C"/>
    <w:rsid w:val="04C904B8"/>
    <w:rsid w:val="04CC3D69"/>
    <w:rsid w:val="04CD4FB2"/>
    <w:rsid w:val="04D255BF"/>
    <w:rsid w:val="04D258BB"/>
    <w:rsid w:val="04D31337"/>
    <w:rsid w:val="04D330E5"/>
    <w:rsid w:val="04D356AB"/>
    <w:rsid w:val="04D37589"/>
    <w:rsid w:val="04D56E5D"/>
    <w:rsid w:val="04DA4474"/>
    <w:rsid w:val="04DD5D12"/>
    <w:rsid w:val="04DE107D"/>
    <w:rsid w:val="04DE21B6"/>
    <w:rsid w:val="04DF1A8A"/>
    <w:rsid w:val="04E27072"/>
    <w:rsid w:val="04E470A0"/>
    <w:rsid w:val="04E4765F"/>
    <w:rsid w:val="04E672BC"/>
    <w:rsid w:val="04E90B5B"/>
    <w:rsid w:val="04E9501D"/>
    <w:rsid w:val="04EB042F"/>
    <w:rsid w:val="04EC4DC2"/>
    <w:rsid w:val="04ED064B"/>
    <w:rsid w:val="04ED41A7"/>
    <w:rsid w:val="04EE6171"/>
    <w:rsid w:val="04EE62A9"/>
    <w:rsid w:val="04EE7F1F"/>
    <w:rsid w:val="04F03C97"/>
    <w:rsid w:val="04F17C1F"/>
    <w:rsid w:val="04F25C61"/>
    <w:rsid w:val="04F333F7"/>
    <w:rsid w:val="04F35535"/>
    <w:rsid w:val="04F44B3B"/>
    <w:rsid w:val="04F512AE"/>
    <w:rsid w:val="04F62630"/>
    <w:rsid w:val="04F63474"/>
    <w:rsid w:val="04F8403F"/>
    <w:rsid w:val="04FA2D68"/>
    <w:rsid w:val="04FA68C4"/>
    <w:rsid w:val="04FC2C86"/>
    <w:rsid w:val="04FC43EA"/>
    <w:rsid w:val="04FE0667"/>
    <w:rsid w:val="04FF229E"/>
    <w:rsid w:val="050140F6"/>
    <w:rsid w:val="050369E9"/>
    <w:rsid w:val="05044681"/>
    <w:rsid w:val="05056ECB"/>
    <w:rsid w:val="05056F63"/>
    <w:rsid w:val="05063BAE"/>
    <w:rsid w:val="050874E4"/>
    <w:rsid w:val="05094D59"/>
    <w:rsid w:val="0509507E"/>
    <w:rsid w:val="050B122B"/>
    <w:rsid w:val="051160A8"/>
    <w:rsid w:val="051200B1"/>
    <w:rsid w:val="05137986"/>
    <w:rsid w:val="05137F6D"/>
    <w:rsid w:val="05142907"/>
    <w:rsid w:val="051554AC"/>
    <w:rsid w:val="05184F9C"/>
    <w:rsid w:val="0519526F"/>
    <w:rsid w:val="051A0D14"/>
    <w:rsid w:val="051C0CEF"/>
    <w:rsid w:val="051C4A8C"/>
    <w:rsid w:val="051C683A"/>
    <w:rsid w:val="051E25B2"/>
    <w:rsid w:val="051F457C"/>
    <w:rsid w:val="052102F4"/>
    <w:rsid w:val="052120A3"/>
    <w:rsid w:val="05223DD8"/>
    <w:rsid w:val="05224E91"/>
    <w:rsid w:val="05231E03"/>
    <w:rsid w:val="0523406D"/>
    <w:rsid w:val="05237BC9"/>
    <w:rsid w:val="05241B93"/>
    <w:rsid w:val="05242382"/>
    <w:rsid w:val="05257DE5"/>
    <w:rsid w:val="0526780C"/>
    <w:rsid w:val="05281683"/>
    <w:rsid w:val="05284B01"/>
    <w:rsid w:val="052878D5"/>
    <w:rsid w:val="052B1173"/>
    <w:rsid w:val="052B4CCF"/>
    <w:rsid w:val="05306615"/>
    <w:rsid w:val="05314AE7"/>
    <w:rsid w:val="05332C80"/>
    <w:rsid w:val="053472A6"/>
    <w:rsid w:val="05350EE2"/>
    <w:rsid w:val="05353DA0"/>
    <w:rsid w:val="05360D32"/>
    <w:rsid w:val="053650E4"/>
    <w:rsid w:val="05373674"/>
    <w:rsid w:val="05382B9E"/>
    <w:rsid w:val="0539563E"/>
    <w:rsid w:val="053A3164"/>
    <w:rsid w:val="053A54FB"/>
    <w:rsid w:val="05412FEB"/>
    <w:rsid w:val="05426B1C"/>
    <w:rsid w:val="05453FE3"/>
    <w:rsid w:val="05464DB9"/>
    <w:rsid w:val="05476E5D"/>
    <w:rsid w:val="05483AD3"/>
    <w:rsid w:val="054B5371"/>
    <w:rsid w:val="05500BDA"/>
    <w:rsid w:val="05523F70"/>
    <w:rsid w:val="05542478"/>
    <w:rsid w:val="05545D73"/>
    <w:rsid w:val="05573D16"/>
    <w:rsid w:val="05590B54"/>
    <w:rsid w:val="05595CE0"/>
    <w:rsid w:val="055C30DB"/>
    <w:rsid w:val="055C64B1"/>
    <w:rsid w:val="055C757F"/>
    <w:rsid w:val="055D1082"/>
    <w:rsid w:val="055E2512"/>
    <w:rsid w:val="055F2BCB"/>
    <w:rsid w:val="05617D90"/>
    <w:rsid w:val="05644F36"/>
    <w:rsid w:val="05665D07"/>
    <w:rsid w:val="0566621E"/>
    <w:rsid w:val="05681A7F"/>
    <w:rsid w:val="05687BD4"/>
    <w:rsid w:val="056921F6"/>
    <w:rsid w:val="056A57F8"/>
    <w:rsid w:val="056D79B9"/>
    <w:rsid w:val="056E3C57"/>
    <w:rsid w:val="056F1060"/>
    <w:rsid w:val="056F72B2"/>
    <w:rsid w:val="05706B86"/>
    <w:rsid w:val="05707C5A"/>
    <w:rsid w:val="05711A7E"/>
    <w:rsid w:val="05737BA5"/>
    <w:rsid w:val="05746676"/>
    <w:rsid w:val="0575123A"/>
    <w:rsid w:val="0575419C"/>
    <w:rsid w:val="057A17B3"/>
    <w:rsid w:val="057C4091"/>
    <w:rsid w:val="057C552B"/>
    <w:rsid w:val="058060BB"/>
    <w:rsid w:val="05816693"/>
    <w:rsid w:val="05834B0B"/>
    <w:rsid w:val="058630B3"/>
    <w:rsid w:val="058820BB"/>
    <w:rsid w:val="05885756"/>
    <w:rsid w:val="058A5E9A"/>
    <w:rsid w:val="058C1C12"/>
    <w:rsid w:val="058C66F7"/>
    <w:rsid w:val="058D598A"/>
    <w:rsid w:val="058D6A20"/>
    <w:rsid w:val="058D7766"/>
    <w:rsid w:val="05900FD6"/>
    <w:rsid w:val="05906AE4"/>
    <w:rsid w:val="0591547A"/>
    <w:rsid w:val="059159D9"/>
    <w:rsid w:val="05924D4E"/>
    <w:rsid w:val="05931355"/>
    <w:rsid w:val="05957D83"/>
    <w:rsid w:val="059B05A3"/>
    <w:rsid w:val="059C797B"/>
    <w:rsid w:val="059F08ED"/>
    <w:rsid w:val="05A16326"/>
    <w:rsid w:val="05A45B47"/>
    <w:rsid w:val="05A50F26"/>
    <w:rsid w:val="05A84572"/>
    <w:rsid w:val="05A94838"/>
    <w:rsid w:val="05AB5E10"/>
    <w:rsid w:val="05AD05DE"/>
    <w:rsid w:val="05AF76AE"/>
    <w:rsid w:val="05B13426"/>
    <w:rsid w:val="05B15B43"/>
    <w:rsid w:val="05B20F4D"/>
    <w:rsid w:val="05B253F0"/>
    <w:rsid w:val="05B2719F"/>
    <w:rsid w:val="05B3073B"/>
    <w:rsid w:val="05B747B5"/>
    <w:rsid w:val="05B85BC7"/>
    <w:rsid w:val="05B9052D"/>
    <w:rsid w:val="05BA3B18"/>
    <w:rsid w:val="05BA6417"/>
    <w:rsid w:val="05BB42A5"/>
    <w:rsid w:val="05BD0878"/>
    <w:rsid w:val="05C02D78"/>
    <w:rsid w:val="05C1330C"/>
    <w:rsid w:val="05C375FE"/>
    <w:rsid w:val="05C53BD6"/>
    <w:rsid w:val="05C55124"/>
    <w:rsid w:val="05C72C4A"/>
    <w:rsid w:val="05C86578"/>
    <w:rsid w:val="05CA44E8"/>
    <w:rsid w:val="05CB4FE3"/>
    <w:rsid w:val="05CD222A"/>
    <w:rsid w:val="05CD2772"/>
    <w:rsid w:val="05CD7E51"/>
    <w:rsid w:val="05CE3772"/>
    <w:rsid w:val="05CE68E2"/>
    <w:rsid w:val="05CF1AFF"/>
    <w:rsid w:val="05CF1CEB"/>
    <w:rsid w:val="05CF7D50"/>
    <w:rsid w:val="05D10017"/>
    <w:rsid w:val="05D13AC9"/>
    <w:rsid w:val="05D15877"/>
    <w:rsid w:val="05D215EF"/>
    <w:rsid w:val="05D2339D"/>
    <w:rsid w:val="05D37841"/>
    <w:rsid w:val="05D47115"/>
    <w:rsid w:val="05D631A7"/>
    <w:rsid w:val="05D67331"/>
    <w:rsid w:val="05D830A9"/>
    <w:rsid w:val="05D83B5D"/>
    <w:rsid w:val="05DC70B5"/>
    <w:rsid w:val="05DD06BF"/>
    <w:rsid w:val="05DD246D"/>
    <w:rsid w:val="05DE6A03"/>
    <w:rsid w:val="05DF0058"/>
    <w:rsid w:val="05DF092A"/>
    <w:rsid w:val="05E11832"/>
    <w:rsid w:val="05E212F9"/>
    <w:rsid w:val="05E4213A"/>
    <w:rsid w:val="05E51322"/>
    <w:rsid w:val="05E5328C"/>
    <w:rsid w:val="05E732EC"/>
    <w:rsid w:val="05E862B1"/>
    <w:rsid w:val="05EC26B0"/>
    <w:rsid w:val="05ED01D7"/>
    <w:rsid w:val="05ED2F51"/>
    <w:rsid w:val="05EF03F3"/>
    <w:rsid w:val="05F0520E"/>
    <w:rsid w:val="05F1130A"/>
    <w:rsid w:val="05F13F79"/>
    <w:rsid w:val="05F23A3F"/>
    <w:rsid w:val="05F45427"/>
    <w:rsid w:val="05F55FD3"/>
    <w:rsid w:val="05F64C72"/>
    <w:rsid w:val="05F81055"/>
    <w:rsid w:val="05F8377B"/>
    <w:rsid w:val="05F94DCD"/>
    <w:rsid w:val="05F977C4"/>
    <w:rsid w:val="05FB33F4"/>
    <w:rsid w:val="05FB6D97"/>
    <w:rsid w:val="05FC4B31"/>
    <w:rsid w:val="05FD48BE"/>
    <w:rsid w:val="06007F0A"/>
    <w:rsid w:val="06025E93"/>
    <w:rsid w:val="06043E9E"/>
    <w:rsid w:val="06053772"/>
    <w:rsid w:val="060865D4"/>
    <w:rsid w:val="060A1284"/>
    <w:rsid w:val="060A2B37"/>
    <w:rsid w:val="060A6FDB"/>
    <w:rsid w:val="060F2843"/>
    <w:rsid w:val="06127C3D"/>
    <w:rsid w:val="06140312"/>
    <w:rsid w:val="061439B5"/>
    <w:rsid w:val="06147E59"/>
    <w:rsid w:val="0616597F"/>
    <w:rsid w:val="061816F7"/>
    <w:rsid w:val="061834A6"/>
    <w:rsid w:val="061C0F45"/>
    <w:rsid w:val="061D0ABC"/>
    <w:rsid w:val="061D5EC7"/>
    <w:rsid w:val="061E4834"/>
    <w:rsid w:val="06257970"/>
    <w:rsid w:val="06280C9B"/>
    <w:rsid w:val="06293905"/>
    <w:rsid w:val="062973DE"/>
    <w:rsid w:val="062A4F87"/>
    <w:rsid w:val="062A5881"/>
    <w:rsid w:val="062B36D9"/>
    <w:rsid w:val="062C0CFF"/>
    <w:rsid w:val="062C6F51"/>
    <w:rsid w:val="062E4A77"/>
    <w:rsid w:val="062F259D"/>
    <w:rsid w:val="06301E32"/>
    <w:rsid w:val="06355981"/>
    <w:rsid w:val="063836E4"/>
    <w:rsid w:val="063858F6"/>
    <w:rsid w:val="063901A1"/>
    <w:rsid w:val="0639341C"/>
    <w:rsid w:val="063A1D12"/>
    <w:rsid w:val="064029FC"/>
    <w:rsid w:val="064047AA"/>
    <w:rsid w:val="06456265"/>
    <w:rsid w:val="064918B1"/>
    <w:rsid w:val="064969C8"/>
    <w:rsid w:val="064A5629"/>
    <w:rsid w:val="064A6E08"/>
    <w:rsid w:val="064B2E7C"/>
    <w:rsid w:val="064C314F"/>
    <w:rsid w:val="064E51C3"/>
    <w:rsid w:val="064E5BE4"/>
    <w:rsid w:val="064F49ED"/>
    <w:rsid w:val="06501223"/>
    <w:rsid w:val="0650386C"/>
    <w:rsid w:val="06510766"/>
    <w:rsid w:val="06514C09"/>
    <w:rsid w:val="06521728"/>
    <w:rsid w:val="065345EF"/>
    <w:rsid w:val="065564A8"/>
    <w:rsid w:val="06560FCC"/>
    <w:rsid w:val="065760B4"/>
    <w:rsid w:val="06581AF4"/>
    <w:rsid w:val="06583D70"/>
    <w:rsid w:val="06585F98"/>
    <w:rsid w:val="06587F93"/>
    <w:rsid w:val="065A0DDD"/>
    <w:rsid w:val="065B15E4"/>
    <w:rsid w:val="065F7326"/>
    <w:rsid w:val="06606BFB"/>
    <w:rsid w:val="06626E08"/>
    <w:rsid w:val="06652463"/>
    <w:rsid w:val="06667C20"/>
    <w:rsid w:val="0667002F"/>
    <w:rsid w:val="0667442D"/>
    <w:rsid w:val="066761DB"/>
    <w:rsid w:val="0669620A"/>
    <w:rsid w:val="066A7A79"/>
    <w:rsid w:val="066C1A43"/>
    <w:rsid w:val="066E1317"/>
    <w:rsid w:val="067050D7"/>
    <w:rsid w:val="06710E08"/>
    <w:rsid w:val="06717C65"/>
    <w:rsid w:val="067266D3"/>
    <w:rsid w:val="067337BD"/>
    <w:rsid w:val="067351D6"/>
    <w:rsid w:val="067508F8"/>
    <w:rsid w:val="06755314"/>
    <w:rsid w:val="067559E5"/>
    <w:rsid w:val="067646AB"/>
    <w:rsid w:val="067803E8"/>
    <w:rsid w:val="06781795"/>
    <w:rsid w:val="067A5F0E"/>
    <w:rsid w:val="067A7CBC"/>
    <w:rsid w:val="067B3A34"/>
    <w:rsid w:val="067B67EC"/>
    <w:rsid w:val="067E2EB5"/>
    <w:rsid w:val="06805DCA"/>
    <w:rsid w:val="068154EF"/>
    <w:rsid w:val="06837FE9"/>
    <w:rsid w:val="06840B3B"/>
    <w:rsid w:val="068543AF"/>
    <w:rsid w:val="0687062B"/>
    <w:rsid w:val="068C70D3"/>
    <w:rsid w:val="068E3768"/>
    <w:rsid w:val="068F1393"/>
    <w:rsid w:val="06915006"/>
    <w:rsid w:val="06920C93"/>
    <w:rsid w:val="06952D48"/>
    <w:rsid w:val="06954AF6"/>
    <w:rsid w:val="06964E70"/>
    <w:rsid w:val="069A65B0"/>
    <w:rsid w:val="069D7EE6"/>
    <w:rsid w:val="06A023A2"/>
    <w:rsid w:val="06A12D7A"/>
    <w:rsid w:val="06A17F7C"/>
    <w:rsid w:val="06A21E31"/>
    <w:rsid w:val="06A27213"/>
    <w:rsid w:val="06A74829"/>
    <w:rsid w:val="06A87133"/>
    <w:rsid w:val="06AC1E40"/>
    <w:rsid w:val="06AE35DF"/>
    <w:rsid w:val="06AE3E0A"/>
    <w:rsid w:val="06AE5BB8"/>
    <w:rsid w:val="06AE79A3"/>
    <w:rsid w:val="06AF4435"/>
    <w:rsid w:val="06B01930"/>
    <w:rsid w:val="06B17456"/>
    <w:rsid w:val="06B238FA"/>
    <w:rsid w:val="06B50CF4"/>
    <w:rsid w:val="06B807E5"/>
    <w:rsid w:val="06B8457A"/>
    <w:rsid w:val="06BA27AF"/>
    <w:rsid w:val="06BA7F39"/>
    <w:rsid w:val="06BB2083"/>
    <w:rsid w:val="06BC6527"/>
    <w:rsid w:val="06BD5DFB"/>
    <w:rsid w:val="06C13B3D"/>
    <w:rsid w:val="06C21663"/>
    <w:rsid w:val="06C278B5"/>
    <w:rsid w:val="06C42C0B"/>
    <w:rsid w:val="06C47189"/>
    <w:rsid w:val="06C47634"/>
    <w:rsid w:val="06C63DFD"/>
    <w:rsid w:val="06C673A5"/>
    <w:rsid w:val="06C86C04"/>
    <w:rsid w:val="06C90C44"/>
    <w:rsid w:val="06CB0518"/>
    <w:rsid w:val="06CC603E"/>
    <w:rsid w:val="06CD24E2"/>
    <w:rsid w:val="06CE6835"/>
    <w:rsid w:val="06CF1E82"/>
    <w:rsid w:val="06D118A6"/>
    <w:rsid w:val="06D2567A"/>
    <w:rsid w:val="06D25D4A"/>
    <w:rsid w:val="06D623BC"/>
    <w:rsid w:val="06D66EBD"/>
    <w:rsid w:val="06D7510F"/>
    <w:rsid w:val="06D80E87"/>
    <w:rsid w:val="06D82C35"/>
    <w:rsid w:val="06D96F39"/>
    <w:rsid w:val="06DB077C"/>
    <w:rsid w:val="06DE46EF"/>
    <w:rsid w:val="06DF030E"/>
    <w:rsid w:val="06DF0467"/>
    <w:rsid w:val="06E11AE9"/>
    <w:rsid w:val="06E25698"/>
    <w:rsid w:val="06E2679F"/>
    <w:rsid w:val="06E3013E"/>
    <w:rsid w:val="06E61CA5"/>
    <w:rsid w:val="06EA7AE9"/>
    <w:rsid w:val="06EC048E"/>
    <w:rsid w:val="06EC66E0"/>
    <w:rsid w:val="06ED4932"/>
    <w:rsid w:val="06F061D0"/>
    <w:rsid w:val="06F07F7E"/>
    <w:rsid w:val="06F16183"/>
    <w:rsid w:val="06F16BC5"/>
    <w:rsid w:val="06F21F49"/>
    <w:rsid w:val="06F276B3"/>
    <w:rsid w:val="06F37A6F"/>
    <w:rsid w:val="06F51A39"/>
    <w:rsid w:val="06F55595"/>
    <w:rsid w:val="06F740D5"/>
    <w:rsid w:val="06F74225"/>
    <w:rsid w:val="06F7755F"/>
    <w:rsid w:val="06F90EAA"/>
    <w:rsid w:val="06FA704F"/>
    <w:rsid w:val="06FC1585"/>
    <w:rsid w:val="06FD6A9C"/>
    <w:rsid w:val="06FE74E1"/>
    <w:rsid w:val="06FF01C2"/>
    <w:rsid w:val="070103DE"/>
    <w:rsid w:val="0701218C"/>
    <w:rsid w:val="0705233C"/>
    <w:rsid w:val="070644E9"/>
    <w:rsid w:val="070702F4"/>
    <w:rsid w:val="0708351A"/>
    <w:rsid w:val="070954E4"/>
    <w:rsid w:val="070B300A"/>
    <w:rsid w:val="070C28DE"/>
    <w:rsid w:val="070D7DF8"/>
    <w:rsid w:val="070E48A8"/>
    <w:rsid w:val="070E6657"/>
    <w:rsid w:val="071010C3"/>
    <w:rsid w:val="071137D1"/>
    <w:rsid w:val="07126147"/>
    <w:rsid w:val="0713489D"/>
    <w:rsid w:val="07155C37"/>
    <w:rsid w:val="071719AF"/>
    <w:rsid w:val="071851A9"/>
    <w:rsid w:val="07190B3B"/>
    <w:rsid w:val="07195727"/>
    <w:rsid w:val="07197171"/>
    <w:rsid w:val="071C50BB"/>
    <w:rsid w:val="071F6479"/>
    <w:rsid w:val="0721282E"/>
    <w:rsid w:val="07230354"/>
    <w:rsid w:val="072365A6"/>
    <w:rsid w:val="07246EC6"/>
    <w:rsid w:val="072530D7"/>
    <w:rsid w:val="07261BF2"/>
    <w:rsid w:val="0728596A"/>
    <w:rsid w:val="072B0FB7"/>
    <w:rsid w:val="072B545A"/>
    <w:rsid w:val="07300CC3"/>
    <w:rsid w:val="0730481F"/>
    <w:rsid w:val="0733430F"/>
    <w:rsid w:val="073360BD"/>
    <w:rsid w:val="07341C95"/>
    <w:rsid w:val="07373DAC"/>
    <w:rsid w:val="0737795B"/>
    <w:rsid w:val="073D154F"/>
    <w:rsid w:val="073E4B13"/>
    <w:rsid w:val="073F0F06"/>
    <w:rsid w:val="073F2CB4"/>
    <w:rsid w:val="0741337F"/>
    <w:rsid w:val="07426476"/>
    <w:rsid w:val="074309F6"/>
    <w:rsid w:val="07484826"/>
    <w:rsid w:val="0748600C"/>
    <w:rsid w:val="07487DBA"/>
    <w:rsid w:val="074A1D85"/>
    <w:rsid w:val="074B1659"/>
    <w:rsid w:val="074C4306"/>
    <w:rsid w:val="074D3285"/>
    <w:rsid w:val="07502802"/>
    <w:rsid w:val="07503DA2"/>
    <w:rsid w:val="0751715A"/>
    <w:rsid w:val="07526710"/>
    <w:rsid w:val="07535284"/>
    <w:rsid w:val="075576B5"/>
    <w:rsid w:val="07570F6B"/>
    <w:rsid w:val="07571DAC"/>
    <w:rsid w:val="0758425B"/>
    <w:rsid w:val="07585B24"/>
    <w:rsid w:val="075A189C"/>
    <w:rsid w:val="075B74B8"/>
    <w:rsid w:val="075D4FF8"/>
    <w:rsid w:val="075E5DA6"/>
    <w:rsid w:val="075E73A7"/>
    <w:rsid w:val="075E75DE"/>
    <w:rsid w:val="075F6EB2"/>
    <w:rsid w:val="076170CE"/>
    <w:rsid w:val="07635C4A"/>
    <w:rsid w:val="0764271A"/>
    <w:rsid w:val="076444C8"/>
    <w:rsid w:val="07660241"/>
    <w:rsid w:val="07674B9E"/>
    <w:rsid w:val="07683FB9"/>
    <w:rsid w:val="076A7650"/>
    <w:rsid w:val="076B1CFB"/>
    <w:rsid w:val="076B43DC"/>
    <w:rsid w:val="076F161C"/>
    <w:rsid w:val="076F3599"/>
    <w:rsid w:val="076F5347"/>
    <w:rsid w:val="07707311"/>
    <w:rsid w:val="07713508"/>
    <w:rsid w:val="07721962"/>
    <w:rsid w:val="07724E37"/>
    <w:rsid w:val="07743F3D"/>
    <w:rsid w:val="077A3CEC"/>
    <w:rsid w:val="077B0190"/>
    <w:rsid w:val="077C1812"/>
    <w:rsid w:val="077C5CB6"/>
    <w:rsid w:val="077C7517"/>
    <w:rsid w:val="077C7A64"/>
    <w:rsid w:val="077E1A2E"/>
    <w:rsid w:val="0781507A"/>
    <w:rsid w:val="07836411"/>
    <w:rsid w:val="078608E3"/>
    <w:rsid w:val="07862691"/>
    <w:rsid w:val="078828AD"/>
    <w:rsid w:val="0788465B"/>
    <w:rsid w:val="07892036"/>
    <w:rsid w:val="07894D94"/>
    <w:rsid w:val="078A4EB2"/>
    <w:rsid w:val="078B414B"/>
    <w:rsid w:val="078F59E9"/>
    <w:rsid w:val="0790294D"/>
    <w:rsid w:val="0790350F"/>
    <w:rsid w:val="07910536"/>
    <w:rsid w:val="07921036"/>
    <w:rsid w:val="079421BE"/>
    <w:rsid w:val="07944DAE"/>
    <w:rsid w:val="07990616"/>
    <w:rsid w:val="07997E0C"/>
    <w:rsid w:val="079C0106"/>
    <w:rsid w:val="079C1EB4"/>
    <w:rsid w:val="07A2497A"/>
    <w:rsid w:val="07A3050C"/>
    <w:rsid w:val="07A33243"/>
    <w:rsid w:val="07A34FF1"/>
    <w:rsid w:val="07A54B0B"/>
    <w:rsid w:val="07A5520D"/>
    <w:rsid w:val="07A56FBB"/>
    <w:rsid w:val="07A82607"/>
    <w:rsid w:val="07AA637F"/>
    <w:rsid w:val="07AB0349"/>
    <w:rsid w:val="07AD5E6F"/>
    <w:rsid w:val="07AF1BE8"/>
    <w:rsid w:val="07AF6F0D"/>
    <w:rsid w:val="07B0089E"/>
    <w:rsid w:val="07B12934"/>
    <w:rsid w:val="07B20324"/>
    <w:rsid w:val="07B40FAC"/>
    <w:rsid w:val="07B41C9A"/>
    <w:rsid w:val="07B70A9C"/>
    <w:rsid w:val="07BD6BB5"/>
    <w:rsid w:val="07C03226"/>
    <w:rsid w:val="07C14EF1"/>
    <w:rsid w:val="07C156BE"/>
    <w:rsid w:val="07C30F86"/>
    <w:rsid w:val="07C66F31"/>
    <w:rsid w:val="07C8074A"/>
    <w:rsid w:val="07C92824"/>
    <w:rsid w:val="07CA6A21"/>
    <w:rsid w:val="07CB1392"/>
    <w:rsid w:val="07CC6AA8"/>
    <w:rsid w:val="07CD02C0"/>
    <w:rsid w:val="07CF0CC8"/>
    <w:rsid w:val="07CF6DE1"/>
    <w:rsid w:val="07D15ABF"/>
    <w:rsid w:val="07D478A0"/>
    <w:rsid w:val="07D57174"/>
    <w:rsid w:val="07D77390"/>
    <w:rsid w:val="07D843EB"/>
    <w:rsid w:val="07DB2897"/>
    <w:rsid w:val="07DE24CD"/>
    <w:rsid w:val="07E15B19"/>
    <w:rsid w:val="07E2138F"/>
    <w:rsid w:val="07E307C8"/>
    <w:rsid w:val="07E55609"/>
    <w:rsid w:val="07E8334B"/>
    <w:rsid w:val="07EC6998"/>
    <w:rsid w:val="07ED0962"/>
    <w:rsid w:val="07ED2710"/>
    <w:rsid w:val="07F27D26"/>
    <w:rsid w:val="07F3131B"/>
    <w:rsid w:val="07F33D53"/>
    <w:rsid w:val="07F36615"/>
    <w:rsid w:val="07F615C4"/>
    <w:rsid w:val="07F65A68"/>
    <w:rsid w:val="07F81671"/>
    <w:rsid w:val="07F82721"/>
    <w:rsid w:val="07F838F1"/>
    <w:rsid w:val="07F84400"/>
    <w:rsid w:val="07F95559"/>
    <w:rsid w:val="07FB307F"/>
    <w:rsid w:val="07FC4670"/>
    <w:rsid w:val="07FE6A73"/>
    <w:rsid w:val="07FE6B17"/>
    <w:rsid w:val="07FE70D7"/>
    <w:rsid w:val="07FF70AC"/>
    <w:rsid w:val="08017F69"/>
    <w:rsid w:val="08020CAE"/>
    <w:rsid w:val="0802440D"/>
    <w:rsid w:val="0806328B"/>
    <w:rsid w:val="08090921"/>
    <w:rsid w:val="080A44B7"/>
    <w:rsid w:val="080A77D2"/>
    <w:rsid w:val="080C0DE8"/>
    <w:rsid w:val="080C703A"/>
    <w:rsid w:val="08123F24"/>
    <w:rsid w:val="08163A15"/>
    <w:rsid w:val="08167EB9"/>
    <w:rsid w:val="0817314E"/>
    <w:rsid w:val="081906D7"/>
    <w:rsid w:val="08191757"/>
    <w:rsid w:val="081E4FBF"/>
    <w:rsid w:val="08216DD1"/>
    <w:rsid w:val="08231895"/>
    <w:rsid w:val="082779D0"/>
    <w:rsid w:val="08281AC6"/>
    <w:rsid w:val="08295563"/>
    <w:rsid w:val="082963B9"/>
    <w:rsid w:val="082D0D5E"/>
    <w:rsid w:val="082D6FB0"/>
    <w:rsid w:val="082F13D5"/>
    <w:rsid w:val="082F2D28"/>
    <w:rsid w:val="08314CF2"/>
    <w:rsid w:val="0832034D"/>
    <w:rsid w:val="08321601"/>
    <w:rsid w:val="08332819"/>
    <w:rsid w:val="08357123"/>
    <w:rsid w:val="08381BDD"/>
    <w:rsid w:val="08386987"/>
    <w:rsid w:val="08387E2F"/>
    <w:rsid w:val="08395058"/>
    <w:rsid w:val="083B347B"/>
    <w:rsid w:val="083C6F1B"/>
    <w:rsid w:val="083D1A72"/>
    <w:rsid w:val="083E303C"/>
    <w:rsid w:val="08412454"/>
    <w:rsid w:val="08430582"/>
    <w:rsid w:val="084542FA"/>
    <w:rsid w:val="0847222C"/>
    <w:rsid w:val="08482B1C"/>
    <w:rsid w:val="084878F0"/>
    <w:rsid w:val="084F5179"/>
    <w:rsid w:val="084F6F27"/>
    <w:rsid w:val="08510EF1"/>
    <w:rsid w:val="08515EAF"/>
    <w:rsid w:val="085207C5"/>
    <w:rsid w:val="085224A3"/>
    <w:rsid w:val="085307CF"/>
    <w:rsid w:val="085320D7"/>
    <w:rsid w:val="08580653"/>
    <w:rsid w:val="08592BFA"/>
    <w:rsid w:val="08592D25"/>
    <w:rsid w:val="085A3F0D"/>
    <w:rsid w:val="085B1D6F"/>
    <w:rsid w:val="085D1644"/>
    <w:rsid w:val="085D3813"/>
    <w:rsid w:val="085D7896"/>
    <w:rsid w:val="085F2E56"/>
    <w:rsid w:val="08607386"/>
    <w:rsid w:val="08616E30"/>
    <w:rsid w:val="08642E79"/>
    <w:rsid w:val="08653E02"/>
    <w:rsid w:val="0866324D"/>
    <w:rsid w:val="08674270"/>
    <w:rsid w:val="086850AC"/>
    <w:rsid w:val="08695EE6"/>
    <w:rsid w:val="086C77D2"/>
    <w:rsid w:val="086E0ECF"/>
    <w:rsid w:val="086E1AA3"/>
    <w:rsid w:val="087021E5"/>
    <w:rsid w:val="08711856"/>
    <w:rsid w:val="08726A1D"/>
    <w:rsid w:val="08736678"/>
    <w:rsid w:val="08760957"/>
    <w:rsid w:val="08776489"/>
    <w:rsid w:val="0878647D"/>
    <w:rsid w:val="08793FA4"/>
    <w:rsid w:val="087A31BB"/>
    <w:rsid w:val="087A5A09"/>
    <w:rsid w:val="087B29AA"/>
    <w:rsid w:val="087B3DD5"/>
    <w:rsid w:val="087E03FC"/>
    <w:rsid w:val="087F5A5E"/>
    <w:rsid w:val="08805332"/>
    <w:rsid w:val="08851FE1"/>
    <w:rsid w:val="08860AD3"/>
    <w:rsid w:val="08887CBD"/>
    <w:rsid w:val="08892439"/>
    <w:rsid w:val="088E3A68"/>
    <w:rsid w:val="088E7A4F"/>
    <w:rsid w:val="0890214E"/>
    <w:rsid w:val="08907C6B"/>
    <w:rsid w:val="089112ED"/>
    <w:rsid w:val="0891753F"/>
    <w:rsid w:val="08935065"/>
    <w:rsid w:val="0894259F"/>
    <w:rsid w:val="0898267C"/>
    <w:rsid w:val="0898427F"/>
    <w:rsid w:val="089B160B"/>
    <w:rsid w:val="089B6610"/>
    <w:rsid w:val="089D1E36"/>
    <w:rsid w:val="089D3278"/>
    <w:rsid w:val="089D3FDB"/>
    <w:rsid w:val="089F7EAE"/>
    <w:rsid w:val="08A059D4"/>
    <w:rsid w:val="08A07782"/>
    <w:rsid w:val="08A242C7"/>
    <w:rsid w:val="08A41A94"/>
    <w:rsid w:val="08A52FEB"/>
    <w:rsid w:val="08A65E15"/>
    <w:rsid w:val="08A66183"/>
    <w:rsid w:val="08AB2DC6"/>
    <w:rsid w:val="08AE0A94"/>
    <w:rsid w:val="08B03E69"/>
    <w:rsid w:val="08B0664C"/>
    <w:rsid w:val="08B1198F"/>
    <w:rsid w:val="08B42CE5"/>
    <w:rsid w:val="08B553AB"/>
    <w:rsid w:val="08B576D2"/>
    <w:rsid w:val="08B9538F"/>
    <w:rsid w:val="08B97B9F"/>
    <w:rsid w:val="08BA2FBA"/>
    <w:rsid w:val="08BF40AC"/>
    <w:rsid w:val="08BF5E5A"/>
    <w:rsid w:val="08C37623"/>
    <w:rsid w:val="08C401C2"/>
    <w:rsid w:val="08C416C3"/>
    <w:rsid w:val="08C43471"/>
    <w:rsid w:val="08C571E9"/>
    <w:rsid w:val="08C6543B"/>
    <w:rsid w:val="08C711B3"/>
    <w:rsid w:val="08C72F61"/>
    <w:rsid w:val="08CC4A1B"/>
    <w:rsid w:val="08CE0793"/>
    <w:rsid w:val="08CF46F2"/>
    <w:rsid w:val="08D062B9"/>
    <w:rsid w:val="08D31906"/>
    <w:rsid w:val="08D35DAA"/>
    <w:rsid w:val="08D5567E"/>
    <w:rsid w:val="08D77648"/>
    <w:rsid w:val="08D8516E"/>
    <w:rsid w:val="08D97D1B"/>
    <w:rsid w:val="08DA0EE6"/>
    <w:rsid w:val="08DB1458"/>
    <w:rsid w:val="08DB6A0C"/>
    <w:rsid w:val="08DC4C5E"/>
    <w:rsid w:val="08DD2784"/>
    <w:rsid w:val="08DE6875"/>
    <w:rsid w:val="08DF474E"/>
    <w:rsid w:val="08DF64FD"/>
    <w:rsid w:val="08E04023"/>
    <w:rsid w:val="08E21B49"/>
    <w:rsid w:val="08E25FED"/>
    <w:rsid w:val="08E27D9B"/>
    <w:rsid w:val="08E6699A"/>
    <w:rsid w:val="08E80190"/>
    <w:rsid w:val="08E81855"/>
    <w:rsid w:val="08ED6E6B"/>
    <w:rsid w:val="08EE4992"/>
    <w:rsid w:val="08F274E1"/>
    <w:rsid w:val="08F31FA8"/>
    <w:rsid w:val="08F57ACE"/>
    <w:rsid w:val="08F655F4"/>
    <w:rsid w:val="08F75D7F"/>
    <w:rsid w:val="08F972F8"/>
    <w:rsid w:val="08FB23E2"/>
    <w:rsid w:val="08FD6983"/>
    <w:rsid w:val="090221EB"/>
    <w:rsid w:val="090666F2"/>
    <w:rsid w:val="09075A53"/>
    <w:rsid w:val="090A5711"/>
    <w:rsid w:val="090B5543"/>
    <w:rsid w:val="090C4302"/>
    <w:rsid w:val="090E0B90"/>
    <w:rsid w:val="090E6DE2"/>
    <w:rsid w:val="09102B5A"/>
    <w:rsid w:val="09104908"/>
    <w:rsid w:val="0914680B"/>
    <w:rsid w:val="09150170"/>
    <w:rsid w:val="09187C60"/>
    <w:rsid w:val="091A12E3"/>
    <w:rsid w:val="091B505B"/>
    <w:rsid w:val="091B7A88"/>
    <w:rsid w:val="091C0C95"/>
    <w:rsid w:val="091C14FF"/>
    <w:rsid w:val="091C4C21"/>
    <w:rsid w:val="091C4DD6"/>
    <w:rsid w:val="09207FBB"/>
    <w:rsid w:val="09212671"/>
    <w:rsid w:val="0923593D"/>
    <w:rsid w:val="09242161"/>
    <w:rsid w:val="092752BD"/>
    <w:rsid w:val="09285346"/>
    <w:rsid w:val="09287EA3"/>
    <w:rsid w:val="0929337E"/>
    <w:rsid w:val="092959CA"/>
    <w:rsid w:val="092A3C3E"/>
    <w:rsid w:val="092B4317"/>
    <w:rsid w:val="092C26E1"/>
    <w:rsid w:val="092E1232"/>
    <w:rsid w:val="092E650B"/>
    <w:rsid w:val="09306D58"/>
    <w:rsid w:val="09323BE0"/>
    <w:rsid w:val="09336848"/>
    <w:rsid w:val="09354267"/>
    <w:rsid w:val="09383E5F"/>
    <w:rsid w:val="093A3733"/>
    <w:rsid w:val="093B46F0"/>
    <w:rsid w:val="093C0D7D"/>
    <w:rsid w:val="093E76C7"/>
    <w:rsid w:val="093F51ED"/>
    <w:rsid w:val="0940533B"/>
    <w:rsid w:val="09405942"/>
    <w:rsid w:val="094112A1"/>
    <w:rsid w:val="094112F3"/>
    <w:rsid w:val="09414AC1"/>
    <w:rsid w:val="094445B2"/>
    <w:rsid w:val="094761B8"/>
    <w:rsid w:val="094822F4"/>
    <w:rsid w:val="09497E1A"/>
    <w:rsid w:val="094B5940"/>
    <w:rsid w:val="094E71DE"/>
    <w:rsid w:val="09506EFC"/>
    <w:rsid w:val="095347F5"/>
    <w:rsid w:val="09585107"/>
    <w:rsid w:val="095A3DD5"/>
    <w:rsid w:val="095C7B4D"/>
    <w:rsid w:val="095D5673"/>
    <w:rsid w:val="095E38C5"/>
    <w:rsid w:val="095F763D"/>
    <w:rsid w:val="096040A1"/>
    <w:rsid w:val="0964525F"/>
    <w:rsid w:val="0966277A"/>
    <w:rsid w:val="096802A0"/>
    <w:rsid w:val="0969226A"/>
    <w:rsid w:val="09694018"/>
    <w:rsid w:val="096B322F"/>
    <w:rsid w:val="096D4E25"/>
    <w:rsid w:val="096E0A82"/>
    <w:rsid w:val="096E7880"/>
    <w:rsid w:val="09735318"/>
    <w:rsid w:val="0973681F"/>
    <w:rsid w:val="097430E9"/>
    <w:rsid w:val="0978425B"/>
    <w:rsid w:val="097B7851"/>
    <w:rsid w:val="097C7D74"/>
    <w:rsid w:val="097D5C41"/>
    <w:rsid w:val="097E3F67"/>
    <w:rsid w:val="097E7AC3"/>
    <w:rsid w:val="097F55EA"/>
    <w:rsid w:val="098153F0"/>
    <w:rsid w:val="09815806"/>
    <w:rsid w:val="09815FC1"/>
    <w:rsid w:val="0983157E"/>
    <w:rsid w:val="0983332C"/>
    <w:rsid w:val="09854104"/>
    <w:rsid w:val="098552F6"/>
    <w:rsid w:val="09862E1C"/>
    <w:rsid w:val="098721D1"/>
    <w:rsid w:val="098B21E0"/>
    <w:rsid w:val="098B3F8E"/>
    <w:rsid w:val="098C1E26"/>
    <w:rsid w:val="098F7F23"/>
    <w:rsid w:val="09906EB4"/>
    <w:rsid w:val="099077F7"/>
    <w:rsid w:val="0992531D"/>
    <w:rsid w:val="099700EE"/>
    <w:rsid w:val="09975980"/>
    <w:rsid w:val="0998102C"/>
    <w:rsid w:val="09982868"/>
    <w:rsid w:val="099A2423"/>
    <w:rsid w:val="099A7118"/>
    <w:rsid w:val="099F3D9A"/>
    <w:rsid w:val="09A11A04"/>
    <w:rsid w:val="09A130C0"/>
    <w:rsid w:val="09A27DD2"/>
    <w:rsid w:val="09A339CE"/>
    <w:rsid w:val="09A358EB"/>
    <w:rsid w:val="09A60DC8"/>
    <w:rsid w:val="09A7409B"/>
    <w:rsid w:val="09A82D92"/>
    <w:rsid w:val="09A84B40"/>
    <w:rsid w:val="09A908B8"/>
    <w:rsid w:val="09A92667"/>
    <w:rsid w:val="09AA4D5C"/>
    <w:rsid w:val="09AB208A"/>
    <w:rsid w:val="09AB721C"/>
    <w:rsid w:val="09AC6A1A"/>
    <w:rsid w:val="09AD03A9"/>
    <w:rsid w:val="09AD14B0"/>
    <w:rsid w:val="09AD42D5"/>
    <w:rsid w:val="09AE656F"/>
    <w:rsid w:val="09AF5ECF"/>
    <w:rsid w:val="09B23C11"/>
    <w:rsid w:val="09B40A11"/>
    <w:rsid w:val="09B93488"/>
    <w:rsid w:val="09B96D4E"/>
    <w:rsid w:val="09BA4874"/>
    <w:rsid w:val="09BC0979"/>
    <w:rsid w:val="09BC4A90"/>
    <w:rsid w:val="09BE4364"/>
    <w:rsid w:val="09BF1E8A"/>
    <w:rsid w:val="09C11BC8"/>
    <w:rsid w:val="09C15C02"/>
    <w:rsid w:val="09C37BCC"/>
    <w:rsid w:val="09C72A5F"/>
    <w:rsid w:val="09C83435"/>
    <w:rsid w:val="09C87767"/>
    <w:rsid w:val="09C90306"/>
    <w:rsid w:val="09CA2D09"/>
    <w:rsid w:val="09CB4CD3"/>
    <w:rsid w:val="09CF6571"/>
    <w:rsid w:val="09D161EA"/>
    <w:rsid w:val="09D70147"/>
    <w:rsid w:val="09D73678"/>
    <w:rsid w:val="09D74664"/>
    <w:rsid w:val="09D9119E"/>
    <w:rsid w:val="09DC1D8F"/>
    <w:rsid w:val="09DC2A3C"/>
    <w:rsid w:val="09DE4A06"/>
    <w:rsid w:val="09DF42DA"/>
    <w:rsid w:val="09E0077E"/>
    <w:rsid w:val="09E2121D"/>
    <w:rsid w:val="09E27A40"/>
    <w:rsid w:val="09E3201C"/>
    <w:rsid w:val="09E334F0"/>
    <w:rsid w:val="09E543C3"/>
    <w:rsid w:val="09E65669"/>
    <w:rsid w:val="09E85B5D"/>
    <w:rsid w:val="09EC6D03"/>
    <w:rsid w:val="09ED7D19"/>
    <w:rsid w:val="09EE3447"/>
    <w:rsid w:val="09EF09C1"/>
    <w:rsid w:val="09EF5953"/>
    <w:rsid w:val="09EF6C13"/>
    <w:rsid w:val="09EF75DA"/>
    <w:rsid w:val="09F14739"/>
    <w:rsid w:val="09F42421"/>
    <w:rsid w:val="09F91840"/>
    <w:rsid w:val="09FB55B8"/>
    <w:rsid w:val="09FC30DE"/>
    <w:rsid w:val="09FD75F9"/>
    <w:rsid w:val="09FE6E56"/>
    <w:rsid w:val="0A00497C"/>
    <w:rsid w:val="0A03446D"/>
    <w:rsid w:val="0A0505FE"/>
    <w:rsid w:val="0A051F93"/>
    <w:rsid w:val="0A054415"/>
    <w:rsid w:val="0A086B37"/>
    <w:rsid w:val="0A0C1573"/>
    <w:rsid w:val="0A0D0E47"/>
    <w:rsid w:val="0A106E52"/>
    <w:rsid w:val="0A110FC0"/>
    <w:rsid w:val="0A122902"/>
    <w:rsid w:val="0A1246B0"/>
    <w:rsid w:val="0A133E87"/>
    <w:rsid w:val="0A161B60"/>
    <w:rsid w:val="0A171CC6"/>
    <w:rsid w:val="0A181F87"/>
    <w:rsid w:val="0A1B3041"/>
    <w:rsid w:val="0A1B3564"/>
    <w:rsid w:val="0A1E12C2"/>
    <w:rsid w:val="0A20501F"/>
    <w:rsid w:val="0A23066B"/>
    <w:rsid w:val="0A232419"/>
    <w:rsid w:val="0A2368BD"/>
    <w:rsid w:val="0A247833"/>
    <w:rsid w:val="0A283ED3"/>
    <w:rsid w:val="0A285C81"/>
    <w:rsid w:val="0A2C5771"/>
    <w:rsid w:val="0A2E773B"/>
    <w:rsid w:val="0A3062F8"/>
    <w:rsid w:val="0A312D88"/>
    <w:rsid w:val="0A33367C"/>
    <w:rsid w:val="0A342878"/>
    <w:rsid w:val="0A353977"/>
    <w:rsid w:val="0A35585E"/>
    <w:rsid w:val="0A3665F0"/>
    <w:rsid w:val="0A374116"/>
    <w:rsid w:val="0A38348D"/>
    <w:rsid w:val="0A391C3C"/>
    <w:rsid w:val="0A3D172D"/>
    <w:rsid w:val="0A424F95"/>
    <w:rsid w:val="0A432B17"/>
    <w:rsid w:val="0A434869"/>
    <w:rsid w:val="0A460C25"/>
    <w:rsid w:val="0A466107"/>
    <w:rsid w:val="0A4800D1"/>
    <w:rsid w:val="0A4D56E8"/>
    <w:rsid w:val="0A4E0677"/>
    <w:rsid w:val="0A4E18EF"/>
    <w:rsid w:val="0A516F86"/>
    <w:rsid w:val="0A521FF8"/>
    <w:rsid w:val="0A522CFE"/>
    <w:rsid w:val="0A540824"/>
    <w:rsid w:val="0A552FC1"/>
    <w:rsid w:val="0A556711"/>
    <w:rsid w:val="0A5627EE"/>
    <w:rsid w:val="0A582468"/>
    <w:rsid w:val="0A5922DF"/>
    <w:rsid w:val="0A5B13F8"/>
    <w:rsid w:val="0A5B7E05"/>
    <w:rsid w:val="0A5D3B7D"/>
    <w:rsid w:val="0A5E16A3"/>
    <w:rsid w:val="0A5F1A8C"/>
    <w:rsid w:val="0A64649D"/>
    <w:rsid w:val="0A670558"/>
    <w:rsid w:val="0A681F4F"/>
    <w:rsid w:val="0A6842D0"/>
    <w:rsid w:val="0A690774"/>
    <w:rsid w:val="0A6930EF"/>
    <w:rsid w:val="0A696B14"/>
    <w:rsid w:val="0A6C3DC0"/>
    <w:rsid w:val="0A6D50CA"/>
    <w:rsid w:val="0A6E5D8A"/>
    <w:rsid w:val="0A6E612D"/>
    <w:rsid w:val="0A6F38B0"/>
    <w:rsid w:val="0A6F565E"/>
    <w:rsid w:val="0A7040FA"/>
    <w:rsid w:val="0A710F38"/>
    <w:rsid w:val="0A7333A0"/>
    <w:rsid w:val="0A740EC6"/>
    <w:rsid w:val="0A741351"/>
    <w:rsid w:val="0A7A3407"/>
    <w:rsid w:val="0A7B04A7"/>
    <w:rsid w:val="0A7C0CB7"/>
    <w:rsid w:val="0A800542"/>
    <w:rsid w:val="0A8119D2"/>
    <w:rsid w:val="0A825391"/>
    <w:rsid w:val="0A83110A"/>
    <w:rsid w:val="0A851326"/>
    <w:rsid w:val="0A886CD4"/>
    <w:rsid w:val="0A894972"/>
    <w:rsid w:val="0A8C0226"/>
    <w:rsid w:val="0A8D0CF1"/>
    <w:rsid w:val="0A8F3746"/>
    <w:rsid w:val="0A914F00"/>
    <w:rsid w:val="0A946AAC"/>
    <w:rsid w:val="0A95709C"/>
    <w:rsid w:val="0A9612BF"/>
    <w:rsid w:val="0A96708F"/>
    <w:rsid w:val="0A98139A"/>
    <w:rsid w:val="0A984BB5"/>
    <w:rsid w:val="0A99092D"/>
    <w:rsid w:val="0A9A10E9"/>
    <w:rsid w:val="0A9A6B7F"/>
    <w:rsid w:val="0A9B46A5"/>
    <w:rsid w:val="0A9C1711"/>
    <w:rsid w:val="0A9F4195"/>
    <w:rsid w:val="0AA068F7"/>
    <w:rsid w:val="0AA172D2"/>
    <w:rsid w:val="0AA23C86"/>
    <w:rsid w:val="0AA25A34"/>
    <w:rsid w:val="0AA310F7"/>
    <w:rsid w:val="0AA406BE"/>
    <w:rsid w:val="0AA736ED"/>
    <w:rsid w:val="0AA84C34"/>
    <w:rsid w:val="0AA86B64"/>
    <w:rsid w:val="0AA97302"/>
    <w:rsid w:val="0AAB306E"/>
    <w:rsid w:val="0AAC0A11"/>
    <w:rsid w:val="0AAF0151"/>
    <w:rsid w:val="0AAF1EFF"/>
    <w:rsid w:val="0AB1211B"/>
    <w:rsid w:val="0AB13EC9"/>
    <w:rsid w:val="0AB77B8E"/>
    <w:rsid w:val="0ABB08A3"/>
    <w:rsid w:val="0ABB4D47"/>
    <w:rsid w:val="0ABE2142"/>
    <w:rsid w:val="0ABF65E6"/>
    <w:rsid w:val="0AC0235E"/>
    <w:rsid w:val="0AC21C32"/>
    <w:rsid w:val="0AC32C22"/>
    <w:rsid w:val="0AC43BFC"/>
    <w:rsid w:val="0AC540E6"/>
    <w:rsid w:val="0AC76DE5"/>
    <w:rsid w:val="0AC8421B"/>
    <w:rsid w:val="0AC96D38"/>
    <w:rsid w:val="0ACA6D38"/>
    <w:rsid w:val="0ACC485F"/>
    <w:rsid w:val="0ACE4A7B"/>
    <w:rsid w:val="0ACF423A"/>
    <w:rsid w:val="0ACF434F"/>
    <w:rsid w:val="0AD329BB"/>
    <w:rsid w:val="0AD33270"/>
    <w:rsid w:val="0AD33E3F"/>
    <w:rsid w:val="0AD60454"/>
    <w:rsid w:val="0AD656DD"/>
    <w:rsid w:val="0AD71192"/>
    <w:rsid w:val="0AD96F7B"/>
    <w:rsid w:val="0ADA341F"/>
    <w:rsid w:val="0ADB0F46"/>
    <w:rsid w:val="0ADB2CF4"/>
    <w:rsid w:val="0ADD2F10"/>
    <w:rsid w:val="0AE147AE"/>
    <w:rsid w:val="0AE2298C"/>
    <w:rsid w:val="0AE3202B"/>
    <w:rsid w:val="0AE36146"/>
    <w:rsid w:val="0AE47EC1"/>
    <w:rsid w:val="0AE778EA"/>
    <w:rsid w:val="0AEA7107"/>
    <w:rsid w:val="0AEE2A27"/>
    <w:rsid w:val="0AEE5E82"/>
    <w:rsid w:val="0AEF1FDE"/>
    <w:rsid w:val="0AF142C5"/>
    <w:rsid w:val="0AF338CE"/>
    <w:rsid w:val="0AF344E1"/>
    <w:rsid w:val="0AF3628F"/>
    <w:rsid w:val="0AF65D7F"/>
    <w:rsid w:val="0AF73FD1"/>
    <w:rsid w:val="0AF73FF7"/>
    <w:rsid w:val="0AF74D4E"/>
    <w:rsid w:val="0AF920B8"/>
    <w:rsid w:val="0AFB3396"/>
    <w:rsid w:val="0AFD44E7"/>
    <w:rsid w:val="0B0264D2"/>
    <w:rsid w:val="0B057D70"/>
    <w:rsid w:val="0B064214"/>
    <w:rsid w:val="0B071D3B"/>
    <w:rsid w:val="0B09160F"/>
    <w:rsid w:val="0B09789A"/>
    <w:rsid w:val="0B0A71A3"/>
    <w:rsid w:val="0B0A7625"/>
    <w:rsid w:val="0B0C060D"/>
    <w:rsid w:val="0B0D1E4E"/>
    <w:rsid w:val="0B0F2CB4"/>
    <w:rsid w:val="0B116A1F"/>
    <w:rsid w:val="0B13248D"/>
    <w:rsid w:val="0B136931"/>
    <w:rsid w:val="0B175B42"/>
    <w:rsid w:val="0B177FEB"/>
    <w:rsid w:val="0B1836A0"/>
    <w:rsid w:val="0B1A1A6E"/>
    <w:rsid w:val="0B1A745E"/>
    <w:rsid w:val="0B1B7594"/>
    <w:rsid w:val="0B1D155E"/>
    <w:rsid w:val="0B1F52D6"/>
    <w:rsid w:val="0B204BAA"/>
    <w:rsid w:val="0B21104E"/>
    <w:rsid w:val="0B2226D0"/>
    <w:rsid w:val="0B226B74"/>
    <w:rsid w:val="0B2656A9"/>
    <w:rsid w:val="0B27077E"/>
    <w:rsid w:val="0B2823DD"/>
    <w:rsid w:val="0B293A5F"/>
    <w:rsid w:val="0B2A5268"/>
    <w:rsid w:val="0B2B3C7B"/>
    <w:rsid w:val="0B2C17A1"/>
    <w:rsid w:val="0B2E5519"/>
    <w:rsid w:val="0B301291"/>
    <w:rsid w:val="0B31402D"/>
    <w:rsid w:val="0B322B54"/>
    <w:rsid w:val="0B3433D0"/>
    <w:rsid w:val="0B350656"/>
    <w:rsid w:val="0B3545A0"/>
    <w:rsid w:val="0B380146"/>
    <w:rsid w:val="0B381EF4"/>
    <w:rsid w:val="0B3A2110"/>
    <w:rsid w:val="0B3B3792"/>
    <w:rsid w:val="0B3C3711"/>
    <w:rsid w:val="0B3F3282"/>
    <w:rsid w:val="0B41349E"/>
    <w:rsid w:val="0B424B21"/>
    <w:rsid w:val="0B486A8C"/>
    <w:rsid w:val="0B494101"/>
    <w:rsid w:val="0B4944C4"/>
    <w:rsid w:val="0B495E46"/>
    <w:rsid w:val="0B4B1C27"/>
    <w:rsid w:val="0B4C599F"/>
    <w:rsid w:val="0B4E1717"/>
    <w:rsid w:val="0B510D02"/>
    <w:rsid w:val="0B521208"/>
    <w:rsid w:val="0B534F80"/>
    <w:rsid w:val="0B536D2E"/>
    <w:rsid w:val="0B53768A"/>
    <w:rsid w:val="0B550CF8"/>
    <w:rsid w:val="0B552AA6"/>
    <w:rsid w:val="0B565C5A"/>
    <w:rsid w:val="0B5A7BE7"/>
    <w:rsid w:val="0B5D195B"/>
    <w:rsid w:val="0B5E0CAB"/>
    <w:rsid w:val="0B5E5DFE"/>
    <w:rsid w:val="0B5F3925"/>
    <w:rsid w:val="0B626F71"/>
    <w:rsid w:val="0B642CE9"/>
    <w:rsid w:val="0B643DFD"/>
    <w:rsid w:val="0B666A61"/>
    <w:rsid w:val="0B6803A9"/>
    <w:rsid w:val="0B69624C"/>
    <w:rsid w:val="0B696845"/>
    <w:rsid w:val="0B6E5916"/>
    <w:rsid w:val="0B6F53F1"/>
    <w:rsid w:val="0B7050C1"/>
    <w:rsid w:val="0B7078E0"/>
    <w:rsid w:val="0B714FB9"/>
    <w:rsid w:val="0B7218AA"/>
    <w:rsid w:val="0B725406"/>
    <w:rsid w:val="0B733389"/>
    <w:rsid w:val="0B770C6E"/>
    <w:rsid w:val="0B786794"/>
    <w:rsid w:val="0B792976"/>
    <w:rsid w:val="0B7A42BB"/>
    <w:rsid w:val="0B7A69B0"/>
    <w:rsid w:val="0B7C2B99"/>
    <w:rsid w:val="0B7E13B4"/>
    <w:rsid w:val="0B7F2B8A"/>
    <w:rsid w:val="0B8065C0"/>
    <w:rsid w:val="0B811AED"/>
    <w:rsid w:val="0B817770"/>
    <w:rsid w:val="0B8213C1"/>
    <w:rsid w:val="0B835865"/>
    <w:rsid w:val="0B837613"/>
    <w:rsid w:val="0B8415DD"/>
    <w:rsid w:val="0B866A2E"/>
    <w:rsid w:val="0B867103"/>
    <w:rsid w:val="0B885CF0"/>
    <w:rsid w:val="0B89625E"/>
    <w:rsid w:val="0B8D66E4"/>
    <w:rsid w:val="0B8E34B3"/>
    <w:rsid w:val="0B8E5FB8"/>
    <w:rsid w:val="0B8E7D66"/>
    <w:rsid w:val="0B8F217E"/>
    <w:rsid w:val="0B901D30"/>
    <w:rsid w:val="0B923CFA"/>
    <w:rsid w:val="0B934248"/>
    <w:rsid w:val="0B9424C2"/>
    <w:rsid w:val="0B9730BE"/>
    <w:rsid w:val="0B98137F"/>
    <w:rsid w:val="0B9A25D9"/>
    <w:rsid w:val="0B9A472D"/>
    <w:rsid w:val="0B9A495D"/>
    <w:rsid w:val="0B9A6334"/>
    <w:rsid w:val="0B9A670B"/>
    <w:rsid w:val="0B9E269F"/>
    <w:rsid w:val="0B9E3C6A"/>
    <w:rsid w:val="0B9E444D"/>
    <w:rsid w:val="0B9F6417"/>
    <w:rsid w:val="0BA021A6"/>
    <w:rsid w:val="0BA06E67"/>
    <w:rsid w:val="0BA15CEB"/>
    <w:rsid w:val="0BA24760"/>
    <w:rsid w:val="0BA37CB5"/>
    <w:rsid w:val="0BA47589"/>
    <w:rsid w:val="0BA53447"/>
    <w:rsid w:val="0BA9688B"/>
    <w:rsid w:val="0BAA06D3"/>
    <w:rsid w:val="0BAB72B9"/>
    <w:rsid w:val="0BAD28E2"/>
    <w:rsid w:val="0BAE0408"/>
    <w:rsid w:val="0BAE21B6"/>
    <w:rsid w:val="0BB2024E"/>
    <w:rsid w:val="0BB2614A"/>
    <w:rsid w:val="0BB35A1E"/>
    <w:rsid w:val="0BB377CC"/>
    <w:rsid w:val="0BB56DB8"/>
    <w:rsid w:val="0BB626CA"/>
    <w:rsid w:val="0BB80875"/>
    <w:rsid w:val="0BBC0C76"/>
    <w:rsid w:val="0BBC0D77"/>
    <w:rsid w:val="0BBC48D3"/>
    <w:rsid w:val="0BBE4AEF"/>
    <w:rsid w:val="0BBE689D"/>
    <w:rsid w:val="0BC06E3C"/>
    <w:rsid w:val="0BC10559"/>
    <w:rsid w:val="0BC2671A"/>
    <w:rsid w:val="0BC32105"/>
    <w:rsid w:val="0BC33EB3"/>
    <w:rsid w:val="0BC639A4"/>
    <w:rsid w:val="0BC63A93"/>
    <w:rsid w:val="0BC95EC9"/>
    <w:rsid w:val="0BCF48E1"/>
    <w:rsid w:val="0BD22349"/>
    <w:rsid w:val="0BD55995"/>
    <w:rsid w:val="0BD60EF8"/>
    <w:rsid w:val="0BD73A5B"/>
    <w:rsid w:val="0BD848FB"/>
    <w:rsid w:val="0BDA11FD"/>
    <w:rsid w:val="0BDB29CF"/>
    <w:rsid w:val="0BDC071B"/>
    <w:rsid w:val="0BDC4F75"/>
    <w:rsid w:val="0BE107DE"/>
    <w:rsid w:val="0BE16820"/>
    <w:rsid w:val="0BE26D39"/>
    <w:rsid w:val="0BE33EB9"/>
    <w:rsid w:val="0BE502CE"/>
    <w:rsid w:val="0BE65DF4"/>
    <w:rsid w:val="0BE7292A"/>
    <w:rsid w:val="0BEB340A"/>
    <w:rsid w:val="0BEB6D6D"/>
    <w:rsid w:val="0BF16C73"/>
    <w:rsid w:val="0BF4406D"/>
    <w:rsid w:val="0BF51D2E"/>
    <w:rsid w:val="0BF73B5D"/>
    <w:rsid w:val="0BF7590B"/>
    <w:rsid w:val="0BFA0288"/>
    <w:rsid w:val="0BFC3D4A"/>
    <w:rsid w:val="0C006EB6"/>
    <w:rsid w:val="0C012733"/>
    <w:rsid w:val="0C032502"/>
    <w:rsid w:val="0C0355A4"/>
    <w:rsid w:val="0C0369A6"/>
    <w:rsid w:val="0C040028"/>
    <w:rsid w:val="0C061FF2"/>
    <w:rsid w:val="0C087B18"/>
    <w:rsid w:val="0C0B13B7"/>
    <w:rsid w:val="0C0B585A"/>
    <w:rsid w:val="0C0E0F76"/>
    <w:rsid w:val="0C105278"/>
    <w:rsid w:val="0C120C2A"/>
    <w:rsid w:val="0C122745"/>
    <w:rsid w:val="0C14470F"/>
    <w:rsid w:val="0C1464BD"/>
    <w:rsid w:val="0C153551"/>
    <w:rsid w:val="0C165FA8"/>
    <w:rsid w:val="0C177D5B"/>
    <w:rsid w:val="0C197F77"/>
    <w:rsid w:val="0C1B3CF0"/>
    <w:rsid w:val="0C1B40EA"/>
    <w:rsid w:val="0C1C1B6C"/>
    <w:rsid w:val="0C1C35C4"/>
    <w:rsid w:val="0C1C5981"/>
    <w:rsid w:val="0C1E6062"/>
    <w:rsid w:val="0C1F4E62"/>
    <w:rsid w:val="0C264781"/>
    <w:rsid w:val="0C2661F0"/>
    <w:rsid w:val="0C283812"/>
    <w:rsid w:val="0C2A0979"/>
    <w:rsid w:val="0C2A5CE1"/>
    <w:rsid w:val="0C2B5CE4"/>
    <w:rsid w:val="0C2D3A23"/>
    <w:rsid w:val="0C2D757F"/>
    <w:rsid w:val="0C322DE7"/>
    <w:rsid w:val="0C344DB1"/>
    <w:rsid w:val="0C3656CE"/>
    <w:rsid w:val="0C396001"/>
    <w:rsid w:val="0C3B6140"/>
    <w:rsid w:val="0C3B745D"/>
    <w:rsid w:val="0C3C3C66"/>
    <w:rsid w:val="0C4072B2"/>
    <w:rsid w:val="0C4279E9"/>
    <w:rsid w:val="0C436DA2"/>
    <w:rsid w:val="0C443EC7"/>
    <w:rsid w:val="0C4548C9"/>
    <w:rsid w:val="0C480432"/>
    <w:rsid w:val="0C483CD8"/>
    <w:rsid w:val="0C4843B9"/>
    <w:rsid w:val="0C4C1095"/>
    <w:rsid w:val="0C4C7F9B"/>
    <w:rsid w:val="0C4D19CF"/>
    <w:rsid w:val="0C4E2CC4"/>
    <w:rsid w:val="0C525237"/>
    <w:rsid w:val="0C547201"/>
    <w:rsid w:val="0C56207D"/>
    <w:rsid w:val="0C57284E"/>
    <w:rsid w:val="0C580AA0"/>
    <w:rsid w:val="0C5823BF"/>
    <w:rsid w:val="0C5B0590"/>
    <w:rsid w:val="0C601702"/>
    <w:rsid w:val="0C607954"/>
    <w:rsid w:val="0C6150F1"/>
    <w:rsid w:val="0C6236CC"/>
    <w:rsid w:val="0C632FA1"/>
    <w:rsid w:val="0C63636A"/>
    <w:rsid w:val="0C673C16"/>
    <w:rsid w:val="0C676F35"/>
    <w:rsid w:val="0C6A1136"/>
    <w:rsid w:val="0C6A2581"/>
    <w:rsid w:val="0C6B6B60"/>
    <w:rsid w:val="0C6C62F9"/>
    <w:rsid w:val="0C6F7B97"/>
    <w:rsid w:val="0C7657FC"/>
    <w:rsid w:val="0C782EF0"/>
    <w:rsid w:val="0C7B29E0"/>
    <w:rsid w:val="0C7D0506"/>
    <w:rsid w:val="0C7F670E"/>
    <w:rsid w:val="0C8011A5"/>
    <w:rsid w:val="0C822728"/>
    <w:rsid w:val="0C8310F1"/>
    <w:rsid w:val="0C85586A"/>
    <w:rsid w:val="0C873133"/>
    <w:rsid w:val="0C8A677F"/>
    <w:rsid w:val="0C8C0749"/>
    <w:rsid w:val="0C8D240C"/>
    <w:rsid w:val="0C8E2094"/>
    <w:rsid w:val="0C8F023A"/>
    <w:rsid w:val="0C932B21"/>
    <w:rsid w:val="0C9413AC"/>
    <w:rsid w:val="0C942062"/>
    <w:rsid w:val="0C9475FE"/>
    <w:rsid w:val="0C977BD0"/>
    <w:rsid w:val="0C9870EE"/>
    <w:rsid w:val="0C994C14"/>
    <w:rsid w:val="0C9B098C"/>
    <w:rsid w:val="0C9C05BB"/>
    <w:rsid w:val="0C9E222B"/>
    <w:rsid w:val="0CA041F5"/>
    <w:rsid w:val="0CA154B4"/>
    <w:rsid w:val="0CA21D1B"/>
    <w:rsid w:val="0CA27F6D"/>
    <w:rsid w:val="0CA534EF"/>
    <w:rsid w:val="0CA710DF"/>
    <w:rsid w:val="0CAA0BCF"/>
    <w:rsid w:val="0CAA5073"/>
    <w:rsid w:val="0CAA69BB"/>
    <w:rsid w:val="0CAB6B4D"/>
    <w:rsid w:val="0CB16721"/>
    <w:rsid w:val="0CB41A4E"/>
    <w:rsid w:val="0CB52931"/>
    <w:rsid w:val="0CB63A18"/>
    <w:rsid w:val="0CB67574"/>
    <w:rsid w:val="0CBB102F"/>
    <w:rsid w:val="0CBC1CCF"/>
    <w:rsid w:val="0CBC3C5C"/>
    <w:rsid w:val="0CBD0903"/>
    <w:rsid w:val="0CBE28CD"/>
    <w:rsid w:val="0CBF3E0A"/>
    <w:rsid w:val="0CBF689E"/>
    <w:rsid w:val="0CC233A9"/>
    <w:rsid w:val="0CC47EE3"/>
    <w:rsid w:val="0CC71A6E"/>
    <w:rsid w:val="0CC953FA"/>
    <w:rsid w:val="0CCA2784"/>
    <w:rsid w:val="0CCA74C4"/>
    <w:rsid w:val="0CCD0150"/>
    <w:rsid w:val="0CCF38FF"/>
    <w:rsid w:val="0CD02BA2"/>
    <w:rsid w:val="0CD03431"/>
    <w:rsid w:val="0CD36378"/>
    <w:rsid w:val="0CD434DD"/>
    <w:rsid w:val="0CD67C16"/>
    <w:rsid w:val="0CD8398F"/>
    <w:rsid w:val="0CDA0A12"/>
    <w:rsid w:val="0CDC5C3A"/>
    <w:rsid w:val="0CDD5D3E"/>
    <w:rsid w:val="0CDE767B"/>
    <w:rsid w:val="0CDF4D1D"/>
    <w:rsid w:val="0CE153E3"/>
    <w:rsid w:val="0CE20369"/>
    <w:rsid w:val="0CE22012"/>
    <w:rsid w:val="0CE916F8"/>
    <w:rsid w:val="0CEA0EF8"/>
    <w:rsid w:val="0CEA2800"/>
    <w:rsid w:val="0CEA4785"/>
    <w:rsid w:val="0CEB1914"/>
    <w:rsid w:val="0CEC2F96"/>
    <w:rsid w:val="0CEC599D"/>
    <w:rsid w:val="0CF06CF9"/>
    <w:rsid w:val="0CF462EF"/>
    <w:rsid w:val="0CF63E15"/>
    <w:rsid w:val="0CF72B0B"/>
    <w:rsid w:val="0CFA3905"/>
    <w:rsid w:val="0CFA54CF"/>
    <w:rsid w:val="0CFB58CF"/>
    <w:rsid w:val="0CFC2A66"/>
    <w:rsid w:val="0CFD3B9C"/>
    <w:rsid w:val="0CFD51A3"/>
    <w:rsid w:val="0CFE2CC9"/>
    <w:rsid w:val="0CFF0F1B"/>
    <w:rsid w:val="0CFF66CC"/>
    <w:rsid w:val="0D0230E3"/>
    <w:rsid w:val="0D0522AA"/>
    <w:rsid w:val="0D056316"/>
    <w:rsid w:val="0D065970"/>
    <w:rsid w:val="0D074274"/>
    <w:rsid w:val="0D093B48"/>
    <w:rsid w:val="0D0B5B12"/>
    <w:rsid w:val="0D0D38A1"/>
    <w:rsid w:val="0D0E73B0"/>
    <w:rsid w:val="0D0F3D58"/>
    <w:rsid w:val="0D10175C"/>
    <w:rsid w:val="0D110C4F"/>
    <w:rsid w:val="0D1129FD"/>
    <w:rsid w:val="0D13264B"/>
    <w:rsid w:val="0D132C19"/>
    <w:rsid w:val="0D136775"/>
    <w:rsid w:val="0D1479C1"/>
    <w:rsid w:val="0D155525"/>
    <w:rsid w:val="0D196BD7"/>
    <w:rsid w:val="0D1B0366"/>
    <w:rsid w:val="0D1F15BD"/>
    <w:rsid w:val="0D200E92"/>
    <w:rsid w:val="0D205087"/>
    <w:rsid w:val="0D244E26"/>
    <w:rsid w:val="0D246BD4"/>
    <w:rsid w:val="0D2A16AC"/>
    <w:rsid w:val="0D2B61B4"/>
    <w:rsid w:val="0D2C4AE7"/>
    <w:rsid w:val="0D2C7836"/>
    <w:rsid w:val="0D2E7A52"/>
    <w:rsid w:val="0D330BC5"/>
    <w:rsid w:val="0D3315DB"/>
    <w:rsid w:val="0D344BB7"/>
    <w:rsid w:val="0D352B8F"/>
    <w:rsid w:val="0D366907"/>
    <w:rsid w:val="0D38267F"/>
    <w:rsid w:val="0D3928BE"/>
    <w:rsid w:val="0D3A63F7"/>
    <w:rsid w:val="0D3D7C96"/>
    <w:rsid w:val="0D3E52A0"/>
    <w:rsid w:val="0D3F3A0E"/>
    <w:rsid w:val="0D4000F2"/>
    <w:rsid w:val="0D407866"/>
    <w:rsid w:val="0D417786"/>
    <w:rsid w:val="0D4252AC"/>
    <w:rsid w:val="0D4508F8"/>
    <w:rsid w:val="0D4575C7"/>
    <w:rsid w:val="0D4923B3"/>
    <w:rsid w:val="0D4958B8"/>
    <w:rsid w:val="0D49663A"/>
    <w:rsid w:val="0D4A3843"/>
    <w:rsid w:val="0D4A3CBF"/>
    <w:rsid w:val="0D4C342B"/>
    <w:rsid w:val="0D4C612B"/>
    <w:rsid w:val="0D4C6163"/>
    <w:rsid w:val="0D4E1FD4"/>
    <w:rsid w:val="0D505C1B"/>
    <w:rsid w:val="0D510772"/>
    <w:rsid w:val="0D532D7B"/>
    <w:rsid w:val="0D534579"/>
    <w:rsid w:val="0D544935"/>
    <w:rsid w:val="0D5648B3"/>
    <w:rsid w:val="0D584706"/>
    <w:rsid w:val="0D592F03"/>
    <w:rsid w:val="0D5A0848"/>
    <w:rsid w:val="0D5A25F6"/>
    <w:rsid w:val="0D5D4DD5"/>
    <w:rsid w:val="0D5D7C59"/>
    <w:rsid w:val="0D5F19BA"/>
    <w:rsid w:val="0D602BDE"/>
    <w:rsid w:val="0D605BA6"/>
    <w:rsid w:val="0D620389"/>
    <w:rsid w:val="0D6207D9"/>
    <w:rsid w:val="0D623D2E"/>
    <w:rsid w:val="0D632EC6"/>
    <w:rsid w:val="0D63594E"/>
    <w:rsid w:val="0D645222"/>
    <w:rsid w:val="0D65587A"/>
    <w:rsid w:val="0D690A8B"/>
    <w:rsid w:val="0D692839"/>
    <w:rsid w:val="0D6945E7"/>
    <w:rsid w:val="0D696CDD"/>
    <w:rsid w:val="0D6C4786"/>
    <w:rsid w:val="0D6D057B"/>
    <w:rsid w:val="0D6D19B3"/>
    <w:rsid w:val="0D6E0AE7"/>
    <w:rsid w:val="0D6E7E4F"/>
    <w:rsid w:val="0D70006B"/>
    <w:rsid w:val="0D703BC7"/>
    <w:rsid w:val="0D720C66"/>
    <w:rsid w:val="0D731F87"/>
    <w:rsid w:val="0D7336B7"/>
    <w:rsid w:val="0D735465"/>
    <w:rsid w:val="0D7743A7"/>
    <w:rsid w:val="0D7A2C98"/>
    <w:rsid w:val="0D7A6610"/>
    <w:rsid w:val="0D7C5242"/>
    <w:rsid w:val="0D807C50"/>
    <w:rsid w:val="0D86163D"/>
    <w:rsid w:val="0D8B0A01"/>
    <w:rsid w:val="0D8B7223"/>
    <w:rsid w:val="0D8D29CB"/>
    <w:rsid w:val="0D904269"/>
    <w:rsid w:val="0D913B3D"/>
    <w:rsid w:val="0D927FE1"/>
    <w:rsid w:val="0D9553DC"/>
    <w:rsid w:val="0D971E4A"/>
    <w:rsid w:val="0D98311E"/>
    <w:rsid w:val="0D9A44EF"/>
    <w:rsid w:val="0D9B3FE2"/>
    <w:rsid w:val="0D9C2C0E"/>
    <w:rsid w:val="0D9D0734"/>
    <w:rsid w:val="0D9D476A"/>
    <w:rsid w:val="0DA17B64"/>
    <w:rsid w:val="0DA25D4B"/>
    <w:rsid w:val="0DA675E9"/>
    <w:rsid w:val="0DA735DE"/>
    <w:rsid w:val="0DA87C31"/>
    <w:rsid w:val="0DA90E87"/>
    <w:rsid w:val="0DA91EF6"/>
    <w:rsid w:val="0DA92B87"/>
    <w:rsid w:val="0DA970D9"/>
    <w:rsid w:val="0DAB4BFF"/>
    <w:rsid w:val="0DAD0977"/>
    <w:rsid w:val="0DAE46EF"/>
    <w:rsid w:val="0DB00467"/>
    <w:rsid w:val="0DB367A1"/>
    <w:rsid w:val="0DB43A55"/>
    <w:rsid w:val="0DB5782C"/>
    <w:rsid w:val="0DB85821"/>
    <w:rsid w:val="0DBA3094"/>
    <w:rsid w:val="0DBA5635"/>
    <w:rsid w:val="0DBC6E0C"/>
    <w:rsid w:val="0DBD4932"/>
    <w:rsid w:val="0DBF4B4E"/>
    <w:rsid w:val="0DC04D81"/>
    <w:rsid w:val="0DC21F49"/>
    <w:rsid w:val="0DC22475"/>
    <w:rsid w:val="0DC23D06"/>
    <w:rsid w:val="0DC42165"/>
    <w:rsid w:val="0DC450F2"/>
    <w:rsid w:val="0DC87996"/>
    <w:rsid w:val="0DCA2A4D"/>
    <w:rsid w:val="0DCB52A1"/>
    <w:rsid w:val="0DCD2DC7"/>
    <w:rsid w:val="0DD04912"/>
    <w:rsid w:val="0DD423A8"/>
    <w:rsid w:val="0DD57ECE"/>
    <w:rsid w:val="0DD835A9"/>
    <w:rsid w:val="0DDA1988"/>
    <w:rsid w:val="0DDA54E4"/>
    <w:rsid w:val="0DDA7292"/>
    <w:rsid w:val="0DDB664A"/>
    <w:rsid w:val="0DE10621"/>
    <w:rsid w:val="0DE14A0A"/>
    <w:rsid w:val="0DE14AC5"/>
    <w:rsid w:val="0DE34399"/>
    <w:rsid w:val="0DE46363"/>
    <w:rsid w:val="0DE6032D"/>
    <w:rsid w:val="0DEA202A"/>
    <w:rsid w:val="0DEB14A0"/>
    <w:rsid w:val="0DEC5364"/>
    <w:rsid w:val="0DED16BC"/>
    <w:rsid w:val="0DED346A"/>
    <w:rsid w:val="0DF02F5A"/>
    <w:rsid w:val="0DF06AB6"/>
    <w:rsid w:val="0DF070BB"/>
    <w:rsid w:val="0DF20A80"/>
    <w:rsid w:val="0DF45AE2"/>
    <w:rsid w:val="0DF76096"/>
    <w:rsid w:val="0DFC62D8"/>
    <w:rsid w:val="0DFE2C72"/>
    <w:rsid w:val="0DFE34F6"/>
    <w:rsid w:val="0DFE7425"/>
    <w:rsid w:val="0E0013EF"/>
    <w:rsid w:val="0E010CC3"/>
    <w:rsid w:val="0E023C9B"/>
    <w:rsid w:val="0E032C8D"/>
    <w:rsid w:val="0E040275"/>
    <w:rsid w:val="0E044BB9"/>
    <w:rsid w:val="0E056A05"/>
    <w:rsid w:val="0E0B1B42"/>
    <w:rsid w:val="0E0E785B"/>
    <w:rsid w:val="0E0E7B50"/>
    <w:rsid w:val="0E0F33E0"/>
    <w:rsid w:val="0E0F71AF"/>
    <w:rsid w:val="0E1053AA"/>
    <w:rsid w:val="0E107158"/>
    <w:rsid w:val="0E115729"/>
    <w:rsid w:val="0E121122"/>
    <w:rsid w:val="0E130328"/>
    <w:rsid w:val="0E132027"/>
    <w:rsid w:val="0E1837F4"/>
    <w:rsid w:val="0E19425F"/>
    <w:rsid w:val="0E1C78AB"/>
    <w:rsid w:val="0E1E3623"/>
    <w:rsid w:val="0E1E7AC7"/>
    <w:rsid w:val="0E2009B3"/>
    <w:rsid w:val="0E202C51"/>
    <w:rsid w:val="0E2055ED"/>
    <w:rsid w:val="0E211365"/>
    <w:rsid w:val="0E216CB2"/>
    <w:rsid w:val="0E230C39"/>
    <w:rsid w:val="0E252C04"/>
    <w:rsid w:val="0E2826F4"/>
    <w:rsid w:val="0E2844A2"/>
    <w:rsid w:val="0E295B9E"/>
    <w:rsid w:val="0E2B3F92"/>
    <w:rsid w:val="0E2C5845"/>
    <w:rsid w:val="0E2D5254"/>
    <w:rsid w:val="0E2F75DE"/>
    <w:rsid w:val="0E341099"/>
    <w:rsid w:val="0E344BF5"/>
    <w:rsid w:val="0E3539F3"/>
    <w:rsid w:val="0E39045D"/>
    <w:rsid w:val="0E395649"/>
    <w:rsid w:val="0E3A5F83"/>
    <w:rsid w:val="0E3C1CFB"/>
    <w:rsid w:val="0E3C61CF"/>
    <w:rsid w:val="0E3D5269"/>
    <w:rsid w:val="0E3E5A73"/>
    <w:rsid w:val="0E4137B5"/>
    <w:rsid w:val="0E417312"/>
    <w:rsid w:val="0E4513E8"/>
    <w:rsid w:val="0E4A08BC"/>
    <w:rsid w:val="0E4B23A3"/>
    <w:rsid w:val="0E4B4E99"/>
    <w:rsid w:val="0E4D5CB6"/>
    <w:rsid w:val="0E4F7C80"/>
    <w:rsid w:val="0E5315CA"/>
    <w:rsid w:val="0E537C39"/>
    <w:rsid w:val="0E552DBD"/>
    <w:rsid w:val="0E55308E"/>
    <w:rsid w:val="0E5928AD"/>
    <w:rsid w:val="0E5E4367"/>
    <w:rsid w:val="0E647EF4"/>
    <w:rsid w:val="0E653000"/>
    <w:rsid w:val="0E664FCA"/>
    <w:rsid w:val="0E67049A"/>
    <w:rsid w:val="0E6A2D0C"/>
    <w:rsid w:val="0E6B25E0"/>
    <w:rsid w:val="0E6B25E1"/>
    <w:rsid w:val="0E6D2AA6"/>
    <w:rsid w:val="0E6F20D1"/>
    <w:rsid w:val="0E71409B"/>
    <w:rsid w:val="0E7511C7"/>
    <w:rsid w:val="0E772D33"/>
    <w:rsid w:val="0E792F4F"/>
    <w:rsid w:val="0E7A56A0"/>
    <w:rsid w:val="0E7C0D4C"/>
    <w:rsid w:val="0E7C47EE"/>
    <w:rsid w:val="0E7E0566"/>
    <w:rsid w:val="0E7F1356"/>
    <w:rsid w:val="0E811E04"/>
    <w:rsid w:val="0E825A60"/>
    <w:rsid w:val="0E83792A"/>
    <w:rsid w:val="0E87741A"/>
    <w:rsid w:val="0E883192"/>
    <w:rsid w:val="0E8A3350"/>
    <w:rsid w:val="0E8A6F0A"/>
    <w:rsid w:val="0E8D2557"/>
    <w:rsid w:val="0E8E25B2"/>
    <w:rsid w:val="0E8F2773"/>
    <w:rsid w:val="0E8F516F"/>
    <w:rsid w:val="0E912047"/>
    <w:rsid w:val="0E947D89"/>
    <w:rsid w:val="0E96765D"/>
    <w:rsid w:val="0E975183"/>
    <w:rsid w:val="0E982761"/>
    <w:rsid w:val="0E9919B5"/>
    <w:rsid w:val="0E9B79A1"/>
    <w:rsid w:val="0E9C09EC"/>
    <w:rsid w:val="0E9E6512"/>
    <w:rsid w:val="0E9E70C6"/>
    <w:rsid w:val="0EA004DC"/>
    <w:rsid w:val="0EA0672E"/>
    <w:rsid w:val="0EA35638"/>
    <w:rsid w:val="0EA37FCC"/>
    <w:rsid w:val="0EA53D44"/>
    <w:rsid w:val="0EA63619"/>
    <w:rsid w:val="0EA87391"/>
    <w:rsid w:val="0EAA1A27"/>
    <w:rsid w:val="0EAA6936"/>
    <w:rsid w:val="0EAC50D3"/>
    <w:rsid w:val="0EAD2BF9"/>
    <w:rsid w:val="0EAF24CD"/>
    <w:rsid w:val="0EB421D9"/>
    <w:rsid w:val="0EB9159E"/>
    <w:rsid w:val="0EB9334C"/>
    <w:rsid w:val="0EBB3568"/>
    <w:rsid w:val="0EBE65A2"/>
    <w:rsid w:val="0EBE6CFD"/>
    <w:rsid w:val="0EC126FF"/>
    <w:rsid w:val="0EC52036"/>
    <w:rsid w:val="0EC843B8"/>
    <w:rsid w:val="0EC95AAB"/>
    <w:rsid w:val="0ECA4851"/>
    <w:rsid w:val="0ECA7307"/>
    <w:rsid w:val="0ED14B39"/>
    <w:rsid w:val="0ED308B1"/>
    <w:rsid w:val="0ED32FD6"/>
    <w:rsid w:val="0ED4462A"/>
    <w:rsid w:val="0ED5449E"/>
    <w:rsid w:val="0ED62150"/>
    <w:rsid w:val="0ED667CA"/>
    <w:rsid w:val="0ED87C76"/>
    <w:rsid w:val="0ED939EE"/>
    <w:rsid w:val="0EDA2851"/>
    <w:rsid w:val="0EDA2E2B"/>
    <w:rsid w:val="0EDA608F"/>
    <w:rsid w:val="0EDB1514"/>
    <w:rsid w:val="0EDE1004"/>
    <w:rsid w:val="0EDE2DB2"/>
    <w:rsid w:val="0EE04D7C"/>
    <w:rsid w:val="0EE058FA"/>
    <w:rsid w:val="0EE20AF5"/>
    <w:rsid w:val="0EE303C9"/>
    <w:rsid w:val="0EE61FFF"/>
    <w:rsid w:val="0EE83C31"/>
    <w:rsid w:val="0EEA373E"/>
    <w:rsid w:val="0EEA5BFB"/>
    <w:rsid w:val="0EEA6891"/>
    <w:rsid w:val="0EEB6BD3"/>
    <w:rsid w:val="0EEB7B1C"/>
    <w:rsid w:val="0EEC1973"/>
    <w:rsid w:val="0EED1247"/>
    <w:rsid w:val="0EF12AE6"/>
    <w:rsid w:val="0EF40828"/>
    <w:rsid w:val="0EF425D6"/>
    <w:rsid w:val="0EF600FC"/>
    <w:rsid w:val="0EF77DDA"/>
    <w:rsid w:val="0EF83E74"/>
    <w:rsid w:val="0EF90EEE"/>
    <w:rsid w:val="0EFB2DE2"/>
    <w:rsid w:val="0EFC644A"/>
    <w:rsid w:val="0EFD18F8"/>
    <w:rsid w:val="0EFF0D41"/>
    <w:rsid w:val="0F000F7B"/>
    <w:rsid w:val="0F001FF3"/>
    <w:rsid w:val="0F022F45"/>
    <w:rsid w:val="0F037D8A"/>
    <w:rsid w:val="0F072309"/>
    <w:rsid w:val="0F096081"/>
    <w:rsid w:val="0F0A3BA7"/>
    <w:rsid w:val="0F0A7DF1"/>
    <w:rsid w:val="0F0E18EA"/>
    <w:rsid w:val="0F0E3698"/>
    <w:rsid w:val="0F0F11BE"/>
    <w:rsid w:val="0F105FAA"/>
    <w:rsid w:val="0F111769"/>
    <w:rsid w:val="0F1130C0"/>
    <w:rsid w:val="0F117BA2"/>
    <w:rsid w:val="0F130469"/>
    <w:rsid w:val="0F130CAE"/>
    <w:rsid w:val="0F135152"/>
    <w:rsid w:val="0F19203C"/>
    <w:rsid w:val="0F195CD1"/>
    <w:rsid w:val="0F1C4EAB"/>
    <w:rsid w:val="0F1D6763"/>
    <w:rsid w:val="0F1F6F21"/>
    <w:rsid w:val="0F20786F"/>
    <w:rsid w:val="0F2509E1"/>
    <w:rsid w:val="0F273EF8"/>
    <w:rsid w:val="0F276507"/>
    <w:rsid w:val="0F2811FF"/>
    <w:rsid w:val="0F2B6282"/>
    <w:rsid w:val="0F2C6214"/>
    <w:rsid w:val="0F2C7701"/>
    <w:rsid w:val="0F2E3D3A"/>
    <w:rsid w:val="0F307AB2"/>
    <w:rsid w:val="0F32486A"/>
    <w:rsid w:val="0F3330FE"/>
    <w:rsid w:val="0F3550C8"/>
    <w:rsid w:val="0F3914A2"/>
    <w:rsid w:val="0F3C0B05"/>
    <w:rsid w:val="0F3D21CF"/>
    <w:rsid w:val="0F3F5ECC"/>
    <w:rsid w:val="0F3F5F47"/>
    <w:rsid w:val="0F3F7CF5"/>
    <w:rsid w:val="0F40581B"/>
    <w:rsid w:val="0F412E3F"/>
    <w:rsid w:val="0F433236"/>
    <w:rsid w:val="0F437CE3"/>
    <w:rsid w:val="0F450727"/>
    <w:rsid w:val="0F451083"/>
    <w:rsid w:val="0F451DFB"/>
    <w:rsid w:val="0F46589C"/>
    <w:rsid w:val="0F492922"/>
    <w:rsid w:val="0F4C5F6E"/>
    <w:rsid w:val="0F4E7F38"/>
    <w:rsid w:val="0F503CB0"/>
    <w:rsid w:val="0F516CCA"/>
    <w:rsid w:val="0F517A28"/>
    <w:rsid w:val="0F53554E"/>
    <w:rsid w:val="0F563826"/>
    <w:rsid w:val="0F56503F"/>
    <w:rsid w:val="0F566DED"/>
    <w:rsid w:val="0F576D2D"/>
    <w:rsid w:val="0F580DB7"/>
    <w:rsid w:val="0F587009"/>
    <w:rsid w:val="0F5F3EF3"/>
    <w:rsid w:val="0F613607"/>
    <w:rsid w:val="0F6239E3"/>
    <w:rsid w:val="0F657030"/>
    <w:rsid w:val="0F6812D4"/>
    <w:rsid w:val="0F696B20"/>
    <w:rsid w:val="0F6A63E1"/>
    <w:rsid w:val="0F6E00F9"/>
    <w:rsid w:val="0F6E05DA"/>
    <w:rsid w:val="0F6E4136"/>
    <w:rsid w:val="0F706100"/>
    <w:rsid w:val="0F707EAE"/>
    <w:rsid w:val="0F713C26"/>
    <w:rsid w:val="0F7200CA"/>
    <w:rsid w:val="0F730BD4"/>
    <w:rsid w:val="0F73174D"/>
    <w:rsid w:val="0F735BF1"/>
    <w:rsid w:val="0F751406"/>
    <w:rsid w:val="0F7554C5"/>
    <w:rsid w:val="0F76123D"/>
    <w:rsid w:val="0F772589"/>
    <w:rsid w:val="0F7756E1"/>
    <w:rsid w:val="0F797617"/>
    <w:rsid w:val="0F7A0D2D"/>
    <w:rsid w:val="0F7A6F7F"/>
    <w:rsid w:val="0F7B4AA5"/>
    <w:rsid w:val="0F7C6723"/>
    <w:rsid w:val="0F7D23A6"/>
    <w:rsid w:val="0F7D25CB"/>
    <w:rsid w:val="0F7F6343"/>
    <w:rsid w:val="0F831C97"/>
    <w:rsid w:val="0F84395A"/>
    <w:rsid w:val="0F8676D2"/>
    <w:rsid w:val="0F890F70"/>
    <w:rsid w:val="0F897E86"/>
    <w:rsid w:val="0F8A6A96"/>
    <w:rsid w:val="0F8B2F3A"/>
    <w:rsid w:val="0F8B4CE8"/>
    <w:rsid w:val="0F8B4D0B"/>
    <w:rsid w:val="0F900551"/>
    <w:rsid w:val="0F9067A2"/>
    <w:rsid w:val="0F920D0A"/>
    <w:rsid w:val="0F930041"/>
    <w:rsid w:val="0F9476B4"/>
    <w:rsid w:val="0F966B3F"/>
    <w:rsid w:val="0F972BA0"/>
    <w:rsid w:val="0F977B31"/>
    <w:rsid w:val="0F9804DC"/>
    <w:rsid w:val="0F996BD0"/>
    <w:rsid w:val="0F9C5147"/>
    <w:rsid w:val="0F9C6EF5"/>
    <w:rsid w:val="0F9D4A1B"/>
    <w:rsid w:val="0F9F69E6"/>
    <w:rsid w:val="0FA07BF0"/>
    <w:rsid w:val="0FA4224E"/>
    <w:rsid w:val="0FA638D0"/>
    <w:rsid w:val="0FA67D74"/>
    <w:rsid w:val="0FA820BD"/>
    <w:rsid w:val="0FA83AEC"/>
    <w:rsid w:val="0FAA4D9C"/>
    <w:rsid w:val="0FAD1102"/>
    <w:rsid w:val="0FAE09D7"/>
    <w:rsid w:val="0FB00B75"/>
    <w:rsid w:val="0FB12275"/>
    <w:rsid w:val="0FB24129"/>
    <w:rsid w:val="0FB57FB7"/>
    <w:rsid w:val="0FB82358"/>
    <w:rsid w:val="0FBC1346"/>
    <w:rsid w:val="0FBD0C1A"/>
    <w:rsid w:val="0FC01DAB"/>
    <w:rsid w:val="0FC05FDF"/>
    <w:rsid w:val="0FC71A98"/>
    <w:rsid w:val="0FC80B8C"/>
    <w:rsid w:val="0FCA6BEC"/>
    <w:rsid w:val="0FCB3337"/>
    <w:rsid w:val="0FCB4B5F"/>
    <w:rsid w:val="0FCB77DB"/>
    <w:rsid w:val="0FCD3553"/>
    <w:rsid w:val="0FCE1079"/>
    <w:rsid w:val="0FCF3543"/>
    <w:rsid w:val="0FD03043"/>
    <w:rsid w:val="0FD07CC5"/>
    <w:rsid w:val="0FD21030"/>
    <w:rsid w:val="0FD45C6C"/>
    <w:rsid w:val="0FD51886"/>
    <w:rsid w:val="0FD541B5"/>
    <w:rsid w:val="0FD92ACB"/>
    <w:rsid w:val="0FD94081"/>
    <w:rsid w:val="0FDA0D4E"/>
    <w:rsid w:val="0FDC5544"/>
    <w:rsid w:val="0FE03487"/>
    <w:rsid w:val="0FE03949"/>
    <w:rsid w:val="0FE17049"/>
    <w:rsid w:val="0FE20680"/>
    <w:rsid w:val="0FE32D76"/>
    <w:rsid w:val="0FE333A8"/>
    <w:rsid w:val="0FE443F8"/>
    <w:rsid w:val="0FE64614"/>
    <w:rsid w:val="0FE73EE9"/>
    <w:rsid w:val="0FE8213B"/>
    <w:rsid w:val="0FE95E78"/>
    <w:rsid w:val="0FEB3DA7"/>
    <w:rsid w:val="0FED7751"/>
    <w:rsid w:val="0FEE34C9"/>
    <w:rsid w:val="0FF00FEF"/>
    <w:rsid w:val="0FF1091E"/>
    <w:rsid w:val="0FF21FE3"/>
    <w:rsid w:val="0FF24D67"/>
    <w:rsid w:val="0FF37315"/>
    <w:rsid w:val="0FF46BA8"/>
    <w:rsid w:val="0FF539FE"/>
    <w:rsid w:val="0FF7237E"/>
    <w:rsid w:val="0FF77A59"/>
    <w:rsid w:val="0FFA00C0"/>
    <w:rsid w:val="0FFB0072"/>
    <w:rsid w:val="0FFC1742"/>
    <w:rsid w:val="0FFE195E"/>
    <w:rsid w:val="10042CED"/>
    <w:rsid w:val="100565B7"/>
    <w:rsid w:val="100576CB"/>
    <w:rsid w:val="10060813"/>
    <w:rsid w:val="100625C1"/>
    <w:rsid w:val="10066A65"/>
    <w:rsid w:val="10090F42"/>
    <w:rsid w:val="10092701"/>
    <w:rsid w:val="100B407B"/>
    <w:rsid w:val="100B4407"/>
    <w:rsid w:val="100B5E29"/>
    <w:rsid w:val="100D4AC2"/>
    <w:rsid w:val="100E1475"/>
    <w:rsid w:val="10116269"/>
    <w:rsid w:val="101300A5"/>
    <w:rsid w:val="10152804"/>
    <w:rsid w:val="1018558B"/>
    <w:rsid w:val="101C3B92"/>
    <w:rsid w:val="101D2150"/>
    <w:rsid w:val="101D790A"/>
    <w:rsid w:val="101D7AFE"/>
    <w:rsid w:val="101D7E28"/>
    <w:rsid w:val="101E3DAE"/>
    <w:rsid w:val="10207B26"/>
    <w:rsid w:val="10240C99"/>
    <w:rsid w:val="1024206A"/>
    <w:rsid w:val="1025498E"/>
    <w:rsid w:val="1026116F"/>
    <w:rsid w:val="10263F10"/>
    <w:rsid w:val="10294D09"/>
    <w:rsid w:val="102B64CB"/>
    <w:rsid w:val="102F5FF2"/>
    <w:rsid w:val="1030763E"/>
    <w:rsid w:val="10311C1B"/>
    <w:rsid w:val="10322AED"/>
    <w:rsid w:val="1032477F"/>
    <w:rsid w:val="10354C54"/>
    <w:rsid w:val="1038144B"/>
    <w:rsid w:val="10381C2D"/>
    <w:rsid w:val="103B4621"/>
    <w:rsid w:val="103B60C7"/>
    <w:rsid w:val="103C5FE2"/>
    <w:rsid w:val="103F5C55"/>
    <w:rsid w:val="10400F22"/>
    <w:rsid w:val="10417A9D"/>
    <w:rsid w:val="1045133B"/>
    <w:rsid w:val="104906FF"/>
    <w:rsid w:val="104A4BA3"/>
    <w:rsid w:val="10505F32"/>
    <w:rsid w:val="105570A4"/>
    <w:rsid w:val="10572E1C"/>
    <w:rsid w:val="105A46BB"/>
    <w:rsid w:val="105B4E31"/>
    <w:rsid w:val="105B519A"/>
    <w:rsid w:val="105C6685"/>
    <w:rsid w:val="105D643B"/>
    <w:rsid w:val="105D64D8"/>
    <w:rsid w:val="106023CD"/>
    <w:rsid w:val="10611EED"/>
    <w:rsid w:val="10613C9B"/>
    <w:rsid w:val="10615A49"/>
    <w:rsid w:val="10635C65"/>
    <w:rsid w:val="10637A13"/>
    <w:rsid w:val="1065378B"/>
    <w:rsid w:val="1068327B"/>
    <w:rsid w:val="10683B26"/>
    <w:rsid w:val="106A2B50"/>
    <w:rsid w:val="106B3519"/>
    <w:rsid w:val="106D2640"/>
    <w:rsid w:val="106F0166"/>
    <w:rsid w:val="106F460A"/>
    <w:rsid w:val="1072324E"/>
    <w:rsid w:val="10755FC9"/>
    <w:rsid w:val="10757746"/>
    <w:rsid w:val="10772B6A"/>
    <w:rsid w:val="1077526D"/>
    <w:rsid w:val="107E2A9F"/>
    <w:rsid w:val="10802373"/>
    <w:rsid w:val="1081433D"/>
    <w:rsid w:val="10831E63"/>
    <w:rsid w:val="10855BDB"/>
    <w:rsid w:val="10857989"/>
    <w:rsid w:val="10883F62"/>
    <w:rsid w:val="108C1B65"/>
    <w:rsid w:val="108C6F6A"/>
    <w:rsid w:val="108D1597"/>
    <w:rsid w:val="108D2CE2"/>
    <w:rsid w:val="108E10B6"/>
    <w:rsid w:val="108F3E01"/>
    <w:rsid w:val="109127D2"/>
    <w:rsid w:val="109157C4"/>
    <w:rsid w:val="109220A6"/>
    <w:rsid w:val="10963D8A"/>
    <w:rsid w:val="10972E17"/>
    <w:rsid w:val="109776BD"/>
    <w:rsid w:val="109837EB"/>
    <w:rsid w:val="10991687"/>
    <w:rsid w:val="10993435"/>
    <w:rsid w:val="109A6867"/>
    <w:rsid w:val="109E0A4B"/>
    <w:rsid w:val="109E21E7"/>
    <w:rsid w:val="10A26250"/>
    <w:rsid w:val="10A2678D"/>
    <w:rsid w:val="10A641ED"/>
    <w:rsid w:val="10A92547"/>
    <w:rsid w:val="10AA1B06"/>
    <w:rsid w:val="10AA3894"/>
    <w:rsid w:val="10AB3168"/>
    <w:rsid w:val="10AB4F16"/>
    <w:rsid w:val="10AC760C"/>
    <w:rsid w:val="10AD5132"/>
    <w:rsid w:val="10B024AB"/>
    <w:rsid w:val="10B1077E"/>
    <w:rsid w:val="10B22749"/>
    <w:rsid w:val="10B262A5"/>
    <w:rsid w:val="10B344AA"/>
    <w:rsid w:val="10B62239"/>
    <w:rsid w:val="10B771C0"/>
    <w:rsid w:val="10B77D5F"/>
    <w:rsid w:val="10B84804"/>
    <w:rsid w:val="10BA0F3E"/>
    <w:rsid w:val="10BC065F"/>
    <w:rsid w:val="10BD77AB"/>
    <w:rsid w:val="10BE16A3"/>
    <w:rsid w:val="10BE733F"/>
    <w:rsid w:val="10C02B8A"/>
    <w:rsid w:val="10C03467"/>
    <w:rsid w:val="10C20BDE"/>
    <w:rsid w:val="10C66B57"/>
    <w:rsid w:val="10C761F4"/>
    <w:rsid w:val="10C96093"/>
    <w:rsid w:val="10CC18D7"/>
    <w:rsid w:val="10CC380A"/>
    <w:rsid w:val="10CF32FA"/>
    <w:rsid w:val="10D02A20"/>
    <w:rsid w:val="10D06A8B"/>
    <w:rsid w:val="10D145D1"/>
    <w:rsid w:val="10D237DF"/>
    <w:rsid w:val="10D2675D"/>
    <w:rsid w:val="10D26947"/>
    <w:rsid w:val="10D426BF"/>
    <w:rsid w:val="10D428D6"/>
    <w:rsid w:val="10D43D2C"/>
    <w:rsid w:val="10D4446D"/>
    <w:rsid w:val="10D6664C"/>
    <w:rsid w:val="10D75D0B"/>
    <w:rsid w:val="10D7633A"/>
    <w:rsid w:val="10D97CD5"/>
    <w:rsid w:val="10DB3A4D"/>
    <w:rsid w:val="10E2302E"/>
    <w:rsid w:val="10E24191"/>
    <w:rsid w:val="10E277C0"/>
    <w:rsid w:val="10E32902"/>
    <w:rsid w:val="10E430E1"/>
    <w:rsid w:val="10E47B4A"/>
    <w:rsid w:val="10E70644"/>
    <w:rsid w:val="10E8173E"/>
    <w:rsid w:val="10E87F18"/>
    <w:rsid w:val="10E943BC"/>
    <w:rsid w:val="10EA22C4"/>
    <w:rsid w:val="10ED448B"/>
    <w:rsid w:val="10ED48D3"/>
    <w:rsid w:val="10ED5449"/>
    <w:rsid w:val="10F0338F"/>
    <w:rsid w:val="10F1501F"/>
    <w:rsid w:val="10F22B45"/>
    <w:rsid w:val="10F36FE9"/>
    <w:rsid w:val="10F42D61"/>
    <w:rsid w:val="10F60887"/>
    <w:rsid w:val="10FB40F0"/>
    <w:rsid w:val="10FF3978"/>
    <w:rsid w:val="110225A0"/>
    <w:rsid w:val="1107234B"/>
    <w:rsid w:val="11072A94"/>
    <w:rsid w:val="11082369"/>
    <w:rsid w:val="11083B21"/>
    <w:rsid w:val="110D797F"/>
    <w:rsid w:val="1110777E"/>
    <w:rsid w:val="1111121D"/>
    <w:rsid w:val="11114067"/>
    <w:rsid w:val="1111746F"/>
    <w:rsid w:val="11140D0D"/>
    <w:rsid w:val="1115264F"/>
    <w:rsid w:val="11154C9A"/>
    <w:rsid w:val="11162CD7"/>
    <w:rsid w:val="11180FD0"/>
    <w:rsid w:val="111A14FB"/>
    <w:rsid w:val="111A19D7"/>
    <w:rsid w:val="111E16F8"/>
    <w:rsid w:val="111E1B8C"/>
    <w:rsid w:val="11217B56"/>
    <w:rsid w:val="112305CB"/>
    <w:rsid w:val="11230F50"/>
    <w:rsid w:val="112453F4"/>
    <w:rsid w:val="11265B0C"/>
    <w:rsid w:val="11274EE5"/>
    <w:rsid w:val="11275EF3"/>
    <w:rsid w:val="11276C93"/>
    <w:rsid w:val="112B08A2"/>
    <w:rsid w:val="112B3183"/>
    <w:rsid w:val="112C08D5"/>
    <w:rsid w:val="112C24FB"/>
    <w:rsid w:val="11337E3C"/>
    <w:rsid w:val="11357601"/>
    <w:rsid w:val="11365128"/>
    <w:rsid w:val="11382DD4"/>
    <w:rsid w:val="113B273E"/>
    <w:rsid w:val="113C261A"/>
    <w:rsid w:val="113D2012"/>
    <w:rsid w:val="113D6398"/>
    <w:rsid w:val="113D64B6"/>
    <w:rsid w:val="11401B02"/>
    <w:rsid w:val="11403F19"/>
    <w:rsid w:val="11427629"/>
    <w:rsid w:val="114333A1"/>
    <w:rsid w:val="114415F3"/>
    <w:rsid w:val="11465FC6"/>
    <w:rsid w:val="114710E3"/>
    <w:rsid w:val="11472E91"/>
    <w:rsid w:val="11494E5B"/>
    <w:rsid w:val="114E06C3"/>
    <w:rsid w:val="114E421F"/>
    <w:rsid w:val="114F19C6"/>
    <w:rsid w:val="11510DE2"/>
    <w:rsid w:val="11562739"/>
    <w:rsid w:val="11567578"/>
    <w:rsid w:val="115832F0"/>
    <w:rsid w:val="115A7068"/>
    <w:rsid w:val="115F467E"/>
    <w:rsid w:val="116003F7"/>
    <w:rsid w:val="11604FDF"/>
    <w:rsid w:val="1165325A"/>
    <w:rsid w:val="11660A66"/>
    <w:rsid w:val="1167228D"/>
    <w:rsid w:val="116752E1"/>
    <w:rsid w:val="11692E07"/>
    <w:rsid w:val="116B1D07"/>
    <w:rsid w:val="116C3268"/>
    <w:rsid w:val="116D55D9"/>
    <w:rsid w:val="1173012A"/>
    <w:rsid w:val="11736356"/>
    <w:rsid w:val="11743EDB"/>
    <w:rsid w:val="117479FE"/>
    <w:rsid w:val="117925C3"/>
    <w:rsid w:val="117B6FDE"/>
    <w:rsid w:val="117E4C3C"/>
    <w:rsid w:val="117F087D"/>
    <w:rsid w:val="117F160D"/>
    <w:rsid w:val="117F6755"/>
    <w:rsid w:val="1182211B"/>
    <w:rsid w:val="11823EC9"/>
    <w:rsid w:val="11845E93"/>
    <w:rsid w:val="1185578C"/>
    <w:rsid w:val="118A0FD0"/>
    <w:rsid w:val="118B079D"/>
    <w:rsid w:val="118B5473"/>
    <w:rsid w:val="118B7221"/>
    <w:rsid w:val="118E0AC0"/>
    <w:rsid w:val="118E6D12"/>
    <w:rsid w:val="11902A8A"/>
    <w:rsid w:val="119105B0"/>
    <w:rsid w:val="119500A0"/>
    <w:rsid w:val="11951E4E"/>
    <w:rsid w:val="11987B90"/>
    <w:rsid w:val="119D6F55"/>
    <w:rsid w:val="119F0F1F"/>
    <w:rsid w:val="119F4A7B"/>
    <w:rsid w:val="119F74B6"/>
    <w:rsid w:val="11A13D0A"/>
    <w:rsid w:val="11A71B81"/>
    <w:rsid w:val="11A93B4C"/>
    <w:rsid w:val="11AB1672"/>
    <w:rsid w:val="11AC2B40"/>
    <w:rsid w:val="11AC31FB"/>
    <w:rsid w:val="11AE1162"/>
    <w:rsid w:val="11AE4CBE"/>
    <w:rsid w:val="11AF3DD5"/>
    <w:rsid w:val="11B02A34"/>
    <w:rsid w:val="11B12A00"/>
    <w:rsid w:val="11B13DB7"/>
    <w:rsid w:val="11B20E52"/>
    <w:rsid w:val="11B322D4"/>
    <w:rsid w:val="11B33417"/>
    <w:rsid w:val="11B61DC5"/>
    <w:rsid w:val="11B65233"/>
    <w:rsid w:val="11B83D8F"/>
    <w:rsid w:val="11B8789F"/>
    <w:rsid w:val="11BA18B5"/>
    <w:rsid w:val="11BA3663"/>
    <w:rsid w:val="11BB562D"/>
    <w:rsid w:val="11BD75F7"/>
    <w:rsid w:val="11C42733"/>
    <w:rsid w:val="11C9517F"/>
    <w:rsid w:val="11C97D4A"/>
    <w:rsid w:val="11CB5870"/>
    <w:rsid w:val="11CC3396"/>
    <w:rsid w:val="11D010D8"/>
    <w:rsid w:val="11D16BFE"/>
    <w:rsid w:val="11D24E50"/>
    <w:rsid w:val="11D34401"/>
    <w:rsid w:val="11D34725"/>
    <w:rsid w:val="11D63897"/>
    <w:rsid w:val="11DB182B"/>
    <w:rsid w:val="11DB2B2B"/>
    <w:rsid w:val="11DD5A81"/>
    <w:rsid w:val="11E20E0C"/>
    <w:rsid w:val="11E23AC1"/>
    <w:rsid w:val="11E332CA"/>
    <w:rsid w:val="11E44B84"/>
    <w:rsid w:val="11E46932"/>
    <w:rsid w:val="11E57A94"/>
    <w:rsid w:val="11E608FC"/>
    <w:rsid w:val="11E60E84"/>
    <w:rsid w:val="11E66BD3"/>
    <w:rsid w:val="11E76422"/>
    <w:rsid w:val="11E9219A"/>
    <w:rsid w:val="11ED1CC8"/>
    <w:rsid w:val="11EE1C0C"/>
    <w:rsid w:val="11F1104F"/>
    <w:rsid w:val="11F203C2"/>
    <w:rsid w:val="11F30319"/>
    <w:rsid w:val="11F34DC7"/>
    <w:rsid w:val="11F36B75"/>
    <w:rsid w:val="11F6163F"/>
    <w:rsid w:val="11F748B7"/>
    <w:rsid w:val="11F8062F"/>
    <w:rsid w:val="11F86096"/>
    <w:rsid w:val="11F86C31"/>
    <w:rsid w:val="11F96EEE"/>
    <w:rsid w:val="11FE4C4E"/>
    <w:rsid w:val="120053C3"/>
    <w:rsid w:val="1202325C"/>
    <w:rsid w:val="12040D82"/>
    <w:rsid w:val="12042B30"/>
    <w:rsid w:val="12062D4C"/>
    <w:rsid w:val="12072620"/>
    <w:rsid w:val="120B0362"/>
    <w:rsid w:val="120C47AA"/>
    <w:rsid w:val="120C5F69"/>
    <w:rsid w:val="120D40DA"/>
    <w:rsid w:val="120D5E88"/>
    <w:rsid w:val="120E1C01"/>
    <w:rsid w:val="120E39AF"/>
    <w:rsid w:val="12104465"/>
    <w:rsid w:val="12105979"/>
    <w:rsid w:val="1212349F"/>
    <w:rsid w:val="121309B3"/>
    <w:rsid w:val="12135469"/>
    <w:rsid w:val="1214532B"/>
    <w:rsid w:val="12152F8F"/>
    <w:rsid w:val="12165234"/>
    <w:rsid w:val="12170AB5"/>
    <w:rsid w:val="121865DB"/>
    <w:rsid w:val="121934F1"/>
    <w:rsid w:val="121A05A5"/>
    <w:rsid w:val="121C0216"/>
    <w:rsid w:val="121C1DF8"/>
    <w:rsid w:val="121D1E44"/>
    <w:rsid w:val="121E0096"/>
    <w:rsid w:val="121F5BBC"/>
    <w:rsid w:val="12217B86"/>
    <w:rsid w:val="122356AC"/>
    <w:rsid w:val="12235B83"/>
    <w:rsid w:val="12241424"/>
    <w:rsid w:val="122431D2"/>
    <w:rsid w:val="12243411"/>
    <w:rsid w:val="12282CC2"/>
    <w:rsid w:val="12287872"/>
    <w:rsid w:val="122907E8"/>
    <w:rsid w:val="12295A5F"/>
    <w:rsid w:val="122D02D9"/>
    <w:rsid w:val="12320AF7"/>
    <w:rsid w:val="12323B41"/>
    <w:rsid w:val="12327055"/>
    <w:rsid w:val="1232769D"/>
    <w:rsid w:val="1234028D"/>
    <w:rsid w:val="123478B9"/>
    <w:rsid w:val="12353631"/>
    <w:rsid w:val="1235718D"/>
    <w:rsid w:val="12386C7D"/>
    <w:rsid w:val="123878D7"/>
    <w:rsid w:val="12394ECF"/>
    <w:rsid w:val="123C49C0"/>
    <w:rsid w:val="123F1DBA"/>
    <w:rsid w:val="123F39ED"/>
    <w:rsid w:val="12411A03"/>
    <w:rsid w:val="124318AA"/>
    <w:rsid w:val="12453AF7"/>
    <w:rsid w:val="1246139A"/>
    <w:rsid w:val="12464431"/>
    <w:rsid w:val="12474426"/>
    <w:rsid w:val="12490E8B"/>
    <w:rsid w:val="124949E7"/>
    <w:rsid w:val="124B7969"/>
    <w:rsid w:val="124C3E81"/>
    <w:rsid w:val="124D5E31"/>
    <w:rsid w:val="124E024F"/>
    <w:rsid w:val="124F5FD2"/>
    <w:rsid w:val="124F64A1"/>
    <w:rsid w:val="124F769F"/>
    <w:rsid w:val="12503FC7"/>
    <w:rsid w:val="12505D75"/>
    <w:rsid w:val="12507280"/>
    <w:rsid w:val="12525F91"/>
    <w:rsid w:val="125450B3"/>
    <w:rsid w:val="12555A81"/>
    <w:rsid w:val="12556898"/>
    <w:rsid w:val="12575356"/>
    <w:rsid w:val="125910CE"/>
    <w:rsid w:val="12597E61"/>
    <w:rsid w:val="125A6BF4"/>
    <w:rsid w:val="125D0492"/>
    <w:rsid w:val="125E4936"/>
    <w:rsid w:val="125E67A0"/>
    <w:rsid w:val="12635AA8"/>
    <w:rsid w:val="12637B20"/>
    <w:rsid w:val="12641821"/>
    <w:rsid w:val="1264592D"/>
    <w:rsid w:val="12655CC4"/>
    <w:rsid w:val="12665599"/>
    <w:rsid w:val="12681311"/>
    <w:rsid w:val="12695089"/>
    <w:rsid w:val="126D4515"/>
    <w:rsid w:val="126F6B43"/>
    <w:rsid w:val="127001C5"/>
    <w:rsid w:val="12702818"/>
    <w:rsid w:val="12704669"/>
    <w:rsid w:val="12706417"/>
    <w:rsid w:val="127203E1"/>
    <w:rsid w:val="12722B14"/>
    <w:rsid w:val="12747CB6"/>
    <w:rsid w:val="12752BD6"/>
    <w:rsid w:val="12771554"/>
    <w:rsid w:val="127A564B"/>
    <w:rsid w:val="127B29D9"/>
    <w:rsid w:val="127E4779"/>
    <w:rsid w:val="127F3727"/>
    <w:rsid w:val="1283439D"/>
    <w:rsid w:val="12834530"/>
    <w:rsid w:val="12837EF9"/>
    <w:rsid w:val="128469AF"/>
    <w:rsid w:val="12851EC3"/>
    <w:rsid w:val="12862654"/>
    <w:rsid w:val="1288550F"/>
    <w:rsid w:val="12887C05"/>
    <w:rsid w:val="12891287"/>
    <w:rsid w:val="128A572B"/>
    <w:rsid w:val="128B0EFC"/>
    <w:rsid w:val="128D0D77"/>
    <w:rsid w:val="128E3153"/>
    <w:rsid w:val="128F377D"/>
    <w:rsid w:val="128F464B"/>
    <w:rsid w:val="128F760D"/>
    <w:rsid w:val="1290609D"/>
    <w:rsid w:val="12916992"/>
    <w:rsid w:val="12971BF6"/>
    <w:rsid w:val="1298482E"/>
    <w:rsid w:val="12985786"/>
    <w:rsid w:val="1299771C"/>
    <w:rsid w:val="129C6C18"/>
    <w:rsid w:val="129D0608"/>
    <w:rsid w:val="129D5DBC"/>
    <w:rsid w:val="129E3271"/>
    <w:rsid w:val="129E4D32"/>
    <w:rsid w:val="12A06CFD"/>
    <w:rsid w:val="12A32349"/>
    <w:rsid w:val="12A367ED"/>
    <w:rsid w:val="12A36BB7"/>
    <w:rsid w:val="12A54313"/>
    <w:rsid w:val="12A61A03"/>
    <w:rsid w:val="12A72B1B"/>
    <w:rsid w:val="12A7355D"/>
    <w:rsid w:val="12A762DD"/>
    <w:rsid w:val="12A8795F"/>
    <w:rsid w:val="12AA36D7"/>
    <w:rsid w:val="12AB744F"/>
    <w:rsid w:val="12AD31C8"/>
    <w:rsid w:val="12AF43F6"/>
    <w:rsid w:val="12B05686"/>
    <w:rsid w:val="12B10F0A"/>
    <w:rsid w:val="12B24C82"/>
    <w:rsid w:val="12B26B04"/>
    <w:rsid w:val="12B409FA"/>
    <w:rsid w:val="12B46304"/>
    <w:rsid w:val="12B72298"/>
    <w:rsid w:val="12B97DBE"/>
    <w:rsid w:val="12BA1309"/>
    <w:rsid w:val="12BE53D5"/>
    <w:rsid w:val="12BE6B73"/>
    <w:rsid w:val="12C02EFB"/>
    <w:rsid w:val="12C329EB"/>
    <w:rsid w:val="12C34799"/>
    <w:rsid w:val="12C549B5"/>
    <w:rsid w:val="12C56763"/>
    <w:rsid w:val="12C70D3C"/>
    <w:rsid w:val="12C7689D"/>
    <w:rsid w:val="12C81DAF"/>
    <w:rsid w:val="12C82384"/>
    <w:rsid w:val="12C86253"/>
    <w:rsid w:val="12CA2A0D"/>
    <w:rsid w:val="12CA622D"/>
    <w:rsid w:val="12CD5618"/>
    <w:rsid w:val="12CF1390"/>
    <w:rsid w:val="12D07CCA"/>
    <w:rsid w:val="12D15108"/>
    <w:rsid w:val="12D2261E"/>
    <w:rsid w:val="12D32BAC"/>
    <w:rsid w:val="12D40754"/>
    <w:rsid w:val="12D44BF8"/>
    <w:rsid w:val="12D70244"/>
    <w:rsid w:val="12D720A5"/>
    <w:rsid w:val="12DA41BD"/>
    <w:rsid w:val="12DB71B2"/>
    <w:rsid w:val="12DE235D"/>
    <w:rsid w:val="12E00DC6"/>
    <w:rsid w:val="12E0534B"/>
    <w:rsid w:val="12E12E71"/>
    <w:rsid w:val="12E14A8F"/>
    <w:rsid w:val="12E3308D"/>
    <w:rsid w:val="12E341F0"/>
    <w:rsid w:val="12E515A2"/>
    <w:rsid w:val="12E52961"/>
    <w:rsid w:val="12E759CF"/>
    <w:rsid w:val="12E77EAE"/>
    <w:rsid w:val="12E84200"/>
    <w:rsid w:val="12EA61CA"/>
    <w:rsid w:val="12EC1F42"/>
    <w:rsid w:val="12ED157E"/>
    <w:rsid w:val="12EF558E"/>
    <w:rsid w:val="12EF6D54"/>
    <w:rsid w:val="12F11306"/>
    <w:rsid w:val="12F157AA"/>
    <w:rsid w:val="12F164B9"/>
    <w:rsid w:val="12F26E2C"/>
    <w:rsid w:val="12F72695"/>
    <w:rsid w:val="12FA3BCB"/>
    <w:rsid w:val="12FC7CAB"/>
    <w:rsid w:val="12FE1C75"/>
    <w:rsid w:val="13023513"/>
    <w:rsid w:val="13033E26"/>
    <w:rsid w:val="130628D8"/>
    <w:rsid w:val="13075171"/>
    <w:rsid w:val="13086650"/>
    <w:rsid w:val="130A6291"/>
    <w:rsid w:val="130C25E4"/>
    <w:rsid w:val="130C4592"/>
    <w:rsid w:val="130D1EB8"/>
    <w:rsid w:val="130D2041"/>
    <w:rsid w:val="130E23CF"/>
    <w:rsid w:val="130F3E82"/>
    <w:rsid w:val="1310637F"/>
    <w:rsid w:val="13117BFA"/>
    <w:rsid w:val="13122E5E"/>
    <w:rsid w:val="13141499"/>
    <w:rsid w:val="13182D37"/>
    <w:rsid w:val="13196AA8"/>
    <w:rsid w:val="13196AAF"/>
    <w:rsid w:val="131B1260"/>
    <w:rsid w:val="131B6383"/>
    <w:rsid w:val="131C5AD5"/>
    <w:rsid w:val="131D034D"/>
    <w:rsid w:val="131E2317"/>
    <w:rsid w:val="131E40C5"/>
    <w:rsid w:val="131E7C21"/>
    <w:rsid w:val="13201BEB"/>
    <w:rsid w:val="13207E3D"/>
    <w:rsid w:val="132316DC"/>
    <w:rsid w:val="13252E99"/>
    <w:rsid w:val="13255454"/>
    <w:rsid w:val="1326458A"/>
    <w:rsid w:val="13294F44"/>
    <w:rsid w:val="132C233E"/>
    <w:rsid w:val="132D429F"/>
    <w:rsid w:val="132D4308"/>
    <w:rsid w:val="132F1E2E"/>
    <w:rsid w:val="133104C1"/>
    <w:rsid w:val="1331143C"/>
    <w:rsid w:val="13313E49"/>
    <w:rsid w:val="1332191F"/>
    <w:rsid w:val="13333D5C"/>
    <w:rsid w:val="1336140F"/>
    <w:rsid w:val="133833D9"/>
    <w:rsid w:val="13386F35"/>
    <w:rsid w:val="133B07D3"/>
    <w:rsid w:val="133B4C77"/>
    <w:rsid w:val="133B6A25"/>
    <w:rsid w:val="133E5820"/>
    <w:rsid w:val="133E6515"/>
    <w:rsid w:val="133F0F0C"/>
    <w:rsid w:val="1340228E"/>
    <w:rsid w:val="13427DB4"/>
    <w:rsid w:val="13433B2C"/>
    <w:rsid w:val="134358DA"/>
    <w:rsid w:val="13441D7E"/>
    <w:rsid w:val="13482EF0"/>
    <w:rsid w:val="134C478E"/>
    <w:rsid w:val="134D05AC"/>
    <w:rsid w:val="134E6759"/>
    <w:rsid w:val="134E6BAF"/>
    <w:rsid w:val="134F0723"/>
    <w:rsid w:val="13511DA5"/>
    <w:rsid w:val="135178E9"/>
    <w:rsid w:val="13522B18"/>
    <w:rsid w:val="1355718A"/>
    <w:rsid w:val="13582D2C"/>
    <w:rsid w:val="135B0E75"/>
    <w:rsid w:val="135D4BEE"/>
    <w:rsid w:val="135D4DFE"/>
    <w:rsid w:val="135F0ED4"/>
    <w:rsid w:val="13630B98"/>
    <w:rsid w:val="13637D2A"/>
    <w:rsid w:val="13645F7C"/>
    <w:rsid w:val="13651CF4"/>
    <w:rsid w:val="13680B50"/>
    <w:rsid w:val="13682D04"/>
    <w:rsid w:val="13686C5F"/>
    <w:rsid w:val="136917E4"/>
    <w:rsid w:val="136A013D"/>
    <w:rsid w:val="136A730B"/>
    <w:rsid w:val="136E0A98"/>
    <w:rsid w:val="136E76CF"/>
    <w:rsid w:val="136F66CF"/>
    <w:rsid w:val="13702B73"/>
    <w:rsid w:val="13734957"/>
    <w:rsid w:val="13736409"/>
    <w:rsid w:val="13760AF9"/>
    <w:rsid w:val="13764667"/>
    <w:rsid w:val="137837D5"/>
    <w:rsid w:val="13785584"/>
    <w:rsid w:val="137912FC"/>
    <w:rsid w:val="137B37B1"/>
    <w:rsid w:val="137D0DEC"/>
    <w:rsid w:val="137D694F"/>
    <w:rsid w:val="13802363"/>
    <w:rsid w:val="13824F56"/>
    <w:rsid w:val="1384217A"/>
    <w:rsid w:val="13842EBF"/>
    <w:rsid w:val="13871C6A"/>
    <w:rsid w:val="13877EBC"/>
    <w:rsid w:val="13890527"/>
    <w:rsid w:val="13897791"/>
    <w:rsid w:val="138A52B7"/>
    <w:rsid w:val="138B678C"/>
    <w:rsid w:val="138E124B"/>
    <w:rsid w:val="13914F15"/>
    <w:rsid w:val="13954E8B"/>
    <w:rsid w:val="13955207"/>
    <w:rsid w:val="13967C7E"/>
    <w:rsid w:val="139810F1"/>
    <w:rsid w:val="139879D4"/>
    <w:rsid w:val="139D323C"/>
    <w:rsid w:val="139E328E"/>
    <w:rsid w:val="139F2EE6"/>
    <w:rsid w:val="139F4F6F"/>
    <w:rsid w:val="13A10F7E"/>
    <w:rsid w:val="13A24498"/>
    <w:rsid w:val="13A24CF6"/>
    <w:rsid w:val="13A3416B"/>
    <w:rsid w:val="13A36749"/>
    <w:rsid w:val="13A50343"/>
    <w:rsid w:val="13A9004F"/>
    <w:rsid w:val="13A90DF6"/>
    <w:rsid w:val="13A92013"/>
    <w:rsid w:val="13A94E34"/>
    <w:rsid w:val="13A97E33"/>
    <w:rsid w:val="13AA7707"/>
    <w:rsid w:val="13AC54C1"/>
    <w:rsid w:val="13B10A95"/>
    <w:rsid w:val="13B14F39"/>
    <w:rsid w:val="13B567D8"/>
    <w:rsid w:val="13B81E24"/>
    <w:rsid w:val="13B92F25"/>
    <w:rsid w:val="13B93B6C"/>
    <w:rsid w:val="13BB1914"/>
    <w:rsid w:val="13BB37DD"/>
    <w:rsid w:val="13BC5DB8"/>
    <w:rsid w:val="13BF1404"/>
    <w:rsid w:val="13BF7656"/>
    <w:rsid w:val="13C14BA3"/>
    <w:rsid w:val="13C22CA3"/>
    <w:rsid w:val="13C24317"/>
    <w:rsid w:val="13C24A51"/>
    <w:rsid w:val="13C24CE7"/>
    <w:rsid w:val="13C745E2"/>
    <w:rsid w:val="13C7475D"/>
    <w:rsid w:val="13C80740"/>
    <w:rsid w:val="13C92283"/>
    <w:rsid w:val="13CA7EC0"/>
    <w:rsid w:val="13CC0EAA"/>
    <w:rsid w:val="13CE280D"/>
    <w:rsid w:val="13CF11FB"/>
    <w:rsid w:val="13D11D8B"/>
    <w:rsid w:val="13D12EE6"/>
    <w:rsid w:val="13D1738A"/>
    <w:rsid w:val="13D36C5E"/>
    <w:rsid w:val="13D44784"/>
    <w:rsid w:val="13D529D6"/>
    <w:rsid w:val="13D824C6"/>
    <w:rsid w:val="13D82F5B"/>
    <w:rsid w:val="13DA623E"/>
    <w:rsid w:val="13DA7FEC"/>
    <w:rsid w:val="13DB5B12"/>
    <w:rsid w:val="13DB648F"/>
    <w:rsid w:val="13DD188A"/>
    <w:rsid w:val="13DD7ADC"/>
    <w:rsid w:val="13DF3855"/>
    <w:rsid w:val="13DF5603"/>
    <w:rsid w:val="13E0137B"/>
    <w:rsid w:val="13E175CD"/>
    <w:rsid w:val="13E23345"/>
    <w:rsid w:val="13E64BE3"/>
    <w:rsid w:val="13E9022F"/>
    <w:rsid w:val="13E91193"/>
    <w:rsid w:val="13EB044B"/>
    <w:rsid w:val="13ED52C0"/>
    <w:rsid w:val="13EE4319"/>
    <w:rsid w:val="13F015BE"/>
    <w:rsid w:val="13F13298"/>
    <w:rsid w:val="13F33C96"/>
    <w:rsid w:val="13F35552"/>
    <w:rsid w:val="13F4401F"/>
    <w:rsid w:val="13F53078"/>
    <w:rsid w:val="13F6294C"/>
    <w:rsid w:val="13F866C4"/>
    <w:rsid w:val="13FC4407"/>
    <w:rsid w:val="13FC61B5"/>
    <w:rsid w:val="13FD017F"/>
    <w:rsid w:val="13FF5CA5"/>
    <w:rsid w:val="140212F1"/>
    <w:rsid w:val="140259FF"/>
    <w:rsid w:val="14027543"/>
    <w:rsid w:val="140275A9"/>
    <w:rsid w:val="140339AE"/>
    <w:rsid w:val="14036F6F"/>
    <w:rsid w:val="1404150D"/>
    <w:rsid w:val="140562EA"/>
    <w:rsid w:val="14060DE1"/>
    <w:rsid w:val="14061086"/>
    <w:rsid w:val="14076907"/>
    <w:rsid w:val="140B464A"/>
    <w:rsid w:val="140D4D26"/>
    <w:rsid w:val="140F0561"/>
    <w:rsid w:val="141259D8"/>
    <w:rsid w:val="141334FE"/>
    <w:rsid w:val="141379A2"/>
    <w:rsid w:val="14151024"/>
    <w:rsid w:val="14172444"/>
    <w:rsid w:val="14173BB3"/>
    <w:rsid w:val="14173F06"/>
    <w:rsid w:val="14182A3B"/>
    <w:rsid w:val="141A2ADF"/>
    <w:rsid w:val="141C0605"/>
    <w:rsid w:val="141F1195"/>
    <w:rsid w:val="141F6347"/>
    <w:rsid w:val="14220D68"/>
    <w:rsid w:val="1424570B"/>
    <w:rsid w:val="142474B9"/>
    <w:rsid w:val="14261483"/>
    <w:rsid w:val="142669A3"/>
    <w:rsid w:val="14270D58"/>
    <w:rsid w:val="14277B52"/>
    <w:rsid w:val="1429657E"/>
    <w:rsid w:val="142A4AE2"/>
    <w:rsid w:val="142B6A9A"/>
    <w:rsid w:val="142C10D4"/>
    <w:rsid w:val="142C45C0"/>
    <w:rsid w:val="143037AB"/>
    <w:rsid w:val="143040B0"/>
    <w:rsid w:val="14313AB6"/>
    <w:rsid w:val="1432607A"/>
    <w:rsid w:val="1432638F"/>
    <w:rsid w:val="14327E28"/>
    <w:rsid w:val="143516C6"/>
    <w:rsid w:val="14353475"/>
    <w:rsid w:val="14396C44"/>
    <w:rsid w:val="143A7254"/>
    <w:rsid w:val="143B213D"/>
    <w:rsid w:val="143D67CD"/>
    <w:rsid w:val="143E4A1F"/>
    <w:rsid w:val="14411FCB"/>
    <w:rsid w:val="1441634D"/>
    <w:rsid w:val="144638D4"/>
    <w:rsid w:val="144647A0"/>
    <w:rsid w:val="144731A8"/>
    <w:rsid w:val="14475CDC"/>
    <w:rsid w:val="144808AD"/>
    <w:rsid w:val="14480BD5"/>
    <w:rsid w:val="144813FA"/>
    <w:rsid w:val="144933C4"/>
    <w:rsid w:val="14495172"/>
    <w:rsid w:val="144A5D9E"/>
    <w:rsid w:val="144B73A5"/>
    <w:rsid w:val="144D4C62"/>
    <w:rsid w:val="144E09DA"/>
    <w:rsid w:val="144E2788"/>
    <w:rsid w:val="144E4536"/>
    <w:rsid w:val="14503CE0"/>
    <w:rsid w:val="14535FF1"/>
    <w:rsid w:val="14544440"/>
    <w:rsid w:val="14553B17"/>
    <w:rsid w:val="145A2EDB"/>
    <w:rsid w:val="145C30F7"/>
    <w:rsid w:val="145F6743"/>
    <w:rsid w:val="145F6EA5"/>
    <w:rsid w:val="146124BC"/>
    <w:rsid w:val="146228E4"/>
    <w:rsid w:val="14622D18"/>
    <w:rsid w:val="14636234"/>
    <w:rsid w:val="146401FE"/>
    <w:rsid w:val="14661880"/>
    <w:rsid w:val="146855F8"/>
    <w:rsid w:val="14691370"/>
    <w:rsid w:val="146B50E8"/>
    <w:rsid w:val="146B6E96"/>
    <w:rsid w:val="146D1D12"/>
    <w:rsid w:val="146D2C0E"/>
    <w:rsid w:val="146E25C8"/>
    <w:rsid w:val="146E50FA"/>
    <w:rsid w:val="146F4C96"/>
    <w:rsid w:val="147026FF"/>
    <w:rsid w:val="14702C4A"/>
    <w:rsid w:val="147046EF"/>
    <w:rsid w:val="14713B1A"/>
    <w:rsid w:val="14733F9D"/>
    <w:rsid w:val="14740B6B"/>
    <w:rsid w:val="1474596D"/>
    <w:rsid w:val="14765C48"/>
    <w:rsid w:val="14771CDF"/>
    <w:rsid w:val="14773EFC"/>
    <w:rsid w:val="14777F31"/>
    <w:rsid w:val="14787805"/>
    <w:rsid w:val="147C10A3"/>
    <w:rsid w:val="147C5547"/>
    <w:rsid w:val="147C72F5"/>
    <w:rsid w:val="147D1123"/>
    <w:rsid w:val="147E03D6"/>
    <w:rsid w:val="147E306D"/>
    <w:rsid w:val="147E4E1C"/>
    <w:rsid w:val="147F6DE6"/>
    <w:rsid w:val="14817A6B"/>
    <w:rsid w:val="1483335E"/>
    <w:rsid w:val="148470B0"/>
    <w:rsid w:val="14860174"/>
    <w:rsid w:val="14860BF1"/>
    <w:rsid w:val="14885C9A"/>
    <w:rsid w:val="14890F64"/>
    <w:rsid w:val="148B29AC"/>
    <w:rsid w:val="148D1503"/>
    <w:rsid w:val="148E0471"/>
    <w:rsid w:val="14904B4F"/>
    <w:rsid w:val="14905962"/>
    <w:rsid w:val="14952165"/>
    <w:rsid w:val="14952EAD"/>
    <w:rsid w:val="1495590C"/>
    <w:rsid w:val="149617D4"/>
    <w:rsid w:val="14972381"/>
    <w:rsid w:val="14972D34"/>
    <w:rsid w:val="1497412F"/>
    <w:rsid w:val="14983A03"/>
    <w:rsid w:val="14984A52"/>
    <w:rsid w:val="1498574F"/>
    <w:rsid w:val="14995D79"/>
    <w:rsid w:val="14997EA7"/>
    <w:rsid w:val="149A3FDD"/>
    <w:rsid w:val="149C34F4"/>
    <w:rsid w:val="149C5646"/>
    <w:rsid w:val="149C7998"/>
    <w:rsid w:val="149F07A7"/>
    <w:rsid w:val="14A05457"/>
    <w:rsid w:val="14A30D26"/>
    <w:rsid w:val="14A64372"/>
    <w:rsid w:val="14A72759"/>
    <w:rsid w:val="14A81E98"/>
    <w:rsid w:val="14A8633C"/>
    <w:rsid w:val="14AA20B4"/>
    <w:rsid w:val="14AA7EAB"/>
    <w:rsid w:val="14AC1F26"/>
    <w:rsid w:val="14AE3227"/>
    <w:rsid w:val="14AF237B"/>
    <w:rsid w:val="14AF76CB"/>
    <w:rsid w:val="14B00D4D"/>
    <w:rsid w:val="14B24AC5"/>
    <w:rsid w:val="14B92905"/>
    <w:rsid w:val="14B95E54"/>
    <w:rsid w:val="14BA4B45"/>
    <w:rsid w:val="14BA7E1E"/>
    <w:rsid w:val="14BD1ADC"/>
    <w:rsid w:val="14BE09E0"/>
    <w:rsid w:val="14BE6AC3"/>
    <w:rsid w:val="14BF1D95"/>
    <w:rsid w:val="14BF5298"/>
    <w:rsid w:val="14BF5434"/>
    <w:rsid w:val="14C0360D"/>
    <w:rsid w:val="14C03686"/>
    <w:rsid w:val="14C04799"/>
    <w:rsid w:val="14C111AC"/>
    <w:rsid w:val="14C12F5A"/>
    <w:rsid w:val="14C14C67"/>
    <w:rsid w:val="14C44E68"/>
    <w:rsid w:val="14C52A4A"/>
    <w:rsid w:val="14C60571"/>
    <w:rsid w:val="14C831D3"/>
    <w:rsid w:val="14CB03DA"/>
    <w:rsid w:val="14CB1E9D"/>
    <w:rsid w:val="14CB3DD9"/>
    <w:rsid w:val="14CD5DA3"/>
    <w:rsid w:val="14CF52C6"/>
    <w:rsid w:val="14D40EDF"/>
    <w:rsid w:val="14D419F5"/>
    <w:rsid w:val="14D47131"/>
    <w:rsid w:val="14D5042C"/>
    <w:rsid w:val="14D62699"/>
    <w:rsid w:val="14D62EA9"/>
    <w:rsid w:val="14DD1AB6"/>
    <w:rsid w:val="14DE09FE"/>
    <w:rsid w:val="14DF76FF"/>
    <w:rsid w:val="14E0178F"/>
    <w:rsid w:val="14E07884"/>
    <w:rsid w:val="14E153AA"/>
    <w:rsid w:val="14E37374"/>
    <w:rsid w:val="14E43215"/>
    <w:rsid w:val="14E54E9B"/>
    <w:rsid w:val="14E629C1"/>
    <w:rsid w:val="14E657FA"/>
    <w:rsid w:val="14E65FEC"/>
    <w:rsid w:val="14E86739"/>
    <w:rsid w:val="14EA425F"/>
    <w:rsid w:val="14ED1FA1"/>
    <w:rsid w:val="14EF1110"/>
    <w:rsid w:val="14F111B3"/>
    <w:rsid w:val="14F11A91"/>
    <w:rsid w:val="14F30D60"/>
    <w:rsid w:val="14F50A0D"/>
    <w:rsid w:val="14F50E56"/>
    <w:rsid w:val="14F656CC"/>
    <w:rsid w:val="14F670A8"/>
    <w:rsid w:val="14F97D01"/>
    <w:rsid w:val="15000793"/>
    <w:rsid w:val="15000BA8"/>
    <w:rsid w:val="15003A82"/>
    <w:rsid w:val="15015A4D"/>
    <w:rsid w:val="15021C98"/>
    <w:rsid w:val="15022121"/>
    <w:rsid w:val="15023C9F"/>
    <w:rsid w:val="15041816"/>
    <w:rsid w:val="15054DD7"/>
    <w:rsid w:val="15085206"/>
    <w:rsid w:val="150B25F3"/>
    <w:rsid w:val="150D43F1"/>
    <w:rsid w:val="150E1A38"/>
    <w:rsid w:val="150E2D97"/>
    <w:rsid w:val="150F3CC6"/>
    <w:rsid w:val="15100288"/>
    <w:rsid w:val="15112E59"/>
    <w:rsid w:val="1513623F"/>
    <w:rsid w:val="1514752E"/>
    <w:rsid w:val="151632A6"/>
    <w:rsid w:val="15175270"/>
    <w:rsid w:val="1519357C"/>
    <w:rsid w:val="151A426C"/>
    <w:rsid w:val="151B6B0E"/>
    <w:rsid w:val="15205ED3"/>
    <w:rsid w:val="152139F9"/>
    <w:rsid w:val="1525798D"/>
    <w:rsid w:val="152B35E2"/>
    <w:rsid w:val="152D05F0"/>
    <w:rsid w:val="15310DE2"/>
    <w:rsid w:val="15331C80"/>
    <w:rsid w:val="1534197E"/>
    <w:rsid w:val="153656F6"/>
    <w:rsid w:val="153876C0"/>
    <w:rsid w:val="153951E6"/>
    <w:rsid w:val="15396F94"/>
    <w:rsid w:val="153B3F99"/>
    <w:rsid w:val="153B40D2"/>
    <w:rsid w:val="153C0833"/>
    <w:rsid w:val="153E0B27"/>
    <w:rsid w:val="153E1E76"/>
    <w:rsid w:val="153E45AB"/>
    <w:rsid w:val="15400323"/>
    <w:rsid w:val="154047C7"/>
    <w:rsid w:val="15420D79"/>
    <w:rsid w:val="154222ED"/>
    <w:rsid w:val="154232CB"/>
    <w:rsid w:val="1546345F"/>
    <w:rsid w:val="154A0C45"/>
    <w:rsid w:val="154A11A2"/>
    <w:rsid w:val="154A73F4"/>
    <w:rsid w:val="154C316C"/>
    <w:rsid w:val="154D0C92"/>
    <w:rsid w:val="154D2A40"/>
    <w:rsid w:val="154F67B8"/>
    <w:rsid w:val="15543DCE"/>
    <w:rsid w:val="1558083A"/>
    <w:rsid w:val="15593193"/>
    <w:rsid w:val="155C2C83"/>
    <w:rsid w:val="155C72B6"/>
    <w:rsid w:val="155D0ED5"/>
    <w:rsid w:val="155D7127"/>
    <w:rsid w:val="155E2E9F"/>
    <w:rsid w:val="156009C5"/>
    <w:rsid w:val="15621D86"/>
    <w:rsid w:val="15636126"/>
    <w:rsid w:val="15655021"/>
    <w:rsid w:val="15673B02"/>
    <w:rsid w:val="15692BFF"/>
    <w:rsid w:val="156F177E"/>
    <w:rsid w:val="156F29B6"/>
    <w:rsid w:val="157224A6"/>
    <w:rsid w:val="15741F45"/>
    <w:rsid w:val="15744470"/>
    <w:rsid w:val="15747FCD"/>
    <w:rsid w:val="15787ABD"/>
    <w:rsid w:val="15793835"/>
    <w:rsid w:val="15793CE3"/>
    <w:rsid w:val="157C3031"/>
    <w:rsid w:val="157D50D3"/>
    <w:rsid w:val="15802B99"/>
    <w:rsid w:val="15806971"/>
    <w:rsid w:val="158143DD"/>
    <w:rsid w:val="15836D17"/>
    <w:rsid w:val="15850268"/>
    <w:rsid w:val="15875F52"/>
    <w:rsid w:val="15891CCA"/>
    <w:rsid w:val="158A5A42"/>
    <w:rsid w:val="158A77F0"/>
    <w:rsid w:val="158C2ACE"/>
    <w:rsid w:val="158C5316"/>
    <w:rsid w:val="158D422C"/>
    <w:rsid w:val="158E5BD9"/>
    <w:rsid w:val="158F12AA"/>
    <w:rsid w:val="159863B1"/>
    <w:rsid w:val="15997A33"/>
    <w:rsid w:val="159B283E"/>
    <w:rsid w:val="159B4E15"/>
    <w:rsid w:val="159D460F"/>
    <w:rsid w:val="159D4A7D"/>
    <w:rsid w:val="159E329B"/>
    <w:rsid w:val="159E5049"/>
    <w:rsid w:val="15A36452"/>
    <w:rsid w:val="15A44D56"/>
    <w:rsid w:val="15A478E2"/>
    <w:rsid w:val="15A500FB"/>
    <w:rsid w:val="15A558D2"/>
    <w:rsid w:val="15A563D8"/>
    <w:rsid w:val="15A84FF5"/>
    <w:rsid w:val="15AE7982"/>
    <w:rsid w:val="15B036FB"/>
    <w:rsid w:val="15B50D11"/>
    <w:rsid w:val="15B605E5"/>
    <w:rsid w:val="15B624A2"/>
    <w:rsid w:val="15B64A89"/>
    <w:rsid w:val="15B66837"/>
    <w:rsid w:val="15B825AF"/>
    <w:rsid w:val="15B8610B"/>
    <w:rsid w:val="15B87DAF"/>
    <w:rsid w:val="15B91DB9"/>
    <w:rsid w:val="15B94B0D"/>
    <w:rsid w:val="15BB72AA"/>
    <w:rsid w:val="15BF56EC"/>
    <w:rsid w:val="15C03212"/>
    <w:rsid w:val="15C076B6"/>
    <w:rsid w:val="15C10FCF"/>
    <w:rsid w:val="15C37AC5"/>
    <w:rsid w:val="15C457C0"/>
    <w:rsid w:val="15C47892"/>
    <w:rsid w:val="15C918AE"/>
    <w:rsid w:val="15C925ED"/>
    <w:rsid w:val="15C9656A"/>
    <w:rsid w:val="15CA5E3E"/>
    <w:rsid w:val="15CC11F0"/>
    <w:rsid w:val="15CC1BB7"/>
    <w:rsid w:val="15CC7E09"/>
    <w:rsid w:val="15CE5109"/>
    <w:rsid w:val="15CF16A7"/>
    <w:rsid w:val="15D26914"/>
    <w:rsid w:val="15D55160"/>
    <w:rsid w:val="15D55DE5"/>
    <w:rsid w:val="15D628A6"/>
    <w:rsid w:val="15D62A35"/>
    <w:rsid w:val="15D849FF"/>
    <w:rsid w:val="15D91EDC"/>
    <w:rsid w:val="15DA0777"/>
    <w:rsid w:val="15DB629E"/>
    <w:rsid w:val="15E46F00"/>
    <w:rsid w:val="15E50ECA"/>
    <w:rsid w:val="15E57B03"/>
    <w:rsid w:val="15E62403"/>
    <w:rsid w:val="15E74C42"/>
    <w:rsid w:val="15E839EB"/>
    <w:rsid w:val="15E84B86"/>
    <w:rsid w:val="15EA64E1"/>
    <w:rsid w:val="15EE7D7F"/>
    <w:rsid w:val="15F02C89"/>
    <w:rsid w:val="15F1340C"/>
    <w:rsid w:val="15F30365"/>
    <w:rsid w:val="15F31839"/>
    <w:rsid w:val="15F328CA"/>
    <w:rsid w:val="15F335E7"/>
    <w:rsid w:val="15F64E85"/>
    <w:rsid w:val="15F76776"/>
    <w:rsid w:val="15F958D1"/>
    <w:rsid w:val="15FB249C"/>
    <w:rsid w:val="15FC0717"/>
    <w:rsid w:val="15FE4ABC"/>
    <w:rsid w:val="160055BA"/>
    <w:rsid w:val="16007AB2"/>
    <w:rsid w:val="16013F56"/>
    <w:rsid w:val="1602382A"/>
    <w:rsid w:val="160457F4"/>
    <w:rsid w:val="160550C9"/>
    <w:rsid w:val="160752E5"/>
    <w:rsid w:val="16077093"/>
    <w:rsid w:val="16082FC8"/>
    <w:rsid w:val="16085872"/>
    <w:rsid w:val="1609580A"/>
    <w:rsid w:val="160B6B83"/>
    <w:rsid w:val="160C28FB"/>
    <w:rsid w:val="160C6457"/>
    <w:rsid w:val="160D7591"/>
    <w:rsid w:val="160E7FE2"/>
    <w:rsid w:val="16105644"/>
    <w:rsid w:val="161517B0"/>
    <w:rsid w:val="161547DB"/>
    <w:rsid w:val="16157E2D"/>
    <w:rsid w:val="161620D4"/>
    <w:rsid w:val="16175528"/>
    <w:rsid w:val="16180394"/>
    <w:rsid w:val="161A0B74"/>
    <w:rsid w:val="161A2E0F"/>
    <w:rsid w:val="161A6DC6"/>
    <w:rsid w:val="161A7CC6"/>
    <w:rsid w:val="161B48EC"/>
    <w:rsid w:val="161D68B6"/>
    <w:rsid w:val="161E0363"/>
    <w:rsid w:val="161F5309"/>
    <w:rsid w:val="16206B7C"/>
    <w:rsid w:val="162163A6"/>
    <w:rsid w:val="16247C45"/>
    <w:rsid w:val="16265DDB"/>
    <w:rsid w:val="16273291"/>
    <w:rsid w:val="162738E6"/>
    <w:rsid w:val="16273FCA"/>
    <w:rsid w:val="162C08A7"/>
    <w:rsid w:val="162C356B"/>
    <w:rsid w:val="162C6AF9"/>
    <w:rsid w:val="162C7BC3"/>
    <w:rsid w:val="16317779"/>
    <w:rsid w:val="163254F9"/>
    <w:rsid w:val="16337B04"/>
    <w:rsid w:val="16351E52"/>
    <w:rsid w:val="16361264"/>
    <w:rsid w:val="16361726"/>
    <w:rsid w:val="163634D4"/>
    <w:rsid w:val="163836F0"/>
    <w:rsid w:val="163A7C24"/>
    <w:rsid w:val="163B0AEA"/>
    <w:rsid w:val="163B52FF"/>
    <w:rsid w:val="163B5EF6"/>
    <w:rsid w:val="163C4F8E"/>
    <w:rsid w:val="163D1F3A"/>
    <w:rsid w:val="163D2AB4"/>
    <w:rsid w:val="163F4A7E"/>
    <w:rsid w:val="164200CB"/>
    <w:rsid w:val="16441ED8"/>
    <w:rsid w:val="16442095"/>
    <w:rsid w:val="16461969"/>
    <w:rsid w:val="1649511F"/>
    <w:rsid w:val="164B6F7F"/>
    <w:rsid w:val="164C28E0"/>
    <w:rsid w:val="164C7F84"/>
    <w:rsid w:val="164E6A70"/>
    <w:rsid w:val="165027E8"/>
    <w:rsid w:val="16503A7A"/>
    <w:rsid w:val="165247B2"/>
    <w:rsid w:val="165410C6"/>
    <w:rsid w:val="16557E32"/>
    <w:rsid w:val="16576DFB"/>
    <w:rsid w:val="16585B40"/>
    <w:rsid w:val="165A726D"/>
    <w:rsid w:val="165C118C"/>
    <w:rsid w:val="165D4F05"/>
    <w:rsid w:val="165D6CB3"/>
    <w:rsid w:val="165E3157"/>
    <w:rsid w:val="165F0229"/>
    <w:rsid w:val="165F6ECF"/>
    <w:rsid w:val="16603B77"/>
    <w:rsid w:val="16612C47"/>
    <w:rsid w:val="16615543"/>
    <w:rsid w:val="1663076D"/>
    <w:rsid w:val="16640041"/>
    <w:rsid w:val="16641DEF"/>
    <w:rsid w:val="166603FD"/>
    <w:rsid w:val="16670DD1"/>
    <w:rsid w:val="16685D83"/>
    <w:rsid w:val="16690DF7"/>
    <w:rsid w:val="16695657"/>
    <w:rsid w:val="166E2C6E"/>
    <w:rsid w:val="166F32FB"/>
    <w:rsid w:val="1671302D"/>
    <w:rsid w:val="167209B0"/>
    <w:rsid w:val="1672275E"/>
    <w:rsid w:val="16774218"/>
    <w:rsid w:val="16784C78"/>
    <w:rsid w:val="16793C4E"/>
    <w:rsid w:val="167A5AB7"/>
    <w:rsid w:val="167C182F"/>
    <w:rsid w:val="167F4E7B"/>
    <w:rsid w:val="16810BF3"/>
    <w:rsid w:val="168129A1"/>
    <w:rsid w:val="168161B1"/>
    <w:rsid w:val="168626AD"/>
    <w:rsid w:val="16881F81"/>
    <w:rsid w:val="168B7CC4"/>
    <w:rsid w:val="168E3310"/>
    <w:rsid w:val="16907088"/>
    <w:rsid w:val="16922E00"/>
    <w:rsid w:val="1695469E"/>
    <w:rsid w:val="16957C0A"/>
    <w:rsid w:val="16997A1B"/>
    <w:rsid w:val="169A1CB5"/>
    <w:rsid w:val="169A7F07"/>
    <w:rsid w:val="16A018C3"/>
    <w:rsid w:val="16A07907"/>
    <w:rsid w:val="16A13043"/>
    <w:rsid w:val="16A42B33"/>
    <w:rsid w:val="16A448E1"/>
    <w:rsid w:val="16A450B9"/>
    <w:rsid w:val="16A62408"/>
    <w:rsid w:val="16AA639C"/>
    <w:rsid w:val="16AB5C70"/>
    <w:rsid w:val="16AC67DA"/>
    <w:rsid w:val="16AD3796"/>
    <w:rsid w:val="16AE750E"/>
    <w:rsid w:val="16B06677"/>
    <w:rsid w:val="16B234A2"/>
    <w:rsid w:val="16B25250"/>
    <w:rsid w:val="16B41B7E"/>
    <w:rsid w:val="16B4356A"/>
    <w:rsid w:val="16B54D41"/>
    <w:rsid w:val="16B70AB9"/>
    <w:rsid w:val="16B74040"/>
    <w:rsid w:val="16B81863"/>
    <w:rsid w:val="16B831DE"/>
    <w:rsid w:val="16BA4105"/>
    <w:rsid w:val="16BB16D7"/>
    <w:rsid w:val="16BB5631"/>
    <w:rsid w:val="16BD32EE"/>
    <w:rsid w:val="16BE1E47"/>
    <w:rsid w:val="16C16F6F"/>
    <w:rsid w:val="16C17241"/>
    <w:rsid w:val="16C2720A"/>
    <w:rsid w:val="16C46902"/>
    <w:rsid w:val="16C46D32"/>
    <w:rsid w:val="16C64858"/>
    <w:rsid w:val="16C805D0"/>
    <w:rsid w:val="16C80FF5"/>
    <w:rsid w:val="16C94348"/>
    <w:rsid w:val="16CB6312"/>
    <w:rsid w:val="16CD208A"/>
    <w:rsid w:val="16CF2124"/>
    <w:rsid w:val="16CF2845"/>
    <w:rsid w:val="16CF5E02"/>
    <w:rsid w:val="16D00D56"/>
    <w:rsid w:val="16D01B7A"/>
    <w:rsid w:val="16D5325A"/>
    <w:rsid w:val="16D72F09"/>
    <w:rsid w:val="16D87DE9"/>
    <w:rsid w:val="16D9120B"/>
    <w:rsid w:val="16D95A8E"/>
    <w:rsid w:val="16DC239F"/>
    <w:rsid w:val="16DC407B"/>
    <w:rsid w:val="16DD1EDF"/>
    <w:rsid w:val="16DE7DF3"/>
    <w:rsid w:val="16E6314C"/>
    <w:rsid w:val="16E82A20"/>
    <w:rsid w:val="16EA144D"/>
    <w:rsid w:val="16ED6288"/>
    <w:rsid w:val="16F2564D"/>
    <w:rsid w:val="16F52F46"/>
    <w:rsid w:val="16F5338F"/>
    <w:rsid w:val="16F5513D"/>
    <w:rsid w:val="16F615E1"/>
    <w:rsid w:val="16F749D7"/>
    <w:rsid w:val="16F75359"/>
    <w:rsid w:val="16F80D0B"/>
    <w:rsid w:val="16F818C7"/>
    <w:rsid w:val="16F969DB"/>
    <w:rsid w:val="16F97B8F"/>
    <w:rsid w:val="16FB6BF7"/>
    <w:rsid w:val="16FC296F"/>
    <w:rsid w:val="16FC471D"/>
    <w:rsid w:val="16FC7F0C"/>
    <w:rsid w:val="170206F5"/>
    <w:rsid w:val="17023688"/>
    <w:rsid w:val="17033CFE"/>
    <w:rsid w:val="170369D9"/>
    <w:rsid w:val="1703788F"/>
    <w:rsid w:val="17053E40"/>
    <w:rsid w:val="1706559C"/>
    <w:rsid w:val="17075EE6"/>
    <w:rsid w:val="170A0BE8"/>
    <w:rsid w:val="170B2BB3"/>
    <w:rsid w:val="170B670F"/>
    <w:rsid w:val="170C3714"/>
    <w:rsid w:val="170D06D9"/>
    <w:rsid w:val="170E3AEC"/>
    <w:rsid w:val="170F61FF"/>
    <w:rsid w:val="17125CEF"/>
    <w:rsid w:val="17127A9D"/>
    <w:rsid w:val="171440F9"/>
    <w:rsid w:val="17171557"/>
    <w:rsid w:val="1717211A"/>
    <w:rsid w:val="1718283C"/>
    <w:rsid w:val="17192340"/>
    <w:rsid w:val="17196A0F"/>
    <w:rsid w:val="171A1BFA"/>
    <w:rsid w:val="171B1048"/>
    <w:rsid w:val="171C60F0"/>
    <w:rsid w:val="171C6B6E"/>
    <w:rsid w:val="171E35E1"/>
    <w:rsid w:val="171E6442"/>
    <w:rsid w:val="171F7497"/>
    <w:rsid w:val="17215F32"/>
    <w:rsid w:val="172163E8"/>
    <w:rsid w:val="17242EA0"/>
    <w:rsid w:val="17255CB2"/>
    <w:rsid w:val="17256AD3"/>
    <w:rsid w:val="17286AE7"/>
    <w:rsid w:val="17293E0B"/>
    <w:rsid w:val="172954CC"/>
    <w:rsid w:val="172B0B5F"/>
    <w:rsid w:val="172D0D7B"/>
    <w:rsid w:val="172F4AF3"/>
    <w:rsid w:val="172F68A1"/>
    <w:rsid w:val="1731763D"/>
    <w:rsid w:val="17343EB7"/>
    <w:rsid w:val="17345B41"/>
    <w:rsid w:val="173559CF"/>
    <w:rsid w:val="17365E81"/>
    <w:rsid w:val="17396834"/>
    <w:rsid w:val="17397720"/>
    <w:rsid w:val="173B5246"/>
    <w:rsid w:val="173C0BA0"/>
    <w:rsid w:val="173F62D4"/>
    <w:rsid w:val="17410382"/>
    <w:rsid w:val="174165D4"/>
    <w:rsid w:val="17437899"/>
    <w:rsid w:val="17446CFA"/>
    <w:rsid w:val="17452C4B"/>
    <w:rsid w:val="17457E73"/>
    <w:rsid w:val="174711B4"/>
    <w:rsid w:val="17487963"/>
    <w:rsid w:val="174A7237"/>
    <w:rsid w:val="174F6F43"/>
    <w:rsid w:val="17525714"/>
    <w:rsid w:val="175400B6"/>
    <w:rsid w:val="17544559"/>
    <w:rsid w:val="17555BDC"/>
    <w:rsid w:val="17562080"/>
    <w:rsid w:val="17571954"/>
    <w:rsid w:val="1758370A"/>
    <w:rsid w:val="175956CC"/>
    <w:rsid w:val="175B6261"/>
    <w:rsid w:val="175D4FCA"/>
    <w:rsid w:val="175E2CE2"/>
    <w:rsid w:val="175E7186"/>
    <w:rsid w:val="17620F2D"/>
    <w:rsid w:val="17626428"/>
    <w:rsid w:val="176302F9"/>
    <w:rsid w:val="17644CC2"/>
    <w:rsid w:val="1767400A"/>
    <w:rsid w:val="17681DB3"/>
    <w:rsid w:val="176A1687"/>
    <w:rsid w:val="176A5B2B"/>
    <w:rsid w:val="176C2409"/>
    <w:rsid w:val="176C3078"/>
    <w:rsid w:val="176C53FF"/>
    <w:rsid w:val="176E561B"/>
    <w:rsid w:val="176F4EEF"/>
    <w:rsid w:val="17710C68"/>
    <w:rsid w:val="17711985"/>
    <w:rsid w:val="17716EB9"/>
    <w:rsid w:val="1772678E"/>
    <w:rsid w:val="17742506"/>
    <w:rsid w:val="1775564C"/>
    <w:rsid w:val="17764228"/>
    <w:rsid w:val="1776488C"/>
    <w:rsid w:val="17765522"/>
    <w:rsid w:val="1776627E"/>
    <w:rsid w:val="17773822"/>
    <w:rsid w:val="177774B5"/>
    <w:rsid w:val="17797B1C"/>
    <w:rsid w:val="177B3E6B"/>
    <w:rsid w:val="177B5642"/>
    <w:rsid w:val="177B6D2A"/>
    <w:rsid w:val="177B7D38"/>
    <w:rsid w:val="177C2B6D"/>
    <w:rsid w:val="177E5132"/>
    <w:rsid w:val="178248E5"/>
    <w:rsid w:val="178269DF"/>
    <w:rsid w:val="1783099B"/>
    <w:rsid w:val="17832749"/>
    <w:rsid w:val="17836BED"/>
    <w:rsid w:val="178466B6"/>
    <w:rsid w:val="1786209A"/>
    <w:rsid w:val="17884203"/>
    <w:rsid w:val="178A3AD7"/>
    <w:rsid w:val="178B40C7"/>
    <w:rsid w:val="178C5453"/>
    <w:rsid w:val="178D1819"/>
    <w:rsid w:val="178D35C8"/>
    <w:rsid w:val="1791130A"/>
    <w:rsid w:val="17914E66"/>
    <w:rsid w:val="17934A85"/>
    <w:rsid w:val="17940CD0"/>
    <w:rsid w:val="17966920"/>
    <w:rsid w:val="17976A1E"/>
    <w:rsid w:val="1798116C"/>
    <w:rsid w:val="17984446"/>
    <w:rsid w:val="179A03EA"/>
    <w:rsid w:val="179B5CE4"/>
    <w:rsid w:val="179E3A27"/>
    <w:rsid w:val="179E7583"/>
    <w:rsid w:val="17A0154D"/>
    <w:rsid w:val="17A2273F"/>
    <w:rsid w:val="17A252C5"/>
    <w:rsid w:val="17A35D18"/>
    <w:rsid w:val="17A871CC"/>
    <w:rsid w:val="17A9033A"/>
    <w:rsid w:val="17AA23CB"/>
    <w:rsid w:val="17AE3C6A"/>
    <w:rsid w:val="17AE6DC2"/>
    <w:rsid w:val="17AF353E"/>
    <w:rsid w:val="17AF79E2"/>
    <w:rsid w:val="17B1375A"/>
    <w:rsid w:val="17B15508"/>
    <w:rsid w:val="17B350B9"/>
    <w:rsid w:val="17B44FF8"/>
    <w:rsid w:val="17B607A2"/>
    <w:rsid w:val="17B80644"/>
    <w:rsid w:val="17BB1EE3"/>
    <w:rsid w:val="17BB7323"/>
    <w:rsid w:val="17BF5E77"/>
    <w:rsid w:val="17C0632A"/>
    <w:rsid w:val="17C23271"/>
    <w:rsid w:val="17C46792"/>
    <w:rsid w:val="17C50FB3"/>
    <w:rsid w:val="17C76AD9"/>
    <w:rsid w:val="17C83F94"/>
    <w:rsid w:val="17C84600"/>
    <w:rsid w:val="17C91DA8"/>
    <w:rsid w:val="17CA0D43"/>
    <w:rsid w:val="17CB527B"/>
    <w:rsid w:val="17D04DF5"/>
    <w:rsid w:val="17D073CD"/>
    <w:rsid w:val="17D13609"/>
    <w:rsid w:val="17D31922"/>
    <w:rsid w:val="17D336D0"/>
    <w:rsid w:val="17D631C0"/>
    <w:rsid w:val="17D74C08"/>
    <w:rsid w:val="17D86098"/>
    <w:rsid w:val="17DA4A5F"/>
    <w:rsid w:val="17DD454F"/>
    <w:rsid w:val="17DD4F85"/>
    <w:rsid w:val="17DE07C9"/>
    <w:rsid w:val="17DF02C7"/>
    <w:rsid w:val="17DF6C17"/>
    <w:rsid w:val="17E22F49"/>
    <w:rsid w:val="17E256C1"/>
    <w:rsid w:val="17E51656"/>
    <w:rsid w:val="17E52236"/>
    <w:rsid w:val="17E53404"/>
    <w:rsid w:val="17E67233"/>
    <w:rsid w:val="17E72CD8"/>
    <w:rsid w:val="17E75E45"/>
    <w:rsid w:val="17E82AA9"/>
    <w:rsid w:val="17E92EF4"/>
    <w:rsid w:val="17EA27C8"/>
    <w:rsid w:val="17EB049C"/>
    <w:rsid w:val="17EB2DCD"/>
    <w:rsid w:val="17EB450E"/>
    <w:rsid w:val="17EC19C8"/>
    <w:rsid w:val="17EC4792"/>
    <w:rsid w:val="17EC49F4"/>
    <w:rsid w:val="17EC6540"/>
    <w:rsid w:val="17F04282"/>
    <w:rsid w:val="17F13B56"/>
    <w:rsid w:val="17F51899"/>
    <w:rsid w:val="17F55AE4"/>
    <w:rsid w:val="17F65611"/>
    <w:rsid w:val="17F84EE5"/>
    <w:rsid w:val="17F96B12"/>
    <w:rsid w:val="17FA6EAF"/>
    <w:rsid w:val="17FD24FB"/>
    <w:rsid w:val="1803771B"/>
    <w:rsid w:val="18037E87"/>
    <w:rsid w:val="18047D2E"/>
    <w:rsid w:val="180513B0"/>
    <w:rsid w:val="18090EA0"/>
    <w:rsid w:val="18095344"/>
    <w:rsid w:val="180C0990"/>
    <w:rsid w:val="181066D2"/>
    <w:rsid w:val="1811090C"/>
    <w:rsid w:val="18114AE8"/>
    <w:rsid w:val="18115FA7"/>
    <w:rsid w:val="18137F71"/>
    <w:rsid w:val="1815603A"/>
    <w:rsid w:val="1816180F"/>
    <w:rsid w:val="181A30AD"/>
    <w:rsid w:val="181B1EAC"/>
    <w:rsid w:val="181E589F"/>
    <w:rsid w:val="182061EA"/>
    <w:rsid w:val="1821770C"/>
    <w:rsid w:val="18226406"/>
    <w:rsid w:val="18235153"/>
    <w:rsid w:val="18243F2C"/>
    <w:rsid w:val="18265DA0"/>
    <w:rsid w:val="182C01C6"/>
    <w:rsid w:val="182C1032"/>
    <w:rsid w:val="182C4B8E"/>
    <w:rsid w:val="182E4DAB"/>
    <w:rsid w:val="182F2B88"/>
    <w:rsid w:val="182F3C11"/>
    <w:rsid w:val="182F4621"/>
    <w:rsid w:val="182F467F"/>
    <w:rsid w:val="183103F7"/>
    <w:rsid w:val="183121A5"/>
    <w:rsid w:val="183140D2"/>
    <w:rsid w:val="18360E10"/>
    <w:rsid w:val="18363558"/>
    <w:rsid w:val="18375373"/>
    <w:rsid w:val="183B138A"/>
    <w:rsid w:val="183D6D9C"/>
    <w:rsid w:val="183E3E7C"/>
    <w:rsid w:val="183F2B14"/>
    <w:rsid w:val="18413FA7"/>
    <w:rsid w:val="184243B2"/>
    <w:rsid w:val="18427458"/>
    <w:rsid w:val="1844012A"/>
    <w:rsid w:val="18455C50"/>
    <w:rsid w:val="184719C8"/>
    <w:rsid w:val="18481718"/>
    <w:rsid w:val="18486CE3"/>
    <w:rsid w:val="18491BE4"/>
    <w:rsid w:val="18495740"/>
    <w:rsid w:val="184A3267"/>
    <w:rsid w:val="184B0063"/>
    <w:rsid w:val="184E0FA9"/>
    <w:rsid w:val="184E2D57"/>
    <w:rsid w:val="18522F76"/>
    <w:rsid w:val="185540E5"/>
    <w:rsid w:val="18574301"/>
    <w:rsid w:val="185B5474"/>
    <w:rsid w:val="185F6C25"/>
    <w:rsid w:val="18607150"/>
    <w:rsid w:val="18610CDC"/>
    <w:rsid w:val="186131B1"/>
    <w:rsid w:val="18624A54"/>
    <w:rsid w:val="18632ABB"/>
    <w:rsid w:val="186407CC"/>
    <w:rsid w:val="18644328"/>
    <w:rsid w:val="186500A0"/>
    <w:rsid w:val="18664452"/>
    <w:rsid w:val="18693423"/>
    <w:rsid w:val="186B3F52"/>
    <w:rsid w:val="186C7681"/>
    <w:rsid w:val="18711A77"/>
    <w:rsid w:val="18730662"/>
    <w:rsid w:val="1875452B"/>
    <w:rsid w:val="18754787"/>
    <w:rsid w:val="18770500"/>
    <w:rsid w:val="18772D5D"/>
    <w:rsid w:val="1877394C"/>
    <w:rsid w:val="18784278"/>
    <w:rsid w:val="18786026"/>
    <w:rsid w:val="18786807"/>
    <w:rsid w:val="18787DD4"/>
    <w:rsid w:val="187C78C4"/>
    <w:rsid w:val="187D363C"/>
    <w:rsid w:val="188126FA"/>
    <w:rsid w:val="18814EDA"/>
    <w:rsid w:val="18820C52"/>
    <w:rsid w:val="18831547"/>
    <w:rsid w:val="188501DE"/>
    <w:rsid w:val="18860743"/>
    <w:rsid w:val="188712C1"/>
    <w:rsid w:val="18876269"/>
    <w:rsid w:val="18876CC2"/>
    <w:rsid w:val="188B7B07"/>
    <w:rsid w:val="188C616C"/>
    <w:rsid w:val="188D1AD1"/>
    <w:rsid w:val="188D75FC"/>
    <w:rsid w:val="188E5849"/>
    <w:rsid w:val="189015C1"/>
    <w:rsid w:val="18910E95"/>
    <w:rsid w:val="18956BD8"/>
    <w:rsid w:val="189A41EE"/>
    <w:rsid w:val="189C223C"/>
    <w:rsid w:val="189E3CDE"/>
    <w:rsid w:val="189F35B2"/>
    <w:rsid w:val="18A64941"/>
    <w:rsid w:val="18A74F98"/>
    <w:rsid w:val="18AB01A9"/>
    <w:rsid w:val="18AC2B85"/>
    <w:rsid w:val="18AD2173"/>
    <w:rsid w:val="18AD54A5"/>
    <w:rsid w:val="18AE41E5"/>
    <w:rsid w:val="18B057C0"/>
    <w:rsid w:val="18B0756E"/>
    <w:rsid w:val="18B118AD"/>
    <w:rsid w:val="18B352B0"/>
    <w:rsid w:val="18B51028"/>
    <w:rsid w:val="18B54B84"/>
    <w:rsid w:val="18B72869"/>
    <w:rsid w:val="18B74DA0"/>
    <w:rsid w:val="18B83392"/>
    <w:rsid w:val="18B93E95"/>
    <w:rsid w:val="18BA122C"/>
    <w:rsid w:val="18BB4077"/>
    <w:rsid w:val="18BC1226"/>
    <w:rsid w:val="18BC4164"/>
    <w:rsid w:val="18BD1C8B"/>
    <w:rsid w:val="18BF1EA7"/>
    <w:rsid w:val="18C33F5F"/>
    <w:rsid w:val="18C354F3"/>
    <w:rsid w:val="18C4126B"/>
    <w:rsid w:val="18C7235E"/>
    <w:rsid w:val="18CA4FA5"/>
    <w:rsid w:val="18CB25F9"/>
    <w:rsid w:val="18CC35FF"/>
    <w:rsid w:val="18D05E62"/>
    <w:rsid w:val="18D3325C"/>
    <w:rsid w:val="18D771F0"/>
    <w:rsid w:val="18D92F68"/>
    <w:rsid w:val="18D94D16"/>
    <w:rsid w:val="18DC0363"/>
    <w:rsid w:val="18DE745D"/>
    <w:rsid w:val="18E11E1D"/>
    <w:rsid w:val="18E21560"/>
    <w:rsid w:val="18E5035B"/>
    <w:rsid w:val="18E52D16"/>
    <w:rsid w:val="18E80207"/>
    <w:rsid w:val="18EB2C9C"/>
    <w:rsid w:val="18EB67F8"/>
    <w:rsid w:val="18ED6A14"/>
    <w:rsid w:val="18EE0096"/>
    <w:rsid w:val="18EE62E8"/>
    <w:rsid w:val="18EF453A"/>
    <w:rsid w:val="18F02060"/>
    <w:rsid w:val="18F3643F"/>
    <w:rsid w:val="18F41B50"/>
    <w:rsid w:val="18F90F15"/>
    <w:rsid w:val="18FA2EDF"/>
    <w:rsid w:val="18FA7A97"/>
    <w:rsid w:val="18FB3C5F"/>
    <w:rsid w:val="18FD3F62"/>
    <w:rsid w:val="18FE477D"/>
    <w:rsid w:val="18FF308F"/>
    <w:rsid w:val="19000B10"/>
    <w:rsid w:val="1900791E"/>
    <w:rsid w:val="1901601B"/>
    <w:rsid w:val="19021497"/>
    <w:rsid w:val="19045B0B"/>
    <w:rsid w:val="19053D5D"/>
    <w:rsid w:val="19063631"/>
    <w:rsid w:val="190855FC"/>
    <w:rsid w:val="19090C0B"/>
    <w:rsid w:val="190A3122"/>
    <w:rsid w:val="190B7602"/>
    <w:rsid w:val="190E24E6"/>
    <w:rsid w:val="190E352E"/>
    <w:rsid w:val="190F0738"/>
    <w:rsid w:val="190F1EDB"/>
    <w:rsid w:val="19106B2B"/>
    <w:rsid w:val="19126377"/>
    <w:rsid w:val="19137AFC"/>
    <w:rsid w:val="191537C8"/>
    <w:rsid w:val="19157D18"/>
    <w:rsid w:val="19163285"/>
    <w:rsid w:val="1917583F"/>
    <w:rsid w:val="191775ED"/>
    <w:rsid w:val="19185113"/>
    <w:rsid w:val="19193365"/>
    <w:rsid w:val="191A70DD"/>
    <w:rsid w:val="191B54E6"/>
    <w:rsid w:val="191E6BCD"/>
    <w:rsid w:val="191F46F3"/>
    <w:rsid w:val="191F64A1"/>
    <w:rsid w:val="192166BD"/>
    <w:rsid w:val="192341E3"/>
    <w:rsid w:val="19241D0A"/>
    <w:rsid w:val="192561AE"/>
    <w:rsid w:val="19256FC2"/>
    <w:rsid w:val="19257F5C"/>
    <w:rsid w:val="19265A82"/>
    <w:rsid w:val="1927569A"/>
    <w:rsid w:val="192835A8"/>
    <w:rsid w:val="192A5572"/>
    <w:rsid w:val="192B501A"/>
    <w:rsid w:val="192C20CA"/>
    <w:rsid w:val="192D0BBE"/>
    <w:rsid w:val="19306900"/>
    <w:rsid w:val="193261D5"/>
    <w:rsid w:val="193341AA"/>
    <w:rsid w:val="19341F4D"/>
    <w:rsid w:val="19377C8F"/>
    <w:rsid w:val="193957B5"/>
    <w:rsid w:val="193B777F"/>
    <w:rsid w:val="193D5CDA"/>
    <w:rsid w:val="193E101D"/>
    <w:rsid w:val="19406B43"/>
    <w:rsid w:val="1941466A"/>
    <w:rsid w:val="1942168B"/>
    <w:rsid w:val="19434886"/>
    <w:rsid w:val="19436634"/>
    <w:rsid w:val="19466124"/>
    <w:rsid w:val="19487815"/>
    <w:rsid w:val="194A5652"/>
    <w:rsid w:val="194A79C2"/>
    <w:rsid w:val="194B7296"/>
    <w:rsid w:val="194C39B8"/>
    <w:rsid w:val="194D300E"/>
    <w:rsid w:val="194F6D87"/>
    <w:rsid w:val="19502AFF"/>
    <w:rsid w:val="19516FA3"/>
    <w:rsid w:val="19524AC9"/>
    <w:rsid w:val="195425EF"/>
    <w:rsid w:val="195645B9"/>
    <w:rsid w:val="19566367"/>
    <w:rsid w:val="195919B3"/>
    <w:rsid w:val="195A6A21"/>
    <w:rsid w:val="195C2E49"/>
    <w:rsid w:val="195F2D42"/>
    <w:rsid w:val="19653A9D"/>
    <w:rsid w:val="1965730B"/>
    <w:rsid w:val="196A1E12"/>
    <w:rsid w:val="196A3BC0"/>
    <w:rsid w:val="196B1CFB"/>
    <w:rsid w:val="196E525E"/>
    <w:rsid w:val="19706CFD"/>
    <w:rsid w:val="19710174"/>
    <w:rsid w:val="19726F19"/>
    <w:rsid w:val="19742C91"/>
    <w:rsid w:val="19744A3F"/>
    <w:rsid w:val="19755131"/>
    <w:rsid w:val="1977452F"/>
    <w:rsid w:val="19774C9B"/>
    <w:rsid w:val="19777F67"/>
    <w:rsid w:val="197B401F"/>
    <w:rsid w:val="197B7B7C"/>
    <w:rsid w:val="197F40F6"/>
    <w:rsid w:val="19801636"/>
    <w:rsid w:val="1981099C"/>
    <w:rsid w:val="1981715C"/>
    <w:rsid w:val="198574E3"/>
    <w:rsid w:val="19866520"/>
    <w:rsid w:val="1987201E"/>
    <w:rsid w:val="198729C4"/>
    <w:rsid w:val="19876A5F"/>
    <w:rsid w:val="19882298"/>
    <w:rsid w:val="198B0B19"/>
    <w:rsid w:val="198B18C3"/>
    <w:rsid w:val="198D5B01"/>
    <w:rsid w:val="198E59AB"/>
    <w:rsid w:val="198F3627"/>
    <w:rsid w:val="199030F5"/>
    <w:rsid w:val="19925906"/>
    <w:rsid w:val="1993062A"/>
    <w:rsid w:val="199377A6"/>
    <w:rsid w:val="199450E1"/>
    <w:rsid w:val="19946E8F"/>
    <w:rsid w:val="19955E1B"/>
    <w:rsid w:val="19960E59"/>
    <w:rsid w:val="19962C07"/>
    <w:rsid w:val="1997072D"/>
    <w:rsid w:val="199944A6"/>
    <w:rsid w:val="199A4A75"/>
    <w:rsid w:val="199B021E"/>
    <w:rsid w:val="199C31A2"/>
    <w:rsid w:val="199C7AF2"/>
    <w:rsid w:val="199D21E8"/>
    <w:rsid w:val="199E386A"/>
    <w:rsid w:val="19A05834"/>
    <w:rsid w:val="19A40F43"/>
    <w:rsid w:val="19A54BF8"/>
    <w:rsid w:val="19A74E14"/>
    <w:rsid w:val="19A861C3"/>
    <w:rsid w:val="19A95DD5"/>
    <w:rsid w:val="19AC41D9"/>
    <w:rsid w:val="19AC5F87"/>
    <w:rsid w:val="19AD1CFF"/>
    <w:rsid w:val="19AD7F51"/>
    <w:rsid w:val="19AF5A77"/>
    <w:rsid w:val="19B469E9"/>
    <w:rsid w:val="19B525C4"/>
    <w:rsid w:val="19B66E06"/>
    <w:rsid w:val="19B77651"/>
    <w:rsid w:val="19BC1FB5"/>
    <w:rsid w:val="19BD0194"/>
    <w:rsid w:val="19C05ED6"/>
    <w:rsid w:val="19C240A9"/>
    <w:rsid w:val="19C257AA"/>
    <w:rsid w:val="19C26CB0"/>
    <w:rsid w:val="19C31DD8"/>
    <w:rsid w:val="19C3794D"/>
    <w:rsid w:val="19C5529B"/>
    <w:rsid w:val="19C57049"/>
    <w:rsid w:val="19C749D9"/>
    <w:rsid w:val="19C91AB6"/>
    <w:rsid w:val="19CA1C19"/>
    <w:rsid w:val="19CC5C7A"/>
    <w:rsid w:val="19CD263C"/>
    <w:rsid w:val="19CF2F48"/>
    <w:rsid w:val="19CF7EC7"/>
    <w:rsid w:val="19D35C0A"/>
    <w:rsid w:val="19D379B8"/>
    <w:rsid w:val="19D43730"/>
    <w:rsid w:val="19D92AF4"/>
    <w:rsid w:val="19D95CEE"/>
    <w:rsid w:val="19DA19B7"/>
    <w:rsid w:val="19DA19D5"/>
    <w:rsid w:val="19DA1AF8"/>
    <w:rsid w:val="19DD0836"/>
    <w:rsid w:val="19DD6BFF"/>
    <w:rsid w:val="19DF4E47"/>
    <w:rsid w:val="19E078DF"/>
    <w:rsid w:val="19E16758"/>
    <w:rsid w:val="19E27BFB"/>
    <w:rsid w:val="19E35721"/>
    <w:rsid w:val="19E82D37"/>
    <w:rsid w:val="19EA2F53"/>
    <w:rsid w:val="19EC2827"/>
    <w:rsid w:val="19EE2A43"/>
    <w:rsid w:val="19EE518F"/>
    <w:rsid w:val="19EE5A46"/>
    <w:rsid w:val="19F129A1"/>
    <w:rsid w:val="19F138D9"/>
    <w:rsid w:val="19F16090"/>
    <w:rsid w:val="19F17E3E"/>
    <w:rsid w:val="19F471C8"/>
    <w:rsid w:val="19F66A07"/>
    <w:rsid w:val="19F73D5C"/>
    <w:rsid w:val="19F85670"/>
    <w:rsid w:val="19F8741E"/>
    <w:rsid w:val="19FA5790"/>
    <w:rsid w:val="19FB0CBC"/>
    <w:rsid w:val="19FD4A34"/>
    <w:rsid w:val="1A002777"/>
    <w:rsid w:val="1A045DC3"/>
    <w:rsid w:val="1A050F99"/>
    <w:rsid w:val="1A0758B3"/>
    <w:rsid w:val="1A07699E"/>
    <w:rsid w:val="1A0822E3"/>
    <w:rsid w:val="1A0A0DC7"/>
    <w:rsid w:val="1A0A0EFF"/>
    <w:rsid w:val="1A0B1E76"/>
    <w:rsid w:val="1A0B2F26"/>
    <w:rsid w:val="1A0C2EC9"/>
    <w:rsid w:val="1A0C4C78"/>
    <w:rsid w:val="1A0F1A8D"/>
    <w:rsid w:val="1A0F6516"/>
    <w:rsid w:val="1A11228E"/>
    <w:rsid w:val="1A134258"/>
    <w:rsid w:val="1A163C80"/>
    <w:rsid w:val="1A187AC0"/>
    <w:rsid w:val="1A1A4ED2"/>
    <w:rsid w:val="1A1B5EBF"/>
    <w:rsid w:val="1A1F0E4F"/>
    <w:rsid w:val="1A1F7648"/>
    <w:rsid w:val="1A206682"/>
    <w:rsid w:val="1A231FC1"/>
    <w:rsid w:val="1A255D39"/>
    <w:rsid w:val="1A271AB1"/>
    <w:rsid w:val="1A287679"/>
    <w:rsid w:val="1A2A15A2"/>
    <w:rsid w:val="1A2C70C8"/>
    <w:rsid w:val="1A2E1092"/>
    <w:rsid w:val="1A2E4BEE"/>
    <w:rsid w:val="1A2F0966"/>
    <w:rsid w:val="1A3348FA"/>
    <w:rsid w:val="1A37579C"/>
    <w:rsid w:val="1A383035"/>
    <w:rsid w:val="1A385A6D"/>
    <w:rsid w:val="1A39585E"/>
    <w:rsid w:val="1A3A4C08"/>
    <w:rsid w:val="1A3C1CB9"/>
    <w:rsid w:val="1A3D03F7"/>
    <w:rsid w:val="1A40122D"/>
    <w:rsid w:val="1A404921"/>
    <w:rsid w:val="1A420223"/>
    <w:rsid w:val="1A420699"/>
    <w:rsid w:val="1A432F8A"/>
    <w:rsid w:val="1A435E86"/>
    <w:rsid w:val="1A46462D"/>
    <w:rsid w:val="1A475BBD"/>
    <w:rsid w:val="1A475CB0"/>
    <w:rsid w:val="1A4B70A1"/>
    <w:rsid w:val="1A4C36C1"/>
    <w:rsid w:val="1A4E5290"/>
    <w:rsid w:val="1A5328A6"/>
    <w:rsid w:val="1A5403CD"/>
    <w:rsid w:val="1A5605E9"/>
    <w:rsid w:val="1A564145"/>
    <w:rsid w:val="1A58475A"/>
    <w:rsid w:val="1A5B79AD"/>
    <w:rsid w:val="1A5C6953"/>
    <w:rsid w:val="1A5D1977"/>
    <w:rsid w:val="1A5F124B"/>
    <w:rsid w:val="1A606D71"/>
    <w:rsid w:val="1A612CD6"/>
    <w:rsid w:val="1A622AE9"/>
    <w:rsid w:val="1A646862"/>
    <w:rsid w:val="1A6604D6"/>
    <w:rsid w:val="1A6751A7"/>
    <w:rsid w:val="1A693E78"/>
    <w:rsid w:val="1A6C3968"/>
    <w:rsid w:val="1A6E76E0"/>
    <w:rsid w:val="1A6F1B2A"/>
    <w:rsid w:val="1A6F30E6"/>
    <w:rsid w:val="1A6F6DB5"/>
    <w:rsid w:val="1A6F709A"/>
    <w:rsid w:val="1A7171D0"/>
    <w:rsid w:val="1A732F49"/>
    <w:rsid w:val="1A742544"/>
    <w:rsid w:val="1A766595"/>
    <w:rsid w:val="1A7A42D7"/>
    <w:rsid w:val="1A7A7E33"/>
    <w:rsid w:val="1A7D7923"/>
    <w:rsid w:val="1A7E58B5"/>
    <w:rsid w:val="1A804DDA"/>
    <w:rsid w:val="1A832C46"/>
    <w:rsid w:val="1A8367B7"/>
    <w:rsid w:val="1A846F04"/>
    <w:rsid w:val="1A864A2A"/>
    <w:rsid w:val="1A864B29"/>
    <w:rsid w:val="1A872550"/>
    <w:rsid w:val="1A89276C"/>
    <w:rsid w:val="1A8962C8"/>
    <w:rsid w:val="1A8A2C46"/>
    <w:rsid w:val="1A8B2040"/>
    <w:rsid w:val="1A8C42F1"/>
    <w:rsid w:val="1A8C7B66"/>
    <w:rsid w:val="1A903AFB"/>
    <w:rsid w:val="1A921D0D"/>
    <w:rsid w:val="1A9467C0"/>
    <w:rsid w:val="1A951111"/>
    <w:rsid w:val="1A9A17E2"/>
    <w:rsid w:val="1A9B479B"/>
    <w:rsid w:val="1A9D1D74"/>
    <w:rsid w:val="1A9D6217"/>
    <w:rsid w:val="1A9D7FC6"/>
    <w:rsid w:val="1A9E0D3C"/>
    <w:rsid w:val="1AA11864"/>
    <w:rsid w:val="1AA255DC"/>
    <w:rsid w:val="1AA2738A"/>
    <w:rsid w:val="1AA44EB0"/>
    <w:rsid w:val="1AA82AB2"/>
    <w:rsid w:val="1AA90718"/>
    <w:rsid w:val="1AAE39EB"/>
    <w:rsid w:val="1AAE3F81"/>
    <w:rsid w:val="1AAE5D2F"/>
    <w:rsid w:val="1AAF0857"/>
    <w:rsid w:val="1AB0041E"/>
    <w:rsid w:val="1AB04461"/>
    <w:rsid w:val="1AB07CF9"/>
    <w:rsid w:val="1AB23A71"/>
    <w:rsid w:val="1AB41672"/>
    <w:rsid w:val="1AB64BE3"/>
    <w:rsid w:val="1AB86BAD"/>
    <w:rsid w:val="1AB9551B"/>
    <w:rsid w:val="1ABA2D8E"/>
    <w:rsid w:val="1ABC044C"/>
    <w:rsid w:val="1ABC5EFC"/>
    <w:rsid w:val="1ABC6868"/>
    <w:rsid w:val="1ABD41C4"/>
    <w:rsid w:val="1ABD5F72"/>
    <w:rsid w:val="1ABF618E"/>
    <w:rsid w:val="1AC217DA"/>
    <w:rsid w:val="1AC27A2C"/>
    <w:rsid w:val="1AC35C7E"/>
    <w:rsid w:val="1AC36B9D"/>
    <w:rsid w:val="1AC5649B"/>
    <w:rsid w:val="1AC92B69"/>
    <w:rsid w:val="1AC94917"/>
    <w:rsid w:val="1ACC1784"/>
    <w:rsid w:val="1ACC4407"/>
    <w:rsid w:val="1ACD2659"/>
    <w:rsid w:val="1ACE017F"/>
    <w:rsid w:val="1AD10E19"/>
    <w:rsid w:val="1AD11A1D"/>
    <w:rsid w:val="1AD229DB"/>
    <w:rsid w:val="1AD22DCC"/>
    <w:rsid w:val="1AD2428E"/>
    <w:rsid w:val="1AD31C39"/>
    <w:rsid w:val="1AD339E7"/>
    <w:rsid w:val="1AD35795"/>
    <w:rsid w:val="1AD405E8"/>
    <w:rsid w:val="1AD559B1"/>
    <w:rsid w:val="1AD734D7"/>
    <w:rsid w:val="1ADC68FA"/>
    <w:rsid w:val="1ADE294C"/>
    <w:rsid w:val="1AE259D8"/>
    <w:rsid w:val="1AE30895"/>
    <w:rsid w:val="1AE31E7C"/>
    <w:rsid w:val="1AE41750"/>
    <w:rsid w:val="1AE45BF4"/>
    <w:rsid w:val="1AE550BD"/>
    <w:rsid w:val="1AE60DDE"/>
    <w:rsid w:val="1AE87493"/>
    <w:rsid w:val="1AE94FB9"/>
    <w:rsid w:val="1AE96D67"/>
    <w:rsid w:val="1AEA387D"/>
    <w:rsid w:val="1AEB0D31"/>
    <w:rsid w:val="1AED2CFB"/>
    <w:rsid w:val="1AEE4DCF"/>
    <w:rsid w:val="1AEF625F"/>
    <w:rsid w:val="1AF20311"/>
    <w:rsid w:val="1AF30BF1"/>
    <w:rsid w:val="1AF35E37"/>
    <w:rsid w:val="1AF51BB0"/>
    <w:rsid w:val="1AF8344E"/>
    <w:rsid w:val="1AF87BE6"/>
    <w:rsid w:val="1AFA5418"/>
    <w:rsid w:val="1AFB432D"/>
    <w:rsid w:val="1AFC117E"/>
    <w:rsid w:val="1AFC7145"/>
    <w:rsid w:val="1AFF01D9"/>
    <w:rsid w:val="1AFF2A2E"/>
    <w:rsid w:val="1B000A66"/>
    <w:rsid w:val="1B005984"/>
    <w:rsid w:val="1B0272AA"/>
    <w:rsid w:val="1B027E17"/>
    <w:rsid w:val="1B0403D1"/>
    <w:rsid w:val="1B0404C3"/>
    <w:rsid w:val="1B04476C"/>
    <w:rsid w:val="1B046F52"/>
    <w:rsid w:val="1B063DBD"/>
    <w:rsid w:val="1B0676DF"/>
    <w:rsid w:val="1B087B35"/>
    <w:rsid w:val="1B0B13D3"/>
    <w:rsid w:val="1B0B4F2F"/>
    <w:rsid w:val="1B0B7559"/>
    <w:rsid w:val="1B0D0CA7"/>
    <w:rsid w:val="1B0E2C71"/>
    <w:rsid w:val="1B116647"/>
    <w:rsid w:val="1B13709A"/>
    <w:rsid w:val="1B157B45"/>
    <w:rsid w:val="1B157F7A"/>
    <w:rsid w:val="1B1738D4"/>
    <w:rsid w:val="1B177D78"/>
    <w:rsid w:val="1B18188F"/>
    <w:rsid w:val="1B18385E"/>
    <w:rsid w:val="1B18764C"/>
    <w:rsid w:val="1B1A33C4"/>
    <w:rsid w:val="1B1C6D90"/>
    <w:rsid w:val="1B1D4C62"/>
    <w:rsid w:val="1B1F09DB"/>
    <w:rsid w:val="1B1F35B3"/>
    <w:rsid w:val="1B1F4E7E"/>
    <w:rsid w:val="1B217D1D"/>
    <w:rsid w:val="1B221A8F"/>
    <w:rsid w:val="1B22750D"/>
    <w:rsid w:val="1B244214"/>
    <w:rsid w:val="1B244243"/>
    <w:rsid w:val="1B252495"/>
    <w:rsid w:val="1B260EFF"/>
    <w:rsid w:val="1B26620D"/>
    <w:rsid w:val="1B285AE1"/>
    <w:rsid w:val="1B291859"/>
    <w:rsid w:val="1B2A217A"/>
    <w:rsid w:val="1B2B01A0"/>
    <w:rsid w:val="1B2B4D71"/>
    <w:rsid w:val="1B2C7AAD"/>
    <w:rsid w:val="1B2D759B"/>
    <w:rsid w:val="1B3156EF"/>
    <w:rsid w:val="1B3304CF"/>
    <w:rsid w:val="1B34092A"/>
    <w:rsid w:val="1B391A9C"/>
    <w:rsid w:val="1B3C158C"/>
    <w:rsid w:val="1B3C333B"/>
    <w:rsid w:val="1B3C4BC8"/>
    <w:rsid w:val="1B3C7454"/>
    <w:rsid w:val="1B3D1BFA"/>
    <w:rsid w:val="1B3D2D03"/>
    <w:rsid w:val="1B4048C2"/>
    <w:rsid w:val="1B414DF5"/>
    <w:rsid w:val="1B4346C9"/>
    <w:rsid w:val="1B486183"/>
    <w:rsid w:val="1B487F31"/>
    <w:rsid w:val="1B495C2D"/>
    <w:rsid w:val="1B4A1A0D"/>
    <w:rsid w:val="1B4B17D0"/>
    <w:rsid w:val="1B4B5C73"/>
    <w:rsid w:val="1B4D379A"/>
    <w:rsid w:val="1B522B5E"/>
    <w:rsid w:val="1B543F7D"/>
    <w:rsid w:val="1B55264E"/>
    <w:rsid w:val="1B561F58"/>
    <w:rsid w:val="1B574618"/>
    <w:rsid w:val="1B5763C6"/>
    <w:rsid w:val="1B5811BD"/>
    <w:rsid w:val="1B583D8E"/>
    <w:rsid w:val="1B593EEC"/>
    <w:rsid w:val="1B594122"/>
    <w:rsid w:val="1B597EED"/>
    <w:rsid w:val="1B6050F1"/>
    <w:rsid w:val="1B6075DC"/>
    <w:rsid w:val="1B6122FB"/>
    <w:rsid w:val="1B642891"/>
    <w:rsid w:val="1B670CB1"/>
    <w:rsid w:val="1B680196"/>
    <w:rsid w:val="1B682381"/>
    <w:rsid w:val="1B697EA8"/>
    <w:rsid w:val="1B6C00C4"/>
    <w:rsid w:val="1B6D0075"/>
    <w:rsid w:val="1B6F1962"/>
    <w:rsid w:val="1B6F1A73"/>
    <w:rsid w:val="1B6F64E5"/>
    <w:rsid w:val="1B721452"/>
    <w:rsid w:val="1B73584E"/>
    <w:rsid w:val="1B73730C"/>
    <w:rsid w:val="1B753C44"/>
    <w:rsid w:val="1B7558A4"/>
    <w:rsid w:val="1B77076F"/>
    <w:rsid w:val="1B7927E1"/>
    <w:rsid w:val="1B79458F"/>
    <w:rsid w:val="1B7E7A3C"/>
    <w:rsid w:val="1B80591D"/>
    <w:rsid w:val="1B811695"/>
    <w:rsid w:val="1B8319FE"/>
    <w:rsid w:val="1B852F33"/>
    <w:rsid w:val="1B86348A"/>
    <w:rsid w:val="1B882B4E"/>
    <w:rsid w:val="1B8847D2"/>
    <w:rsid w:val="1B886580"/>
    <w:rsid w:val="1B8D3B96"/>
    <w:rsid w:val="1B8F3DB2"/>
    <w:rsid w:val="1B920007"/>
    <w:rsid w:val="1B943177"/>
    <w:rsid w:val="1B956485"/>
    <w:rsid w:val="1B96282F"/>
    <w:rsid w:val="1B982D53"/>
    <w:rsid w:val="1B99078D"/>
    <w:rsid w:val="1B99253B"/>
    <w:rsid w:val="1B9926B0"/>
    <w:rsid w:val="1B9A62B3"/>
    <w:rsid w:val="1B9B4505"/>
    <w:rsid w:val="1B9C6B48"/>
    <w:rsid w:val="1B9E2247"/>
    <w:rsid w:val="1B9E3FF5"/>
    <w:rsid w:val="1B9F38C9"/>
    <w:rsid w:val="1BA07D6D"/>
    <w:rsid w:val="1BA2131C"/>
    <w:rsid w:val="1BA31707"/>
    <w:rsid w:val="1BA50047"/>
    <w:rsid w:val="1BA62AD0"/>
    <w:rsid w:val="1BA62EAA"/>
    <w:rsid w:val="1BA809D0"/>
    <w:rsid w:val="1BA921A5"/>
    <w:rsid w:val="1BAA4748"/>
    <w:rsid w:val="1BAD248A"/>
    <w:rsid w:val="1BAF4B68"/>
    <w:rsid w:val="1BAF6202"/>
    <w:rsid w:val="1BB11F7A"/>
    <w:rsid w:val="1BB36B00"/>
    <w:rsid w:val="1BB43819"/>
    <w:rsid w:val="1BB67591"/>
    <w:rsid w:val="1BB92BDD"/>
    <w:rsid w:val="1BBC26CD"/>
    <w:rsid w:val="1BBD11CD"/>
    <w:rsid w:val="1BBE1FA1"/>
    <w:rsid w:val="1BBE2E78"/>
    <w:rsid w:val="1BBE6D5D"/>
    <w:rsid w:val="1BBE70C8"/>
    <w:rsid w:val="1BC11A92"/>
    <w:rsid w:val="1BC3580A"/>
    <w:rsid w:val="1BC670A8"/>
    <w:rsid w:val="1BC752FA"/>
    <w:rsid w:val="1BC755CA"/>
    <w:rsid w:val="1BCA6B98"/>
    <w:rsid w:val="1BCC0FFC"/>
    <w:rsid w:val="1BCD0437"/>
    <w:rsid w:val="1BCD48DA"/>
    <w:rsid w:val="1BD64803"/>
    <w:rsid w:val="1BD95185"/>
    <w:rsid w:val="1BDA5771"/>
    <w:rsid w:val="1BDB3E16"/>
    <w:rsid w:val="1BDC0038"/>
    <w:rsid w:val="1BDD2D6F"/>
    <w:rsid w:val="1BE03630"/>
    <w:rsid w:val="1BE51C24"/>
    <w:rsid w:val="1BE55780"/>
    <w:rsid w:val="1BE74DC9"/>
    <w:rsid w:val="1BE834C2"/>
    <w:rsid w:val="1BEF2AA3"/>
    <w:rsid w:val="1BF0493A"/>
    <w:rsid w:val="1BF11640"/>
    <w:rsid w:val="1BF73705"/>
    <w:rsid w:val="1BF81957"/>
    <w:rsid w:val="1BFA76C4"/>
    <w:rsid w:val="1C00080C"/>
    <w:rsid w:val="1C024264"/>
    <w:rsid w:val="1C033273"/>
    <w:rsid w:val="1C066305"/>
    <w:rsid w:val="1C071B0A"/>
    <w:rsid w:val="1C074B5F"/>
    <w:rsid w:val="1C077DEC"/>
    <w:rsid w:val="1C085913"/>
    <w:rsid w:val="1C0876C1"/>
    <w:rsid w:val="1C093B64"/>
    <w:rsid w:val="1C0F0A4F"/>
    <w:rsid w:val="1C0F6CA1"/>
    <w:rsid w:val="1C111942"/>
    <w:rsid w:val="1C112A19"/>
    <w:rsid w:val="1C1147C7"/>
    <w:rsid w:val="1C146065"/>
    <w:rsid w:val="1C166281"/>
    <w:rsid w:val="1C181EC4"/>
    <w:rsid w:val="1C183DA8"/>
    <w:rsid w:val="1C185B56"/>
    <w:rsid w:val="1C1918CE"/>
    <w:rsid w:val="1C19367C"/>
    <w:rsid w:val="1C1B24AA"/>
    <w:rsid w:val="1C1B3898"/>
    <w:rsid w:val="1C1B71F6"/>
    <w:rsid w:val="1C1D0649"/>
    <w:rsid w:val="1C1E0C92"/>
    <w:rsid w:val="1C1E4571"/>
    <w:rsid w:val="1C1E5DF5"/>
    <w:rsid w:val="1C1F5AE1"/>
    <w:rsid w:val="1C213EF4"/>
    <w:rsid w:val="1C215C52"/>
    <w:rsid w:val="1C2269D4"/>
    <w:rsid w:val="1C236AE5"/>
    <w:rsid w:val="1C24274C"/>
    <w:rsid w:val="1C2638BB"/>
    <w:rsid w:val="1C275D99"/>
    <w:rsid w:val="1C28619D"/>
    <w:rsid w:val="1C2B36D4"/>
    <w:rsid w:val="1C2E5379"/>
    <w:rsid w:val="1C33298F"/>
    <w:rsid w:val="1C34700D"/>
    <w:rsid w:val="1C3B7A96"/>
    <w:rsid w:val="1C3C2CBA"/>
    <w:rsid w:val="1C3D380E"/>
    <w:rsid w:val="1C3D55BC"/>
    <w:rsid w:val="1C3E2A78"/>
    <w:rsid w:val="1C3F7586"/>
    <w:rsid w:val="1C406E5A"/>
    <w:rsid w:val="1C4416D3"/>
    <w:rsid w:val="1C450915"/>
    <w:rsid w:val="1C4526C3"/>
    <w:rsid w:val="1C471634"/>
    <w:rsid w:val="1C485D0F"/>
    <w:rsid w:val="1C486913"/>
    <w:rsid w:val="1C4960FE"/>
    <w:rsid w:val="1C4C3A51"/>
    <w:rsid w:val="1C4D157D"/>
    <w:rsid w:val="1C4E05F7"/>
    <w:rsid w:val="1C4E5A1B"/>
    <w:rsid w:val="1C4F3541"/>
    <w:rsid w:val="1C4F52EF"/>
    <w:rsid w:val="1C507C76"/>
    <w:rsid w:val="1C512E16"/>
    <w:rsid w:val="1C513FEE"/>
    <w:rsid w:val="1C536B8E"/>
    <w:rsid w:val="1C56667E"/>
    <w:rsid w:val="1C5A616E"/>
    <w:rsid w:val="1C5E47EB"/>
    <w:rsid w:val="1C5E5533"/>
    <w:rsid w:val="1C605B7F"/>
    <w:rsid w:val="1C610B48"/>
    <w:rsid w:val="1C624C5C"/>
    <w:rsid w:val="1C626DD1"/>
    <w:rsid w:val="1C6568C1"/>
    <w:rsid w:val="1C69015F"/>
    <w:rsid w:val="1C6A2129"/>
    <w:rsid w:val="1C6A5590"/>
    <w:rsid w:val="1C6B037B"/>
    <w:rsid w:val="1C6C40F3"/>
    <w:rsid w:val="1C6E39C8"/>
    <w:rsid w:val="1C6E7533"/>
    <w:rsid w:val="1C6F26A5"/>
    <w:rsid w:val="1C6F506E"/>
    <w:rsid w:val="1C706471"/>
    <w:rsid w:val="1C7134B8"/>
    <w:rsid w:val="1C735BE1"/>
    <w:rsid w:val="1C761134"/>
    <w:rsid w:val="1C766D20"/>
    <w:rsid w:val="1C777F35"/>
    <w:rsid w:val="1C782A98"/>
    <w:rsid w:val="1C7865F4"/>
    <w:rsid w:val="1C7A236C"/>
    <w:rsid w:val="1C7D00AF"/>
    <w:rsid w:val="1C7D1E5D"/>
    <w:rsid w:val="1C8029C2"/>
    <w:rsid w:val="1C8036FB"/>
    <w:rsid w:val="1C8054A9"/>
    <w:rsid w:val="1C822E55"/>
    <w:rsid w:val="1C845F35"/>
    <w:rsid w:val="1C857FF6"/>
    <w:rsid w:val="1C872AE9"/>
    <w:rsid w:val="1C8845BF"/>
    <w:rsid w:val="1C886977"/>
    <w:rsid w:val="1C8C6544"/>
    <w:rsid w:val="1C8D4CFF"/>
    <w:rsid w:val="1C913B5A"/>
    <w:rsid w:val="1C94446F"/>
    <w:rsid w:val="1C9444C1"/>
    <w:rsid w:val="1C9635A4"/>
    <w:rsid w:val="1C97240B"/>
    <w:rsid w:val="1C98639D"/>
    <w:rsid w:val="1C99656B"/>
    <w:rsid w:val="1C9A1B77"/>
    <w:rsid w:val="1C9F0025"/>
    <w:rsid w:val="1C9F1DD3"/>
    <w:rsid w:val="1CA03585"/>
    <w:rsid w:val="1CA05B4B"/>
    <w:rsid w:val="1CA218C3"/>
    <w:rsid w:val="1CA4563B"/>
    <w:rsid w:val="1CA567FA"/>
    <w:rsid w:val="1CA960E3"/>
    <w:rsid w:val="1CAA5CB0"/>
    <w:rsid w:val="1CAB69CA"/>
    <w:rsid w:val="1CAE0268"/>
    <w:rsid w:val="1CB03FE0"/>
    <w:rsid w:val="1CB17D58"/>
    <w:rsid w:val="1CBA09BB"/>
    <w:rsid w:val="1CBD6775"/>
    <w:rsid w:val="1CBE55B6"/>
    <w:rsid w:val="1CC02AA7"/>
    <w:rsid w:val="1CC23D13"/>
    <w:rsid w:val="1CC47A8B"/>
    <w:rsid w:val="1CC6515E"/>
    <w:rsid w:val="1CC655B2"/>
    <w:rsid w:val="1CC82A58"/>
    <w:rsid w:val="1CCB6BF3"/>
    <w:rsid w:val="1CCB706C"/>
    <w:rsid w:val="1CCC5C8D"/>
    <w:rsid w:val="1CCE23EB"/>
    <w:rsid w:val="1CCF234F"/>
    <w:rsid w:val="1CD11494"/>
    <w:rsid w:val="1CD11F09"/>
    <w:rsid w:val="1CD13F56"/>
    <w:rsid w:val="1CD203FA"/>
    <w:rsid w:val="1CD40220"/>
    <w:rsid w:val="1CD51FC7"/>
    <w:rsid w:val="1CD557F5"/>
    <w:rsid w:val="1CDB76AF"/>
    <w:rsid w:val="1CDD30D1"/>
    <w:rsid w:val="1CDD6D9F"/>
    <w:rsid w:val="1CDE1A78"/>
    <w:rsid w:val="1CE04199"/>
    <w:rsid w:val="1CE11DDF"/>
    <w:rsid w:val="1CE343B6"/>
    <w:rsid w:val="1CE617B0"/>
    <w:rsid w:val="1CEC13A6"/>
    <w:rsid w:val="1CEC1648"/>
    <w:rsid w:val="1CEE2D5A"/>
    <w:rsid w:val="1CEF7F37"/>
    <w:rsid w:val="1CF0262F"/>
    <w:rsid w:val="1CF245F9"/>
    <w:rsid w:val="1CF302F9"/>
    <w:rsid w:val="1CF55E97"/>
    <w:rsid w:val="1CFA16FF"/>
    <w:rsid w:val="1CFA2C37"/>
    <w:rsid w:val="1CFC5477"/>
    <w:rsid w:val="1CFC67C1"/>
    <w:rsid w:val="1CFD2F9D"/>
    <w:rsid w:val="1CFE4C47"/>
    <w:rsid w:val="1CFF0174"/>
    <w:rsid w:val="1D01179D"/>
    <w:rsid w:val="1D0165EA"/>
    <w:rsid w:val="1D0205B4"/>
    <w:rsid w:val="1D022362"/>
    <w:rsid w:val="1D036806"/>
    <w:rsid w:val="1D047E88"/>
    <w:rsid w:val="1D057D4A"/>
    <w:rsid w:val="1D061E52"/>
    <w:rsid w:val="1D083E1C"/>
    <w:rsid w:val="1D0936F0"/>
    <w:rsid w:val="1D0C64DC"/>
    <w:rsid w:val="1D0D1432"/>
    <w:rsid w:val="1D0D1497"/>
    <w:rsid w:val="1D0E6F59"/>
    <w:rsid w:val="1D0F02F5"/>
    <w:rsid w:val="1D102CD1"/>
    <w:rsid w:val="1D104A7F"/>
    <w:rsid w:val="1D1502E7"/>
    <w:rsid w:val="1D160E57"/>
    <w:rsid w:val="1D1722B1"/>
    <w:rsid w:val="1D1A3B4F"/>
    <w:rsid w:val="1D1A53AB"/>
    <w:rsid w:val="1D1B7A2F"/>
    <w:rsid w:val="1D1C3424"/>
    <w:rsid w:val="1D1D719C"/>
    <w:rsid w:val="1D207523"/>
    <w:rsid w:val="1D213238"/>
    <w:rsid w:val="1D214EDE"/>
    <w:rsid w:val="1D220702"/>
    <w:rsid w:val="1D22603D"/>
    <w:rsid w:val="1D2642A2"/>
    <w:rsid w:val="1D266050"/>
    <w:rsid w:val="1D2823CD"/>
    <w:rsid w:val="1D29342F"/>
    <w:rsid w:val="1D295B40"/>
    <w:rsid w:val="1D2B3667"/>
    <w:rsid w:val="1D2C5AC6"/>
    <w:rsid w:val="1D2D3883"/>
    <w:rsid w:val="1D2D5631"/>
    <w:rsid w:val="1D33076D"/>
    <w:rsid w:val="1D34278F"/>
    <w:rsid w:val="1D350989"/>
    <w:rsid w:val="1D354F15"/>
    <w:rsid w:val="1D367FD9"/>
    <w:rsid w:val="1D39297A"/>
    <w:rsid w:val="1D3A275C"/>
    <w:rsid w:val="1D3B1F77"/>
    <w:rsid w:val="1D3B7AD6"/>
    <w:rsid w:val="1D3E783E"/>
    <w:rsid w:val="1D411DA7"/>
    <w:rsid w:val="1D420FE3"/>
    <w:rsid w:val="1D4228CD"/>
    <w:rsid w:val="1D43356B"/>
    <w:rsid w:val="1D44297A"/>
    <w:rsid w:val="1D4604A0"/>
    <w:rsid w:val="1D464944"/>
    <w:rsid w:val="1D491D3F"/>
    <w:rsid w:val="1D495822"/>
    <w:rsid w:val="1D4A7C0F"/>
    <w:rsid w:val="1D4B3D09"/>
    <w:rsid w:val="1D4B4E96"/>
    <w:rsid w:val="1D4B5AB7"/>
    <w:rsid w:val="1D4D5CD3"/>
    <w:rsid w:val="1D4E07A6"/>
    <w:rsid w:val="1D4F103B"/>
    <w:rsid w:val="1D4F1692"/>
    <w:rsid w:val="1D505246"/>
    <w:rsid w:val="1D5372C3"/>
    <w:rsid w:val="1D5801D4"/>
    <w:rsid w:val="1D5B2612"/>
    <w:rsid w:val="1D5C338E"/>
    <w:rsid w:val="1D5C5F16"/>
    <w:rsid w:val="1D5C7CC4"/>
    <w:rsid w:val="1D5E1443"/>
    <w:rsid w:val="1D5E3A3C"/>
    <w:rsid w:val="1D5F280C"/>
    <w:rsid w:val="1D5F5A06"/>
    <w:rsid w:val="1D5F77B4"/>
    <w:rsid w:val="1D61352C"/>
    <w:rsid w:val="1D631052"/>
    <w:rsid w:val="1D632EBE"/>
    <w:rsid w:val="1D6848BB"/>
    <w:rsid w:val="1D686669"/>
    <w:rsid w:val="1D6923E1"/>
    <w:rsid w:val="1D693DA5"/>
    <w:rsid w:val="1D6A0633"/>
    <w:rsid w:val="1D6B6159"/>
    <w:rsid w:val="1D6C5D59"/>
    <w:rsid w:val="1D6D344F"/>
    <w:rsid w:val="1D6D3C7F"/>
    <w:rsid w:val="1D70376F"/>
    <w:rsid w:val="1D704D15"/>
    <w:rsid w:val="1D721295"/>
    <w:rsid w:val="1D724FC4"/>
    <w:rsid w:val="1D72568A"/>
    <w:rsid w:val="1D731DFA"/>
    <w:rsid w:val="1D7450DE"/>
    <w:rsid w:val="1D77549B"/>
    <w:rsid w:val="1D7A3E1C"/>
    <w:rsid w:val="1D7A639C"/>
    <w:rsid w:val="1D7B69ED"/>
    <w:rsid w:val="1D7D4529"/>
    <w:rsid w:val="1D7E40DE"/>
    <w:rsid w:val="1D7E7C3A"/>
    <w:rsid w:val="1D7F1C04"/>
    <w:rsid w:val="1D8013C5"/>
    <w:rsid w:val="1D81772B"/>
    <w:rsid w:val="1D840FC9"/>
    <w:rsid w:val="1D846BCE"/>
    <w:rsid w:val="1D882867"/>
    <w:rsid w:val="1D884F5D"/>
    <w:rsid w:val="1D8965DF"/>
    <w:rsid w:val="1D8A3911"/>
    <w:rsid w:val="1D8B05A9"/>
    <w:rsid w:val="1D8B08DE"/>
    <w:rsid w:val="1D8B4AD9"/>
    <w:rsid w:val="1D8D2573"/>
    <w:rsid w:val="1D8E4B81"/>
    <w:rsid w:val="1D9060FA"/>
    <w:rsid w:val="1D906CBB"/>
    <w:rsid w:val="1D9402A9"/>
    <w:rsid w:val="1D943902"/>
    <w:rsid w:val="1D9456B0"/>
    <w:rsid w:val="1D966B43"/>
    <w:rsid w:val="1D970CFC"/>
    <w:rsid w:val="1D975004"/>
    <w:rsid w:val="1D980197"/>
    <w:rsid w:val="1D986D70"/>
    <w:rsid w:val="1D990F18"/>
    <w:rsid w:val="1D996C36"/>
    <w:rsid w:val="1D9A07EC"/>
    <w:rsid w:val="1D9A259A"/>
    <w:rsid w:val="1D9D183F"/>
    <w:rsid w:val="1D9D475C"/>
    <w:rsid w:val="1DA11B7B"/>
    <w:rsid w:val="1DA15F5A"/>
    <w:rsid w:val="1DA24C73"/>
    <w:rsid w:val="1DA66606"/>
    <w:rsid w:val="1DA67191"/>
    <w:rsid w:val="1DA76336"/>
    <w:rsid w:val="1DA850DF"/>
    <w:rsid w:val="1DAA4ED3"/>
    <w:rsid w:val="1DAC581B"/>
    <w:rsid w:val="1DAD449C"/>
    <w:rsid w:val="1DAF24EA"/>
    <w:rsid w:val="1DAF6046"/>
    <w:rsid w:val="1DB12DB9"/>
    <w:rsid w:val="1DB418AE"/>
    <w:rsid w:val="1DB63878"/>
    <w:rsid w:val="1DB7139E"/>
    <w:rsid w:val="1DB7314C"/>
    <w:rsid w:val="1DB75CB1"/>
    <w:rsid w:val="1DB90AE6"/>
    <w:rsid w:val="1DB95116"/>
    <w:rsid w:val="1DB96EC4"/>
    <w:rsid w:val="1DBC294E"/>
    <w:rsid w:val="1DBD6EEA"/>
    <w:rsid w:val="1DBF0627"/>
    <w:rsid w:val="1DC00253"/>
    <w:rsid w:val="1DC51D0D"/>
    <w:rsid w:val="1DC85359"/>
    <w:rsid w:val="1DCA10D2"/>
    <w:rsid w:val="1DCA7323"/>
    <w:rsid w:val="1DCD29D8"/>
    <w:rsid w:val="1DCE3577"/>
    <w:rsid w:val="1DD04C16"/>
    <w:rsid w:val="1DD109F2"/>
    <w:rsid w:val="1DD12F11"/>
    <w:rsid w:val="1DD43CFE"/>
    <w:rsid w:val="1DD45AAC"/>
    <w:rsid w:val="1DD91315"/>
    <w:rsid w:val="1DDB508D"/>
    <w:rsid w:val="1DDC2BB3"/>
    <w:rsid w:val="1DE026A3"/>
    <w:rsid w:val="1DE2466D"/>
    <w:rsid w:val="1DE3194B"/>
    <w:rsid w:val="1DE32193"/>
    <w:rsid w:val="1DE37198"/>
    <w:rsid w:val="1DE55F0B"/>
    <w:rsid w:val="1DE657E0"/>
    <w:rsid w:val="1DE71C83"/>
    <w:rsid w:val="1DE72751"/>
    <w:rsid w:val="1DE81558"/>
    <w:rsid w:val="1DEA7E9E"/>
    <w:rsid w:val="1DED7EF2"/>
    <w:rsid w:val="1DF23010"/>
    <w:rsid w:val="1DF31533"/>
    <w:rsid w:val="1DF3687A"/>
    <w:rsid w:val="1DF742E1"/>
    <w:rsid w:val="1DF85092"/>
    <w:rsid w:val="1DF919B7"/>
    <w:rsid w:val="1DFC3255"/>
    <w:rsid w:val="1DFD14A7"/>
    <w:rsid w:val="1DFE521F"/>
    <w:rsid w:val="1DFE6FCD"/>
    <w:rsid w:val="1E005185"/>
    <w:rsid w:val="1E012619"/>
    <w:rsid w:val="1E0345E3"/>
    <w:rsid w:val="1E042925"/>
    <w:rsid w:val="1E042E8B"/>
    <w:rsid w:val="1E0740D4"/>
    <w:rsid w:val="1E081BFA"/>
    <w:rsid w:val="1E0839A8"/>
    <w:rsid w:val="1E0A5436"/>
    <w:rsid w:val="1E0A7720"/>
    <w:rsid w:val="1E0D0FBE"/>
    <w:rsid w:val="1E0F11DA"/>
    <w:rsid w:val="1E114529"/>
    <w:rsid w:val="1E1265D5"/>
    <w:rsid w:val="1E164317"/>
    <w:rsid w:val="1E18008F"/>
    <w:rsid w:val="1E193E07"/>
    <w:rsid w:val="1E195BB5"/>
    <w:rsid w:val="1E1B192D"/>
    <w:rsid w:val="1E1B2A71"/>
    <w:rsid w:val="1E23051F"/>
    <w:rsid w:val="1E2307E2"/>
    <w:rsid w:val="1E236A34"/>
    <w:rsid w:val="1E262080"/>
    <w:rsid w:val="1E265D0C"/>
    <w:rsid w:val="1E28404A"/>
    <w:rsid w:val="1E2A1B70"/>
    <w:rsid w:val="1E2A6014"/>
    <w:rsid w:val="1E2F2AC3"/>
    <w:rsid w:val="1E320A25"/>
    <w:rsid w:val="1E326C77"/>
    <w:rsid w:val="1E34366C"/>
    <w:rsid w:val="1E3824DF"/>
    <w:rsid w:val="1E3B38FB"/>
    <w:rsid w:val="1E3B5B2B"/>
    <w:rsid w:val="1E3D4BF7"/>
    <w:rsid w:val="1E3D5D47"/>
    <w:rsid w:val="1E401394"/>
    <w:rsid w:val="1E403142"/>
    <w:rsid w:val="1E421268"/>
    <w:rsid w:val="1E42335E"/>
    <w:rsid w:val="1E450758"/>
    <w:rsid w:val="1E470974"/>
    <w:rsid w:val="1E48193F"/>
    <w:rsid w:val="1E48649A"/>
    <w:rsid w:val="1E4A0464"/>
    <w:rsid w:val="1E4A14A1"/>
    <w:rsid w:val="1E4D0B27"/>
    <w:rsid w:val="1E4D6F06"/>
    <w:rsid w:val="1E4E1D03"/>
    <w:rsid w:val="1E4E1FBE"/>
    <w:rsid w:val="1E4F7829"/>
    <w:rsid w:val="1E537319"/>
    <w:rsid w:val="1E544E3F"/>
    <w:rsid w:val="1E546BED"/>
    <w:rsid w:val="1E57048B"/>
    <w:rsid w:val="1E590EC8"/>
    <w:rsid w:val="1E594203"/>
    <w:rsid w:val="1E5A68C1"/>
    <w:rsid w:val="1E5B5444"/>
    <w:rsid w:val="1E5C4616"/>
    <w:rsid w:val="1E63208C"/>
    <w:rsid w:val="1E641526"/>
    <w:rsid w:val="1E650DFA"/>
    <w:rsid w:val="1E65239D"/>
    <w:rsid w:val="1E65704C"/>
    <w:rsid w:val="1E6845D8"/>
    <w:rsid w:val="1E6A2B6F"/>
    <w:rsid w:val="1E6B0504"/>
    <w:rsid w:val="1E6B6881"/>
    <w:rsid w:val="1E6C08AE"/>
    <w:rsid w:val="1E6F1C79"/>
    <w:rsid w:val="1E763007"/>
    <w:rsid w:val="1E777DA1"/>
    <w:rsid w:val="1E796654"/>
    <w:rsid w:val="1E7B2E90"/>
    <w:rsid w:val="1E7D0ADA"/>
    <w:rsid w:val="1E7D6144"/>
    <w:rsid w:val="1E7E0144"/>
    <w:rsid w:val="1E827BFE"/>
    <w:rsid w:val="1E894AE9"/>
    <w:rsid w:val="1E8C083A"/>
    <w:rsid w:val="1E8C45D9"/>
    <w:rsid w:val="1E8E0351"/>
    <w:rsid w:val="1E8F5E77"/>
    <w:rsid w:val="1E91087F"/>
    <w:rsid w:val="1E9128D6"/>
    <w:rsid w:val="1E91399D"/>
    <w:rsid w:val="1E943511"/>
    <w:rsid w:val="1E957931"/>
    <w:rsid w:val="1E960FB4"/>
    <w:rsid w:val="1E965458"/>
    <w:rsid w:val="1E976529"/>
    <w:rsid w:val="1E9A18BA"/>
    <w:rsid w:val="1E9A627D"/>
    <w:rsid w:val="1E9B481C"/>
    <w:rsid w:val="1E9C2E47"/>
    <w:rsid w:val="1E9D0594"/>
    <w:rsid w:val="1E9D2342"/>
    <w:rsid w:val="1E9E60BA"/>
    <w:rsid w:val="1E9F255E"/>
    <w:rsid w:val="1E9F430C"/>
    <w:rsid w:val="1E9F4C3A"/>
    <w:rsid w:val="1EA00084"/>
    <w:rsid w:val="1EA01E32"/>
    <w:rsid w:val="1EA02D82"/>
    <w:rsid w:val="1EA10A1E"/>
    <w:rsid w:val="1EA15E61"/>
    <w:rsid w:val="1EA25BAA"/>
    <w:rsid w:val="1EA41923"/>
    <w:rsid w:val="1EA52725"/>
    <w:rsid w:val="1EA57449"/>
    <w:rsid w:val="1EA9681F"/>
    <w:rsid w:val="1EAB3E42"/>
    <w:rsid w:val="1EAB732E"/>
    <w:rsid w:val="1EAE454F"/>
    <w:rsid w:val="1EB15DEE"/>
    <w:rsid w:val="1EB3600A"/>
    <w:rsid w:val="1EB458DE"/>
    <w:rsid w:val="1EB4794F"/>
    <w:rsid w:val="1EB55657"/>
    <w:rsid w:val="1EB80371"/>
    <w:rsid w:val="1EB83620"/>
    <w:rsid w:val="1EB83BDA"/>
    <w:rsid w:val="1EB955D8"/>
    <w:rsid w:val="1EBB10CB"/>
    <w:rsid w:val="1EBC3110"/>
    <w:rsid w:val="1EBF54C2"/>
    <w:rsid w:val="1EC45B21"/>
    <w:rsid w:val="1EC71358"/>
    <w:rsid w:val="1EC75611"/>
    <w:rsid w:val="1EC91389"/>
    <w:rsid w:val="1EC93137"/>
    <w:rsid w:val="1ECB3486"/>
    <w:rsid w:val="1ED0096A"/>
    <w:rsid w:val="1ED015A4"/>
    <w:rsid w:val="1ED02718"/>
    <w:rsid w:val="1ED03E43"/>
    <w:rsid w:val="1ED03F3F"/>
    <w:rsid w:val="1ED3045A"/>
    <w:rsid w:val="1ED50026"/>
    <w:rsid w:val="1ED80661"/>
    <w:rsid w:val="1ED85A70"/>
    <w:rsid w:val="1EDC730E"/>
    <w:rsid w:val="1EDD4E34"/>
    <w:rsid w:val="1EDD6BE3"/>
    <w:rsid w:val="1EDE6770"/>
    <w:rsid w:val="1EE2244B"/>
    <w:rsid w:val="1EE267D0"/>
    <w:rsid w:val="1EE40026"/>
    <w:rsid w:val="1EE6018D"/>
    <w:rsid w:val="1EE610FD"/>
    <w:rsid w:val="1EE634FE"/>
    <w:rsid w:val="1EE665A3"/>
    <w:rsid w:val="1EE75CB3"/>
    <w:rsid w:val="1EEB4429"/>
    <w:rsid w:val="1EEB7551"/>
    <w:rsid w:val="1EEC32CA"/>
    <w:rsid w:val="1EEC5078"/>
    <w:rsid w:val="1EED151B"/>
    <w:rsid w:val="1EEE7042"/>
    <w:rsid w:val="1EF02DBA"/>
    <w:rsid w:val="1EF06916"/>
    <w:rsid w:val="1EF108E0"/>
    <w:rsid w:val="1EF14880"/>
    <w:rsid w:val="1EF17B60"/>
    <w:rsid w:val="1EF503D0"/>
    <w:rsid w:val="1EF53F2C"/>
    <w:rsid w:val="1EF67CA4"/>
    <w:rsid w:val="1EF8115B"/>
    <w:rsid w:val="1EFA1543"/>
    <w:rsid w:val="1EFA33BC"/>
    <w:rsid w:val="1EFF1012"/>
    <w:rsid w:val="1F024CF0"/>
    <w:rsid w:val="1F040613"/>
    <w:rsid w:val="1F0423C1"/>
    <w:rsid w:val="1F061F30"/>
    <w:rsid w:val="1F0625DD"/>
    <w:rsid w:val="1F06438B"/>
    <w:rsid w:val="1F066139"/>
    <w:rsid w:val="1F073C5F"/>
    <w:rsid w:val="1F07657B"/>
    <w:rsid w:val="1F0979D8"/>
    <w:rsid w:val="1F0A095C"/>
    <w:rsid w:val="1F0B2F00"/>
    <w:rsid w:val="1F0C2EEB"/>
    <w:rsid w:val="1F0C571A"/>
    <w:rsid w:val="1F0C74C8"/>
    <w:rsid w:val="1F0D0973"/>
    <w:rsid w:val="1F0D396C"/>
    <w:rsid w:val="1F0D7232"/>
    <w:rsid w:val="1F0E3293"/>
    <w:rsid w:val="1F0E4FEE"/>
    <w:rsid w:val="1F10520A"/>
    <w:rsid w:val="1F120F82"/>
    <w:rsid w:val="1F12234B"/>
    <w:rsid w:val="1F122D30"/>
    <w:rsid w:val="1F1353A9"/>
    <w:rsid w:val="1F1545CE"/>
    <w:rsid w:val="1F161D1D"/>
    <w:rsid w:val="1F182C27"/>
    <w:rsid w:val="1F185E6D"/>
    <w:rsid w:val="1F1C0096"/>
    <w:rsid w:val="1F1C54AC"/>
    <w:rsid w:val="1F1F71FB"/>
    <w:rsid w:val="1F204D21"/>
    <w:rsid w:val="1F2111C5"/>
    <w:rsid w:val="1F226A3D"/>
    <w:rsid w:val="1F234F3D"/>
    <w:rsid w:val="1F25008A"/>
    <w:rsid w:val="1F26058A"/>
    <w:rsid w:val="1F262338"/>
    <w:rsid w:val="1F286362"/>
    <w:rsid w:val="1F2E38E2"/>
    <w:rsid w:val="1F300115"/>
    <w:rsid w:val="1F354C71"/>
    <w:rsid w:val="1F356A1F"/>
    <w:rsid w:val="1F38206B"/>
    <w:rsid w:val="1F38233D"/>
    <w:rsid w:val="1F3A4035"/>
    <w:rsid w:val="1F3D58D3"/>
    <w:rsid w:val="1F3F789D"/>
    <w:rsid w:val="1F4044EA"/>
    <w:rsid w:val="1F42113B"/>
    <w:rsid w:val="1F444EB4"/>
    <w:rsid w:val="1F457294"/>
    <w:rsid w:val="1F486752"/>
    <w:rsid w:val="1F49071C"/>
    <w:rsid w:val="1F4A0915"/>
    <w:rsid w:val="1F4A2695"/>
    <w:rsid w:val="1F4B7FF0"/>
    <w:rsid w:val="1F4D1FBA"/>
    <w:rsid w:val="1F4E188E"/>
    <w:rsid w:val="1F5218AC"/>
    <w:rsid w:val="1F525822"/>
    <w:rsid w:val="1F5350F7"/>
    <w:rsid w:val="1F5454E1"/>
    <w:rsid w:val="1F55375D"/>
    <w:rsid w:val="1F58270D"/>
    <w:rsid w:val="1F58358F"/>
    <w:rsid w:val="1F5A6485"/>
    <w:rsid w:val="1F5B4E40"/>
    <w:rsid w:val="1F5B77C8"/>
    <w:rsid w:val="1F5C7AA7"/>
    <w:rsid w:val="1F5D0E6C"/>
    <w:rsid w:val="1F604E4C"/>
    <w:rsid w:val="1F617814"/>
    <w:rsid w:val="1F63358C"/>
    <w:rsid w:val="1F641B0F"/>
    <w:rsid w:val="1F6966C8"/>
    <w:rsid w:val="1F733DDD"/>
    <w:rsid w:val="1F7532BF"/>
    <w:rsid w:val="1F763715"/>
    <w:rsid w:val="1F772D2E"/>
    <w:rsid w:val="1F777037"/>
    <w:rsid w:val="1F783DAE"/>
    <w:rsid w:val="1F78690B"/>
    <w:rsid w:val="1F792252"/>
    <w:rsid w:val="1F7A6B27"/>
    <w:rsid w:val="1F7C1FA5"/>
    <w:rsid w:val="1F7C464D"/>
    <w:rsid w:val="1F7D0EBD"/>
    <w:rsid w:val="1F7F5407"/>
    <w:rsid w:val="1F7F5EEC"/>
    <w:rsid w:val="1F813A12"/>
    <w:rsid w:val="1F817EB6"/>
    <w:rsid w:val="1F852C37"/>
    <w:rsid w:val="1F853D3C"/>
    <w:rsid w:val="1F877288"/>
    <w:rsid w:val="1F882B80"/>
    <w:rsid w:val="1F8D23B7"/>
    <w:rsid w:val="1F8F697E"/>
    <w:rsid w:val="1F952EBB"/>
    <w:rsid w:val="1F954A2F"/>
    <w:rsid w:val="1F973235"/>
    <w:rsid w:val="1F974FE3"/>
    <w:rsid w:val="1F9C6A7C"/>
    <w:rsid w:val="1F9D7604"/>
    <w:rsid w:val="1F9E11E2"/>
    <w:rsid w:val="1F9E2816"/>
    <w:rsid w:val="1FA4193B"/>
    <w:rsid w:val="1FA450A3"/>
    <w:rsid w:val="1FA47700"/>
    <w:rsid w:val="1FA53BA4"/>
    <w:rsid w:val="1FA85442"/>
    <w:rsid w:val="1FA9120A"/>
    <w:rsid w:val="1FA92F69"/>
    <w:rsid w:val="1FAA1198"/>
    <w:rsid w:val="1FAB61FF"/>
    <w:rsid w:val="1FAD4807"/>
    <w:rsid w:val="1FB25C30"/>
    <w:rsid w:val="1FB262C1"/>
    <w:rsid w:val="1FB5190D"/>
    <w:rsid w:val="1FB77434"/>
    <w:rsid w:val="1FB77D3E"/>
    <w:rsid w:val="1FB913FE"/>
    <w:rsid w:val="1FBA0A14"/>
    <w:rsid w:val="1FBA6F24"/>
    <w:rsid w:val="1FBE20C7"/>
    <w:rsid w:val="1FBE4C66"/>
    <w:rsid w:val="1FC009DE"/>
    <w:rsid w:val="1FC14756"/>
    <w:rsid w:val="1FC43EA3"/>
    <w:rsid w:val="1FC473C9"/>
    <w:rsid w:val="1FC6685F"/>
    <w:rsid w:val="1FC87893"/>
    <w:rsid w:val="1FCA53B9"/>
    <w:rsid w:val="1FCB2EDF"/>
    <w:rsid w:val="1FCD4EA9"/>
    <w:rsid w:val="1FCD6C57"/>
    <w:rsid w:val="1FCF0C21"/>
    <w:rsid w:val="1FCF6E73"/>
    <w:rsid w:val="1FCF744C"/>
    <w:rsid w:val="1FD044AD"/>
    <w:rsid w:val="1FD224BF"/>
    <w:rsid w:val="1FD2426D"/>
    <w:rsid w:val="1FD511AD"/>
    <w:rsid w:val="1FD53D5E"/>
    <w:rsid w:val="1FD637A8"/>
    <w:rsid w:val="1FDB6D51"/>
    <w:rsid w:val="1FDC6518"/>
    <w:rsid w:val="1FDC6E9A"/>
    <w:rsid w:val="1FDE2A95"/>
    <w:rsid w:val="1FDF7040"/>
    <w:rsid w:val="1FE12520"/>
    <w:rsid w:val="1FE16BA6"/>
    <w:rsid w:val="1FE30229"/>
    <w:rsid w:val="1FE3647B"/>
    <w:rsid w:val="1FE578DD"/>
    <w:rsid w:val="1FE741BD"/>
    <w:rsid w:val="1FEA15B7"/>
    <w:rsid w:val="1FED10A7"/>
    <w:rsid w:val="1FED5C8F"/>
    <w:rsid w:val="1FED72F9"/>
    <w:rsid w:val="1FF13814"/>
    <w:rsid w:val="1FF22B62"/>
    <w:rsid w:val="1FF72257"/>
    <w:rsid w:val="1FF76F4B"/>
    <w:rsid w:val="1FFB37C4"/>
    <w:rsid w:val="1FFE1506"/>
    <w:rsid w:val="1FFE5062"/>
    <w:rsid w:val="20002079"/>
    <w:rsid w:val="20012DA5"/>
    <w:rsid w:val="20014B53"/>
    <w:rsid w:val="20020FF7"/>
    <w:rsid w:val="20051698"/>
    <w:rsid w:val="20054F23"/>
    <w:rsid w:val="20064572"/>
    <w:rsid w:val="20065D2D"/>
    <w:rsid w:val="200734A9"/>
    <w:rsid w:val="200776AD"/>
    <w:rsid w:val="200A7EAB"/>
    <w:rsid w:val="200B04B9"/>
    <w:rsid w:val="200D1749"/>
    <w:rsid w:val="200F7FE6"/>
    <w:rsid w:val="20124FB2"/>
    <w:rsid w:val="20140D2A"/>
    <w:rsid w:val="20152A8F"/>
    <w:rsid w:val="2016409F"/>
    <w:rsid w:val="20174E36"/>
    <w:rsid w:val="201900EE"/>
    <w:rsid w:val="20193933"/>
    <w:rsid w:val="201B3E66"/>
    <w:rsid w:val="201E3957"/>
    <w:rsid w:val="2020147D"/>
    <w:rsid w:val="202259DC"/>
    <w:rsid w:val="20230329"/>
    <w:rsid w:val="20234AC9"/>
    <w:rsid w:val="20250841"/>
    <w:rsid w:val="20270A5D"/>
    <w:rsid w:val="20271C74"/>
    <w:rsid w:val="202A22FB"/>
    <w:rsid w:val="202C7E22"/>
    <w:rsid w:val="202D1F6C"/>
    <w:rsid w:val="202E324C"/>
    <w:rsid w:val="202F16C0"/>
    <w:rsid w:val="202F7912"/>
    <w:rsid w:val="20315438"/>
    <w:rsid w:val="20337267"/>
    <w:rsid w:val="203411E0"/>
    <w:rsid w:val="20373B08"/>
    <w:rsid w:val="203C3DDD"/>
    <w:rsid w:val="203C5B8B"/>
    <w:rsid w:val="203D0EF8"/>
    <w:rsid w:val="203E1903"/>
    <w:rsid w:val="20403C7E"/>
    <w:rsid w:val="2043516B"/>
    <w:rsid w:val="20450EE3"/>
    <w:rsid w:val="204809D3"/>
    <w:rsid w:val="204A157C"/>
    <w:rsid w:val="204C04C4"/>
    <w:rsid w:val="204C2272"/>
    <w:rsid w:val="204D642B"/>
    <w:rsid w:val="204D7D98"/>
    <w:rsid w:val="204F3B10"/>
    <w:rsid w:val="20504F02"/>
    <w:rsid w:val="20511636"/>
    <w:rsid w:val="20513F46"/>
    <w:rsid w:val="205242F2"/>
    <w:rsid w:val="20541126"/>
    <w:rsid w:val="2054498F"/>
    <w:rsid w:val="20566C4C"/>
    <w:rsid w:val="20582C19"/>
    <w:rsid w:val="20592BE1"/>
    <w:rsid w:val="205B0707"/>
    <w:rsid w:val="205C3566"/>
    <w:rsid w:val="205C7FDB"/>
    <w:rsid w:val="205D2D80"/>
    <w:rsid w:val="205E1FA5"/>
    <w:rsid w:val="206059C8"/>
    <w:rsid w:val="20605D1D"/>
    <w:rsid w:val="20612954"/>
    <w:rsid w:val="206155F1"/>
    <w:rsid w:val="20647ED0"/>
    <w:rsid w:val="206A26F8"/>
    <w:rsid w:val="206A5F63"/>
    <w:rsid w:val="206E0C49"/>
    <w:rsid w:val="206F7D0E"/>
    <w:rsid w:val="207318E2"/>
    <w:rsid w:val="20735A50"/>
    <w:rsid w:val="2076109D"/>
    <w:rsid w:val="207848CC"/>
    <w:rsid w:val="20784E15"/>
    <w:rsid w:val="20790B8D"/>
    <w:rsid w:val="207E61A3"/>
    <w:rsid w:val="207F1255"/>
    <w:rsid w:val="2080016D"/>
    <w:rsid w:val="20801F1B"/>
    <w:rsid w:val="20812A08"/>
    <w:rsid w:val="20825C93"/>
    <w:rsid w:val="208445B0"/>
    <w:rsid w:val="208512E0"/>
    <w:rsid w:val="208539D6"/>
    <w:rsid w:val="20871927"/>
    <w:rsid w:val="20872595"/>
    <w:rsid w:val="208732AA"/>
    <w:rsid w:val="208A5E12"/>
    <w:rsid w:val="208C4E43"/>
    <w:rsid w:val="208C6B12"/>
    <w:rsid w:val="208F03B0"/>
    <w:rsid w:val="209040E2"/>
    <w:rsid w:val="20914128"/>
    <w:rsid w:val="20931C4F"/>
    <w:rsid w:val="209338C0"/>
    <w:rsid w:val="20937EA1"/>
    <w:rsid w:val="20943C19"/>
    <w:rsid w:val="209634ED"/>
    <w:rsid w:val="20963A35"/>
    <w:rsid w:val="20971013"/>
    <w:rsid w:val="20987265"/>
    <w:rsid w:val="20987566"/>
    <w:rsid w:val="20994D8B"/>
    <w:rsid w:val="209B0B03"/>
    <w:rsid w:val="209B6491"/>
    <w:rsid w:val="209C3472"/>
    <w:rsid w:val="209D0D1F"/>
    <w:rsid w:val="209D2ACD"/>
    <w:rsid w:val="209D487B"/>
    <w:rsid w:val="20A200E4"/>
    <w:rsid w:val="20A37665"/>
    <w:rsid w:val="20A57BD4"/>
    <w:rsid w:val="20A774A8"/>
    <w:rsid w:val="20A86B73"/>
    <w:rsid w:val="20A94E3B"/>
    <w:rsid w:val="20AA7CEE"/>
    <w:rsid w:val="20AC2D10"/>
    <w:rsid w:val="20AF1106"/>
    <w:rsid w:val="20B00A53"/>
    <w:rsid w:val="20B16579"/>
    <w:rsid w:val="20B35E4D"/>
    <w:rsid w:val="20B41BC5"/>
    <w:rsid w:val="20B66BA0"/>
    <w:rsid w:val="20B87907"/>
    <w:rsid w:val="20B931EF"/>
    <w:rsid w:val="20B9542D"/>
    <w:rsid w:val="20BA367F"/>
    <w:rsid w:val="20BC17B5"/>
    <w:rsid w:val="20BE2A44"/>
    <w:rsid w:val="20BF0C96"/>
    <w:rsid w:val="20C067BC"/>
    <w:rsid w:val="20C4005A"/>
    <w:rsid w:val="20C462AC"/>
    <w:rsid w:val="20C66F34"/>
    <w:rsid w:val="20CA13E8"/>
    <w:rsid w:val="20CC33B3"/>
    <w:rsid w:val="20CC5161"/>
    <w:rsid w:val="20D109C9"/>
    <w:rsid w:val="20D14525"/>
    <w:rsid w:val="20D4601F"/>
    <w:rsid w:val="20D52267"/>
    <w:rsid w:val="20D91494"/>
    <w:rsid w:val="20DB1848"/>
    <w:rsid w:val="20DB53A4"/>
    <w:rsid w:val="20DE6C42"/>
    <w:rsid w:val="20E2381C"/>
    <w:rsid w:val="20E24FCC"/>
    <w:rsid w:val="20E961FA"/>
    <w:rsid w:val="20EA3839"/>
    <w:rsid w:val="20EB1A8B"/>
    <w:rsid w:val="20EC135F"/>
    <w:rsid w:val="20ED3C7A"/>
    <w:rsid w:val="20ED7A41"/>
    <w:rsid w:val="20EE157B"/>
    <w:rsid w:val="20EE7FD1"/>
    <w:rsid w:val="20F075D0"/>
    <w:rsid w:val="20F14BC7"/>
    <w:rsid w:val="20F3093F"/>
    <w:rsid w:val="20F44A16"/>
    <w:rsid w:val="20F546B7"/>
    <w:rsid w:val="20F62B76"/>
    <w:rsid w:val="20F648ED"/>
    <w:rsid w:val="20F87D04"/>
    <w:rsid w:val="20FB77F4"/>
    <w:rsid w:val="20FC3C98"/>
    <w:rsid w:val="20FF5038"/>
    <w:rsid w:val="2100305C"/>
    <w:rsid w:val="21015DBF"/>
    <w:rsid w:val="21022930"/>
    <w:rsid w:val="21046ED6"/>
    <w:rsid w:val="210643C7"/>
    <w:rsid w:val="210654A0"/>
    <w:rsid w:val="21067388"/>
    <w:rsid w:val="21090163"/>
    <w:rsid w:val="210963B5"/>
    <w:rsid w:val="210A7A37"/>
    <w:rsid w:val="210C1A01"/>
    <w:rsid w:val="210C37AF"/>
    <w:rsid w:val="210F04D9"/>
    <w:rsid w:val="210F3D49"/>
    <w:rsid w:val="211046C9"/>
    <w:rsid w:val="21115269"/>
    <w:rsid w:val="21117017"/>
    <w:rsid w:val="211508B6"/>
    <w:rsid w:val="21154D5A"/>
    <w:rsid w:val="21164F0C"/>
    <w:rsid w:val="211A2370"/>
    <w:rsid w:val="211B1C44"/>
    <w:rsid w:val="211C7E96"/>
    <w:rsid w:val="211D3C0E"/>
    <w:rsid w:val="211D59BC"/>
    <w:rsid w:val="211E3870"/>
    <w:rsid w:val="21215775"/>
    <w:rsid w:val="212159CA"/>
    <w:rsid w:val="21221225"/>
    <w:rsid w:val="21240AF9"/>
    <w:rsid w:val="21262AC3"/>
    <w:rsid w:val="21285E0C"/>
    <w:rsid w:val="21294361"/>
    <w:rsid w:val="2129610F"/>
    <w:rsid w:val="212B632B"/>
    <w:rsid w:val="212E3725"/>
    <w:rsid w:val="212E5E1B"/>
    <w:rsid w:val="212F7E0C"/>
    <w:rsid w:val="212F7F40"/>
    <w:rsid w:val="21355D04"/>
    <w:rsid w:val="21366A7E"/>
    <w:rsid w:val="213827F6"/>
    <w:rsid w:val="213D1BBA"/>
    <w:rsid w:val="213D22F1"/>
    <w:rsid w:val="213F1DD6"/>
    <w:rsid w:val="214271D1"/>
    <w:rsid w:val="2144119B"/>
    <w:rsid w:val="21464F13"/>
    <w:rsid w:val="214712AB"/>
    <w:rsid w:val="21481ABA"/>
    <w:rsid w:val="21486EDD"/>
    <w:rsid w:val="21494A03"/>
    <w:rsid w:val="214967B1"/>
    <w:rsid w:val="214B7F29"/>
    <w:rsid w:val="214D44F3"/>
    <w:rsid w:val="214E3DC8"/>
    <w:rsid w:val="215018EE"/>
    <w:rsid w:val="21507B40"/>
    <w:rsid w:val="21515666"/>
    <w:rsid w:val="21533DD2"/>
    <w:rsid w:val="21535882"/>
    <w:rsid w:val="21564CC5"/>
    <w:rsid w:val="21565EE1"/>
    <w:rsid w:val="21570E03"/>
    <w:rsid w:val="21572C93"/>
    <w:rsid w:val="21582E98"/>
    <w:rsid w:val="215B51E7"/>
    <w:rsid w:val="215B7A1E"/>
    <w:rsid w:val="215D225D"/>
    <w:rsid w:val="215E0B10"/>
    <w:rsid w:val="215F3F86"/>
    <w:rsid w:val="21611D4D"/>
    <w:rsid w:val="21617F9F"/>
    <w:rsid w:val="21636073"/>
    <w:rsid w:val="21645399"/>
    <w:rsid w:val="216655B5"/>
    <w:rsid w:val="21674E89"/>
    <w:rsid w:val="216B497A"/>
    <w:rsid w:val="216D06F2"/>
    <w:rsid w:val="216E446A"/>
    <w:rsid w:val="217001E2"/>
    <w:rsid w:val="21703D3E"/>
    <w:rsid w:val="2171178A"/>
    <w:rsid w:val="21723F5A"/>
    <w:rsid w:val="2173382E"/>
    <w:rsid w:val="21747CD2"/>
    <w:rsid w:val="21751354"/>
    <w:rsid w:val="21771570"/>
    <w:rsid w:val="217771F7"/>
    <w:rsid w:val="21780E44"/>
    <w:rsid w:val="2178581B"/>
    <w:rsid w:val="21787ACE"/>
    <w:rsid w:val="217A2E0F"/>
    <w:rsid w:val="217A36BF"/>
    <w:rsid w:val="217C0EAC"/>
    <w:rsid w:val="217D46AD"/>
    <w:rsid w:val="217D645B"/>
    <w:rsid w:val="217D7C00"/>
    <w:rsid w:val="217F0425"/>
    <w:rsid w:val="21815F4B"/>
    <w:rsid w:val="21823A71"/>
    <w:rsid w:val="2182430A"/>
    <w:rsid w:val="2188017C"/>
    <w:rsid w:val="2188552B"/>
    <w:rsid w:val="2189415F"/>
    <w:rsid w:val="218B6AFD"/>
    <w:rsid w:val="218C669E"/>
    <w:rsid w:val="218E07D0"/>
    <w:rsid w:val="21920158"/>
    <w:rsid w:val="21933ED0"/>
    <w:rsid w:val="2197576F"/>
    <w:rsid w:val="21976CA7"/>
    <w:rsid w:val="2198506F"/>
    <w:rsid w:val="21997739"/>
    <w:rsid w:val="219F2875"/>
    <w:rsid w:val="219F63D1"/>
    <w:rsid w:val="21A12149"/>
    <w:rsid w:val="21A12A78"/>
    <w:rsid w:val="21A45760"/>
    <w:rsid w:val="21A460DD"/>
    <w:rsid w:val="21A71C97"/>
    <w:rsid w:val="21A73454"/>
    <w:rsid w:val="21AA36F4"/>
    <w:rsid w:val="21AB2898"/>
    <w:rsid w:val="21AE115B"/>
    <w:rsid w:val="21AE4866"/>
    <w:rsid w:val="21AF0D0A"/>
    <w:rsid w:val="21B005DE"/>
    <w:rsid w:val="21B170D7"/>
    <w:rsid w:val="21B225A8"/>
    <w:rsid w:val="21B31E7D"/>
    <w:rsid w:val="21B46321"/>
    <w:rsid w:val="21B52AD4"/>
    <w:rsid w:val="21B634AE"/>
    <w:rsid w:val="21BA145D"/>
    <w:rsid w:val="21BB4AA0"/>
    <w:rsid w:val="21BC51D5"/>
    <w:rsid w:val="21BE2CFB"/>
    <w:rsid w:val="21C10A3D"/>
    <w:rsid w:val="21C16BCC"/>
    <w:rsid w:val="21C30312"/>
    <w:rsid w:val="21C36564"/>
    <w:rsid w:val="21C422DC"/>
    <w:rsid w:val="21C5052E"/>
    <w:rsid w:val="21CA5B44"/>
    <w:rsid w:val="21CB71C6"/>
    <w:rsid w:val="21CF24F9"/>
    <w:rsid w:val="21CF604F"/>
    <w:rsid w:val="21D06385"/>
    <w:rsid w:val="21D0685C"/>
    <w:rsid w:val="21D249F9"/>
    <w:rsid w:val="21D73DBD"/>
    <w:rsid w:val="21D9532F"/>
    <w:rsid w:val="21DA565B"/>
    <w:rsid w:val="21DB2344"/>
    <w:rsid w:val="21DE339D"/>
    <w:rsid w:val="21E07116"/>
    <w:rsid w:val="21E15F65"/>
    <w:rsid w:val="21E25631"/>
    <w:rsid w:val="21E93AF0"/>
    <w:rsid w:val="21EA18AD"/>
    <w:rsid w:val="21EA4486"/>
    <w:rsid w:val="21EB596A"/>
    <w:rsid w:val="21ED538F"/>
    <w:rsid w:val="21EE11B9"/>
    <w:rsid w:val="21EF60F0"/>
    <w:rsid w:val="21F02EC2"/>
    <w:rsid w:val="21F27DB6"/>
    <w:rsid w:val="21F3257B"/>
    <w:rsid w:val="21F4496F"/>
    <w:rsid w:val="21F726B1"/>
    <w:rsid w:val="21F82FAD"/>
    <w:rsid w:val="21F93D33"/>
    <w:rsid w:val="21F94D14"/>
    <w:rsid w:val="22012302"/>
    <w:rsid w:val="220152DE"/>
    <w:rsid w:val="2201708C"/>
    <w:rsid w:val="22032F8D"/>
    <w:rsid w:val="2205092A"/>
    <w:rsid w:val="220555B1"/>
    <w:rsid w:val="22062316"/>
    <w:rsid w:val="220628F4"/>
    <w:rsid w:val="22066450"/>
    <w:rsid w:val="22077673"/>
    <w:rsid w:val="22093F32"/>
    <w:rsid w:val="220A4192"/>
    <w:rsid w:val="220B1CB9"/>
    <w:rsid w:val="220E6876"/>
    <w:rsid w:val="220F79FB"/>
    <w:rsid w:val="2210107D"/>
    <w:rsid w:val="22105521"/>
    <w:rsid w:val="22123047"/>
    <w:rsid w:val="22140B6D"/>
    <w:rsid w:val="22145011"/>
    <w:rsid w:val="221548E5"/>
    <w:rsid w:val="22173705"/>
    <w:rsid w:val="22192627"/>
    <w:rsid w:val="221B797F"/>
    <w:rsid w:val="221F7512"/>
    <w:rsid w:val="22207403"/>
    <w:rsid w:val="222334A6"/>
    <w:rsid w:val="22245940"/>
    <w:rsid w:val="222774BB"/>
    <w:rsid w:val="22284619"/>
    <w:rsid w:val="222A7599"/>
    <w:rsid w:val="222E3979"/>
    <w:rsid w:val="222F3BF9"/>
    <w:rsid w:val="222F5124"/>
    <w:rsid w:val="222F59A7"/>
    <w:rsid w:val="2230171F"/>
    <w:rsid w:val="223034CD"/>
    <w:rsid w:val="223130FD"/>
    <w:rsid w:val="22315F6D"/>
    <w:rsid w:val="223310D7"/>
    <w:rsid w:val="2234120F"/>
    <w:rsid w:val="22347EC0"/>
    <w:rsid w:val="22356B46"/>
    <w:rsid w:val="22356D36"/>
    <w:rsid w:val="2236124B"/>
    <w:rsid w:val="223B259E"/>
    <w:rsid w:val="223C6316"/>
    <w:rsid w:val="223C7E3E"/>
    <w:rsid w:val="22411A5B"/>
    <w:rsid w:val="22433200"/>
    <w:rsid w:val="22453F07"/>
    <w:rsid w:val="22455DF3"/>
    <w:rsid w:val="22462CF1"/>
    <w:rsid w:val="22471972"/>
    <w:rsid w:val="22474D54"/>
    <w:rsid w:val="22492CA2"/>
    <w:rsid w:val="224A263B"/>
    <w:rsid w:val="224A458F"/>
    <w:rsid w:val="224A7A63"/>
    <w:rsid w:val="224D407F"/>
    <w:rsid w:val="224D63E4"/>
    <w:rsid w:val="224F7DF7"/>
    <w:rsid w:val="22507298"/>
    <w:rsid w:val="22533FDD"/>
    <w:rsid w:val="22556581"/>
    <w:rsid w:val="22573150"/>
    <w:rsid w:val="22590C76"/>
    <w:rsid w:val="22596EC8"/>
    <w:rsid w:val="225A100D"/>
    <w:rsid w:val="225C42C2"/>
    <w:rsid w:val="22600256"/>
    <w:rsid w:val="2260049A"/>
    <w:rsid w:val="2263110B"/>
    <w:rsid w:val="22631AF5"/>
    <w:rsid w:val="226338A3"/>
    <w:rsid w:val="2267320D"/>
    <w:rsid w:val="22680EB9"/>
    <w:rsid w:val="226D1E71"/>
    <w:rsid w:val="227015B7"/>
    <w:rsid w:val="227710FC"/>
    <w:rsid w:val="227930C6"/>
    <w:rsid w:val="227F0895"/>
    <w:rsid w:val="227F1494"/>
    <w:rsid w:val="228127CE"/>
    <w:rsid w:val="22813D29"/>
    <w:rsid w:val="22853819"/>
    <w:rsid w:val="22857CBD"/>
    <w:rsid w:val="228757E3"/>
    <w:rsid w:val="228B3FD8"/>
    <w:rsid w:val="228C128A"/>
    <w:rsid w:val="228C2DF9"/>
    <w:rsid w:val="228E10F1"/>
    <w:rsid w:val="228E4DC3"/>
    <w:rsid w:val="228F4698"/>
    <w:rsid w:val="228F6446"/>
    <w:rsid w:val="22910CD5"/>
    <w:rsid w:val="229451CA"/>
    <w:rsid w:val="22946806"/>
    <w:rsid w:val="229536BA"/>
    <w:rsid w:val="22993768"/>
    <w:rsid w:val="229B128E"/>
    <w:rsid w:val="229D4A1D"/>
    <w:rsid w:val="229D6DB5"/>
    <w:rsid w:val="229E48DB"/>
    <w:rsid w:val="22A00653"/>
    <w:rsid w:val="22A068A5"/>
    <w:rsid w:val="22A15F6F"/>
    <w:rsid w:val="22A25CBE"/>
    <w:rsid w:val="22A30143"/>
    <w:rsid w:val="22A46395"/>
    <w:rsid w:val="22AA3280"/>
    <w:rsid w:val="22AB0FD8"/>
    <w:rsid w:val="22AC4A6F"/>
    <w:rsid w:val="22AC6FF8"/>
    <w:rsid w:val="22AD4B1E"/>
    <w:rsid w:val="22AE0FC2"/>
    <w:rsid w:val="22AF4D3A"/>
    <w:rsid w:val="22AF6AE8"/>
    <w:rsid w:val="22B12860"/>
    <w:rsid w:val="22B365D8"/>
    <w:rsid w:val="22B42350"/>
    <w:rsid w:val="22B7513B"/>
    <w:rsid w:val="22B96568"/>
    <w:rsid w:val="22B97087"/>
    <w:rsid w:val="22B97967"/>
    <w:rsid w:val="22BB36DF"/>
    <w:rsid w:val="22BE5497"/>
    <w:rsid w:val="22C16C88"/>
    <w:rsid w:val="22C313E4"/>
    <w:rsid w:val="22C37E78"/>
    <w:rsid w:val="22C500B9"/>
    <w:rsid w:val="22C5630B"/>
    <w:rsid w:val="22C60EC5"/>
    <w:rsid w:val="22C7782D"/>
    <w:rsid w:val="22C81958"/>
    <w:rsid w:val="22CA1600"/>
    <w:rsid w:val="22CD6F6E"/>
    <w:rsid w:val="22CE11F8"/>
    <w:rsid w:val="22CE51C0"/>
    <w:rsid w:val="22D14CB0"/>
    <w:rsid w:val="22D30A28"/>
    <w:rsid w:val="22D87DED"/>
    <w:rsid w:val="22DB5B2F"/>
    <w:rsid w:val="22DF47CF"/>
    <w:rsid w:val="22E01A46"/>
    <w:rsid w:val="22E04EF3"/>
    <w:rsid w:val="22E34B2C"/>
    <w:rsid w:val="22E542B8"/>
    <w:rsid w:val="22E744D4"/>
    <w:rsid w:val="22E907A2"/>
    <w:rsid w:val="22EA18E2"/>
    <w:rsid w:val="22EB3FC4"/>
    <w:rsid w:val="22F05754"/>
    <w:rsid w:val="22F17100"/>
    <w:rsid w:val="22F34C27"/>
    <w:rsid w:val="22F35816"/>
    <w:rsid w:val="22F453DF"/>
    <w:rsid w:val="22F56BF1"/>
    <w:rsid w:val="22F615C6"/>
    <w:rsid w:val="22F62969"/>
    <w:rsid w:val="22F72C83"/>
    <w:rsid w:val="22F8223D"/>
    <w:rsid w:val="22FB3ADB"/>
    <w:rsid w:val="22FB7F7F"/>
    <w:rsid w:val="22FC5438"/>
    <w:rsid w:val="22FD7853"/>
    <w:rsid w:val="22FF181D"/>
    <w:rsid w:val="22FF35CB"/>
    <w:rsid w:val="22FF6214"/>
    <w:rsid w:val="230078A0"/>
    <w:rsid w:val="2302130E"/>
    <w:rsid w:val="23021DF6"/>
    <w:rsid w:val="23040BE2"/>
    <w:rsid w:val="23046E34"/>
    <w:rsid w:val="2305495A"/>
    <w:rsid w:val="230706D2"/>
    <w:rsid w:val="2309192D"/>
    <w:rsid w:val="230961F8"/>
    <w:rsid w:val="230E380E"/>
    <w:rsid w:val="230F7740"/>
    <w:rsid w:val="231132FF"/>
    <w:rsid w:val="231150AD"/>
    <w:rsid w:val="23150934"/>
    <w:rsid w:val="23166B67"/>
    <w:rsid w:val="231828DF"/>
    <w:rsid w:val="2318468D"/>
    <w:rsid w:val="231B23CF"/>
    <w:rsid w:val="231D6147"/>
    <w:rsid w:val="231F5A1C"/>
    <w:rsid w:val="23201794"/>
    <w:rsid w:val="23203542"/>
    <w:rsid w:val="23231A73"/>
    <w:rsid w:val="23244DE0"/>
    <w:rsid w:val="23256DAA"/>
    <w:rsid w:val="23297026"/>
    <w:rsid w:val="232A43C0"/>
    <w:rsid w:val="232C0139"/>
    <w:rsid w:val="232D4266"/>
    <w:rsid w:val="232E2103"/>
    <w:rsid w:val="232E5C5F"/>
    <w:rsid w:val="232F19D7"/>
    <w:rsid w:val="23333A4E"/>
    <w:rsid w:val="23335CFF"/>
    <w:rsid w:val="23360FB7"/>
    <w:rsid w:val="23361FBB"/>
    <w:rsid w:val="23384D2F"/>
    <w:rsid w:val="23390BB2"/>
    <w:rsid w:val="233A0AA7"/>
    <w:rsid w:val="233C481F"/>
    <w:rsid w:val="233D40F4"/>
    <w:rsid w:val="233D5EA2"/>
    <w:rsid w:val="233D67B2"/>
    <w:rsid w:val="2341673D"/>
    <w:rsid w:val="2342170A"/>
    <w:rsid w:val="23437A88"/>
    <w:rsid w:val="23445482"/>
    <w:rsid w:val="23476D20"/>
    <w:rsid w:val="2349670A"/>
    <w:rsid w:val="234B72DC"/>
    <w:rsid w:val="234C07DB"/>
    <w:rsid w:val="234C48AF"/>
    <w:rsid w:val="234E00AF"/>
    <w:rsid w:val="234E6301"/>
    <w:rsid w:val="234E723C"/>
    <w:rsid w:val="234F5BD5"/>
    <w:rsid w:val="235002CB"/>
    <w:rsid w:val="2350129B"/>
    <w:rsid w:val="235042D2"/>
    <w:rsid w:val="23517B9F"/>
    <w:rsid w:val="23531B69"/>
    <w:rsid w:val="23533917"/>
    <w:rsid w:val="2355143D"/>
    <w:rsid w:val="235558E1"/>
    <w:rsid w:val="235A6A54"/>
    <w:rsid w:val="235D6544"/>
    <w:rsid w:val="235F050E"/>
    <w:rsid w:val="235F406A"/>
    <w:rsid w:val="23614286"/>
    <w:rsid w:val="23627FFE"/>
    <w:rsid w:val="23645B24"/>
    <w:rsid w:val="2366189C"/>
    <w:rsid w:val="23671171"/>
    <w:rsid w:val="23694EE9"/>
    <w:rsid w:val="236B0C61"/>
    <w:rsid w:val="236B5D50"/>
    <w:rsid w:val="237006B3"/>
    <w:rsid w:val="23720241"/>
    <w:rsid w:val="23751ADF"/>
    <w:rsid w:val="23764943"/>
    <w:rsid w:val="23775858"/>
    <w:rsid w:val="237832E3"/>
    <w:rsid w:val="2378337E"/>
    <w:rsid w:val="237A5348"/>
    <w:rsid w:val="237C2E6E"/>
    <w:rsid w:val="237D11EE"/>
    <w:rsid w:val="237D6BE6"/>
    <w:rsid w:val="237E1180"/>
    <w:rsid w:val="237F5946"/>
    <w:rsid w:val="2383244E"/>
    <w:rsid w:val="23843AD1"/>
    <w:rsid w:val="2386497F"/>
    <w:rsid w:val="238B4E5F"/>
    <w:rsid w:val="238C5104"/>
    <w:rsid w:val="238C63BD"/>
    <w:rsid w:val="238C6E29"/>
    <w:rsid w:val="238E111F"/>
    <w:rsid w:val="23902475"/>
    <w:rsid w:val="23910AF4"/>
    <w:rsid w:val="239170B4"/>
    <w:rsid w:val="23922691"/>
    <w:rsid w:val="23931F66"/>
    <w:rsid w:val="23945BE8"/>
    <w:rsid w:val="23955CDE"/>
    <w:rsid w:val="23957A8C"/>
    <w:rsid w:val="23961D95"/>
    <w:rsid w:val="239A1546"/>
    <w:rsid w:val="239A32F4"/>
    <w:rsid w:val="239D7B5F"/>
    <w:rsid w:val="23A203FB"/>
    <w:rsid w:val="23A21A79"/>
    <w:rsid w:val="23A44173"/>
    <w:rsid w:val="23A45829"/>
    <w:rsid w:val="23A67EEB"/>
    <w:rsid w:val="23A81EB5"/>
    <w:rsid w:val="23A91789"/>
    <w:rsid w:val="23AA0F48"/>
    <w:rsid w:val="23AB65F9"/>
    <w:rsid w:val="23AC3755"/>
    <w:rsid w:val="23AD74CB"/>
    <w:rsid w:val="23B02B18"/>
    <w:rsid w:val="23B048C6"/>
    <w:rsid w:val="23B07C48"/>
    <w:rsid w:val="23B14C77"/>
    <w:rsid w:val="23B24AE2"/>
    <w:rsid w:val="23B26890"/>
    <w:rsid w:val="23B567AE"/>
    <w:rsid w:val="23B720F8"/>
    <w:rsid w:val="23B95E70"/>
    <w:rsid w:val="23BB2F17"/>
    <w:rsid w:val="23BC14BC"/>
    <w:rsid w:val="23BF2D5B"/>
    <w:rsid w:val="23C12F77"/>
    <w:rsid w:val="23C14D25"/>
    <w:rsid w:val="23C317D5"/>
    <w:rsid w:val="23C40371"/>
    <w:rsid w:val="23C55471"/>
    <w:rsid w:val="23C6058D"/>
    <w:rsid w:val="23C71516"/>
    <w:rsid w:val="23C71C0F"/>
    <w:rsid w:val="23C8323E"/>
    <w:rsid w:val="23C87E61"/>
    <w:rsid w:val="23C93BD9"/>
    <w:rsid w:val="23CD7FD9"/>
    <w:rsid w:val="23CE2F9E"/>
    <w:rsid w:val="23D06D16"/>
    <w:rsid w:val="23D21DA7"/>
    <w:rsid w:val="23D34A58"/>
    <w:rsid w:val="23D42CAA"/>
    <w:rsid w:val="23D74548"/>
    <w:rsid w:val="23D87556"/>
    <w:rsid w:val="23DA31B3"/>
    <w:rsid w:val="23DC1B5F"/>
    <w:rsid w:val="23DC390D"/>
    <w:rsid w:val="23DC5E99"/>
    <w:rsid w:val="23DF51AB"/>
    <w:rsid w:val="23DF60E5"/>
    <w:rsid w:val="23E10F23"/>
    <w:rsid w:val="23E22F88"/>
    <w:rsid w:val="23E32EED"/>
    <w:rsid w:val="23E34C9B"/>
    <w:rsid w:val="23E46C65"/>
    <w:rsid w:val="23E75F17"/>
    <w:rsid w:val="23E80503"/>
    <w:rsid w:val="23E97DD8"/>
    <w:rsid w:val="23EB1DA2"/>
    <w:rsid w:val="23EC7362"/>
    <w:rsid w:val="23F0560A"/>
    <w:rsid w:val="23F2778B"/>
    <w:rsid w:val="23F44EB5"/>
    <w:rsid w:val="23F46EA8"/>
    <w:rsid w:val="23F528CA"/>
    <w:rsid w:val="23F5677C"/>
    <w:rsid w:val="23F63C20"/>
    <w:rsid w:val="23F70746"/>
    <w:rsid w:val="23F723A9"/>
    <w:rsid w:val="23FA061B"/>
    <w:rsid w:val="23FA1FE5"/>
    <w:rsid w:val="23FE3883"/>
    <w:rsid w:val="23FF4CA7"/>
    <w:rsid w:val="23FF584D"/>
    <w:rsid w:val="24007862"/>
    <w:rsid w:val="24013373"/>
    <w:rsid w:val="240422A6"/>
    <w:rsid w:val="24047130"/>
    <w:rsid w:val="240864B0"/>
    <w:rsid w:val="240B2444"/>
    <w:rsid w:val="240B3FA1"/>
    <w:rsid w:val="240E783E"/>
    <w:rsid w:val="241035B6"/>
    <w:rsid w:val="24107A5A"/>
    <w:rsid w:val="24120144"/>
    <w:rsid w:val="241237D2"/>
    <w:rsid w:val="24134E54"/>
    <w:rsid w:val="2414196A"/>
    <w:rsid w:val="2415065A"/>
    <w:rsid w:val="24150BCD"/>
    <w:rsid w:val="24155071"/>
    <w:rsid w:val="24156E1F"/>
    <w:rsid w:val="24165CAC"/>
    <w:rsid w:val="24172B97"/>
    <w:rsid w:val="241772D9"/>
    <w:rsid w:val="24194B61"/>
    <w:rsid w:val="2419690F"/>
    <w:rsid w:val="241F1A4B"/>
    <w:rsid w:val="2421434B"/>
    <w:rsid w:val="2423153B"/>
    <w:rsid w:val="242332EA"/>
    <w:rsid w:val="24255793"/>
    <w:rsid w:val="24267371"/>
    <w:rsid w:val="24284FD2"/>
    <w:rsid w:val="24286B52"/>
    <w:rsid w:val="242C30E1"/>
    <w:rsid w:val="242D23BA"/>
    <w:rsid w:val="242D5F16"/>
    <w:rsid w:val="242F6132"/>
    <w:rsid w:val="243160A5"/>
    <w:rsid w:val="24343749"/>
    <w:rsid w:val="243472A5"/>
    <w:rsid w:val="24373239"/>
    <w:rsid w:val="243C43AB"/>
    <w:rsid w:val="243E0123"/>
    <w:rsid w:val="243E2436"/>
    <w:rsid w:val="2443398C"/>
    <w:rsid w:val="2443573A"/>
    <w:rsid w:val="24443260"/>
    <w:rsid w:val="2446522A"/>
    <w:rsid w:val="24465AD5"/>
    <w:rsid w:val="24472BFB"/>
    <w:rsid w:val="244736A0"/>
    <w:rsid w:val="24484F00"/>
    <w:rsid w:val="244A6AC8"/>
    <w:rsid w:val="244C4644"/>
    <w:rsid w:val="244D479C"/>
    <w:rsid w:val="244E0F7E"/>
    <w:rsid w:val="244E32FE"/>
    <w:rsid w:val="244F40DF"/>
    <w:rsid w:val="24551CFA"/>
    <w:rsid w:val="245616E2"/>
    <w:rsid w:val="245711E5"/>
    <w:rsid w:val="24572F93"/>
    <w:rsid w:val="24591DEB"/>
    <w:rsid w:val="245C2C9F"/>
    <w:rsid w:val="245C6489"/>
    <w:rsid w:val="245F30EA"/>
    <w:rsid w:val="246062EC"/>
    <w:rsid w:val="2463402E"/>
    <w:rsid w:val="2464432F"/>
    <w:rsid w:val="24653902"/>
    <w:rsid w:val="24665A6C"/>
    <w:rsid w:val="24670105"/>
    <w:rsid w:val="246721A9"/>
    <w:rsid w:val="246A0F18"/>
    <w:rsid w:val="246A716A"/>
    <w:rsid w:val="246E3050"/>
    <w:rsid w:val="246F652F"/>
    <w:rsid w:val="24704055"/>
    <w:rsid w:val="247206AB"/>
    <w:rsid w:val="24724271"/>
    <w:rsid w:val="24743B45"/>
    <w:rsid w:val="24793295"/>
    <w:rsid w:val="247C60EA"/>
    <w:rsid w:val="247E5FEF"/>
    <w:rsid w:val="24812E02"/>
    <w:rsid w:val="248144B4"/>
    <w:rsid w:val="248162C7"/>
    <w:rsid w:val="24831FDA"/>
    <w:rsid w:val="24833D88"/>
    <w:rsid w:val="2483647E"/>
    <w:rsid w:val="24842874"/>
    <w:rsid w:val="24855D52"/>
    <w:rsid w:val="24864E85"/>
    <w:rsid w:val="248731F0"/>
    <w:rsid w:val="24875A24"/>
    <w:rsid w:val="24883A94"/>
    <w:rsid w:val="248875F1"/>
    <w:rsid w:val="24887F6C"/>
    <w:rsid w:val="248A15BB"/>
    <w:rsid w:val="248A5117"/>
    <w:rsid w:val="248B0E8F"/>
    <w:rsid w:val="248C5333"/>
    <w:rsid w:val="248C70E1"/>
    <w:rsid w:val="248D4C07"/>
    <w:rsid w:val="248F097F"/>
    <w:rsid w:val="248F45CE"/>
    <w:rsid w:val="248F6BD1"/>
    <w:rsid w:val="24910391"/>
    <w:rsid w:val="24912949"/>
    <w:rsid w:val="249217DB"/>
    <w:rsid w:val="249300E9"/>
    <w:rsid w:val="249565E4"/>
    <w:rsid w:val="24957F99"/>
    <w:rsid w:val="24977834"/>
    <w:rsid w:val="249813B9"/>
    <w:rsid w:val="249935AC"/>
    <w:rsid w:val="249A1470"/>
    <w:rsid w:val="249A4360"/>
    <w:rsid w:val="249B0281"/>
    <w:rsid w:val="249C309C"/>
    <w:rsid w:val="249D12EE"/>
    <w:rsid w:val="249E5066"/>
    <w:rsid w:val="24A106B2"/>
    <w:rsid w:val="24A140F3"/>
    <w:rsid w:val="24A55645"/>
    <w:rsid w:val="24A65CC9"/>
    <w:rsid w:val="24A713B1"/>
    <w:rsid w:val="24A7216D"/>
    <w:rsid w:val="24A85EE5"/>
    <w:rsid w:val="24AC1531"/>
    <w:rsid w:val="24AC7783"/>
    <w:rsid w:val="24AD37F9"/>
    <w:rsid w:val="24AE7125"/>
    <w:rsid w:val="24B02F4A"/>
    <w:rsid w:val="24B16B47"/>
    <w:rsid w:val="24B2466D"/>
    <w:rsid w:val="24B405DA"/>
    <w:rsid w:val="24B44889"/>
    <w:rsid w:val="24B623B0"/>
    <w:rsid w:val="24B65F0C"/>
    <w:rsid w:val="24B9237A"/>
    <w:rsid w:val="24B959FC"/>
    <w:rsid w:val="24BB1774"/>
    <w:rsid w:val="24BB786B"/>
    <w:rsid w:val="24BB79C6"/>
    <w:rsid w:val="24BC036B"/>
    <w:rsid w:val="24BE74B6"/>
    <w:rsid w:val="24BF20F5"/>
    <w:rsid w:val="24C148B0"/>
    <w:rsid w:val="24C77361"/>
    <w:rsid w:val="24C820E3"/>
    <w:rsid w:val="24C83F34"/>
    <w:rsid w:val="24C91F46"/>
    <w:rsid w:val="24CA19B7"/>
    <w:rsid w:val="24CD14A7"/>
    <w:rsid w:val="24CF521F"/>
    <w:rsid w:val="24D0177C"/>
    <w:rsid w:val="24D26ABE"/>
    <w:rsid w:val="24D34D10"/>
    <w:rsid w:val="24D42836"/>
    <w:rsid w:val="24D53C54"/>
    <w:rsid w:val="24D7241A"/>
    <w:rsid w:val="24D97E4C"/>
    <w:rsid w:val="24DB1E16"/>
    <w:rsid w:val="24DE1906"/>
    <w:rsid w:val="24DE5462"/>
    <w:rsid w:val="24E011DB"/>
    <w:rsid w:val="24E0742D"/>
    <w:rsid w:val="24E3171B"/>
    <w:rsid w:val="24E52C95"/>
    <w:rsid w:val="24E707BB"/>
    <w:rsid w:val="24E72569"/>
    <w:rsid w:val="24E76A0D"/>
    <w:rsid w:val="24EA320B"/>
    <w:rsid w:val="24F06AA9"/>
    <w:rsid w:val="24F17A37"/>
    <w:rsid w:val="24F44C86"/>
    <w:rsid w:val="24F7674C"/>
    <w:rsid w:val="24FD2DCA"/>
    <w:rsid w:val="24FD7FDE"/>
    <w:rsid w:val="24FE34F7"/>
    <w:rsid w:val="2500759F"/>
    <w:rsid w:val="250127CC"/>
    <w:rsid w:val="2501742F"/>
    <w:rsid w:val="25034EC9"/>
    <w:rsid w:val="25050C41"/>
    <w:rsid w:val="250550E5"/>
    <w:rsid w:val="25070E5D"/>
    <w:rsid w:val="25072C0B"/>
    <w:rsid w:val="250A4511"/>
    <w:rsid w:val="250A64A0"/>
    <w:rsid w:val="250F1AC0"/>
    <w:rsid w:val="250F7D12"/>
    <w:rsid w:val="25113A8A"/>
    <w:rsid w:val="25132F85"/>
    <w:rsid w:val="251603B0"/>
    <w:rsid w:val="25164BFC"/>
    <w:rsid w:val="251800A0"/>
    <w:rsid w:val="25186BC6"/>
    <w:rsid w:val="251946ED"/>
    <w:rsid w:val="251D242F"/>
    <w:rsid w:val="251D5F8B"/>
    <w:rsid w:val="251E03C0"/>
    <w:rsid w:val="25207829"/>
    <w:rsid w:val="252217F3"/>
    <w:rsid w:val="252235A1"/>
    <w:rsid w:val="25227BC3"/>
    <w:rsid w:val="252437BD"/>
    <w:rsid w:val="252764F1"/>
    <w:rsid w:val="25290DD3"/>
    <w:rsid w:val="252A120C"/>
    <w:rsid w:val="252E26CA"/>
    <w:rsid w:val="252F4101"/>
    <w:rsid w:val="25302162"/>
    <w:rsid w:val="25317C88"/>
    <w:rsid w:val="25323514"/>
    <w:rsid w:val="25333239"/>
    <w:rsid w:val="25333A00"/>
    <w:rsid w:val="253357AE"/>
    <w:rsid w:val="253432D4"/>
    <w:rsid w:val="25354086"/>
    <w:rsid w:val="25357D1C"/>
    <w:rsid w:val="253708AE"/>
    <w:rsid w:val="25382DC5"/>
    <w:rsid w:val="25387269"/>
    <w:rsid w:val="25387E2E"/>
    <w:rsid w:val="253908EB"/>
    <w:rsid w:val="253975A1"/>
    <w:rsid w:val="253A3226"/>
    <w:rsid w:val="253A4D27"/>
    <w:rsid w:val="253D03DB"/>
    <w:rsid w:val="253F4153"/>
    <w:rsid w:val="253F4A8F"/>
    <w:rsid w:val="25401B7B"/>
    <w:rsid w:val="254370DC"/>
    <w:rsid w:val="25453733"/>
    <w:rsid w:val="25481968"/>
    <w:rsid w:val="25496E25"/>
    <w:rsid w:val="254C6870"/>
    <w:rsid w:val="254D0578"/>
    <w:rsid w:val="254D6BD6"/>
    <w:rsid w:val="254E443B"/>
    <w:rsid w:val="254F010E"/>
    <w:rsid w:val="254F0607"/>
    <w:rsid w:val="25545725"/>
    <w:rsid w:val="2555132B"/>
    <w:rsid w:val="25554509"/>
    <w:rsid w:val="255660F7"/>
    <w:rsid w:val="255B2F57"/>
    <w:rsid w:val="255E122E"/>
    <w:rsid w:val="256040C9"/>
    <w:rsid w:val="25624513"/>
    <w:rsid w:val="256736AA"/>
    <w:rsid w:val="256E2C8A"/>
    <w:rsid w:val="256E67E6"/>
    <w:rsid w:val="257225F5"/>
    <w:rsid w:val="257302A1"/>
    <w:rsid w:val="25735A27"/>
    <w:rsid w:val="25754D98"/>
    <w:rsid w:val="257637B2"/>
    <w:rsid w:val="257638ED"/>
    <w:rsid w:val="257B0F03"/>
    <w:rsid w:val="257B14DB"/>
    <w:rsid w:val="257C2032"/>
    <w:rsid w:val="257D0C03"/>
    <w:rsid w:val="257D2ECD"/>
    <w:rsid w:val="257D4C7B"/>
    <w:rsid w:val="257F09F3"/>
    <w:rsid w:val="257F27A2"/>
    <w:rsid w:val="2581551C"/>
    <w:rsid w:val="25823737"/>
    <w:rsid w:val="258424AE"/>
    <w:rsid w:val="2584600A"/>
    <w:rsid w:val="258532A7"/>
    <w:rsid w:val="25861D82"/>
    <w:rsid w:val="25875AFA"/>
    <w:rsid w:val="258778A8"/>
    <w:rsid w:val="25882229"/>
    <w:rsid w:val="258A1100"/>
    <w:rsid w:val="258B383C"/>
    <w:rsid w:val="258B55EA"/>
    <w:rsid w:val="258E2210"/>
    <w:rsid w:val="25900E53"/>
    <w:rsid w:val="25902C01"/>
    <w:rsid w:val="259100BF"/>
    <w:rsid w:val="259204C9"/>
    <w:rsid w:val="259455FA"/>
    <w:rsid w:val="259738CB"/>
    <w:rsid w:val="25974E22"/>
    <w:rsid w:val="259C77F7"/>
    <w:rsid w:val="259C7E91"/>
    <w:rsid w:val="259D0E7A"/>
    <w:rsid w:val="259D70CC"/>
    <w:rsid w:val="259F2E44"/>
    <w:rsid w:val="25A246E2"/>
    <w:rsid w:val="25A8619C"/>
    <w:rsid w:val="25A91F14"/>
    <w:rsid w:val="25A93CC2"/>
    <w:rsid w:val="25A95A70"/>
    <w:rsid w:val="25AB17E9"/>
    <w:rsid w:val="25AC7BD0"/>
    <w:rsid w:val="25AE752B"/>
    <w:rsid w:val="25B032A3"/>
    <w:rsid w:val="25B3069D"/>
    <w:rsid w:val="25B846CA"/>
    <w:rsid w:val="25B85CB3"/>
    <w:rsid w:val="25BB0A6F"/>
    <w:rsid w:val="25BC57A4"/>
    <w:rsid w:val="25BD32CA"/>
    <w:rsid w:val="25BD7D93"/>
    <w:rsid w:val="25C1100C"/>
    <w:rsid w:val="25C1725E"/>
    <w:rsid w:val="25C40AFC"/>
    <w:rsid w:val="25C46BF1"/>
    <w:rsid w:val="25C66622"/>
    <w:rsid w:val="25C91C6F"/>
    <w:rsid w:val="25C97EC1"/>
    <w:rsid w:val="25CB3C39"/>
    <w:rsid w:val="25CC23BA"/>
    <w:rsid w:val="25CE197B"/>
    <w:rsid w:val="25D52D09"/>
    <w:rsid w:val="25D563CE"/>
    <w:rsid w:val="25D6438C"/>
    <w:rsid w:val="25D75396"/>
    <w:rsid w:val="25D87C24"/>
    <w:rsid w:val="25DA0320"/>
    <w:rsid w:val="25DC5E46"/>
    <w:rsid w:val="25DE13C8"/>
    <w:rsid w:val="25DF1958"/>
    <w:rsid w:val="25E05400"/>
    <w:rsid w:val="25E1345C"/>
    <w:rsid w:val="25E32943"/>
    <w:rsid w:val="25E340FF"/>
    <w:rsid w:val="25E41CAD"/>
    <w:rsid w:val="25E82A3D"/>
    <w:rsid w:val="25E87984"/>
    <w:rsid w:val="25E92311"/>
    <w:rsid w:val="25ED78E6"/>
    <w:rsid w:val="25EE5B79"/>
    <w:rsid w:val="25EE7927"/>
    <w:rsid w:val="25EF165C"/>
    <w:rsid w:val="25F05251"/>
    <w:rsid w:val="25F0544D"/>
    <w:rsid w:val="25F10580"/>
    <w:rsid w:val="25F27D22"/>
    <w:rsid w:val="25F32B2B"/>
    <w:rsid w:val="25F334BB"/>
    <w:rsid w:val="25F408CA"/>
    <w:rsid w:val="25F72C80"/>
    <w:rsid w:val="25F72EC9"/>
    <w:rsid w:val="25FB11CB"/>
    <w:rsid w:val="25FC3DF2"/>
    <w:rsid w:val="260158AC"/>
    <w:rsid w:val="2601765A"/>
    <w:rsid w:val="26047770"/>
    <w:rsid w:val="26073AC4"/>
    <w:rsid w:val="26086C3B"/>
    <w:rsid w:val="260B672B"/>
    <w:rsid w:val="260C7FEF"/>
    <w:rsid w:val="260E3B25"/>
    <w:rsid w:val="261255FF"/>
    <w:rsid w:val="261425FA"/>
    <w:rsid w:val="26143832"/>
    <w:rsid w:val="26143B06"/>
    <w:rsid w:val="261455E0"/>
    <w:rsid w:val="26151358"/>
    <w:rsid w:val="26190E48"/>
    <w:rsid w:val="26192BF6"/>
    <w:rsid w:val="261A696E"/>
    <w:rsid w:val="261B58D2"/>
    <w:rsid w:val="261C6242"/>
    <w:rsid w:val="261D0995"/>
    <w:rsid w:val="26213421"/>
    <w:rsid w:val="26215F4F"/>
    <w:rsid w:val="2622669F"/>
    <w:rsid w:val="26233A75"/>
    <w:rsid w:val="26241155"/>
    <w:rsid w:val="2624159B"/>
    <w:rsid w:val="262454A8"/>
    <w:rsid w:val="262475DA"/>
    <w:rsid w:val="26280641"/>
    <w:rsid w:val="2628108B"/>
    <w:rsid w:val="26284BE7"/>
    <w:rsid w:val="262A46DE"/>
    <w:rsid w:val="262A4E03"/>
    <w:rsid w:val="262E5023"/>
    <w:rsid w:val="26307F40"/>
    <w:rsid w:val="26336464"/>
    <w:rsid w:val="26342CF7"/>
    <w:rsid w:val="26345C82"/>
    <w:rsid w:val="263844AB"/>
    <w:rsid w:val="263B3357"/>
    <w:rsid w:val="263E265D"/>
    <w:rsid w:val="263E73B2"/>
    <w:rsid w:val="26437C73"/>
    <w:rsid w:val="26450138"/>
    <w:rsid w:val="264B5FE8"/>
    <w:rsid w:val="264B7813"/>
    <w:rsid w:val="264E3F33"/>
    <w:rsid w:val="264E519F"/>
    <w:rsid w:val="26526108"/>
    <w:rsid w:val="2655613E"/>
    <w:rsid w:val="26567DEE"/>
    <w:rsid w:val="26571970"/>
    <w:rsid w:val="265A6D6B"/>
    <w:rsid w:val="265C2AE3"/>
    <w:rsid w:val="265E685B"/>
    <w:rsid w:val="26606A77"/>
    <w:rsid w:val="266100F9"/>
    <w:rsid w:val="2661634B"/>
    <w:rsid w:val="26625BDE"/>
    <w:rsid w:val="26633A17"/>
    <w:rsid w:val="2665408D"/>
    <w:rsid w:val="26655897"/>
    <w:rsid w:val="26667E05"/>
    <w:rsid w:val="26681488"/>
    <w:rsid w:val="26681C01"/>
    <w:rsid w:val="266A3452"/>
    <w:rsid w:val="266A6148"/>
    <w:rsid w:val="266B0F78"/>
    <w:rsid w:val="266F2816"/>
    <w:rsid w:val="266F32F4"/>
    <w:rsid w:val="2671601B"/>
    <w:rsid w:val="26734F03"/>
    <w:rsid w:val="2674607E"/>
    <w:rsid w:val="26771E8D"/>
    <w:rsid w:val="2679465B"/>
    <w:rsid w:val="267A25B9"/>
    <w:rsid w:val="267D4CC7"/>
    <w:rsid w:val="267F55B8"/>
    <w:rsid w:val="26802C75"/>
    <w:rsid w:val="26810D4C"/>
    <w:rsid w:val="2685028B"/>
    <w:rsid w:val="2685203A"/>
    <w:rsid w:val="26867B60"/>
    <w:rsid w:val="26881B2A"/>
    <w:rsid w:val="268A7650"/>
    <w:rsid w:val="268A7EA0"/>
    <w:rsid w:val="268B161A"/>
    <w:rsid w:val="268B16FE"/>
    <w:rsid w:val="268C732C"/>
    <w:rsid w:val="268D5392"/>
    <w:rsid w:val="268E4D4B"/>
    <w:rsid w:val="268E5200"/>
    <w:rsid w:val="268E7691"/>
    <w:rsid w:val="269404CF"/>
    <w:rsid w:val="26960BDD"/>
    <w:rsid w:val="26977FBF"/>
    <w:rsid w:val="269F357E"/>
    <w:rsid w:val="269F7909"/>
    <w:rsid w:val="26A058F2"/>
    <w:rsid w:val="26A06E73"/>
    <w:rsid w:val="26A12BEB"/>
    <w:rsid w:val="26A46896"/>
    <w:rsid w:val="26A526DC"/>
    <w:rsid w:val="26A56238"/>
    <w:rsid w:val="26A60202"/>
    <w:rsid w:val="26A821CC"/>
    <w:rsid w:val="26A85D28"/>
    <w:rsid w:val="26AB52FF"/>
    <w:rsid w:val="26AB5818"/>
    <w:rsid w:val="26AD0D4E"/>
    <w:rsid w:val="26AE33EC"/>
    <w:rsid w:val="26B10B83"/>
    <w:rsid w:val="26B11081"/>
    <w:rsid w:val="26B11D6D"/>
    <w:rsid w:val="26B15BC6"/>
    <w:rsid w:val="26B172D2"/>
    <w:rsid w:val="26B56DCF"/>
    <w:rsid w:val="26B612F4"/>
    <w:rsid w:val="26B91CE3"/>
    <w:rsid w:val="26B96187"/>
    <w:rsid w:val="26BB1EFF"/>
    <w:rsid w:val="26BB3CAD"/>
    <w:rsid w:val="26BC19A6"/>
    <w:rsid w:val="26BC7A25"/>
    <w:rsid w:val="26C37006"/>
    <w:rsid w:val="26C524FD"/>
    <w:rsid w:val="26C54B2C"/>
    <w:rsid w:val="26C64867"/>
    <w:rsid w:val="26C7447F"/>
    <w:rsid w:val="26C863CA"/>
    <w:rsid w:val="26CA2142"/>
    <w:rsid w:val="26CA3EF0"/>
    <w:rsid w:val="26CC5EBA"/>
    <w:rsid w:val="26CF1507"/>
    <w:rsid w:val="26CF59AB"/>
    <w:rsid w:val="26D11723"/>
    <w:rsid w:val="26D12EAB"/>
    <w:rsid w:val="26D401EB"/>
    <w:rsid w:val="26D56143"/>
    <w:rsid w:val="26D62895"/>
    <w:rsid w:val="26D62F3C"/>
    <w:rsid w:val="26D74587"/>
    <w:rsid w:val="26D905D7"/>
    <w:rsid w:val="26DB0793"/>
    <w:rsid w:val="26DC4AC8"/>
    <w:rsid w:val="26DC4C68"/>
    <w:rsid w:val="26DC646A"/>
    <w:rsid w:val="26DD1E76"/>
    <w:rsid w:val="26DF6985"/>
    <w:rsid w:val="26DF701C"/>
    <w:rsid w:val="26DF753D"/>
    <w:rsid w:val="26E33204"/>
    <w:rsid w:val="26E3690E"/>
    <w:rsid w:val="26E36D60"/>
    <w:rsid w:val="26E52AD8"/>
    <w:rsid w:val="26E61450"/>
    <w:rsid w:val="26E72CF4"/>
    <w:rsid w:val="26E74AA2"/>
    <w:rsid w:val="26E8564F"/>
    <w:rsid w:val="26E86A6C"/>
    <w:rsid w:val="26EA4592"/>
    <w:rsid w:val="26ED7BDF"/>
    <w:rsid w:val="26EE1065"/>
    <w:rsid w:val="26EE4083"/>
    <w:rsid w:val="26EF20E1"/>
    <w:rsid w:val="26EF3957"/>
    <w:rsid w:val="26F23447"/>
    <w:rsid w:val="26F61189"/>
    <w:rsid w:val="26F94624"/>
    <w:rsid w:val="26FD03BD"/>
    <w:rsid w:val="26FE1DEC"/>
    <w:rsid w:val="26FE3B9A"/>
    <w:rsid w:val="270075A9"/>
    <w:rsid w:val="270218DC"/>
    <w:rsid w:val="27026CE4"/>
    <w:rsid w:val="27037402"/>
    <w:rsid w:val="27075144"/>
    <w:rsid w:val="27076EF2"/>
    <w:rsid w:val="270913A9"/>
    <w:rsid w:val="270C4509"/>
    <w:rsid w:val="270D36A2"/>
    <w:rsid w:val="270F224B"/>
    <w:rsid w:val="270F3FF9"/>
    <w:rsid w:val="27102ED4"/>
    <w:rsid w:val="27111B1F"/>
    <w:rsid w:val="2712138E"/>
    <w:rsid w:val="27163392"/>
    <w:rsid w:val="27165388"/>
    <w:rsid w:val="27167136"/>
    <w:rsid w:val="27181100"/>
    <w:rsid w:val="271909D4"/>
    <w:rsid w:val="27196B73"/>
    <w:rsid w:val="271B0BF0"/>
    <w:rsid w:val="271B6478"/>
    <w:rsid w:val="271F7DC1"/>
    <w:rsid w:val="27204E4F"/>
    <w:rsid w:val="27225ADA"/>
    <w:rsid w:val="27244C60"/>
    <w:rsid w:val="27257379"/>
    <w:rsid w:val="27270A10"/>
    <w:rsid w:val="272730F1"/>
    <w:rsid w:val="27280C17"/>
    <w:rsid w:val="27286E69"/>
    <w:rsid w:val="2729330D"/>
    <w:rsid w:val="272A2BE1"/>
    <w:rsid w:val="272A59B9"/>
    <w:rsid w:val="272C0707"/>
    <w:rsid w:val="272E5D11"/>
    <w:rsid w:val="272F01F7"/>
    <w:rsid w:val="272F71A1"/>
    <w:rsid w:val="273322D8"/>
    <w:rsid w:val="27361586"/>
    <w:rsid w:val="27363273"/>
    <w:rsid w:val="273677D8"/>
    <w:rsid w:val="2737397B"/>
    <w:rsid w:val="27383550"/>
    <w:rsid w:val="273852FE"/>
    <w:rsid w:val="27394565"/>
    <w:rsid w:val="273B094A"/>
    <w:rsid w:val="273D46C2"/>
    <w:rsid w:val="273E043A"/>
    <w:rsid w:val="273F6C96"/>
    <w:rsid w:val="27400656"/>
    <w:rsid w:val="27441678"/>
    <w:rsid w:val="274719E5"/>
    <w:rsid w:val="27473793"/>
    <w:rsid w:val="27491945"/>
    <w:rsid w:val="27497AFA"/>
    <w:rsid w:val="274B0524"/>
    <w:rsid w:val="274B73AD"/>
    <w:rsid w:val="274C2B57"/>
    <w:rsid w:val="274E2589"/>
    <w:rsid w:val="274E4CD4"/>
    <w:rsid w:val="274F13EF"/>
    <w:rsid w:val="274F43F6"/>
    <w:rsid w:val="27500A84"/>
    <w:rsid w:val="27513C7C"/>
    <w:rsid w:val="27514612"/>
    <w:rsid w:val="275315CB"/>
    <w:rsid w:val="27554102"/>
    <w:rsid w:val="27563219"/>
    <w:rsid w:val="27570C9B"/>
    <w:rsid w:val="275C1608"/>
    <w:rsid w:val="275D6B12"/>
    <w:rsid w:val="275F6280"/>
    <w:rsid w:val="276205CD"/>
    <w:rsid w:val="276417AC"/>
    <w:rsid w:val="27651ED9"/>
    <w:rsid w:val="276667D6"/>
    <w:rsid w:val="27673E35"/>
    <w:rsid w:val="27677991"/>
    <w:rsid w:val="276962EF"/>
    <w:rsid w:val="27697043"/>
    <w:rsid w:val="276B63B5"/>
    <w:rsid w:val="276C144B"/>
    <w:rsid w:val="27702DB1"/>
    <w:rsid w:val="277255B9"/>
    <w:rsid w:val="27750300"/>
    <w:rsid w:val="27753077"/>
    <w:rsid w:val="27787DF0"/>
    <w:rsid w:val="277976C4"/>
    <w:rsid w:val="277B168E"/>
    <w:rsid w:val="277B57A8"/>
    <w:rsid w:val="277D5407"/>
    <w:rsid w:val="277D71B5"/>
    <w:rsid w:val="277F117F"/>
    <w:rsid w:val="277F2F2D"/>
    <w:rsid w:val="27822A1D"/>
    <w:rsid w:val="27826579"/>
    <w:rsid w:val="27826EE1"/>
    <w:rsid w:val="27840368"/>
    <w:rsid w:val="27846795"/>
    <w:rsid w:val="278542BB"/>
    <w:rsid w:val="27871DE1"/>
    <w:rsid w:val="278A18D2"/>
    <w:rsid w:val="278D59DF"/>
    <w:rsid w:val="2790513A"/>
    <w:rsid w:val="27906EE8"/>
    <w:rsid w:val="27930786"/>
    <w:rsid w:val="279369D8"/>
    <w:rsid w:val="27946600"/>
    <w:rsid w:val="27960F20"/>
    <w:rsid w:val="27962024"/>
    <w:rsid w:val="279B21C1"/>
    <w:rsid w:val="279C5CB3"/>
    <w:rsid w:val="279F43A3"/>
    <w:rsid w:val="27A159AD"/>
    <w:rsid w:val="27A209C9"/>
    <w:rsid w:val="27A3342C"/>
    <w:rsid w:val="27A6495D"/>
    <w:rsid w:val="27A879A3"/>
    <w:rsid w:val="27A97FAA"/>
    <w:rsid w:val="27AC7A9A"/>
    <w:rsid w:val="27AD4656"/>
    <w:rsid w:val="27AD5D2F"/>
    <w:rsid w:val="27B00B5A"/>
    <w:rsid w:val="27B16FB8"/>
    <w:rsid w:val="27B25A9C"/>
    <w:rsid w:val="27B5218F"/>
    <w:rsid w:val="27B8643F"/>
    <w:rsid w:val="27BA0381"/>
    <w:rsid w:val="27BA5D13"/>
    <w:rsid w:val="27BB1A8B"/>
    <w:rsid w:val="27BF15BC"/>
    <w:rsid w:val="27C15667"/>
    <w:rsid w:val="27C22E19"/>
    <w:rsid w:val="27C3451E"/>
    <w:rsid w:val="27C46B92"/>
    <w:rsid w:val="27C6290A"/>
    <w:rsid w:val="27C70430"/>
    <w:rsid w:val="27C748D4"/>
    <w:rsid w:val="27CA3BF8"/>
    <w:rsid w:val="27CC1959"/>
    <w:rsid w:val="27CF05B7"/>
    <w:rsid w:val="27D019DA"/>
    <w:rsid w:val="27D02541"/>
    <w:rsid w:val="27D50D9F"/>
    <w:rsid w:val="27D668C5"/>
    <w:rsid w:val="27D67D82"/>
    <w:rsid w:val="27DC212D"/>
    <w:rsid w:val="27DC26D1"/>
    <w:rsid w:val="27DC75CB"/>
    <w:rsid w:val="27DD5EA5"/>
    <w:rsid w:val="27E07C83"/>
    <w:rsid w:val="27E119BA"/>
    <w:rsid w:val="27E17743"/>
    <w:rsid w:val="27E4314E"/>
    <w:rsid w:val="27E607D0"/>
    <w:rsid w:val="27E86D24"/>
    <w:rsid w:val="27EB2370"/>
    <w:rsid w:val="27EB2DBC"/>
    <w:rsid w:val="27EC60E8"/>
    <w:rsid w:val="27F03E2A"/>
    <w:rsid w:val="27F31225"/>
    <w:rsid w:val="27F37477"/>
    <w:rsid w:val="27F6056C"/>
    <w:rsid w:val="27F702BD"/>
    <w:rsid w:val="27F82CDF"/>
    <w:rsid w:val="27F84A8D"/>
    <w:rsid w:val="27F8683B"/>
    <w:rsid w:val="27FA43AE"/>
    <w:rsid w:val="27FA57AE"/>
    <w:rsid w:val="27FA6A57"/>
    <w:rsid w:val="27FC27CF"/>
    <w:rsid w:val="27FC2C9F"/>
    <w:rsid w:val="27FC632B"/>
    <w:rsid w:val="27FC71D4"/>
    <w:rsid w:val="27FE1AF7"/>
    <w:rsid w:val="27FE6547"/>
    <w:rsid w:val="28013F40"/>
    <w:rsid w:val="28021A59"/>
    <w:rsid w:val="280276BA"/>
    <w:rsid w:val="2804422C"/>
    <w:rsid w:val="280542B6"/>
    <w:rsid w:val="28072F22"/>
    <w:rsid w:val="280755BB"/>
    <w:rsid w:val="28090A48"/>
    <w:rsid w:val="280C34E3"/>
    <w:rsid w:val="28100029"/>
    <w:rsid w:val="281318C7"/>
    <w:rsid w:val="28131A34"/>
    <w:rsid w:val="28163846"/>
    <w:rsid w:val="28177609"/>
    <w:rsid w:val="28186EDD"/>
    <w:rsid w:val="281A0EA7"/>
    <w:rsid w:val="281A4A03"/>
    <w:rsid w:val="281C07C0"/>
    <w:rsid w:val="281C51ED"/>
    <w:rsid w:val="281C69CE"/>
    <w:rsid w:val="281E2746"/>
    <w:rsid w:val="2821352A"/>
    <w:rsid w:val="28215D92"/>
    <w:rsid w:val="28235FAE"/>
    <w:rsid w:val="28241751"/>
    <w:rsid w:val="2829733C"/>
    <w:rsid w:val="282B4E63"/>
    <w:rsid w:val="282C27E3"/>
    <w:rsid w:val="282C7100"/>
    <w:rsid w:val="283042CA"/>
    <w:rsid w:val="28321D4D"/>
    <w:rsid w:val="28336AEC"/>
    <w:rsid w:val="28340A9C"/>
    <w:rsid w:val="28352082"/>
    <w:rsid w:val="28363D32"/>
    <w:rsid w:val="283A6E54"/>
    <w:rsid w:val="283B40D1"/>
    <w:rsid w:val="283D15C2"/>
    <w:rsid w:val="283F090E"/>
    <w:rsid w:val="283F446A"/>
    <w:rsid w:val="283F484C"/>
    <w:rsid w:val="28414686"/>
    <w:rsid w:val="28445F24"/>
    <w:rsid w:val="284611E4"/>
    <w:rsid w:val="28485A15"/>
    <w:rsid w:val="284952E9"/>
    <w:rsid w:val="28497097"/>
    <w:rsid w:val="284A2EB1"/>
    <w:rsid w:val="284C5947"/>
    <w:rsid w:val="284C64E6"/>
    <w:rsid w:val="284D4DD9"/>
    <w:rsid w:val="284E28FF"/>
    <w:rsid w:val="284E4E9A"/>
    <w:rsid w:val="28506677"/>
    <w:rsid w:val="28537F15"/>
    <w:rsid w:val="28541DF5"/>
    <w:rsid w:val="28546167"/>
    <w:rsid w:val="28550131"/>
    <w:rsid w:val="285900F7"/>
    <w:rsid w:val="28597768"/>
    <w:rsid w:val="285A74F6"/>
    <w:rsid w:val="285C326E"/>
    <w:rsid w:val="285C6DCA"/>
    <w:rsid w:val="285E6FE6"/>
    <w:rsid w:val="28621772"/>
    <w:rsid w:val="286607CE"/>
    <w:rsid w:val="28681C13"/>
    <w:rsid w:val="286C0B15"/>
    <w:rsid w:val="286C735E"/>
    <w:rsid w:val="286F2FA1"/>
    <w:rsid w:val="286F581C"/>
    <w:rsid w:val="2870640F"/>
    <w:rsid w:val="28706D19"/>
    <w:rsid w:val="287140D4"/>
    <w:rsid w:val="287513C2"/>
    <w:rsid w:val="287700A8"/>
    <w:rsid w:val="287A6993"/>
    <w:rsid w:val="287B1BB2"/>
    <w:rsid w:val="287C121A"/>
    <w:rsid w:val="287D3E84"/>
    <w:rsid w:val="28834C9E"/>
    <w:rsid w:val="28844573"/>
    <w:rsid w:val="288602EB"/>
    <w:rsid w:val="28862099"/>
    <w:rsid w:val="288A1B89"/>
    <w:rsid w:val="288B5901"/>
    <w:rsid w:val="288D78CB"/>
    <w:rsid w:val="288E47E5"/>
    <w:rsid w:val="288F0E6A"/>
    <w:rsid w:val="288F17F8"/>
    <w:rsid w:val="288F4F0C"/>
    <w:rsid w:val="28926C90"/>
    <w:rsid w:val="28940C5A"/>
    <w:rsid w:val="28942A08"/>
    <w:rsid w:val="289522DC"/>
    <w:rsid w:val="289C7B0E"/>
    <w:rsid w:val="289D1F5E"/>
    <w:rsid w:val="28A013AD"/>
    <w:rsid w:val="28A15125"/>
    <w:rsid w:val="28A3029C"/>
    <w:rsid w:val="28A52B3B"/>
    <w:rsid w:val="28A57FCC"/>
    <w:rsid w:val="28A6273B"/>
    <w:rsid w:val="28A644E9"/>
    <w:rsid w:val="28A86C13"/>
    <w:rsid w:val="28A92EA0"/>
    <w:rsid w:val="28AD1D1C"/>
    <w:rsid w:val="28AD5878"/>
    <w:rsid w:val="28AF15F0"/>
    <w:rsid w:val="28AF7842"/>
    <w:rsid w:val="28B1068E"/>
    <w:rsid w:val="28B210E0"/>
    <w:rsid w:val="28B27332"/>
    <w:rsid w:val="28B30F5B"/>
    <w:rsid w:val="28B646CC"/>
    <w:rsid w:val="28B704A4"/>
    <w:rsid w:val="28B74948"/>
    <w:rsid w:val="28B766F6"/>
    <w:rsid w:val="28B82D90"/>
    <w:rsid w:val="28B94EB0"/>
    <w:rsid w:val="28BE1833"/>
    <w:rsid w:val="28BE7A85"/>
    <w:rsid w:val="28C01A4F"/>
    <w:rsid w:val="28C07C97"/>
    <w:rsid w:val="28C3033D"/>
    <w:rsid w:val="28C3509B"/>
    <w:rsid w:val="28C80903"/>
    <w:rsid w:val="28C81E77"/>
    <w:rsid w:val="28CC1A90"/>
    <w:rsid w:val="28CD0E2D"/>
    <w:rsid w:val="28CE118E"/>
    <w:rsid w:val="28CE5855"/>
    <w:rsid w:val="28D10C3F"/>
    <w:rsid w:val="28D21782"/>
    <w:rsid w:val="28D368A4"/>
    <w:rsid w:val="28D37183"/>
    <w:rsid w:val="28D728F5"/>
    <w:rsid w:val="28D74580"/>
    <w:rsid w:val="28D74A8E"/>
    <w:rsid w:val="28DA1DCD"/>
    <w:rsid w:val="28DC43AF"/>
    <w:rsid w:val="28DC615D"/>
    <w:rsid w:val="28DD07A5"/>
    <w:rsid w:val="28E05B40"/>
    <w:rsid w:val="28E15521"/>
    <w:rsid w:val="28E219C5"/>
    <w:rsid w:val="28E3364C"/>
    <w:rsid w:val="28E3573D"/>
    <w:rsid w:val="28E374EB"/>
    <w:rsid w:val="28E67272"/>
    <w:rsid w:val="28EA6ACC"/>
    <w:rsid w:val="28ED11D6"/>
    <w:rsid w:val="28EF020F"/>
    <w:rsid w:val="28EF304D"/>
    <w:rsid w:val="28EF40E2"/>
    <w:rsid w:val="28F11C08"/>
    <w:rsid w:val="28F24E95"/>
    <w:rsid w:val="28F27D86"/>
    <w:rsid w:val="28F36F76"/>
    <w:rsid w:val="28F71054"/>
    <w:rsid w:val="28F74247"/>
    <w:rsid w:val="28F74D45"/>
    <w:rsid w:val="28FA69AC"/>
    <w:rsid w:val="28FB2A87"/>
    <w:rsid w:val="28FB6A04"/>
    <w:rsid w:val="28FE7E46"/>
    <w:rsid w:val="29015BC3"/>
    <w:rsid w:val="290359E0"/>
    <w:rsid w:val="29057462"/>
    <w:rsid w:val="29061CBC"/>
    <w:rsid w:val="29086F3D"/>
    <w:rsid w:val="29086F52"/>
    <w:rsid w:val="290B257D"/>
    <w:rsid w:val="290C4A69"/>
    <w:rsid w:val="290C4C94"/>
    <w:rsid w:val="290D6316"/>
    <w:rsid w:val="290E3524"/>
    <w:rsid w:val="290F4769"/>
    <w:rsid w:val="290F60EE"/>
    <w:rsid w:val="290F68D7"/>
    <w:rsid w:val="2911216C"/>
    <w:rsid w:val="291476A5"/>
    <w:rsid w:val="29147BC6"/>
    <w:rsid w:val="291678C1"/>
    <w:rsid w:val="29181BE3"/>
    <w:rsid w:val="29192F0D"/>
    <w:rsid w:val="291B6C85"/>
    <w:rsid w:val="291D0C4F"/>
    <w:rsid w:val="291E0523"/>
    <w:rsid w:val="291E69B1"/>
    <w:rsid w:val="2920429C"/>
    <w:rsid w:val="29231FDE"/>
    <w:rsid w:val="292336CA"/>
    <w:rsid w:val="29253660"/>
    <w:rsid w:val="292813A2"/>
    <w:rsid w:val="292A511A"/>
    <w:rsid w:val="292B18B6"/>
    <w:rsid w:val="292D69B8"/>
    <w:rsid w:val="29302AC8"/>
    <w:rsid w:val="293146FB"/>
    <w:rsid w:val="29336264"/>
    <w:rsid w:val="29363DA7"/>
    <w:rsid w:val="29373393"/>
    <w:rsid w:val="293D4E4D"/>
    <w:rsid w:val="293E2974"/>
    <w:rsid w:val="293E4722"/>
    <w:rsid w:val="29430105"/>
    <w:rsid w:val="29434562"/>
    <w:rsid w:val="29437AAE"/>
    <w:rsid w:val="29437F8A"/>
    <w:rsid w:val="29453D02"/>
    <w:rsid w:val="2945562E"/>
    <w:rsid w:val="294855A0"/>
    <w:rsid w:val="294C32E2"/>
    <w:rsid w:val="294D1F58"/>
    <w:rsid w:val="295108F9"/>
    <w:rsid w:val="295234E2"/>
    <w:rsid w:val="295315C4"/>
    <w:rsid w:val="2953641F"/>
    <w:rsid w:val="295403E9"/>
    <w:rsid w:val="29543F45"/>
    <w:rsid w:val="29546AD2"/>
    <w:rsid w:val="295722AA"/>
    <w:rsid w:val="29583A35"/>
    <w:rsid w:val="295C2DFA"/>
    <w:rsid w:val="295C3E2E"/>
    <w:rsid w:val="295D0FEF"/>
    <w:rsid w:val="295D54F0"/>
    <w:rsid w:val="295E47FD"/>
    <w:rsid w:val="295E4DC4"/>
    <w:rsid w:val="29610CF0"/>
    <w:rsid w:val="29635957"/>
    <w:rsid w:val="2965371F"/>
    <w:rsid w:val="296543A4"/>
    <w:rsid w:val="296714B7"/>
    <w:rsid w:val="296C5733"/>
    <w:rsid w:val="296C7188"/>
    <w:rsid w:val="296F5223"/>
    <w:rsid w:val="29705F4D"/>
    <w:rsid w:val="29710802"/>
    <w:rsid w:val="29712D49"/>
    <w:rsid w:val="297168A5"/>
    <w:rsid w:val="29724362"/>
    <w:rsid w:val="2972547E"/>
    <w:rsid w:val="29733D0B"/>
    <w:rsid w:val="29736A32"/>
    <w:rsid w:val="29757C17"/>
    <w:rsid w:val="2976035F"/>
    <w:rsid w:val="29763213"/>
    <w:rsid w:val="29784745"/>
    <w:rsid w:val="29791BFE"/>
    <w:rsid w:val="297D524A"/>
    <w:rsid w:val="297E0FC2"/>
    <w:rsid w:val="297E7214"/>
    <w:rsid w:val="297F5CC5"/>
    <w:rsid w:val="29824F56"/>
    <w:rsid w:val="29826D04"/>
    <w:rsid w:val="29830BB3"/>
    <w:rsid w:val="29842A7C"/>
    <w:rsid w:val="2984482A"/>
    <w:rsid w:val="29852351"/>
    <w:rsid w:val="29855A2C"/>
    <w:rsid w:val="29870F46"/>
    <w:rsid w:val="2987256D"/>
    <w:rsid w:val="298A5BB9"/>
    <w:rsid w:val="298A7967"/>
    <w:rsid w:val="298B1570"/>
    <w:rsid w:val="298B1F92"/>
    <w:rsid w:val="298C36DF"/>
    <w:rsid w:val="298C71CC"/>
    <w:rsid w:val="298E7457"/>
    <w:rsid w:val="298F4F7D"/>
    <w:rsid w:val="29910CF5"/>
    <w:rsid w:val="29915199"/>
    <w:rsid w:val="29916F47"/>
    <w:rsid w:val="29923212"/>
    <w:rsid w:val="29930F11"/>
    <w:rsid w:val="299338CA"/>
    <w:rsid w:val="29935348"/>
    <w:rsid w:val="29946A38"/>
    <w:rsid w:val="299560C7"/>
    <w:rsid w:val="299627B0"/>
    <w:rsid w:val="299637AD"/>
    <w:rsid w:val="2996630C"/>
    <w:rsid w:val="299A618E"/>
    <w:rsid w:val="299B6C62"/>
    <w:rsid w:val="299E3412"/>
    <w:rsid w:val="299F0026"/>
    <w:rsid w:val="29A053DC"/>
    <w:rsid w:val="29A13FDE"/>
    <w:rsid w:val="29A22F02"/>
    <w:rsid w:val="29A35FDC"/>
    <w:rsid w:val="29A479A9"/>
    <w:rsid w:val="29A529F3"/>
    <w:rsid w:val="29A70519"/>
    <w:rsid w:val="29A72BFB"/>
    <w:rsid w:val="29A749BD"/>
    <w:rsid w:val="29A94291"/>
    <w:rsid w:val="29A9603F"/>
    <w:rsid w:val="29A96C5C"/>
    <w:rsid w:val="29AA0009"/>
    <w:rsid w:val="29AC1FD3"/>
    <w:rsid w:val="29AE4672"/>
    <w:rsid w:val="29AE5D4B"/>
    <w:rsid w:val="29AF0E04"/>
    <w:rsid w:val="29AF561F"/>
    <w:rsid w:val="29AF73CD"/>
    <w:rsid w:val="29B03871"/>
    <w:rsid w:val="29B11398"/>
    <w:rsid w:val="29B23ABB"/>
    <w:rsid w:val="29B42C36"/>
    <w:rsid w:val="29B80978"/>
    <w:rsid w:val="29B82129"/>
    <w:rsid w:val="29B82726"/>
    <w:rsid w:val="29B9024C"/>
    <w:rsid w:val="29BC4072"/>
    <w:rsid w:val="29BF1D06"/>
    <w:rsid w:val="29BF5862"/>
    <w:rsid w:val="29C371D4"/>
    <w:rsid w:val="29C4731D"/>
    <w:rsid w:val="29C556B2"/>
    <w:rsid w:val="29C56184"/>
    <w:rsid w:val="29C775F4"/>
    <w:rsid w:val="29C94933"/>
    <w:rsid w:val="29CB1FE0"/>
    <w:rsid w:val="29CC61D1"/>
    <w:rsid w:val="29D049D8"/>
    <w:rsid w:val="29D11A3A"/>
    <w:rsid w:val="29D3130E"/>
    <w:rsid w:val="29D47298"/>
    <w:rsid w:val="29D60D64"/>
    <w:rsid w:val="29D66D0C"/>
    <w:rsid w:val="29D67050"/>
    <w:rsid w:val="29D82DC8"/>
    <w:rsid w:val="29DD3F3B"/>
    <w:rsid w:val="29DF4A6F"/>
    <w:rsid w:val="29E17ECF"/>
    <w:rsid w:val="29E4176D"/>
    <w:rsid w:val="29E7300B"/>
    <w:rsid w:val="29E928DF"/>
    <w:rsid w:val="29EA31D2"/>
    <w:rsid w:val="29EB48A9"/>
    <w:rsid w:val="29EC0622"/>
    <w:rsid w:val="29EE1BD8"/>
    <w:rsid w:val="29EE5B0E"/>
    <w:rsid w:val="29EE6148"/>
    <w:rsid w:val="29EF0399"/>
    <w:rsid w:val="29F179E6"/>
    <w:rsid w:val="29F319B0"/>
    <w:rsid w:val="29F34726"/>
    <w:rsid w:val="29F37D72"/>
    <w:rsid w:val="29F53B22"/>
    <w:rsid w:val="29FA07F7"/>
    <w:rsid w:val="29FA2D3E"/>
    <w:rsid w:val="29FB0865"/>
    <w:rsid w:val="29FB2613"/>
    <w:rsid w:val="29FB645B"/>
    <w:rsid w:val="29FC4906"/>
    <w:rsid w:val="29FE60F8"/>
    <w:rsid w:val="29FF0355"/>
    <w:rsid w:val="2A026579"/>
    <w:rsid w:val="2A027E45"/>
    <w:rsid w:val="2A04596B"/>
    <w:rsid w:val="2A047719"/>
    <w:rsid w:val="2A070FB7"/>
    <w:rsid w:val="2A07545B"/>
    <w:rsid w:val="2A094D30"/>
    <w:rsid w:val="2A0A0AD8"/>
    <w:rsid w:val="2A0A7D59"/>
    <w:rsid w:val="2A0C12DD"/>
    <w:rsid w:val="2A0D43E2"/>
    <w:rsid w:val="2A0D4BD2"/>
    <w:rsid w:val="2A0D7481"/>
    <w:rsid w:val="2A0E497A"/>
    <w:rsid w:val="2A0F7B8F"/>
    <w:rsid w:val="2A104310"/>
    <w:rsid w:val="2A111FF1"/>
    <w:rsid w:val="2A1262DA"/>
    <w:rsid w:val="2A132BBC"/>
    <w:rsid w:val="2A151926"/>
    <w:rsid w:val="2A162C0A"/>
    <w:rsid w:val="2A1738F0"/>
    <w:rsid w:val="2A1A1113"/>
    <w:rsid w:val="2A1A6F3D"/>
    <w:rsid w:val="2A1C2CB5"/>
    <w:rsid w:val="2A1D4C7F"/>
    <w:rsid w:val="2A1E7014"/>
    <w:rsid w:val="2A204933"/>
    <w:rsid w:val="2A236AF5"/>
    <w:rsid w:val="2A241BA8"/>
    <w:rsid w:val="2A293624"/>
    <w:rsid w:val="2A2B01FE"/>
    <w:rsid w:val="2A2C6C70"/>
    <w:rsid w:val="2A324EA0"/>
    <w:rsid w:val="2A331DAD"/>
    <w:rsid w:val="2A360B14"/>
    <w:rsid w:val="2A385615"/>
    <w:rsid w:val="2A392208"/>
    <w:rsid w:val="2A3A75DF"/>
    <w:rsid w:val="2A3B6976"/>
    <w:rsid w:val="2A3B6C8F"/>
    <w:rsid w:val="2A3D2350"/>
    <w:rsid w:val="2A3E70CF"/>
    <w:rsid w:val="2A407808"/>
    <w:rsid w:val="2A41096D"/>
    <w:rsid w:val="2A4346E5"/>
    <w:rsid w:val="2A44045E"/>
    <w:rsid w:val="2A446D64"/>
    <w:rsid w:val="2A475858"/>
    <w:rsid w:val="2A482F55"/>
    <w:rsid w:val="2A4915D0"/>
    <w:rsid w:val="2A4B5348"/>
    <w:rsid w:val="2A4C2BDF"/>
    <w:rsid w:val="2A4D10C0"/>
    <w:rsid w:val="2A4D3613"/>
    <w:rsid w:val="2A4E06CB"/>
    <w:rsid w:val="2A4E17BC"/>
    <w:rsid w:val="2A51512F"/>
    <w:rsid w:val="2A53196C"/>
    <w:rsid w:val="2A541875"/>
    <w:rsid w:val="2A542950"/>
    <w:rsid w:val="2A554419"/>
    <w:rsid w:val="2A571F3F"/>
    <w:rsid w:val="2A587DF1"/>
    <w:rsid w:val="2A5A37DD"/>
    <w:rsid w:val="2A5D21E7"/>
    <w:rsid w:val="2A5D44A6"/>
    <w:rsid w:val="2A5D507B"/>
    <w:rsid w:val="2A5F7045"/>
    <w:rsid w:val="2A622692"/>
    <w:rsid w:val="2A6401B8"/>
    <w:rsid w:val="2A67328F"/>
    <w:rsid w:val="2A68414C"/>
    <w:rsid w:val="2A6952D3"/>
    <w:rsid w:val="2A6A0195"/>
    <w:rsid w:val="2A6D6B80"/>
    <w:rsid w:val="2A704DAF"/>
    <w:rsid w:val="2A7427B5"/>
    <w:rsid w:val="2A7508E1"/>
    <w:rsid w:val="2A75575B"/>
    <w:rsid w:val="2A756A5F"/>
    <w:rsid w:val="2A7821F7"/>
    <w:rsid w:val="2A7A79DB"/>
    <w:rsid w:val="2A7C3754"/>
    <w:rsid w:val="2A7C7CFB"/>
    <w:rsid w:val="2A7D5FC4"/>
    <w:rsid w:val="2A810D6A"/>
    <w:rsid w:val="2A8261D2"/>
    <w:rsid w:val="2A832D34"/>
    <w:rsid w:val="2A8673CC"/>
    <w:rsid w:val="2A874355"/>
    <w:rsid w:val="2A88034A"/>
    <w:rsid w:val="2A8B3997"/>
    <w:rsid w:val="2A8B5F67"/>
    <w:rsid w:val="2A8D3BB3"/>
    <w:rsid w:val="2A8E3487"/>
    <w:rsid w:val="2A8F792B"/>
    <w:rsid w:val="2A900593"/>
    <w:rsid w:val="2A900FAD"/>
    <w:rsid w:val="2A9211C9"/>
    <w:rsid w:val="2A950CB9"/>
    <w:rsid w:val="2A952E60"/>
    <w:rsid w:val="2A962EE4"/>
    <w:rsid w:val="2A97233B"/>
    <w:rsid w:val="2A9A1D75"/>
    <w:rsid w:val="2A9A1E2C"/>
    <w:rsid w:val="2A9C7924"/>
    <w:rsid w:val="2A9C7E6E"/>
    <w:rsid w:val="2A9D2AE4"/>
    <w:rsid w:val="2A9F6AE3"/>
    <w:rsid w:val="2AA006DE"/>
    <w:rsid w:val="2AA25076"/>
    <w:rsid w:val="2AA3048F"/>
    <w:rsid w:val="2AA77572"/>
    <w:rsid w:val="2AA80AEB"/>
    <w:rsid w:val="2AAA4765"/>
    <w:rsid w:val="2AAB515F"/>
    <w:rsid w:val="2AAB5DE7"/>
    <w:rsid w:val="2AAE2EE9"/>
    <w:rsid w:val="2AAF258E"/>
    <w:rsid w:val="2AB033FD"/>
    <w:rsid w:val="2AB23619"/>
    <w:rsid w:val="2AB253C7"/>
    <w:rsid w:val="2AB27175"/>
    <w:rsid w:val="2AB45A27"/>
    <w:rsid w:val="2AB56C65"/>
    <w:rsid w:val="2AB7793B"/>
    <w:rsid w:val="2AB949A8"/>
    <w:rsid w:val="2ABC014D"/>
    <w:rsid w:val="2ABF1892"/>
    <w:rsid w:val="2AC11AAE"/>
    <w:rsid w:val="2AC135BE"/>
    <w:rsid w:val="2AC33130"/>
    <w:rsid w:val="2AC71644"/>
    <w:rsid w:val="2AC86999"/>
    <w:rsid w:val="2ACA2711"/>
    <w:rsid w:val="2ACA39CC"/>
    <w:rsid w:val="2ACC06D1"/>
    <w:rsid w:val="2ACC3AB0"/>
    <w:rsid w:val="2AD10FC0"/>
    <w:rsid w:val="2AD21972"/>
    <w:rsid w:val="2AD417E1"/>
    <w:rsid w:val="2AD51A9F"/>
    <w:rsid w:val="2AD6555A"/>
    <w:rsid w:val="2AD73080"/>
    <w:rsid w:val="2AD924C2"/>
    <w:rsid w:val="2AD96DF8"/>
    <w:rsid w:val="2ADA1AC3"/>
    <w:rsid w:val="2ADB07BB"/>
    <w:rsid w:val="2ADD0AAD"/>
    <w:rsid w:val="2ADD7F15"/>
    <w:rsid w:val="2AE17A5A"/>
    <w:rsid w:val="2AE23476"/>
    <w:rsid w:val="2AE258FC"/>
    <w:rsid w:val="2AE568ED"/>
    <w:rsid w:val="2AE5754B"/>
    <w:rsid w:val="2AE8528D"/>
    <w:rsid w:val="2AEA05DB"/>
    <w:rsid w:val="2AEA2DB3"/>
    <w:rsid w:val="2AEB5213"/>
    <w:rsid w:val="2AED5D9B"/>
    <w:rsid w:val="2AF20E2B"/>
    <w:rsid w:val="2AF21C68"/>
    <w:rsid w:val="2AF34115"/>
    <w:rsid w:val="2AF43C32"/>
    <w:rsid w:val="2AF4778E"/>
    <w:rsid w:val="2AF62AA1"/>
    <w:rsid w:val="2AF976EE"/>
    <w:rsid w:val="2AFB0F15"/>
    <w:rsid w:val="2AFB4FC0"/>
    <w:rsid w:val="2AFC2AE6"/>
    <w:rsid w:val="2AFC4894"/>
    <w:rsid w:val="2AFE23BA"/>
    <w:rsid w:val="2AFE685E"/>
    <w:rsid w:val="2AFF51A1"/>
    <w:rsid w:val="2B0100FD"/>
    <w:rsid w:val="2B011149"/>
    <w:rsid w:val="2B062526"/>
    <w:rsid w:val="2B0A6FB1"/>
    <w:rsid w:val="2B0C0AD4"/>
    <w:rsid w:val="2B0D0850"/>
    <w:rsid w:val="2B1240B8"/>
    <w:rsid w:val="2B142A82"/>
    <w:rsid w:val="2B157704"/>
    <w:rsid w:val="2B161BD2"/>
    <w:rsid w:val="2B182F87"/>
    <w:rsid w:val="2B195597"/>
    <w:rsid w:val="2B1C4F36"/>
    <w:rsid w:val="2B1C6CE5"/>
    <w:rsid w:val="2B1D0393"/>
    <w:rsid w:val="2B1E480B"/>
    <w:rsid w:val="2B247FEC"/>
    <w:rsid w:val="2B2A31B0"/>
    <w:rsid w:val="2B2D658B"/>
    <w:rsid w:val="2B304556"/>
    <w:rsid w:val="2B34219F"/>
    <w:rsid w:val="2B360FEB"/>
    <w:rsid w:val="2B3654F3"/>
    <w:rsid w:val="2B373B1E"/>
    <w:rsid w:val="2B386003"/>
    <w:rsid w:val="2B391645"/>
    <w:rsid w:val="2B3A3C6E"/>
    <w:rsid w:val="2B3A47DF"/>
    <w:rsid w:val="2B3B360F"/>
    <w:rsid w:val="2B3C1135"/>
    <w:rsid w:val="2B430715"/>
    <w:rsid w:val="2B4355CF"/>
    <w:rsid w:val="2B457FE9"/>
    <w:rsid w:val="2B487ADA"/>
    <w:rsid w:val="2B4C581C"/>
    <w:rsid w:val="2B4D4C1C"/>
    <w:rsid w:val="2B4D50E5"/>
    <w:rsid w:val="2B4E5394"/>
    <w:rsid w:val="2B4F1610"/>
    <w:rsid w:val="2B4F70BA"/>
    <w:rsid w:val="2B516861"/>
    <w:rsid w:val="2B51698E"/>
    <w:rsid w:val="2B520CE5"/>
    <w:rsid w:val="2B543054"/>
    <w:rsid w:val="2B577D1D"/>
    <w:rsid w:val="2B585F6F"/>
    <w:rsid w:val="2B5B15BB"/>
    <w:rsid w:val="2B5C11C9"/>
    <w:rsid w:val="2B5C6B16"/>
    <w:rsid w:val="2B5D3585"/>
    <w:rsid w:val="2B5D643F"/>
    <w:rsid w:val="2B5E10AB"/>
    <w:rsid w:val="2B612949"/>
    <w:rsid w:val="2B632B65"/>
    <w:rsid w:val="2B636B57"/>
    <w:rsid w:val="2B6B0121"/>
    <w:rsid w:val="2B6C1A1A"/>
    <w:rsid w:val="2B6C37C8"/>
    <w:rsid w:val="2B6C5576"/>
    <w:rsid w:val="2B6C7C6C"/>
    <w:rsid w:val="2B717030"/>
    <w:rsid w:val="2B74267D"/>
    <w:rsid w:val="2B762899"/>
    <w:rsid w:val="2B7733E2"/>
    <w:rsid w:val="2B7803BF"/>
    <w:rsid w:val="2B7F799F"/>
    <w:rsid w:val="2B826BD6"/>
    <w:rsid w:val="2B884198"/>
    <w:rsid w:val="2B886128"/>
    <w:rsid w:val="2B8A6344"/>
    <w:rsid w:val="2B911481"/>
    <w:rsid w:val="2B91322F"/>
    <w:rsid w:val="2B915385"/>
    <w:rsid w:val="2B944ACD"/>
    <w:rsid w:val="2B947295"/>
    <w:rsid w:val="2B9533B0"/>
    <w:rsid w:val="2B960048"/>
    <w:rsid w:val="2B960845"/>
    <w:rsid w:val="2B966A97"/>
    <w:rsid w:val="2B97559C"/>
    <w:rsid w:val="2B97636B"/>
    <w:rsid w:val="2B9777BC"/>
    <w:rsid w:val="2B990335"/>
    <w:rsid w:val="2B991C14"/>
    <w:rsid w:val="2B991C74"/>
    <w:rsid w:val="2B9A7EB4"/>
    <w:rsid w:val="2B9C3E11"/>
    <w:rsid w:val="2BA121E9"/>
    <w:rsid w:val="2BA17C95"/>
    <w:rsid w:val="2BA32F62"/>
    <w:rsid w:val="2BA33B3F"/>
    <w:rsid w:val="2BA54F2C"/>
    <w:rsid w:val="2BA61030"/>
    <w:rsid w:val="2BA664B0"/>
    <w:rsid w:val="2BAA0794"/>
    <w:rsid w:val="2BAC4EA2"/>
    <w:rsid w:val="2BB138D1"/>
    <w:rsid w:val="2BB221A4"/>
    <w:rsid w:val="2BB60B25"/>
    <w:rsid w:val="2BB73005"/>
    <w:rsid w:val="2BB807BB"/>
    <w:rsid w:val="2BBB079E"/>
    <w:rsid w:val="2BBD04C8"/>
    <w:rsid w:val="2BC12DD8"/>
    <w:rsid w:val="2BC2788C"/>
    <w:rsid w:val="2BC71516"/>
    <w:rsid w:val="2BCA444A"/>
    <w:rsid w:val="2BCB43B2"/>
    <w:rsid w:val="2BCB5821"/>
    <w:rsid w:val="2BCC24B9"/>
    <w:rsid w:val="2BCD38F2"/>
    <w:rsid w:val="2BCF1FA9"/>
    <w:rsid w:val="2BCF59C1"/>
    <w:rsid w:val="2BD10193"/>
    <w:rsid w:val="2BD34AB9"/>
    <w:rsid w:val="2BD355F5"/>
    <w:rsid w:val="2BD440AE"/>
    <w:rsid w:val="2BD44E15"/>
    <w:rsid w:val="2BD50658"/>
    <w:rsid w:val="2BD870AF"/>
    <w:rsid w:val="2BD96984"/>
    <w:rsid w:val="2BDB0654"/>
    <w:rsid w:val="2BDB61B8"/>
    <w:rsid w:val="2BDB7F3A"/>
    <w:rsid w:val="2BDD46C6"/>
    <w:rsid w:val="2BDE3F9A"/>
    <w:rsid w:val="2BE041B6"/>
    <w:rsid w:val="2BE07D12"/>
    <w:rsid w:val="2BE12008"/>
    <w:rsid w:val="2BE315B0"/>
    <w:rsid w:val="2BE45A54"/>
    <w:rsid w:val="2BE538F2"/>
    <w:rsid w:val="2BE64493"/>
    <w:rsid w:val="2BE75544"/>
    <w:rsid w:val="2BE9306B"/>
    <w:rsid w:val="2BEA0B91"/>
    <w:rsid w:val="2BEB4B93"/>
    <w:rsid w:val="2BEB6DE3"/>
    <w:rsid w:val="2BEC66B7"/>
    <w:rsid w:val="2BED2084"/>
    <w:rsid w:val="2BEE533C"/>
    <w:rsid w:val="2BEF7499"/>
    <w:rsid w:val="2BEF7F55"/>
    <w:rsid w:val="2BF10171"/>
    <w:rsid w:val="2BF11F1F"/>
    <w:rsid w:val="2BF437BD"/>
    <w:rsid w:val="2BF51A0F"/>
    <w:rsid w:val="2BF57DAB"/>
    <w:rsid w:val="2BF612E4"/>
    <w:rsid w:val="2BF81500"/>
    <w:rsid w:val="2BF832AE"/>
    <w:rsid w:val="2BFB2D9E"/>
    <w:rsid w:val="2BFD6B16"/>
    <w:rsid w:val="2C0003B4"/>
    <w:rsid w:val="2C02237E"/>
    <w:rsid w:val="2C027C88"/>
    <w:rsid w:val="2C053DD0"/>
    <w:rsid w:val="2C08354D"/>
    <w:rsid w:val="2C0954BB"/>
    <w:rsid w:val="2C097269"/>
    <w:rsid w:val="2C0B258D"/>
    <w:rsid w:val="2C0B2FE1"/>
    <w:rsid w:val="2C0C162B"/>
    <w:rsid w:val="2C0E0D23"/>
    <w:rsid w:val="2C0E2AD1"/>
    <w:rsid w:val="2C102AE6"/>
    <w:rsid w:val="2C1300E8"/>
    <w:rsid w:val="2C157A9E"/>
    <w:rsid w:val="2C186781"/>
    <w:rsid w:val="2C191295"/>
    <w:rsid w:val="2C1C3F39"/>
    <w:rsid w:val="2C1C43EC"/>
    <w:rsid w:val="2C1C51EE"/>
    <w:rsid w:val="2C1F6654"/>
    <w:rsid w:val="2C210A56"/>
    <w:rsid w:val="2C233894"/>
    <w:rsid w:val="2C265667"/>
    <w:rsid w:val="2C271DE5"/>
    <w:rsid w:val="2C277F89"/>
    <w:rsid w:val="2C2E4F21"/>
    <w:rsid w:val="2C3047F6"/>
    <w:rsid w:val="2C333BD8"/>
    <w:rsid w:val="2C381AFA"/>
    <w:rsid w:val="2C384A07"/>
    <w:rsid w:val="2C3A2AC8"/>
    <w:rsid w:val="2C3A5674"/>
    <w:rsid w:val="2C3C6E9F"/>
    <w:rsid w:val="2C3E265D"/>
    <w:rsid w:val="2C3F712F"/>
    <w:rsid w:val="2C3F7244"/>
    <w:rsid w:val="2C412EA7"/>
    <w:rsid w:val="2C432E7E"/>
    <w:rsid w:val="2C4402A1"/>
    <w:rsid w:val="2C464019"/>
    <w:rsid w:val="2C472F7D"/>
    <w:rsid w:val="2C47420C"/>
    <w:rsid w:val="2C477D91"/>
    <w:rsid w:val="2C484235"/>
    <w:rsid w:val="2C491D5B"/>
    <w:rsid w:val="2C493B09"/>
    <w:rsid w:val="2C4A4BAC"/>
    <w:rsid w:val="2C4B7881"/>
    <w:rsid w:val="2C4C53A8"/>
    <w:rsid w:val="2C4D184B"/>
    <w:rsid w:val="2C50077A"/>
    <w:rsid w:val="2C504E98"/>
    <w:rsid w:val="2C532BDA"/>
    <w:rsid w:val="2C54533B"/>
    <w:rsid w:val="2C550700"/>
    <w:rsid w:val="2C576226"/>
    <w:rsid w:val="2C583D4C"/>
    <w:rsid w:val="2C5A1872"/>
    <w:rsid w:val="2C5A7AC4"/>
    <w:rsid w:val="2C5F332D"/>
    <w:rsid w:val="2C610E53"/>
    <w:rsid w:val="2C622E1D"/>
    <w:rsid w:val="2C624BCB"/>
    <w:rsid w:val="2C6277EC"/>
    <w:rsid w:val="2C640943"/>
    <w:rsid w:val="2C646F21"/>
    <w:rsid w:val="2C6721E1"/>
    <w:rsid w:val="2C6820E3"/>
    <w:rsid w:val="2C68439D"/>
    <w:rsid w:val="2C69594F"/>
    <w:rsid w:val="2C6E17C2"/>
    <w:rsid w:val="2C6F2C5B"/>
    <w:rsid w:val="2C700266"/>
    <w:rsid w:val="2C70332B"/>
    <w:rsid w:val="2C73642E"/>
    <w:rsid w:val="2C736DD8"/>
    <w:rsid w:val="2C744156"/>
    <w:rsid w:val="2C7566AC"/>
    <w:rsid w:val="2C767487"/>
    <w:rsid w:val="2C780367"/>
    <w:rsid w:val="2C783798"/>
    <w:rsid w:val="2C7963E8"/>
    <w:rsid w:val="2C7A0008"/>
    <w:rsid w:val="2C7A5585"/>
    <w:rsid w:val="2C7D0E82"/>
    <w:rsid w:val="2C7F752B"/>
    <w:rsid w:val="2C8132A3"/>
    <w:rsid w:val="2C8148F3"/>
    <w:rsid w:val="2C820DC9"/>
    <w:rsid w:val="2C8211D9"/>
    <w:rsid w:val="2C840FE5"/>
    <w:rsid w:val="2C862667"/>
    <w:rsid w:val="2C864D5D"/>
    <w:rsid w:val="2C86674F"/>
    <w:rsid w:val="2C87275A"/>
    <w:rsid w:val="2C8824CA"/>
    <w:rsid w:val="2C884632"/>
    <w:rsid w:val="2C88731E"/>
    <w:rsid w:val="2C890612"/>
    <w:rsid w:val="2C8D7E9A"/>
    <w:rsid w:val="2C8E59C0"/>
    <w:rsid w:val="2C8E776E"/>
    <w:rsid w:val="2C9034E6"/>
    <w:rsid w:val="2C9111D4"/>
    <w:rsid w:val="2C926152"/>
    <w:rsid w:val="2C931228"/>
    <w:rsid w:val="2C965E67"/>
    <w:rsid w:val="2C9807AB"/>
    <w:rsid w:val="2C9D5C03"/>
    <w:rsid w:val="2C9E5D70"/>
    <w:rsid w:val="2C9F7BCD"/>
    <w:rsid w:val="2CA174A1"/>
    <w:rsid w:val="2CA43435"/>
    <w:rsid w:val="2CA86A82"/>
    <w:rsid w:val="2CA927FA"/>
    <w:rsid w:val="2CAB0320"/>
    <w:rsid w:val="2CAD4098"/>
    <w:rsid w:val="2CAD4D09"/>
    <w:rsid w:val="2CAE175C"/>
    <w:rsid w:val="2CAE4A0E"/>
    <w:rsid w:val="2CB01DDA"/>
    <w:rsid w:val="2CB03B88"/>
    <w:rsid w:val="2CB05936"/>
    <w:rsid w:val="2CB25B52"/>
    <w:rsid w:val="2CB35427"/>
    <w:rsid w:val="2CB441D6"/>
    <w:rsid w:val="2CB47C00"/>
    <w:rsid w:val="2CB537B0"/>
    <w:rsid w:val="2CB847EB"/>
    <w:rsid w:val="2CB95B41"/>
    <w:rsid w:val="2CB97FD1"/>
    <w:rsid w:val="2CBA5AE4"/>
    <w:rsid w:val="2CBA721C"/>
    <w:rsid w:val="2CBC42DB"/>
    <w:rsid w:val="2CBF201D"/>
    <w:rsid w:val="2CC13CC3"/>
    <w:rsid w:val="2CC37918"/>
    <w:rsid w:val="2CC521C8"/>
    <w:rsid w:val="2CC63122"/>
    <w:rsid w:val="2CC66F08"/>
    <w:rsid w:val="2CC67B02"/>
    <w:rsid w:val="2CCA6C88"/>
    <w:rsid w:val="2CCB03EA"/>
    <w:rsid w:val="2CCB6B0E"/>
    <w:rsid w:val="2CCD0296"/>
    <w:rsid w:val="2CCD5C52"/>
    <w:rsid w:val="2CCE2260"/>
    <w:rsid w:val="2CD45AC9"/>
    <w:rsid w:val="2CD81492"/>
    <w:rsid w:val="2CD94676"/>
    <w:rsid w:val="2CD94E8D"/>
    <w:rsid w:val="2CDC22F2"/>
    <w:rsid w:val="2CE05AD8"/>
    <w:rsid w:val="2CE130DC"/>
    <w:rsid w:val="2CE83322"/>
    <w:rsid w:val="2CE850D0"/>
    <w:rsid w:val="2CEB62AB"/>
    <w:rsid w:val="2CED0939"/>
    <w:rsid w:val="2CEE645F"/>
    <w:rsid w:val="2CEE6FA1"/>
    <w:rsid w:val="2CF15C51"/>
    <w:rsid w:val="2CF203F5"/>
    <w:rsid w:val="2CF20571"/>
    <w:rsid w:val="2CF256AD"/>
    <w:rsid w:val="2CF6225B"/>
    <w:rsid w:val="2CF63C91"/>
    <w:rsid w:val="2CF73565"/>
    <w:rsid w:val="2CFA4E04"/>
    <w:rsid w:val="2CFC0B7C"/>
    <w:rsid w:val="2CFE0255"/>
    <w:rsid w:val="2CFE66A2"/>
    <w:rsid w:val="2CFF65D5"/>
    <w:rsid w:val="2D006674"/>
    <w:rsid w:val="2D012636"/>
    <w:rsid w:val="2D0143E4"/>
    <w:rsid w:val="2D016192"/>
    <w:rsid w:val="2D030A47"/>
    <w:rsid w:val="2D031C87"/>
    <w:rsid w:val="2D067C4C"/>
    <w:rsid w:val="2D07234C"/>
    <w:rsid w:val="2D08098F"/>
    <w:rsid w:val="2D0839C4"/>
    <w:rsid w:val="2D085772"/>
    <w:rsid w:val="2D0A3299"/>
    <w:rsid w:val="2D0B0DBF"/>
    <w:rsid w:val="2D0B1F79"/>
    <w:rsid w:val="2D0E6608"/>
    <w:rsid w:val="2D0F08AF"/>
    <w:rsid w:val="2D104627"/>
    <w:rsid w:val="2D1265F1"/>
    <w:rsid w:val="2D1365AB"/>
    <w:rsid w:val="2D142369"/>
    <w:rsid w:val="2D144117"/>
    <w:rsid w:val="2D197980"/>
    <w:rsid w:val="2D1A7254"/>
    <w:rsid w:val="2D1B36F8"/>
    <w:rsid w:val="2D1C37DD"/>
    <w:rsid w:val="2D1E01FC"/>
    <w:rsid w:val="2D1E60C2"/>
    <w:rsid w:val="2D2101FF"/>
    <w:rsid w:val="2D215175"/>
    <w:rsid w:val="2D246135"/>
    <w:rsid w:val="2D260EF4"/>
    <w:rsid w:val="2D26209C"/>
    <w:rsid w:val="2D287BC3"/>
    <w:rsid w:val="2D2B1461"/>
    <w:rsid w:val="2D2D51FD"/>
    <w:rsid w:val="2D2F71A3"/>
    <w:rsid w:val="2D3227EF"/>
    <w:rsid w:val="2D344E89"/>
    <w:rsid w:val="2D355E3C"/>
    <w:rsid w:val="2D392D05"/>
    <w:rsid w:val="2D3A4958"/>
    <w:rsid w:val="2D3D3C2F"/>
    <w:rsid w:val="2D3E1194"/>
    <w:rsid w:val="2D3F0AF3"/>
    <w:rsid w:val="2D4349FC"/>
    <w:rsid w:val="2D435E6D"/>
    <w:rsid w:val="2D441559"/>
    <w:rsid w:val="2D454F8D"/>
    <w:rsid w:val="2D470079"/>
    <w:rsid w:val="2D4973DC"/>
    <w:rsid w:val="2D4A18E7"/>
    <w:rsid w:val="2D4B16D2"/>
    <w:rsid w:val="2D4B38B1"/>
    <w:rsid w:val="2D4B511A"/>
    <w:rsid w:val="2D4C56A2"/>
    <w:rsid w:val="2D4E6DA1"/>
    <w:rsid w:val="2D502C75"/>
    <w:rsid w:val="2D522E91"/>
    <w:rsid w:val="2D542766"/>
    <w:rsid w:val="2D5704A8"/>
    <w:rsid w:val="2D57167B"/>
    <w:rsid w:val="2D577AED"/>
    <w:rsid w:val="2D595C45"/>
    <w:rsid w:val="2D5B1D46"/>
    <w:rsid w:val="2D5B3AF4"/>
    <w:rsid w:val="2D5C4D78"/>
    <w:rsid w:val="2D5E11CC"/>
    <w:rsid w:val="2D5E30DE"/>
    <w:rsid w:val="2D6230D5"/>
    <w:rsid w:val="2D630BFB"/>
    <w:rsid w:val="2D6329A9"/>
    <w:rsid w:val="2D632E5C"/>
    <w:rsid w:val="2D6333A1"/>
    <w:rsid w:val="2D652BC5"/>
    <w:rsid w:val="2D656721"/>
    <w:rsid w:val="2D670C0F"/>
    <w:rsid w:val="2D672FE4"/>
    <w:rsid w:val="2D686211"/>
    <w:rsid w:val="2D6A01DB"/>
    <w:rsid w:val="2D6B7AAF"/>
    <w:rsid w:val="2D6C3F53"/>
    <w:rsid w:val="2D6C5B94"/>
    <w:rsid w:val="2D6D3827"/>
    <w:rsid w:val="2D6D6BB7"/>
    <w:rsid w:val="2D6D7CCB"/>
    <w:rsid w:val="2D701D11"/>
    <w:rsid w:val="2D71156A"/>
    <w:rsid w:val="2D713318"/>
    <w:rsid w:val="2D74780B"/>
    <w:rsid w:val="2D755568"/>
    <w:rsid w:val="2D7746A6"/>
    <w:rsid w:val="2D7921CC"/>
    <w:rsid w:val="2D7A03C5"/>
    <w:rsid w:val="2D7A5B32"/>
    <w:rsid w:val="2D7B23E8"/>
    <w:rsid w:val="2D7C3A6A"/>
    <w:rsid w:val="2D7E108B"/>
    <w:rsid w:val="2D7E65B1"/>
    <w:rsid w:val="2D7E7480"/>
    <w:rsid w:val="2D7E77E3"/>
    <w:rsid w:val="2D8079FF"/>
    <w:rsid w:val="2D814E03"/>
    <w:rsid w:val="2D82298B"/>
    <w:rsid w:val="2D825525"/>
    <w:rsid w:val="2D872F18"/>
    <w:rsid w:val="2D8B2FB0"/>
    <w:rsid w:val="2D8B7F03"/>
    <w:rsid w:val="2D8C1F00"/>
    <w:rsid w:val="2D8D7A26"/>
    <w:rsid w:val="2D8E3661"/>
    <w:rsid w:val="2D8E3BEB"/>
    <w:rsid w:val="2D9139BA"/>
    <w:rsid w:val="2D915768"/>
    <w:rsid w:val="2D916F3F"/>
    <w:rsid w:val="2D9214E0"/>
    <w:rsid w:val="2D923ABE"/>
    <w:rsid w:val="2D9256AB"/>
    <w:rsid w:val="2D937732"/>
    <w:rsid w:val="2D964B2C"/>
    <w:rsid w:val="2D99286E"/>
    <w:rsid w:val="2D9A05B0"/>
    <w:rsid w:val="2D9C36B9"/>
    <w:rsid w:val="2DA01E4F"/>
    <w:rsid w:val="2DA059AB"/>
    <w:rsid w:val="2DA2025D"/>
    <w:rsid w:val="2DA273A4"/>
    <w:rsid w:val="2DA30834"/>
    <w:rsid w:val="2DA354EC"/>
    <w:rsid w:val="2DA4204D"/>
    <w:rsid w:val="2DA51F7E"/>
    <w:rsid w:val="2DA562A5"/>
    <w:rsid w:val="2DA63C8C"/>
    <w:rsid w:val="2DA666DD"/>
    <w:rsid w:val="2DA84860"/>
    <w:rsid w:val="2DA942FD"/>
    <w:rsid w:val="2DAC4350"/>
    <w:rsid w:val="2DAF3E40"/>
    <w:rsid w:val="2DAF5BEE"/>
    <w:rsid w:val="2DB41456"/>
    <w:rsid w:val="2DB55624"/>
    <w:rsid w:val="2DB72CF5"/>
    <w:rsid w:val="2DB80884"/>
    <w:rsid w:val="2DBB42ED"/>
    <w:rsid w:val="2DBB7F4B"/>
    <w:rsid w:val="2DBC358E"/>
    <w:rsid w:val="2DBD1919"/>
    <w:rsid w:val="2DBD47AF"/>
    <w:rsid w:val="2DBD655D"/>
    <w:rsid w:val="2DBF09AB"/>
    <w:rsid w:val="2DC07DFB"/>
    <w:rsid w:val="2DC17BD8"/>
    <w:rsid w:val="2DC260BE"/>
    <w:rsid w:val="2DC31699"/>
    <w:rsid w:val="2DC53663"/>
    <w:rsid w:val="2DC84F02"/>
    <w:rsid w:val="2DC86CB0"/>
    <w:rsid w:val="2DCA0C7A"/>
    <w:rsid w:val="2DCA2A28"/>
    <w:rsid w:val="2DCC39FB"/>
    <w:rsid w:val="2DCD42C6"/>
    <w:rsid w:val="2DD13342"/>
    <w:rsid w:val="2DD218DC"/>
    <w:rsid w:val="2DD438A6"/>
    <w:rsid w:val="2DD46F1F"/>
    <w:rsid w:val="2DD65FF9"/>
    <w:rsid w:val="2DD83397"/>
    <w:rsid w:val="2DD85145"/>
    <w:rsid w:val="2DD90EBD"/>
    <w:rsid w:val="2DD9710F"/>
    <w:rsid w:val="2DDB69E3"/>
    <w:rsid w:val="2DDD147D"/>
    <w:rsid w:val="2DDE38EA"/>
    <w:rsid w:val="2DDF40CE"/>
    <w:rsid w:val="2DDF4725"/>
    <w:rsid w:val="2DE0224B"/>
    <w:rsid w:val="2DE07C74"/>
    <w:rsid w:val="2DE25FC3"/>
    <w:rsid w:val="2DE312CD"/>
    <w:rsid w:val="2DE3329A"/>
    <w:rsid w:val="2DE53D06"/>
    <w:rsid w:val="2DE900CC"/>
    <w:rsid w:val="2DEC6E42"/>
    <w:rsid w:val="2DEC744F"/>
    <w:rsid w:val="2DED6716"/>
    <w:rsid w:val="2DEE2BBA"/>
    <w:rsid w:val="2DF06932"/>
    <w:rsid w:val="2DF31F7F"/>
    <w:rsid w:val="2DF47BD8"/>
    <w:rsid w:val="2DF523B1"/>
    <w:rsid w:val="2DF82284"/>
    <w:rsid w:val="2DF857E7"/>
    <w:rsid w:val="2E015933"/>
    <w:rsid w:val="2E0622F6"/>
    <w:rsid w:val="2E077C93"/>
    <w:rsid w:val="2E087596"/>
    <w:rsid w:val="2E0917A2"/>
    <w:rsid w:val="2E0979F4"/>
    <w:rsid w:val="2E0A551A"/>
    <w:rsid w:val="2E0A7F59"/>
    <w:rsid w:val="2E0B6614"/>
    <w:rsid w:val="2E0C06A3"/>
    <w:rsid w:val="2E0C0FEB"/>
    <w:rsid w:val="2E0C4DEE"/>
    <w:rsid w:val="2E0D6E7F"/>
    <w:rsid w:val="2E0E6DB8"/>
    <w:rsid w:val="2E0F19C7"/>
    <w:rsid w:val="2E0F2B31"/>
    <w:rsid w:val="2E100D83"/>
    <w:rsid w:val="2E110657"/>
    <w:rsid w:val="2E113C98"/>
    <w:rsid w:val="2E1168A9"/>
    <w:rsid w:val="2E133665"/>
    <w:rsid w:val="2E13541A"/>
    <w:rsid w:val="2E13617D"/>
    <w:rsid w:val="2E156399"/>
    <w:rsid w:val="2E157DAA"/>
    <w:rsid w:val="2E192656"/>
    <w:rsid w:val="2E1A39AF"/>
    <w:rsid w:val="2E1A575D"/>
    <w:rsid w:val="2E1A7BAE"/>
    <w:rsid w:val="2E1D6FFC"/>
    <w:rsid w:val="2E1F0FC6"/>
    <w:rsid w:val="2E204C25"/>
    <w:rsid w:val="2E220AB6"/>
    <w:rsid w:val="2E222864"/>
    <w:rsid w:val="2E235EAC"/>
    <w:rsid w:val="2E2465DC"/>
    <w:rsid w:val="2E25123C"/>
    <w:rsid w:val="2E262354"/>
    <w:rsid w:val="2E2760CC"/>
    <w:rsid w:val="2E2959A0"/>
    <w:rsid w:val="2E2C36E3"/>
    <w:rsid w:val="2E2E4107"/>
    <w:rsid w:val="2E304F81"/>
    <w:rsid w:val="2E345428"/>
    <w:rsid w:val="2E3473B9"/>
    <w:rsid w:val="2E352597"/>
    <w:rsid w:val="2E3D144C"/>
    <w:rsid w:val="2E3F45EA"/>
    <w:rsid w:val="2E436BA9"/>
    <w:rsid w:val="2E47051C"/>
    <w:rsid w:val="2E497DF1"/>
    <w:rsid w:val="2E4A07A6"/>
    <w:rsid w:val="2E4B1DBB"/>
    <w:rsid w:val="2E4C78E1"/>
    <w:rsid w:val="2E4E2618"/>
    <w:rsid w:val="2E4F43FC"/>
    <w:rsid w:val="2E504D48"/>
    <w:rsid w:val="2E505623"/>
    <w:rsid w:val="2E5148CD"/>
    <w:rsid w:val="2E530AF8"/>
    <w:rsid w:val="2E552C39"/>
    <w:rsid w:val="2E5549E7"/>
    <w:rsid w:val="2E555FE9"/>
    <w:rsid w:val="2E556795"/>
    <w:rsid w:val="2E5B2E82"/>
    <w:rsid w:val="2E5B4D1F"/>
    <w:rsid w:val="2E5B7B24"/>
    <w:rsid w:val="2E5C3FC8"/>
    <w:rsid w:val="2E602A24"/>
    <w:rsid w:val="2E6153AB"/>
    <w:rsid w:val="2E6332E1"/>
    <w:rsid w:val="2E644C2A"/>
    <w:rsid w:val="2E652751"/>
    <w:rsid w:val="2E6764C9"/>
    <w:rsid w:val="2E692241"/>
    <w:rsid w:val="2E693FEF"/>
    <w:rsid w:val="2E6966E5"/>
    <w:rsid w:val="2E6A7D67"/>
    <w:rsid w:val="2E6B420B"/>
    <w:rsid w:val="2E6B5FB9"/>
    <w:rsid w:val="2E6C1D31"/>
    <w:rsid w:val="2E701821"/>
    <w:rsid w:val="2E7035CF"/>
    <w:rsid w:val="2E725599"/>
    <w:rsid w:val="2E731311"/>
    <w:rsid w:val="2E7330BF"/>
    <w:rsid w:val="2E74444F"/>
    <w:rsid w:val="2E755089"/>
    <w:rsid w:val="2E767899"/>
    <w:rsid w:val="2E7763D7"/>
    <w:rsid w:val="2E786928"/>
    <w:rsid w:val="2E7A444E"/>
    <w:rsid w:val="2E7D3F3E"/>
    <w:rsid w:val="2E7E1309"/>
    <w:rsid w:val="2E861045"/>
    <w:rsid w:val="2E884DBD"/>
    <w:rsid w:val="2E8B0409"/>
    <w:rsid w:val="2E905A1F"/>
    <w:rsid w:val="2E91366A"/>
    <w:rsid w:val="2E9276CB"/>
    <w:rsid w:val="2E951288"/>
    <w:rsid w:val="2E953036"/>
    <w:rsid w:val="2E976DAE"/>
    <w:rsid w:val="2E98301A"/>
    <w:rsid w:val="2E9A328C"/>
    <w:rsid w:val="2E9A689E"/>
    <w:rsid w:val="2E9C2616"/>
    <w:rsid w:val="2E9E0C07"/>
    <w:rsid w:val="2EA25C4E"/>
    <w:rsid w:val="2EA40949"/>
    <w:rsid w:val="2EA42D24"/>
    <w:rsid w:val="2EA43279"/>
    <w:rsid w:val="2EA5039F"/>
    <w:rsid w:val="2EA63495"/>
    <w:rsid w:val="2EA65243"/>
    <w:rsid w:val="2EA662CD"/>
    <w:rsid w:val="2EA70A98"/>
    <w:rsid w:val="2EA74B17"/>
    <w:rsid w:val="2EA8720D"/>
    <w:rsid w:val="2EA87C81"/>
    <w:rsid w:val="2EAB4607"/>
    <w:rsid w:val="2EAC037F"/>
    <w:rsid w:val="2EAE2349"/>
    <w:rsid w:val="2EB060C2"/>
    <w:rsid w:val="2EB21E3A"/>
    <w:rsid w:val="2EB3170E"/>
    <w:rsid w:val="2EB37960"/>
    <w:rsid w:val="2EB47727"/>
    <w:rsid w:val="2EB55D58"/>
    <w:rsid w:val="2EBA02F1"/>
    <w:rsid w:val="2EBA2A9C"/>
    <w:rsid w:val="2EBA6F40"/>
    <w:rsid w:val="2EBB1866"/>
    <w:rsid w:val="2EBC045D"/>
    <w:rsid w:val="2EC1207D"/>
    <w:rsid w:val="2EC24090"/>
    <w:rsid w:val="2EC35DF5"/>
    <w:rsid w:val="2EC456C9"/>
    <w:rsid w:val="2EC61838"/>
    <w:rsid w:val="2EC90F31"/>
    <w:rsid w:val="2ECB4CA9"/>
    <w:rsid w:val="2ED022C0"/>
    <w:rsid w:val="2ED25DA8"/>
    <w:rsid w:val="2ED5455F"/>
    <w:rsid w:val="2ED55B28"/>
    <w:rsid w:val="2ED81174"/>
    <w:rsid w:val="2ED9575E"/>
    <w:rsid w:val="2ED973C6"/>
    <w:rsid w:val="2EDA5B13"/>
    <w:rsid w:val="2EDE477E"/>
    <w:rsid w:val="2EDE49DD"/>
    <w:rsid w:val="2EE6487F"/>
    <w:rsid w:val="2EE856A2"/>
    <w:rsid w:val="2EE87609"/>
    <w:rsid w:val="2EEB0EA8"/>
    <w:rsid w:val="2EEB534C"/>
    <w:rsid w:val="2EEB70FA"/>
    <w:rsid w:val="2EED10C4"/>
    <w:rsid w:val="2EEE0998"/>
    <w:rsid w:val="2EF02962"/>
    <w:rsid w:val="2EF27E36"/>
    <w:rsid w:val="2EF53AD4"/>
    <w:rsid w:val="2EF73CF0"/>
    <w:rsid w:val="2EF835C5"/>
    <w:rsid w:val="2EF97A69"/>
    <w:rsid w:val="2EFA733D"/>
    <w:rsid w:val="2EFB7F7B"/>
    <w:rsid w:val="2EFE0BDB"/>
    <w:rsid w:val="2EFE507F"/>
    <w:rsid w:val="2EFF2BA5"/>
    <w:rsid w:val="2EFF6701"/>
    <w:rsid w:val="2F01691D"/>
    <w:rsid w:val="2F032695"/>
    <w:rsid w:val="2F0361F1"/>
    <w:rsid w:val="2F0525AA"/>
    <w:rsid w:val="2F0B32F8"/>
    <w:rsid w:val="2F0C15E5"/>
    <w:rsid w:val="2F0D4A3E"/>
    <w:rsid w:val="2F0E55F8"/>
    <w:rsid w:val="2F0F2DE8"/>
    <w:rsid w:val="2F10090E"/>
    <w:rsid w:val="2F1228D8"/>
    <w:rsid w:val="2F1523C9"/>
    <w:rsid w:val="2F160693"/>
    <w:rsid w:val="2F164DD9"/>
    <w:rsid w:val="2F1753E8"/>
    <w:rsid w:val="2F1A79DF"/>
    <w:rsid w:val="2F1C72B3"/>
    <w:rsid w:val="2F1D3C74"/>
    <w:rsid w:val="2F1E302B"/>
    <w:rsid w:val="2F1F4C2F"/>
    <w:rsid w:val="2F210D6D"/>
    <w:rsid w:val="2F214344"/>
    <w:rsid w:val="2F234AE5"/>
    <w:rsid w:val="2F25085E"/>
    <w:rsid w:val="2F283EAA"/>
    <w:rsid w:val="2F2A5E74"/>
    <w:rsid w:val="2F2A7C22"/>
    <w:rsid w:val="2F2B5748"/>
    <w:rsid w:val="2F2F2798"/>
    <w:rsid w:val="2F2F6948"/>
    <w:rsid w:val="2F300FB0"/>
    <w:rsid w:val="2F307202"/>
    <w:rsid w:val="2F316E0B"/>
    <w:rsid w:val="2F320885"/>
    <w:rsid w:val="2F333A8E"/>
    <w:rsid w:val="2F362857"/>
    <w:rsid w:val="2F38624B"/>
    <w:rsid w:val="2F3C1703"/>
    <w:rsid w:val="2F3D0CEE"/>
    <w:rsid w:val="2F3E7229"/>
    <w:rsid w:val="2F3F035D"/>
    <w:rsid w:val="2F3F53B5"/>
    <w:rsid w:val="2F4147C0"/>
    <w:rsid w:val="2F414F6C"/>
    <w:rsid w:val="2F452CAE"/>
    <w:rsid w:val="2F462582"/>
    <w:rsid w:val="2F482250"/>
    <w:rsid w:val="2F48454C"/>
    <w:rsid w:val="2F493237"/>
    <w:rsid w:val="2F4A2072"/>
    <w:rsid w:val="2F4A3E20"/>
    <w:rsid w:val="2F4D56BE"/>
    <w:rsid w:val="2F4F58DB"/>
    <w:rsid w:val="2F522CD5"/>
    <w:rsid w:val="2F527179"/>
    <w:rsid w:val="2F544C9F"/>
    <w:rsid w:val="2F546A4D"/>
    <w:rsid w:val="2F5527C5"/>
    <w:rsid w:val="2F560A17"/>
    <w:rsid w:val="2F571A37"/>
    <w:rsid w:val="2F5729E1"/>
    <w:rsid w:val="2F57598F"/>
    <w:rsid w:val="2F590474"/>
    <w:rsid w:val="2F5A58A8"/>
    <w:rsid w:val="2F5E78CC"/>
    <w:rsid w:val="2F61116A"/>
    <w:rsid w:val="2F6117D7"/>
    <w:rsid w:val="2F61560E"/>
    <w:rsid w:val="2F631386"/>
    <w:rsid w:val="2F642A08"/>
    <w:rsid w:val="2F652D29"/>
    <w:rsid w:val="2F670DA4"/>
    <w:rsid w:val="2F6765AA"/>
    <w:rsid w:val="2F6815B0"/>
    <w:rsid w:val="2F68699C"/>
    <w:rsid w:val="2F6910C6"/>
    <w:rsid w:val="2F6953C2"/>
    <w:rsid w:val="2F6A5400"/>
    <w:rsid w:val="2F6C45C2"/>
    <w:rsid w:val="2F6D5505"/>
    <w:rsid w:val="2F6F7D2B"/>
    <w:rsid w:val="2F7215C9"/>
    <w:rsid w:val="2F726C5C"/>
    <w:rsid w:val="2F794705"/>
    <w:rsid w:val="2F7A425E"/>
    <w:rsid w:val="2F7B237E"/>
    <w:rsid w:val="2F7D636D"/>
    <w:rsid w:val="2F7E0CFF"/>
    <w:rsid w:val="2F7E3ACA"/>
    <w:rsid w:val="2F7E4A51"/>
    <w:rsid w:val="2F827A5E"/>
    <w:rsid w:val="2F835584"/>
    <w:rsid w:val="2F8462B2"/>
    <w:rsid w:val="2F875DDB"/>
    <w:rsid w:val="2F884949"/>
    <w:rsid w:val="2F893755"/>
    <w:rsid w:val="2F89718F"/>
    <w:rsid w:val="2F8A08CC"/>
    <w:rsid w:val="2F8A7F0B"/>
    <w:rsid w:val="2F8B61E7"/>
    <w:rsid w:val="2F8D01B1"/>
    <w:rsid w:val="2F8F005C"/>
    <w:rsid w:val="2F911EBE"/>
    <w:rsid w:val="2F923A19"/>
    <w:rsid w:val="2F927EDE"/>
    <w:rsid w:val="2F9C6646"/>
    <w:rsid w:val="2F9D560E"/>
    <w:rsid w:val="2FA07EE4"/>
    <w:rsid w:val="2FA133CD"/>
    <w:rsid w:val="2FA179C1"/>
    <w:rsid w:val="2FA23C5C"/>
    <w:rsid w:val="2FA31782"/>
    <w:rsid w:val="2FA32CCB"/>
    <w:rsid w:val="2FA5374C"/>
    <w:rsid w:val="2FA554FB"/>
    <w:rsid w:val="2FAA48BF"/>
    <w:rsid w:val="2FAC6889"/>
    <w:rsid w:val="2FAD694E"/>
    <w:rsid w:val="2FAE5E52"/>
    <w:rsid w:val="2FAF0127"/>
    <w:rsid w:val="2FAF1ED5"/>
    <w:rsid w:val="2FAF3D59"/>
    <w:rsid w:val="2FAF45CB"/>
    <w:rsid w:val="2FB41BE1"/>
    <w:rsid w:val="2FB62BD3"/>
    <w:rsid w:val="2FB67708"/>
    <w:rsid w:val="2FB7739C"/>
    <w:rsid w:val="2FB924EC"/>
    <w:rsid w:val="2FB92D54"/>
    <w:rsid w:val="2FBA4CE1"/>
    <w:rsid w:val="2FBB2F70"/>
    <w:rsid w:val="2FBB6ACC"/>
    <w:rsid w:val="2FBC071F"/>
    <w:rsid w:val="2FBD5AB0"/>
    <w:rsid w:val="2FBE65BC"/>
    <w:rsid w:val="2FBF00C4"/>
    <w:rsid w:val="2FBF42FA"/>
    <w:rsid w:val="2FC02334"/>
    <w:rsid w:val="2FC242FE"/>
    <w:rsid w:val="2FC35981"/>
    <w:rsid w:val="2FC45434"/>
    <w:rsid w:val="2FC738B3"/>
    <w:rsid w:val="2FC811E9"/>
    <w:rsid w:val="2FC82F97"/>
    <w:rsid w:val="2FCA6D7F"/>
    <w:rsid w:val="2FCA79AD"/>
    <w:rsid w:val="2FCB74E2"/>
    <w:rsid w:val="2FCC0D21"/>
    <w:rsid w:val="2FCC5877"/>
    <w:rsid w:val="2FCD47F7"/>
    <w:rsid w:val="2FCD67FF"/>
    <w:rsid w:val="2FCF4325"/>
    <w:rsid w:val="2FD04F64"/>
    <w:rsid w:val="2FD13178"/>
    <w:rsid w:val="2FD13F35"/>
    <w:rsid w:val="2FD57720"/>
    <w:rsid w:val="2FD63906"/>
    <w:rsid w:val="2FD656B4"/>
    <w:rsid w:val="2FD933F6"/>
    <w:rsid w:val="2FD9510B"/>
    <w:rsid w:val="2FD951A4"/>
    <w:rsid w:val="2FDB2CCA"/>
    <w:rsid w:val="2FDB6DFB"/>
    <w:rsid w:val="2FDC6A42"/>
    <w:rsid w:val="2FDE210C"/>
    <w:rsid w:val="2FDE6C5E"/>
    <w:rsid w:val="2FE04785"/>
    <w:rsid w:val="2FE1152C"/>
    <w:rsid w:val="2FE13898"/>
    <w:rsid w:val="2FE14345"/>
    <w:rsid w:val="2FE1675E"/>
    <w:rsid w:val="2FE204FD"/>
    <w:rsid w:val="2FE31C96"/>
    <w:rsid w:val="2FE36023"/>
    <w:rsid w:val="2FE45B27"/>
    <w:rsid w:val="2FE53DE3"/>
    <w:rsid w:val="2FE66ADF"/>
    <w:rsid w:val="2FE73D65"/>
    <w:rsid w:val="2FE75B13"/>
    <w:rsid w:val="2FE92CA8"/>
    <w:rsid w:val="2FEA17CF"/>
    <w:rsid w:val="2FEA5460"/>
    <w:rsid w:val="2FF124EE"/>
    <w:rsid w:val="2FF22973"/>
    <w:rsid w:val="2FF3270A"/>
    <w:rsid w:val="2FF41FDE"/>
    <w:rsid w:val="2FF6325E"/>
    <w:rsid w:val="2FF95846"/>
    <w:rsid w:val="2FFA3A98"/>
    <w:rsid w:val="2FFB336C"/>
    <w:rsid w:val="2FFD12D6"/>
    <w:rsid w:val="2FFD70E5"/>
    <w:rsid w:val="2FFE4C0B"/>
    <w:rsid w:val="30000182"/>
    <w:rsid w:val="30000983"/>
    <w:rsid w:val="30055F99"/>
    <w:rsid w:val="3006692F"/>
    <w:rsid w:val="30087270"/>
    <w:rsid w:val="300B2A23"/>
    <w:rsid w:val="300B4798"/>
    <w:rsid w:val="300D0104"/>
    <w:rsid w:val="300D4E4E"/>
    <w:rsid w:val="300E30A0"/>
    <w:rsid w:val="300F0BC6"/>
    <w:rsid w:val="30112B90"/>
    <w:rsid w:val="30122F2A"/>
    <w:rsid w:val="301306B6"/>
    <w:rsid w:val="30134B5A"/>
    <w:rsid w:val="301663F8"/>
    <w:rsid w:val="3019022C"/>
    <w:rsid w:val="30191258"/>
    <w:rsid w:val="301C1678"/>
    <w:rsid w:val="301C7E51"/>
    <w:rsid w:val="301E039C"/>
    <w:rsid w:val="30206C6F"/>
    <w:rsid w:val="3029612C"/>
    <w:rsid w:val="302A65CC"/>
    <w:rsid w:val="302B14B8"/>
    <w:rsid w:val="302C79CA"/>
    <w:rsid w:val="302D4AD2"/>
    <w:rsid w:val="302F1268"/>
    <w:rsid w:val="303074BA"/>
    <w:rsid w:val="30316D8E"/>
    <w:rsid w:val="30322A82"/>
    <w:rsid w:val="30354AD0"/>
    <w:rsid w:val="3038011D"/>
    <w:rsid w:val="303D3985"/>
    <w:rsid w:val="30405DB5"/>
    <w:rsid w:val="30414656"/>
    <w:rsid w:val="30422D49"/>
    <w:rsid w:val="304462AF"/>
    <w:rsid w:val="30450A8C"/>
    <w:rsid w:val="304A60A2"/>
    <w:rsid w:val="304A7E50"/>
    <w:rsid w:val="304E7940"/>
    <w:rsid w:val="304F36B8"/>
    <w:rsid w:val="3050614F"/>
    <w:rsid w:val="30532F8E"/>
    <w:rsid w:val="30554832"/>
    <w:rsid w:val="305807BF"/>
    <w:rsid w:val="3058256D"/>
    <w:rsid w:val="30586A11"/>
    <w:rsid w:val="305B205D"/>
    <w:rsid w:val="305B3E0B"/>
    <w:rsid w:val="3062519A"/>
    <w:rsid w:val="306252E1"/>
    <w:rsid w:val="30636CA2"/>
    <w:rsid w:val="30654C8A"/>
    <w:rsid w:val="306B6703"/>
    <w:rsid w:val="306C426A"/>
    <w:rsid w:val="30705B08"/>
    <w:rsid w:val="30717AD3"/>
    <w:rsid w:val="30744ECD"/>
    <w:rsid w:val="30751371"/>
    <w:rsid w:val="3075311F"/>
    <w:rsid w:val="30763DE8"/>
    <w:rsid w:val="30766328"/>
    <w:rsid w:val="307777B8"/>
    <w:rsid w:val="30793568"/>
    <w:rsid w:val="307B44AD"/>
    <w:rsid w:val="307D1FD3"/>
    <w:rsid w:val="307D78C2"/>
    <w:rsid w:val="307F5D4C"/>
    <w:rsid w:val="307F7AFA"/>
    <w:rsid w:val="30803872"/>
    <w:rsid w:val="3082583C"/>
    <w:rsid w:val="3083092C"/>
    <w:rsid w:val="30830EBF"/>
    <w:rsid w:val="308642C9"/>
    <w:rsid w:val="308710A4"/>
    <w:rsid w:val="30884CB9"/>
    <w:rsid w:val="308A649E"/>
    <w:rsid w:val="308C2A19"/>
    <w:rsid w:val="308F4C3A"/>
    <w:rsid w:val="30913CD1"/>
    <w:rsid w:val="30915A7F"/>
    <w:rsid w:val="3091748F"/>
    <w:rsid w:val="309317F7"/>
    <w:rsid w:val="30963095"/>
    <w:rsid w:val="3098505F"/>
    <w:rsid w:val="30986E0D"/>
    <w:rsid w:val="309E2963"/>
    <w:rsid w:val="309E4D64"/>
    <w:rsid w:val="309F019C"/>
    <w:rsid w:val="309F63EE"/>
    <w:rsid w:val="30A27C8C"/>
    <w:rsid w:val="30A457B2"/>
    <w:rsid w:val="30A47C65"/>
    <w:rsid w:val="30A734F4"/>
    <w:rsid w:val="30A77050"/>
    <w:rsid w:val="30AB4D93"/>
    <w:rsid w:val="30AB66A8"/>
    <w:rsid w:val="30AE120B"/>
    <w:rsid w:val="30AE4883"/>
    <w:rsid w:val="30AE55C4"/>
    <w:rsid w:val="30B023A9"/>
    <w:rsid w:val="30B05F05"/>
    <w:rsid w:val="30B27557"/>
    <w:rsid w:val="30B33C47"/>
    <w:rsid w:val="30B4039B"/>
    <w:rsid w:val="30B40C26"/>
    <w:rsid w:val="30B55C11"/>
    <w:rsid w:val="30BA444A"/>
    <w:rsid w:val="30BA6D84"/>
    <w:rsid w:val="30BF439A"/>
    <w:rsid w:val="30C10112"/>
    <w:rsid w:val="30C23098"/>
    <w:rsid w:val="30C3032E"/>
    <w:rsid w:val="30C47C02"/>
    <w:rsid w:val="30C714A1"/>
    <w:rsid w:val="30C97060"/>
    <w:rsid w:val="30CA2DDC"/>
    <w:rsid w:val="30CB2D3F"/>
    <w:rsid w:val="30CB71E3"/>
    <w:rsid w:val="30CF1A67"/>
    <w:rsid w:val="30D07C22"/>
    <w:rsid w:val="30D342E9"/>
    <w:rsid w:val="30D36097"/>
    <w:rsid w:val="30D37E45"/>
    <w:rsid w:val="30D616E4"/>
    <w:rsid w:val="30D8673B"/>
    <w:rsid w:val="30DA0077"/>
    <w:rsid w:val="30DC13F0"/>
    <w:rsid w:val="30DC4F4C"/>
    <w:rsid w:val="30DC73DA"/>
    <w:rsid w:val="30DD6F16"/>
    <w:rsid w:val="30E21348"/>
    <w:rsid w:val="30E33D06"/>
    <w:rsid w:val="30E402A4"/>
    <w:rsid w:val="30E456CB"/>
    <w:rsid w:val="30E56995"/>
    <w:rsid w:val="30E57CC9"/>
    <w:rsid w:val="30E65A45"/>
    <w:rsid w:val="30E6702B"/>
    <w:rsid w:val="30E738F1"/>
    <w:rsid w:val="30E81B43"/>
    <w:rsid w:val="30E9444B"/>
    <w:rsid w:val="30E958BB"/>
    <w:rsid w:val="30EB518F"/>
    <w:rsid w:val="30ED645B"/>
    <w:rsid w:val="30ED7159"/>
    <w:rsid w:val="30EE1123"/>
    <w:rsid w:val="30EE4C7F"/>
    <w:rsid w:val="30F027A5"/>
    <w:rsid w:val="30F22B31"/>
    <w:rsid w:val="30F36D99"/>
    <w:rsid w:val="30F72470"/>
    <w:rsid w:val="30F73B34"/>
    <w:rsid w:val="30F77FD8"/>
    <w:rsid w:val="30F878AC"/>
    <w:rsid w:val="30F92FE5"/>
    <w:rsid w:val="30FD3114"/>
    <w:rsid w:val="30FD53E9"/>
    <w:rsid w:val="30FD7223"/>
    <w:rsid w:val="30FF50DE"/>
    <w:rsid w:val="30FF6E8C"/>
    <w:rsid w:val="31010E56"/>
    <w:rsid w:val="31012C04"/>
    <w:rsid w:val="31035093"/>
    <w:rsid w:val="3103697D"/>
    <w:rsid w:val="310444A3"/>
    <w:rsid w:val="3106021B"/>
    <w:rsid w:val="31061FC9"/>
    <w:rsid w:val="310A2931"/>
    <w:rsid w:val="310E70CF"/>
    <w:rsid w:val="310F3E15"/>
    <w:rsid w:val="31102C85"/>
    <w:rsid w:val="31102E48"/>
    <w:rsid w:val="31106175"/>
    <w:rsid w:val="31114115"/>
    <w:rsid w:val="31140B8A"/>
    <w:rsid w:val="31141606"/>
    <w:rsid w:val="3115045E"/>
    <w:rsid w:val="311566B0"/>
    <w:rsid w:val="31172428"/>
    <w:rsid w:val="311C17EC"/>
    <w:rsid w:val="311C4218"/>
    <w:rsid w:val="311E2685"/>
    <w:rsid w:val="311E37B6"/>
    <w:rsid w:val="312132A7"/>
    <w:rsid w:val="31215055"/>
    <w:rsid w:val="312220E2"/>
    <w:rsid w:val="312227A7"/>
    <w:rsid w:val="312245A1"/>
    <w:rsid w:val="31230DCD"/>
    <w:rsid w:val="31232B7B"/>
    <w:rsid w:val="31254BE1"/>
    <w:rsid w:val="31271F3F"/>
    <w:rsid w:val="31280191"/>
    <w:rsid w:val="31293F09"/>
    <w:rsid w:val="312B5ED3"/>
    <w:rsid w:val="312D39F9"/>
    <w:rsid w:val="312F5FAA"/>
    <w:rsid w:val="312F7772"/>
    <w:rsid w:val="313034EA"/>
    <w:rsid w:val="31314707"/>
    <w:rsid w:val="31326468"/>
    <w:rsid w:val="31343A11"/>
    <w:rsid w:val="31344D88"/>
    <w:rsid w:val="313545C8"/>
    <w:rsid w:val="31374878"/>
    <w:rsid w:val="31390F8B"/>
    <w:rsid w:val="313A1C72"/>
    <w:rsid w:val="313A6116"/>
    <w:rsid w:val="313E1763"/>
    <w:rsid w:val="313F2AD3"/>
    <w:rsid w:val="31403E0D"/>
    <w:rsid w:val="31466869"/>
    <w:rsid w:val="31480833"/>
    <w:rsid w:val="31496359"/>
    <w:rsid w:val="314D520B"/>
    <w:rsid w:val="3150593A"/>
    <w:rsid w:val="31505F30"/>
    <w:rsid w:val="315651CD"/>
    <w:rsid w:val="31586D82"/>
    <w:rsid w:val="315A2315"/>
    <w:rsid w:val="315A40C3"/>
    <w:rsid w:val="315E35C9"/>
    <w:rsid w:val="315F185A"/>
    <w:rsid w:val="31603DCF"/>
    <w:rsid w:val="31607AD2"/>
    <w:rsid w:val="316136A3"/>
    <w:rsid w:val="31615451"/>
    <w:rsid w:val="3163741B"/>
    <w:rsid w:val="316469B0"/>
    <w:rsid w:val="316540F7"/>
    <w:rsid w:val="316848EA"/>
    <w:rsid w:val="3169299B"/>
    <w:rsid w:val="316B2774"/>
    <w:rsid w:val="316E0AD0"/>
    <w:rsid w:val="31700F9D"/>
    <w:rsid w:val="3170250D"/>
    <w:rsid w:val="31730A23"/>
    <w:rsid w:val="31732703"/>
    <w:rsid w:val="31734ACD"/>
    <w:rsid w:val="317433D6"/>
    <w:rsid w:val="31745184"/>
    <w:rsid w:val="31751820"/>
    <w:rsid w:val="31761E32"/>
    <w:rsid w:val="31773AFB"/>
    <w:rsid w:val="317A4765"/>
    <w:rsid w:val="317A6513"/>
    <w:rsid w:val="317D7F3B"/>
    <w:rsid w:val="317E4255"/>
    <w:rsid w:val="317F1E4C"/>
    <w:rsid w:val="31805AB5"/>
    <w:rsid w:val="31813D45"/>
    <w:rsid w:val="318555E4"/>
    <w:rsid w:val="31863ECE"/>
    <w:rsid w:val="318850D4"/>
    <w:rsid w:val="318B335C"/>
    <w:rsid w:val="318D32A2"/>
    <w:rsid w:val="318D6246"/>
    <w:rsid w:val="318F27FC"/>
    <w:rsid w:val="318F411A"/>
    <w:rsid w:val="31921AAF"/>
    <w:rsid w:val="31923A71"/>
    <w:rsid w:val="31924CEB"/>
    <w:rsid w:val="31997140"/>
    <w:rsid w:val="319C0B7F"/>
    <w:rsid w:val="319C474E"/>
    <w:rsid w:val="319C5D86"/>
    <w:rsid w:val="319E0453"/>
    <w:rsid w:val="319E4903"/>
    <w:rsid w:val="31A33CBC"/>
    <w:rsid w:val="31A43590"/>
    <w:rsid w:val="31A7168E"/>
    <w:rsid w:val="31A737AC"/>
    <w:rsid w:val="31A812D2"/>
    <w:rsid w:val="31AB491E"/>
    <w:rsid w:val="31B25CAD"/>
    <w:rsid w:val="31B4325D"/>
    <w:rsid w:val="31B6474F"/>
    <w:rsid w:val="31B83526"/>
    <w:rsid w:val="31B9650F"/>
    <w:rsid w:val="31BB7257"/>
    <w:rsid w:val="31BC5A96"/>
    <w:rsid w:val="31BC6B2B"/>
    <w:rsid w:val="31BE0AF5"/>
    <w:rsid w:val="31BE5A57"/>
    <w:rsid w:val="31C0486E"/>
    <w:rsid w:val="31C12394"/>
    <w:rsid w:val="31C43A5C"/>
    <w:rsid w:val="31C559E0"/>
    <w:rsid w:val="31C763AD"/>
    <w:rsid w:val="31C81974"/>
    <w:rsid w:val="31CB005B"/>
    <w:rsid w:val="31CD0D39"/>
    <w:rsid w:val="31CE7DA1"/>
    <w:rsid w:val="31CF4AB1"/>
    <w:rsid w:val="31CF6638"/>
    <w:rsid w:val="31CF685F"/>
    <w:rsid w:val="31D125D7"/>
    <w:rsid w:val="31D16A7B"/>
    <w:rsid w:val="31D63CDE"/>
    <w:rsid w:val="31D84F5F"/>
    <w:rsid w:val="31D9148B"/>
    <w:rsid w:val="31D95B60"/>
    <w:rsid w:val="31DD5420"/>
    <w:rsid w:val="31DE673B"/>
    <w:rsid w:val="31E3055C"/>
    <w:rsid w:val="31E3230A"/>
    <w:rsid w:val="31E35F91"/>
    <w:rsid w:val="31E47795"/>
    <w:rsid w:val="31E56082"/>
    <w:rsid w:val="31E83DC4"/>
    <w:rsid w:val="31E87920"/>
    <w:rsid w:val="31ED71F9"/>
    <w:rsid w:val="31EF0CAF"/>
    <w:rsid w:val="31F12C79"/>
    <w:rsid w:val="31F2079F"/>
    <w:rsid w:val="31F2462F"/>
    <w:rsid w:val="31F43B9D"/>
    <w:rsid w:val="31F6203D"/>
    <w:rsid w:val="31F67A05"/>
    <w:rsid w:val="31F75DB5"/>
    <w:rsid w:val="31F84007"/>
    <w:rsid w:val="31F9119D"/>
    <w:rsid w:val="31F91B2E"/>
    <w:rsid w:val="31FA7F8F"/>
    <w:rsid w:val="31FC4E6B"/>
    <w:rsid w:val="31FC517A"/>
    <w:rsid w:val="31FD161E"/>
    <w:rsid w:val="31FD2C13"/>
    <w:rsid w:val="320160DF"/>
    <w:rsid w:val="320329AC"/>
    <w:rsid w:val="32056A2F"/>
    <w:rsid w:val="320C360F"/>
    <w:rsid w:val="320F1351"/>
    <w:rsid w:val="320F4EAD"/>
    <w:rsid w:val="321026ED"/>
    <w:rsid w:val="32116E77"/>
    <w:rsid w:val="3212499D"/>
    <w:rsid w:val="321430FF"/>
    <w:rsid w:val="32144BB9"/>
    <w:rsid w:val="3215315D"/>
    <w:rsid w:val="321626E0"/>
    <w:rsid w:val="321921D0"/>
    <w:rsid w:val="32195D2C"/>
    <w:rsid w:val="321D0C19"/>
    <w:rsid w:val="321E3C4A"/>
    <w:rsid w:val="32207918"/>
    <w:rsid w:val="32211743"/>
    <w:rsid w:val="3221692D"/>
    <w:rsid w:val="32245452"/>
    <w:rsid w:val="32264E70"/>
    <w:rsid w:val="322748ED"/>
    <w:rsid w:val="32286157"/>
    <w:rsid w:val="32290263"/>
    <w:rsid w:val="322979B4"/>
    <w:rsid w:val="322C1F03"/>
    <w:rsid w:val="322D12EF"/>
    <w:rsid w:val="322D344B"/>
    <w:rsid w:val="322E5C7B"/>
    <w:rsid w:val="32315251"/>
    <w:rsid w:val="32321DDA"/>
    <w:rsid w:val="32333304"/>
    <w:rsid w:val="32335040"/>
    <w:rsid w:val="32340DB8"/>
    <w:rsid w:val="3237307B"/>
    <w:rsid w:val="323731A8"/>
    <w:rsid w:val="32375C19"/>
    <w:rsid w:val="32382656"/>
    <w:rsid w:val="32384404"/>
    <w:rsid w:val="323970DC"/>
    <w:rsid w:val="323B5CA2"/>
    <w:rsid w:val="323C2E8C"/>
    <w:rsid w:val="323D1A1A"/>
    <w:rsid w:val="323E39E4"/>
    <w:rsid w:val="323E5792"/>
    <w:rsid w:val="324218CF"/>
    <w:rsid w:val="32433D41"/>
    <w:rsid w:val="32452FC5"/>
    <w:rsid w:val="32470AEB"/>
    <w:rsid w:val="32485077"/>
    <w:rsid w:val="324879ED"/>
    <w:rsid w:val="32494863"/>
    <w:rsid w:val="324A67B5"/>
    <w:rsid w:val="324B3F89"/>
    <w:rsid w:val="32543208"/>
    <w:rsid w:val="32544FB6"/>
    <w:rsid w:val="325454D5"/>
    <w:rsid w:val="32572E94"/>
    <w:rsid w:val="32591540"/>
    <w:rsid w:val="325A6A70"/>
    <w:rsid w:val="325D3E6B"/>
    <w:rsid w:val="325F5E35"/>
    <w:rsid w:val="32607DFF"/>
    <w:rsid w:val="3264169D"/>
    <w:rsid w:val="32674CE9"/>
    <w:rsid w:val="32676A3F"/>
    <w:rsid w:val="32686B23"/>
    <w:rsid w:val="32690A6E"/>
    <w:rsid w:val="326D0697"/>
    <w:rsid w:val="326E42CA"/>
    <w:rsid w:val="326F5243"/>
    <w:rsid w:val="3271320C"/>
    <w:rsid w:val="327256B5"/>
    <w:rsid w:val="327411B4"/>
    <w:rsid w:val="32755658"/>
    <w:rsid w:val="327613D0"/>
    <w:rsid w:val="32764F2C"/>
    <w:rsid w:val="32786EF6"/>
    <w:rsid w:val="3279256C"/>
    <w:rsid w:val="327935A5"/>
    <w:rsid w:val="32794A1C"/>
    <w:rsid w:val="327B2543"/>
    <w:rsid w:val="327B69E7"/>
    <w:rsid w:val="327E553D"/>
    <w:rsid w:val="327F64D7"/>
    <w:rsid w:val="32805DAB"/>
    <w:rsid w:val="3281224F"/>
    <w:rsid w:val="32827A03"/>
    <w:rsid w:val="32827D75"/>
    <w:rsid w:val="32851613"/>
    <w:rsid w:val="32894C60"/>
    <w:rsid w:val="328A36FB"/>
    <w:rsid w:val="328E2276"/>
    <w:rsid w:val="328F1215"/>
    <w:rsid w:val="32911D66"/>
    <w:rsid w:val="3293788C"/>
    <w:rsid w:val="32981347"/>
    <w:rsid w:val="32992418"/>
    <w:rsid w:val="329D4BAF"/>
    <w:rsid w:val="329F4483"/>
    <w:rsid w:val="32A01FA9"/>
    <w:rsid w:val="32A26068"/>
    <w:rsid w:val="32A41A99"/>
    <w:rsid w:val="32A45F3D"/>
    <w:rsid w:val="32A634E9"/>
    <w:rsid w:val="32A93554"/>
    <w:rsid w:val="32A963FF"/>
    <w:rsid w:val="32AB107A"/>
    <w:rsid w:val="32AC094E"/>
    <w:rsid w:val="32AC3044"/>
    <w:rsid w:val="32AC6A32"/>
    <w:rsid w:val="32AD714D"/>
    <w:rsid w:val="32AE62EE"/>
    <w:rsid w:val="32B02C46"/>
    <w:rsid w:val="32B1069F"/>
    <w:rsid w:val="32B141B6"/>
    <w:rsid w:val="32B26A60"/>
    <w:rsid w:val="32B617CD"/>
    <w:rsid w:val="32B7578F"/>
    <w:rsid w:val="32B917E7"/>
    <w:rsid w:val="32BA12BD"/>
    <w:rsid w:val="32BA306B"/>
    <w:rsid w:val="32BB5035"/>
    <w:rsid w:val="32BB6DE3"/>
    <w:rsid w:val="32BD2B5B"/>
    <w:rsid w:val="32BF68D3"/>
    <w:rsid w:val="32C16A53"/>
    <w:rsid w:val="32C22AB4"/>
    <w:rsid w:val="32C24615"/>
    <w:rsid w:val="32C600DD"/>
    <w:rsid w:val="32C75788"/>
    <w:rsid w:val="32D3237F"/>
    <w:rsid w:val="32D4751E"/>
    <w:rsid w:val="32D55A1E"/>
    <w:rsid w:val="32D77204"/>
    <w:rsid w:val="32DB1233"/>
    <w:rsid w:val="32DD31FD"/>
    <w:rsid w:val="32DF2AD1"/>
    <w:rsid w:val="32DF371D"/>
    <w:rsid w:val="32E12CEE"/>
    <w:rsid w:val="32E24350"/>
    <w:rsid w:val="32E25183"/>
    <w:rsid w:val="32E26A66"/>
    <w:rsid w:val="32E41DED"/>
    <w:rsid w:val="32E533F2"/>
    <w:rsid w:val="32E53E60"/>
    <w:rsid w:val="32E620B2"/>
    <w:rsid w:val="32EC3150"/>
    <w:rsid w:val="32ED680E"/>
    <w:rsid w:val="32EF0136"/>
    <w:rsid w:val="32F130EE"/>
    <w:rsid w:val="32F46C98"/>
    <w:rsid w:val="32F72511"/>
    <w:rsid w:val="32F81DE5"/>
    <w:rsid w:val="32FB2DAA"/>
    <w:rsid w:val="32FB3683"/>
    <w:rsid w:val="32FB5A40"/>
    <w:rsid w:val="330016DD"/>
    <w:rsid w:val="33010C9A"/>
    <w:rsid w:val="33016EEC"/>
    <w:rsid w:val="33020186"/>
    <w:rsid w:val="33020209"/>
    <w:rsid w:val="33032140"/>
    <w:rsid w:val="330409AF"/>
    <w:rsid w:val="33042538"/>
    <w:rsid w:val="330469DC"/>
    <w:rsid w:val="330571C0"/>
    <w:rsid w:val="33065266"/>
    <w:rsid w:val="330662B0"/>
    <w:rsid w:val="330709B5"/>
    <w:rsid w:val="33077D57"/>
    <w:rsid w:val="330908B5"/>
    <w:rsid w:val="33093FF2"/>
    <w:rsid w:val="330A641A"/>
    <w:rsid w:val="330C5891"/>
    <w:rsid w:val="330C763F"/>
    <w:rsid w:val="330D3AE3"/>
    <w:rsid w:val="330D5210"/>
    <w:rsid w:val="330E785B"/>
    <w:rsid w:val="330F10BA"/>
    <w:rsid w:val="33101C12"/>
    <w:rsid w:val="331309CD"/>
    <w:rsid w:val="33136C1F"/>
    <w:rsid w:val="33153347"/>
    <w:rsid w:val="33165E0F"/>
    <w:rsid w:val="33183462"/>
    <w:rsid w:val="33184235"/>
    <w:rsid w:val="33185FE3"/>
    <w:rsid w:val="331A5DA1"/>
    <w:rsid w:val="331C1F78"/>
    <w:rsid w:val="331C5AD4"/>
    <w:rsid w:val="331D35FA"/>
    <w:rsid w:val="331E0227"/>
    <w:rsid w:val="3324166F"/>
    <w:rsid w:val="33274478"/>
    <w:rsid w:val="33296443"/>
    <w:rsid w:val="332C10F7"/>
    <w:rsid w:val="332E3A59"/>
    <w:rsid w:val="333003F3"/>
    <w:rsid w:val="33305A23"/>
    <w:rsid w:val="33323549"/>
    <w:rsid w:val="33334829"/>
    <w:rsid w:val="333C280A"/>
    <w:rsid w:val="333C43C8"/>
    <w:rsid w:val="333F17C2"/>
    <w:rsid w:val="333F226C"/>
    <w:rsid w:val="334119DE"/>
    <w:rsid w:val="334308AF"/>
    <w:rsid w:val="3344502A"/>
    <w:rsid w:val="33466FF4"/>
    <w:rsid w:val="33484B1B"/>
    <w:rsid w:val="3349170F"/>
    <w:rsid w:val="334A0F9A"/>
    <w:rsid w:val="334B30A4"/>
    <w:rsid w:val="334B6B48"/>
    <w:rsid w:val="334D21DE"/>
    <w:rsid w:val="334D3EDF"/>
    <w:rsid w:val="334E7C57"/>
    <w:rsid w:val="335039CF"/>
    <w:rsid w:val="335214F5"/>
    <w:rsid w:val="3353526D"/>
    <w:rsid w:val="335428E3"/>
    <w:rsid w:val="33550FE6"/>
    <w:rsid w:val="33561D44"/>
    <w:rsid w:val="33574D5E"/>
    <w:rsid w:val="33595455"/>
    <w:rsid w:val="335A2AA0"/>
    <w:rsid w:val="335A484E"/>
    <w:rsid w:val="335C6496"/>
    <w:rsid w:val="335C6818"/>
    <w:rsid w:val="335D7E9A"/>
    <w:rsid w:val="335F3754"/>
    <w:rsid w:val="33680D19"/>
    <w:rsid w:val="33686F6B"/>
    <w:rsid w:val="336B25B7"/>
    <w:rsid w:val="336E2884"/>
    <w:rsid w:val="336E3F51"/>
    <w:rsid w:val="336F1825"/>
    <w:rsid w:val="3372460D"/>
    <w:rsid w:val="3377394F"/>
    <w:rsid w:val="33792F26"/>
    <w:rsid w:val="337B2999"/>
    <w:rsid w:val="337B3785"/>
    <w:rsid w:val="337B4EF0"/>
    <w:rsid w:val="337C2A16"/>
    <w:rsid w:val="337D69FA"/>
    <w:rsid w:val="337E053C"/>
    <w:rsid w:val="3381002D"/>
    <w:rsid w:val="33817E74"/>
    <w:rsid w:val="33832360"/>
    <w:rsid w:val="33833DA5"/>
    <w:rsid w:val="33835B53"/>
    <w:rsid w:val="3384518C"/>
    <w:rsid w:val="338545EB"/>
    <w:rsid w:val="3385611A"/>
    <w:rsid w:val="33857B1D"/>
    <w:rsid w:val="33865643"/>
    <w:rsid w:val="3387267D"/>
    <w:rsid w:val="338964EA"/>
    <w:rsid w:val="338B492A"/>
    <w:rsid w:val="338C3EE8"/>
    <w:rsid w:val="338F229F"/>
    <w:rsid w:val="338F44F8"/>
    <w:rsid w:val="33900270"/>
    <w:rsid w:val="33904876"/>
    <w:rsid w:val="33916CB0"/>
    <w:rsid w:val="33945FB2"/>
    <w:rsid w:val="339715FE"/>
    <w:rsid w:val="339733AC"/>
    <w:rsid w:val="339876A5"/>
    <w:rsid w:val="33997124"/>
    <w:rsid w:val="339B5763"/>
    <w:rsid w:val="339C09C3"/>
    <w:rsid w:val="339C27BF"/>
    <w:rsid w:val="339E298D"/>
    <w:rsid w:val="33A1422B"/>
    <w:rsid w:val="33A254ED"/>
    <w:rsid w:val="33A31D51"/>
    <w:rsid w:val="33A3275D"/>
    <w:rsid w:val="33A361F5"/>
    <w:rsid w:val="33A46002"/>
    <w:rsid w:val="33A61841"/>
    <w:rsid w:val="33A73B39"/>
    <w:rsid w:val="33A855B9"/>
    <w:rsid w:val="33AD0E22"/>
    <w:rsid w:val="33AD2BD0"/>
    <w:rsid w:val="33B201E6"/>
    <w:rsid w:val="33B2468A"/>
    <w:rsid w:val="33B32E0F"/>
    <w:rsid w:val="33B43FC1"/>
    <w:rsid w:val="33B51A84"/>
    <w:rsid w:val="33BC12BC"/>
    <w:rsid w:val="33BC72B7"/>
    <w:rsid w:val="33BE302F"/>
    <w:rsid w:val="33C00B55"/>
    <w:rsid w:val="33C137F8"/>
    <w:rsid w:val="33C1667B"/>
    <w:rsid w:val="33C323F3"/>
    <w:rsid w:val="33C37CFF"/>
    <w:rsid w:val="33C57F19"/>
    <w:rsid w:val="33CA5530"/>
    <w:rsid w:val="33CB18C0"/>
    <w:rsid w:val="33CC1D3B"/>
    <w:rsid w:val="33CC25A8"/>
    <w:rsid w:val="33CD330B"/>
    <w:rsid w:val="33D12F34"/>
    <w:rsid w:val="33D2699B"/>
    <w:rsid w:val="33D72248"/>
    <w:rsid w:val="33D83EFD"/>
    <w:rsid w:val="33D906F5"/>
    <w:rsid w:val="33DA0171"/>
    <w:rsid w:val="33DB773D"/>
    <w:rsid w:val="33DC08A6"/>
    <w:rsid w:val="33DC189A"/>
    <w:rsid w:val="33E158BD"/>
    <w:rsid w:val="33E32A95"/>
    <w:rsid w:val="33E505BB"/>
    <w:rsid w:val="33E52369"/>
    <w:rsid w:val="33EA3E24"/>
    <w:rsid w:val="33EA5BD2"/>
    <w:rsid w:val="33EA7980"/>
    <w:rsid w:val="33EB36F8"/>
    <w:rsid w:val="33ED7470"/>
    <w:rsid w:val="33ED7B40"/>
    <w:rsid w:val="33EF31E8"/>
    <w:rsid w:val="33F0483B"/>
    <w:rsid w:val="33F407FF"/>
    <w:rsid w:val="33F702EF"/>
    <w:rsid w:val="33F95E15"/>
    <w:rsid w:val="33FC5673"/>
    <w:rsid w:val="33FE000C"/>
    <w:rsid w:val="33FF05DF"/>
    <w:rsid w:val="33FF738F"/>
    <w:rsid w:val="34000165"/>
    <w:rsid w:val="34012F1B"/>
    <w:rsid w:val="34022441"/>
    <w:rsid w:val="34027F39"/>
    <w:rsid w:val="34034EE6"/>
    <w:rsid w:val="34044E0D"/>
    <w:rsid w:val="34054850"/>
    <w:rsid w:val="34056568"/>
    <w:rsid w:val="34075F64"/>
    <w:rsid w:val="3408413A"/>
    <w:rsid w:val="34086058"/>
    <w:rsid w:val="340A0022"/>
    <w:rsid w:val="340A6274"/>
    <w:rsid w:val="340A6716"/>
    <w:rsid w:val="340D7B12"/>
    <w:rsid w:val="340E0FBF"/>
    <w:rsid w:val="34107796"/>
    <w:rsid w:val="341174E5"/>
    <w:rsid w:val="34125129"/>
    <w:rsid w:val="34137AFD"/>
    <w:rsid w:val="34153256"/>
    <w:rsid w:val="34171F79"/>
    <w:rsid w:val="3418429C"/>
    <w:rsid w:val="34192013"/>
    <w:rsid w:val="341A0848"/>
    <w:rsid w:val="341B222F"/>
    <w:rsid w:val="341B48A9"/>
    <w:rsid w:val="341D7D55"/>
    <w:rsid w:val="341E3ACD"/>
    <w:rsid w:val="341E4DC8"/>
    <w:rsid w:val="342015F4"/>
    <w:rsid w:val="342033A2"/>
    <w:rsid w:val="3422536C"/>
    <w:rsid w:val="34226471"/>
    <w:rsid w:val="342310E4"/>
    <w:rsid w:val="34232E92"/>
    <w:rsid w:val="34256C0A"/>
    <w:rsid w:val="3426746D"/>
    <w:rsid w:val="3428494C"/>
    <w:rsid w:val="342A0F68"/>
    <w:rsid w:val="342B1614"/>
    <w:rsid w:val="342E0004"/>
    <w:rsid w:val="342F48F7"/>
    <w:rsid w:val="34303467"/>
    <w:rsid w:val="34311A53"/>
    <w:rsid w:val="34313CD8"/>
    <w:rsid w:val="343155AF"/>
    <w:rsid w:val="343177BB"/>
    <w:rsid w:val="34337579"/>
    <w:rsid w:val="34360E17"/>
    <w:rsid w:val="34362BC5"/>
    <w:rsid w:val="34390907"/>
    <w:rsid w:val="343C3F54"/>
    <w:rsid w:val="343D03F7"/>
    <w:rsid w:val="343D5072"/>
    <w:rsid w:val="343F6B5B"/>
    <w:rsid w:val="3442156A"/>
    <w:rsid w:val="34433534"/>
    <w:rsid w:val="344352E2"/>
    <w:rsid w:val="3446158A"/>
    <w:rsid w:val="34473024"/>
    <w:rsid w:val="34480B4A"/>
    <w:rsid w:val="34485C44"/>
    <w:rsid w:val="34492B08"/>
    <w:rsid w:val="344A1390"/>
    <w:rsid w:val="344B1CDF"/>
    <w:rsid w:val="344B7B58"/>
    <w:rsid w:val="344C23E9"/>
    <w:rsid w:val="345179FF"/>
    <w:rsid w:val="34565015"/>
    <w:rsid w:val="3456735A"/>
    <w:rsid w:val="34572B3B"/>
    <w:rsid w:val="34586FDF"/>
    <w:rsid w:val="34594B05"/>
    <w:rsid w:val="345968B4"/>
    <w:rsid w:val="345B716B"/>
    <w:rsid w:val="345D6493"/>
    <w:rsid w:val="345E211C"/>
    <w:rsid w:val="34627E5E"/>
    <w:rsid w:val="346314E0"/>
    <w:rsid w:val="346351E1"/>
    <w:rsid w:val="34677222"/>
    <w:rsid w:val="34687C30"/>
    <w:rsid w:val="346B7135"/>
    <w:rsid w:val="346C2A8B"/>
    <w:rsid w:val="346C4839"/>
    <w:rsid w:val="346D235F"/>
    <w:rsid w:val="346E6803"/>
    <w:rsid w:val="346F257B"/>
    <w:rsid w:val="346F4C16"/>
    <w:rsid w:val="346F596E"/>
    <w:rsid w:val="346F60D7"/>
    <w:rsid w:val="347100A1"/>
    <w:rsid w:val="34735EE8"/>
    <w:rsid w:val="3474193F"/>
    <w:rsid w:val="34746C62"/>
    <w:rsid w:val="34751D9F"/>
    <w:rsid w:val="3475219F"/>
    <w:rsid w:val="34774C27"/>
    <w:rsid w:val="34784F8C"/>
    <w:rsid w:val="34796F56"/>
    <w:rsid w:val="34797742"/>
    <w:rsid w:val="347B0F20"/>
    <w:rsid w:val="347B2A3D"/>
    <w:rsid w:val="347D6A46"/>
    <w:rsid w:val="347E631A"/>
    <w:rsid w:val="348002E4"/>
    <w:rsid w:val="34825FD9"/>
    <w:rsid w:val="34831B82"/>
    <w:rsid w:val="34853B4C"/>
    <w:rsid w:val="348576A9"/>
    <w:rsid w:val="348A4CBF"/>
    <w:rsid w:val="348E47AF"/>
    <w:rsid w:val="349025DC"/>
    <w:rsid w:val="3491015A"/>
    <w:rsid w:val="34927A51"/>
    <w:rsid w:val="34927DD5"/>
    <w:rsid w:val="34930017"/>
    <w:rsid w:val="34983880"/>
    <w:rsid w:val="349873DC"/>
    <w:rsid w:val="349A13A6"/>
    <w:rsid w:val="349A316D"/>
    <w:rsid w:val="349A32DB"/>
    <w:rsid w:val="349A75F8"/>
    <w:rsid w:val="349C4BE5"/>
    <w:rsid w:val="349D0E96"/>
    <w:rsid w:val="349D49F2"/>
    <w:rsid w:val="349F4C0E"/>
    <w:rsid w:val="34A00986"/>
    <w:rsid w:val="34A02734"/>
    <w:rsid w:val="34A246FE"/>
    <w:rsid w:val="34A55F9D"/>
    <w:rsid w:val="34A915E9"/>
    <w:rsid w:val="34A9783B"/>
    <w:rsid w:val="34AB39A8"/>
    <w:rsid w:val="34AF1429"/>
    <w:rsid w:val="34AF7FE8"/>
    <w:rsid w:val="34B14942"/>
    <w:rsid w:val="34B41D3C"/>
    <w:rsid w:val="34B54432"/>
    <w:rsid w:val="34B561E0"/>
    <w:rsid w:val="34B800A1"/>
    <w:rsid w:val="34B8182C"/>
    <w:rsid w:val="34B85698"/>
    <w:rsid w:val="34BA54B0"/>
    <w:rsid w:val="34C16318"/>
    <w:rsid w:val="34C24459"/>
    <w:rsid w:val="34C30E6B"/>
    <w:rsid w:val="34C604B3"/>
    <w:rsid w:val="34C6381F"/>
    <w:rsid w:val="34C91C8B"/>
    <w:rsid w:val="34C957E7"/>
    <w:rsid w:val="34CC6F8F"/>
    <w:rsid w:val="34CE2DFE"/>
    <w:rsid w:val="34CF6B76"/>
    <w:rsid w:val="34D36666"/>
    <w:rsid w:val="34D74BA2"/>
    <w:rsid w:val="34D80120"/>
    <w:rsid w:val="34D81ECE"/>
    <w:rsid w:val="34D83C7C"/>
    <w:rsid w:val="34D8519A"/>
    <w:rsid w:val="34DC068C"/>
    <w:rsid w:val="34DF325D"/>
    <w:rsid w:val="34DF5060"/>
    <w:rsid w:val="34E22D4D"/>
    <w:rsid w:val="34E24AFB"/>
    <w:rsid w:val="34E32DF3"/>
    <w:rsid w:val="34E33507"/>
    <w:rsid w:val="34E62A56"/>
    <w:rsid w:val="34E645EB"/>
    <w:rsid w:val="34E74F31"/>
    <w:rsid w:val="34E940DB"/>
    <w:rsid w:val="34E94521"/>
    <w:rsid w:val="34E97C37"/>
    <w:rsid w:val="34EB7E53"/>
    <w:rsid w:val="34ED32A6"/>
    <w:rsid w:val="34EF28E3"/>
    <w:rsid w:val="34F03221"/>
    <w:rsid w:val="34F13CB6"/>
    <w:rsid w:val="34F232C1"/>
    <w:rsid w:val="34F31422"/>
    <w:rsid w:val="34F32864"/>
    <w:rsid w:val="34F45FEC"/>
    <w:rsid w:val="34F51A0D"/>
    <w:rsid w:val="34F62354"/>
    <w:rsid w:val="34F678B7"/>
    <w:rsid w:val="34F767F8"/>
    <w:rsid w:val="34FA62E8"/>
    <w:rsid w:val="34FB5BBD"/>
    <w:rsid w:val="34FC3E0F"/>
    <w:rsid w:val="34FE79FB"/>
    <w:rsid w:val="350137AB"/>
    <w:rsid w:val="350420A0"/>
    <w:rsid w:val="35042CC3"/>
    <w:rsid w:val="35064A4C"/>
    <w:rsid w:val="35066379"/>
    <w:rsid w:val="35066A3B"/>
    <w:rsid w:val="350727B3"/>
    <w:rsid w:val="35076310"/>
    <w:rsid w:val="350902DA"/>
    <w:rsid w:val="35091591"/>
    <w:rsid w:val="35097BF6"/>
    <w:rsid w:val="350C1B78"/>
    <w:rsid w:val="350D3CF3"/>
    <w:rsid w:val="350D601C"/>
    <w:rsid w:val="350E4053"/>
    <w:rsid w:val="350E5DAF"/>
    <w:rsid w:val="350E769E"/>
    <w:rsid w:val="35100F87"/>
    <w:rsid w:val="35101E10"/>
    <w:rsid w:val="351275CF"/>
    <w:rsid w:val="35141C21"/>
    <w:rsid w:val="351433FA"/>
    <w:rsid w:val="35154ED0"/>
    <w:rsid w:val="351729F7"/>
    <w:rsid w:val="35194603"/>
    <w:rsid w:val="351A645D"/>
    <w:rsid w:val="351B1DBB"/>
    <w:rsid w:val="351B6F23"/>
    <w:rsid w:val="351D03D3"/>
    <w:rsid w:val="351D637F"/>
    <w:rsid w:val="351F5D4F"/>
    <w:rsid w:val="35214C45"/>
    <w:rsid w:val="35223149"/>
    <w:rsid w:val="35246EC1"/>
    <w:rsid w:val="35270760"/>
    <w:rsid w:val="352766BF"/>
    <w:rsid w:val="35280C94"/>
    <w:rsid w:val="35284C04"/>
    <w:rsid w:val="3529272A"/>
    <w:rsid w:val="352944D8"/>
    <w:rsid w:val="352A3E47"/>
    <w:rsid w:val="352C3FC8"/>
    <w:rsid w:val="35301D0A"/>
    <w:rsid w:val="35303AB8"/>
    <w:rsid w:val="35305866"/>
    <w:rsid w:val="35323E26"/>
    <w:rsid w:val="35325A82"/>
    <w:rsid w:val="35327830"/>
    <w:rsid w:val="3534295F"/>
    <w:rsid w:val="35351C4F"/>
    <w:rsid w:val="35374E47"/>
    <w:rsid w:val="3538101C"/>
    <w:rsid w:val="3538296D"/>
    <w:rsid w:val="35386E11"/>
    <w:rsid w:val="353A4937"/>
    <w:rsid w:val="353A66E5"/>
    <w:rsid w:val="353C42D7"/>
    <w:rsid w:val="353D6B83"/>
    <w:rsid w:val="353E70E0"/>
    <w:rsid w:val="354077AE"/>
    <w:rsid w:val="35415CC5"/>
    <w:rsid w:val="35431A3E"/>
    <w:rsid w:val="35480B11"/>
    <w:rsid w:val="35492DCC"/>
    <w:rsid w:val="35496928"/>
    <w:rsid w:val="354B08F2"/>
    <w:rsid w:val="354B26A0"/>
    <w:rsid w:val="354E2190"/>
    <w:rsid w:val="354E3F3E"/>
    <w:rsid w:val="354E492D"/>
    <w:rsid w:val="35507CB7"/>
    <w:rsid w:val="355157DD"/>
    <w:rsid w:val="35523A2F"/>
    <w:rsid w:val="35535C24"/>
    <w:rsid w:val="355552CD"/>
    <w:rsid w:val="355A023D"/>
    <w:rsid w:val="355A457F"/>
    <w:rsid w:val="355E6877"/>
    <w:rsid w:val="355F1931"/>
    <w:rsid w:val="355F439E"/>
    <w:rsid w:val="35610116"/>
    <w:rsid w:val="35610228"/>
    <w:rsid w:val="35623039"/>
    <w:rsid w:val="356258E5"/>
    <w:rsid w:val="35633FD8"/>
    <w:rsid w:val="356419B4"/>
    <w:rsid w:val="35672368"/>
    <w:rsid w:val="35682799"/>
    <w:rsid w:val="356B2D42"/>
    <w:rsid w:val="356C2617"/>
    <w:rsid w:val="356E2833"/>
    <w:rsid w:val="356F4545"/>
    <w:rsid w:val="357065AB"/>
    <w:rsid w:val="357240D1"/>
    <w:rsid w:val="357339A5"/>
    <w:rsid w:val="35734BA7"/>
    <w:rsid w:val="35747E49"/>
    <w:rsid w:val="3575771D"/>
    <w:rsid w:val="35762B0C"/>
    <w:rsid w:val="357716E7"/>
    <w:rsid w:val="35777939"/>
    <w:rsid w:val="3578720D"/>
    <w:rsid w:val="357D65D2"/>
    <w:rsid w:val="357E2A76"/>
    <w:rsid w:val="357E3623"/>
    <w:rsid w:val="357E3CD5"/>
    <w:rsid w:val="35812566"/>
    <w:rsid w:val="358160C2"/>
    <w:rsid w:val="35846137"/>
    <w:rsid w:val="35854A21"/>
    <w:rsid w:val="3586192A"/>
    <w:rsid w:val="358807ED"/>
    <w:rsid w:val="35887450"/>
    <w:rsid w:val="3589141A"/>
    <w:rsid w:val="358B6F41"/>
    <w:rsid w:val="358E6A31"/>
    <w:rsid w:val="358F4C83"/>
    <w:rsid w:val="35901418"/>
    <w:rsid w:val="35901FBF"/>
    <w:rsid w:val="359027A9"/>
    <w:rsid w:val="359202CF"/>
    <w:rsid w:val="359234B2"/>
    <w:rsid w:val="35925FB1"/>
    <w:rsid w:val="35944047"/>
    <w:rsid w:val="35957DBF"/>
    <w:rsid w:val="359A3628"/>
    <w:rsid w:val="359A53D6"/>
    <w:rsid w:val="359A7184"/>
    <w:rsid w:val="359D75B5"/>
    <w:rsid w:val="359F0C3E"/>
    <w:rsid w:val="359F249A"/>
    <w:rsid w:val="35A0618D"/>
    <w:rsid w:val="35A149B6"/>
    <w:rsid w:val="35A21884"/>
    <w:rsid w:val="35A345E9"/>
    <w:rsid w:val="35A37D4B"/>
    <w:rsid w:val="35A46254"/>
    <w:rsid w:val="35A53D8B"/>
    <w:rsid w:val="35A735D4"/>
    <w:rsid w:val="35A85D44"/>
    <w:rsid w:val="35A87AF3"/>
    <w:rsid w:val="35AB75E3"/>
    <w:rsid w:val="35AC3FE5"/>
    <w:rsid w:val="35AC5CE5"/>
    <w:rsid w:val="35AE2C2F"/>
    <w:rsid w:val="35AE6C59"/>
    <w:rsid w:val="35B01AF3"/>
    <w:rsid w:val="35B04BF9"/>
    <w:rsid w:val="35B069A7"/>
    <w:rsid w:val="35B12CA3"/>
    <w:rsid w:val="35B1798F"/>
    <w:rsid w:val="35B20971"/>
    <w:rsid w:val="35B2271F"/>
    <w:rsid w:val="35B244CD"/>
    <w:rsid w:val="35B30F60"/>
    <w:rsid w:val="35B45337"/>
    <w:rsid w:val="35B538E8"/>
    <w:rsid w:val="35B71AE4"/>
    <w:rsid w:val="35B73DF2"/>
    <w:rsid w:val="35B9265D"/>
    <w:rsid w:val="35B93AAE"/>
    <w:rsid w:val="35BC25AE"/>
    <w:rsid w:val="35BC534C"/>
    <w:rsid w:val="35C0308E"/>
    <w:rsid w:val="35C366DA"/>
    <w:rsid w:val="35C506A4"/>
    <w:rsid w:val="35C81F43"/>
    <w:rsid w:val="35C82E77"/>
    <w:rsid w:val="35C91817"/>
    <w:rsid w:val="35CA5CBB"/>
    <w:rsid w:val="35CB37E1"/>
    <w:rsid w:val="35CB558F"/>
    <w:rsid w:val="35CD1307"/>
    <w:rsid w:val="35CD67FE"/>
    <w:rsid w:val="35D02BA5"/>
    <w:rsid w:val="35D04650"/>
    <w:rsid w:val="35D129A2"/>
    <w:rsid w:val="35D72186"/>
    <w:rsid w:val="35DA410B"/>
    <w:rsid w:val="35DC154A"/>
    <w:rsid w:val="35DE019D"/>
    <w:rsid w:val="35E0661F"/>
    <w:rsid w:val="35E0728C"/>
    <w:rsid w:val="35E86141"/>
    <w:rsid w:val="35EB4DCE"/>
    <w:rsid w:val="35ED3757"/>
    <w:rsid w:val="35ED7BFB"/>
    <w:rsid w:val="35F13A8D"/>
    <w:rsid w:val="35F20D6E"/>
    <w:rsid w:val="35F25212"/>
    <w:rsid w:val="35F40F8A"/>
    <w:rsid w:val="35F46FCF"/>
    <w:rsid w:val="35F66AB0"/>
    <w:rsid w:val="35F72828"/>
    <w:rsid w:val="35F87E42"/>
    <w:rsid w:val="35F965A0"/>
    <w:rsid w:val="35FA5E74"/>
    <w:rsid w:val="35FE5964"/>
    <w:rsid w:val="35FF6626"/>
    <w:rsid w:val="36013D27"/>
    <w:rsid w:val="36015455"/>
    <w:rsid w:val="360200C3"/>
    <w:rsid w:val="360311CD"/>
    <w:rsid w:val="36050AA1"/>
    <w:rsid w:val="36054F45"/>
    <w:rsid w:val="36082570"/>
    <w:rsid w:val="360A255B"/>
    <w:rsid w:val="360A4309"/>
    <w:rsid w:val="360B1E2F"/>
    <w:rsid w:val="360F36CE"/>
    <w:rsid w:val="360F7B72"/>
    <w:rsid w:val="36107446"/>
    <w:rsid w:val="36116DAA"/>
    <w:rsid w:val="36146CEB"/>
    <w:rsid w:val="36162CAE"/>
    <w:rsid w:val="361913CE"/>
    <w:rsid w:val="3619279E"/>
    <w:rsid w:val="3619454C"/>
    <w:rsid w:val="361B2809"/>
    <w:rsid w:val="361C2D1E"/>
    <w:rsid w:val="361C403D"/>
    <w:rsid w:val="361C5DEB"/>
    <w:rsid w:val="361E2DC1"/>
    <w:rsid w:val="36202005"/>
    <w:rsid w:val="36203B2D"/>
    <w:rsid w:val="362058DB"/>
    <w:rsid w:val="36213401"/>
    <w:rsid w:val="3622090B"/>
    <w:rsid w:val="36225F65"/>
    <w:rsid w:val="36237179"/>
    <w:rsid w:val="3627310D"/>
    <w:rsid w:val="36280C33"/>
    <w:rsid w:val="362B4287"/>
    <w:rsid w:val="362F52B4"/>
    <w:rsid w:val="36315D3A"/>
    <w:rsid w:val="36321AB2"/>
    <w:rsid w:val="363336D8"/>
    <w:rsid w:val="36360D76"/>
    <w:rsid w:val="36363195"/>
    <w:rsid w:val="36394BEF"/>
    <w:rsid w:val="3639699D"/>
    <w:rsid w:val="363B2715"/>
    <w:rsid w:val="363C648D"/>
    <w:rsid w:val="363E5DC7"/>
    <w:rsid w:val="363E7751"/>
    <w:rsid w:val="36401AD9"/>
    <w:rsid w:val="36407D2B"/>
    <w:rsid w:val="36435A6D"/>
    <w:rsid w:val="3643781B"/>
    <w:rsid w:val="36455341"/>
    <w:rsid w:val="36462E68"/>
    <w:rsid w:val="36463673"/>
    <w:rsid w:val="3647730B"/>
    <w:rsid w:val="36483084"/>
    <w:rsid w:val="364A6DFC"/>
    <w:rsid w:val="364B5CD0"/>
    <w:rsid w:val="364E1D7F"/>
    <w:rsid w:val="364F7F6E"/>
    <w:rsid w:val="3651018A"/>
    <w:rsid w:val="36513CE6"/>
    <w:rsid w:val="36555C6E"/>
    <w:rsid w:val="36557FBB"/>
    <w:rsid w:val="365657A0"/>
    <w:rsid w:val="365C268B"/>
    <w:rsid w:val="365D08DD"/>
    <w:rsid w:val="36602957"/>
    <w:rsid w:val="36603F29"/>
    <w:rsid w:val="36617CA1"/>
    <w:rsid w:val="36626903"/>
    <w:rsid w:val="36657792"/>
    <w:rsid w:val="366652B8"/>
    <w:rsid w:val="366854D4"/>
    <w:rsid w:val="366862D4"/>
    <w:rsid w:val="366C4FC4"/>
    <w:rsid w:val="366F1648"/>
    <w:rsid w:val="366F6862"/>
    <w:rsid w:val="36711132"/>
    <w:rsid w:val="36713587"/>
    <w:rsid w:val="36714388"/>
    <w:rsid w:val="367900AF"/>
    <w:rsid w:val="3679323D"/>
    <w:rsid w:val="36794FEB"/>
    <w:rsid w:val="367B5C98"/>
    <w:rsid w:val="367B6FB5"/>
    <w:rsid w:val="367D5F15"/>
    <w:rsid w:val="367E0853"/>
    <w:rsid w:val="367F5CBE"/>
    <w:rsid w:val="36821405"/>
    <w:rsid w:val="368340BC"/>
    <w:rsid w:val="36835E6A"/>
    <w:rsid w:val="36890788"/>
    <w:rsid w:val="368C11C2"/>
    <w:rsid w:val="368C2F70"/>
    <w:rsid w:val="368F0CB2"/>
    <w:rsid w:val="368F2A60"/>
    <w:rsid w:val="36910587"/>
    <w:rsid w:val="36933A03"/>
    <w:rsid w:val="36962041"/>
    <w:rsid w:val="36965B9D"/>
    <w:rsid w:val="36987B67"/>
    <w:rsid w:val="369938DF"/>
    <w:rsid w:val="3699568D"/>
    <w:rsid w:val="369B3199"/>
    <w:rsid w:val="369B31B3"/>
    <w:rsid w:val="369D13B4"/>
    <w:rsid w:val="369E56BC"/>
    <w:rsid w:val="369F70A9"/>
    <w:rsid w:val="36A007CA"/>
    <w:rsid w:val="36A209E6"/>
    <w:rsid w:val="36A253EA"/>
    <w:rsid w:val="36A37459"/>
    <w:rsid w:val="36A4475E"/>
    <w:rsid w:val="36A4650C"/>
    <w:rsid w:val="36A60D1A"/>
    <w:rsid w:val="36A91D74"/>
    <w:rsid w:val="36AA5AEC"/>
    <w:rsid w:val="36AC53C0"/>
    <w:rsid w:val="36AC6131"/>
    <w:rsid w:val="36AE542A"/>
    <w:rsid w:val="36AE738B"/>
    <w:rsid w:val="36AE79B0"/>
    <w:rsid w:val="36AF3103"/>
    <w:rsid w:val="36B129D7"/>
    <w:rsid w:val="36B256C4"/>
    <w:rsid w:val="36B3674F"/>
    <w:rsid w:val="36B44A6A"/>
    <w:rsid w:val="36B50719"/>
    <w:rsid w:val="36B67168"/>
    <w:rsid w:val="36BA5D2F"/>
    <w:rsid w:val="36BB1AA7"/>
    <w:rsid w:val="36BB1BCE"/>
    <w:rsid w:val="36BD0622"/>
    <w:rsid w:val="36BD5820"/>
    <w:rsid w:val="36BE50F4"/>
    <w:rsid w:val="36BE6EA2"/>
    <w:rsid w:val="36C00E6C"/>
    <w:rsid w:val="36C26992"/>
    <w:rsid w:val="36C648F5"/>
    <w:rsid w:val="36C73FA8"/>
    <w:rsid w:val="36C80F8C"/>
    <w:rsid w:val="36CA3A99"/>
    <w:rsid w:val="36CE3589"/>
    <w:rsid w:val="36CF10AF"/>
    <w:rsid w:val="36D17ACC"/>
    <w:rsid w:val="36D472B8"/>
    <w:rsid w:val="36D55BA7"/>
    <w:rsid w:val="36D84407"/>
    <w:rsid w:val="36D86AD5"/>
    <w:rsid w:val="36DA1F2E"/>
    <w:rsid w:val="36DB3EF8"/>
    <w:rsid w:val="36DD1A1E"/>
    <w:rsid w:val="36DE12F2"/>
    <w:rsid w:val="36DF5796"/>
    <w:rsid w:val="36E0150E"/>
    <w:rsid w:val="36E061C9"/>
    <w:rsid w:val="36E23C25"/>
    <w:rsid w:val="36E56B24"/>
    <w:rsid w:val="36E5781D"/>
    <w:rsid w:val="36E903C3"/>
    <w:rsid w:val="36E92171"/>
    <w:rsid w:val="36EC75AB"/>
    <w:rsid w:val="36ED04AD"/>
    <w:rsid w:val="36F079A3"/>
    <w:rsid w:val="36F434DB"/>
    <w:rsid w:val="36F54FB9"/>
    <w:rsid w:val="36F7087E"/>
    <w:rsid w:val="36F83A6A"/>
    <w:rsid w:val="36FA0940"/>
    <w:rsid w:val="36FE2945"/>
    <w:rsid w:val="36FF1994"/>
    <w:rsid w:val="37024FE0"/>
    <w:rsid w:val="37036E21"/>
    <w:rsid w:val="37052D23"/>
    <w:rsid w:val="37054AD1"/>
    <w:rsid w:val="370A0339"/>
    <w:rsid w:val="370A20E7"/>
    <w:rsid w:val="370B658B"/>
    <w:rsid w:val="370C2C56"/>
    <w:rsid w:val="370C4A1A"/>
    <w:rsid w:val="370C5E5F"/>
    <w:rsid w:val="370E607B"/>
    <w:rsid w:val="3710594F"/>
    <w:rsid w:val="37113FF6"/>
    <w:rsid w:val="37117919"/>
    <w:rsid w:val="37132E36"/>
    <w:rsid w:val="371371EE"/>
    <w:rsid w:val="37143607"/>
    <w:rsid w:val="371530DD"/>
    <w:rsid w:val="37163FC3"/>
    <w:rsid w:val="37187C47"/>
    <w:rsid w:val="371B2546"/>
    <w:rsid w:val="371C0798"/>
    <w:rsid w:val="371D1E1A"/>
    <w:rsid w:val="372238D5"/>
    <w:rsid w:val="372405F7"/>
    <w:rsid w:val="372633C5"/>
    <w:rsid w:val="3727621C"/>
    <w:rsid w:val="37277085"/>
    <w:rsid w:val="372803CC"/>
    <w:rsid w:val="3729371C"/>
    <w:rsid w:val="37294C63"/>
    <w:rsid w:val="372A2815"/>
    <w:rsid w:val="372C4753"/>
    <w:rsid w:val="372D208E"/>
    <w:rsid w:val="372E2279"/>
    <w:rsid w:val="372E5DD5"/>
    <w:rsid w:val="372F7BDC"/>
    <w:rsid w:val="37305FF2"/>
    <w:rsid w:val="37307DA0"/>
    <w:rsid w:val="37313B18"/>
    <w:rsid w:val="373227C5"/>
    <w:rsid w:val="37322849"/>
    <w:rsid w:val="3732396E"/>
    <w:rsid w:val="37384EA6"/>
    <w:rsid w:val="373A0C1E"/>
    <w:rsid w:val="373D070E"/>
    <w:rsid w:val="373D1531"/>
    <w:rsid w:val="373F4487"/>
    <w:rsid w:val="37410504"/>
    <w:rsid w:val="37411FAD"/>
    <w:rsid w:val="37441258"/>
    <w:rsid w:val="37450207"/>
    <w:rsid w:val="374728BD"/>
    <w:rsid w:val="3747333B"/>
    <w:rsid w:val="374750E9"/>
    <w:rsid w:val="37492C0F"/>
    <w:rsid w:val="374F3F98"/>
    <w:rsid w:val="374F5BC2"/>
    <w:rsid w:val="37507FF9"/>
    <w:rsid w:val="3752022C"/>
    <w:rsid w:val="37537F32"/>
    <w:rsid w:val="37557806"/>
    <w:rsid w:val="37561228"/>
    <w:rsid w:val="3756532C"/>
    <w:rsid w:val="375872F6"/>
    <w:rsid w:val="375B2943"/>
    <w:rsid w:val="375C0B95"/>
    <w:rsid w:val="375D116C"/>
    <w:rsid w:val="375D2B5F"/>
    <w:rsid w:val="376033EE"/>
    <w:rsid w:val="37615982"/>
    <w:rsid w:val="37617167"/>
    <w:rsid w:val="37620175"/>
    <w:rsid w:val="37625508"/>
    <w:rsid w:val="37634043"/>
    <w:rsid w:val="37643B3C"/>
    <w:rsid w:val="37643EED"/>
    <w:rsid w:val="3765281C"/>
    <w:rsid w:val="37691503"/>
    <w:rsid w:val="376B60C5"/>
    <w:rsid w:val="376C73AB"/>
    <w:rsid w:val="376D2DA2"/>
    <w:rsid w:val="376E6B1A"/>
    <w:rsid w:val="37702892"/>
    <w:rsid w:val="3772660A"/>
    <w:rsid w:val="37732382"/>
    <w:rsid w:val="37737C8C"/>
    <w:rsid w:val="37753A04"/>
    <w:rsid w:val="37773B3C"/>
    <w:rsid w:val="377759CE"/>
    <w:rsid w:val="377834F5"/>
    <w:rsid w:val="377A54BF"/>
    <w:rsid w:val="377C45CC"/>
    <w:rsid w:val="377C4D93"/>
    <w:rsid w:val="377E3AD8"/>
    <w:rsid w:val="377F0D27"/>
    <w:rsid w:val="378123A9"/>
    <w:rsid w:val="37814AE6"/>
    <w:rsid w:val="37824373"/>
    <w:rsid w:val="37826121"/>
    <w:rsid w:val="37893BCC"/>
    <w:rsid w:val="378A405E"/>
    <w:rsid w:val="378E0F6A"/>
    <w:rsid w:val="378E6859"/>
    <w:rsid w:val="378F5579"/>
    <w:rsid w:val="379522F8"/>
    <w:rsid w:val="3795328A"/>
    <w:rsid w:val="37976071"/>
    <w:rsid w:val="379876F3"/>
    <w:rsid w:val="379A16BD"/>
    <w:rsid w:val="379A653D"/>
    <w:rsid w:val="379C3687"/>
    <w:rsid w:val="379C71E3"/>
    <w:rsid w:val="379F6CD3"/>
    <w:rsid w:val="37A26EA1"/>
    <w:rsid w:val="37A60062"/>
    <w:rsid w:val="37A61E10"/>
    <w:rsid w:val="37A82E9C"/>
    <w:rsid w:val="37A86A9C"/>
    <w:rsid w:val="37A91900"/>
    <w:rsid w:val="37AB38CA"/>
    <w:rsid w:val="37AB3D47"/>
    <w:rsid w:val="37AD13F0"/>
    <w:rsid w:val="37AF71A3"/>
    <w:rsid w:val="37B00EE0"/>
    <w:rsid w:val="37B02C8E"/>
    <w:rsid w:val="37B11960"/>
    <w:rsid w:val="37B26A07"/>
    <w:rsid w:val="37B409D1"/>
    <w:rsid w:val="37B73832"/>
    <w:rsid w:val="37B7401D"/>
    <w:rsid w:val="37B85359"/>
    <w:rsid w:val="37BA3B0D"/>
    <w:rsid w:val="37BE251B"/>
    <w:rsid w:val="37C058C2"/>
    <w:rsid w:val="37C05A95"/>
    <w:rsid w:val="37C25F06"/>
    <w:rsid w:val="37C30C14"/>
    <w:rsid w:val="37C36E66"/>
    <w:rsid w:val="37C404E8"/>
    <w:rsid w:val="37C45896"/>
    <w:rsid w:val="37C74F56"/>
    <w:rsid w:val="37C7555A"/>
    <w:rsid w:val="37C93D50"/>
    <w:rsid w:val="37CA691D"/>
    <w:rsid w:val="37CB2F5F"/>
    <w:rsid w:val="37CB7044"/>
    <w:rsid w:val="37CC02C4"/>
    <w:rsid w:val="37CD3840"/>
    <w:rsid w:val="37CD55EE"/>
    <w:rsid w:val="37D03A6A"/>
    <w:rsid w:val="37D050DF"/>
    <w:rsid w:val="37D42E21"/>
    <w:rsid w:val="37D50947"/>
    <w:rsid w:val="37D56B99"/>
    <w:rsid w:val="37D72911"/>
    <w:rsid w:val="37D921E5"/>
    <w:rsid w:val="37DC6168"/>
    <w:rsid w:val="37DD0699"/>
    <w:rsid w:val="37DE3B74"/>
    <w:rsid w:val="37DF0817"/>
    <w:rsid w:val="37E00D3A"/>
    <w:rsid w:val="37E1109A"/>
    <w:rsid w:val="37E172EC"/>
    <w:rsid w:val="37E215C5"/>
    <w:rsid w:val="37E34E12"/>
    <w:rsid w:val="37E44A9A"/>
    <w:rsid w:val="37E54B8B"/>
    <w:rsid w:val="37E62866"/>
    <w:rsid w:val="37E8067A"/>
    <w:rsid w:val="37E92A87"/>
    <w:rsid w:val="37E961A0"/>
    <w:rsid w:val="37EB2F17"/>
    <w:rsid w:val="37EC4BBE"/>
    <w:rsid w:val="37F232A7"/>
    <w:rsid w:val="37F326E4"/>
    <w:rsid w:val="37F51A24"/>
    <w:rsid w:val="37F52D97"/>
    <w:rsid w:val="37F724C5"/>
    <w:rsid w:val="37F921C4"/>
    <w:rsid w:val="37F94635"/>
    <w:rsid w:val="37F963E3"/>
    <w:rsid w:val="37FA2A23"/>
    <w:rsid w:val="38000CC7"/>
    <w:rsid w:val="38014E5F"/>
    <w:rsid w:val="380151F9"/>
    <w:rsid w:val="38037262"/>
    <w:rsid w:val="38037925"/>
    <w:rsid w:val="38074E65"/>
    <w:rsid w:val="380755BE"/>
    <w:rsid w:val="38080D1C"/>
    <w:rsid w:val="38082ACA"/>
    <w:rsid w:val="380843E5"/>
    <w:rsid w:val="3809239F"/>
    <w:rsid w:val="380B25BB"/>
    <w:rsid w:val="3810784B"/>
    <w:rsid w:val="3814206C"/>
    <w:rsid w:val="38156F95"/>
    <w:rsid w:val="38180898"/>
    <w:rsid w:val="38190834"/>
    <w:rsid w:val="381A45AC"/>
    <w:rsid w:val="381A7E9B"/>
    <w:rsid w:val="381C0324"/>
    <w:rsid w:val="381D4C13"/>
    <w:rsid w:val="381E409C"/>
    <w:rsid w:val="38202835"/>
    <w:rsid w:val="38207E14"/>
    <w:rsid w:val="3821006B"/>
    <w:rsid w:val="38233460"/>
    <w:rsid w:val="38234412"/>
    <w:rsid w:val="382471D8"/>
    <w:rsid w:val="3825542A"/>
    <w:rsid w:val="38256C19"/>
    <w:rsid w:val="3828316D"/>
    <w:rsid w:val="38286CC9"/>
    <w:rsid w:val="382947EF"/>
    <w:rsid w:val="382A78FA"/>
    <w:rsid w:val="382B0C77"/>
    <w:rsid w:val="382C3278"/>
    <w:rsid w:val="382E6065"/>
    <w:rsid w:val="38305B7D"/>
    <w:rsid w:val="38327B47"/>
    <w:rsid w:val="3834566E"/>
    <w:rsid w:val="38367638"/>
    <w:rsid w:val="38384A47"/>
    <w:rsid w:val="3838582C"/>
    <w:rsid w:val="38387E65"/>
    <w:rsid w:val="38393285"/>
    <w:rsid w:val="383A69FC"/>
    <w:rsid w:val="383B4C4E"/>
    <w:rsid w:val="383E029A"/>
    <w:rsid w:val="383E64EC"/>
    <w:rsid w:val="383F42F6"/>
    <w:rsid w:val="38415FDC"/>
    <w:rsid w:val="38417D8A"/>
    <w:rsid w:val="384258D9"/>
    <w:rsid w:val="38431D61"/>
    <w:rsid w:val="38455ACD"/>
    <w:rsid w:val="3845787B"/>
    <w:rsid w:val="3846179E"/>
    <w:rsid w:val="384B0C09"/>
    <w:rsid w:val="384D5DAC"/>
    <w:rsid w:val="384F06F9"/>
    <w:rsid w:val="384F4255"/>
    <w:rsid w:val="3850280C"/>
    <w:rsid w:val="38523D46"/>
    <w:rsid w:val="38547ABE"/>
    <w:rsid w:val="385510BE"/>
    <w:rsid w:val="385576CA"/>
    <w:rsid w:val="38580E05"/>
    <w:rsid w:val="38591578"/>
    <w:rsid w:val="385B53B3"/>
    <w:rsid w:val="385C2E16"/>
    <w:rsid w:val="385E093C"/>
    <w:rsid w:val="386046B4"/>
    <w:rsid w:val="3862042D"/>
    <w:rsid w:val="38623D0E"/>
    <w:rsid w:val="3862667F"/>
    <w:rsid w:val="38632B5B"/>
    <w:rsid w:val="386341A5"/>
    <w:rsid w:val="38635F53"/>
    <w:rsid w:val="38651CCB"/>
    <w:rsid w:val="38653A79"/>
    <w:rsid w:val="38657F1D"/>
    <w:rsid w:val="38675A43"/>
    <w:rsid w:val="386926DF"/>
    <w:rsid w:val="38693294"/>
    <w:rsid w:val="386A5533"/>
    <w:rsid w:val="386B231B"/>
    <w:rsid w:val="386B6FF6"/>
    <w:rsid w:val="386D45A4"/>
    <w:rsid w:val="387168C2"/>
    <w:rsid w:val="387243E8"/>
    <w:rsid w:val="38787C50"/>
    <w:rsid w:val="387A04B5"/>
    <w:rsid w:val="387B14EE"/>
    <w:rsid w:val="387B329C"/>
    <w:rsid w:val="387B504A"/>
    <w:rsid w:val="387E4B3B"/>
    <w:rsid w:val="388123CB"/>
    <w:rsid w:val="3881462B"/>
    <w:rsid w:val="388163D9"/>
    <w:rsid w:val="3882287D"/>
    <w:rsid w:val="38825FAB"/>
    <w:rsid w:val="388303A3"/>
    <w:rsid w:val="3884400E"/>
    <w:rsid w:val="388472CF"/>
    <w:rsid w:val="3885411B"/>
    <w:rsid w:val="38877E93"/>
    <w:rsid w:val="38884554"/>
    <w:rsid w:val="388A1731"/>
    <w:rsid w:val="388A771C"/>
    <w:rsid w:val="388A78E0"/>
    <w:rsid w:val="388E7474"/>
    <w:rsid w:val="388F6676"/>
    <w:rsid w:val="3890146C"/>
    <w:rsid w:val="389175E4"/>
    <w:rsid w:val="38934061"/>
    <w:rsid w:val="389712B7"/>
    <w:rsid w:val="38974E08"/>
    <w:rsid w:val="38983265"/>
    <w:rsid w:val="38983E4E"/>
    <w:rsid w:val="38995E18"/>
    <w:rsid w:val="389C0A0B"/>
    <w:rsid w:val="389D76B7"/>
    <w:rsid w:val="38A11F4E"/>
    <w:rsid w:val="38A320EF"/>
    <w:rsid w:val="38A61D2C"/>
    <w:rsid w:val="38A74091"/>
    <w:rsid w:val="38A8605B"/>
    <w:rsid w:val="38AB2FCD"/>
    <w:rsid w:val="38AC5B4C"/>
    <w:rsid w:val="38AC78FA"/>
    <w:rsid w:val="38AE4154"/>
    <w:rsid w:val="38AE7808"/>
    <w:rsid w:val="38AF5887"/>
    <w:rsid w:val="38B059AF"/>
    <w:rsid w:val="38B467AE"/>
    <w:rsid w:val="38B62526"/>
    <w:rsid w:val="38B62D25"/>
    <w:rsid w:val="38B706D0"/>
    <w:rsid w:val="38B8629F"/>
    <w:rsid w:val="38BA1632"/>
    <w:rsid w:val="38BB18EB"/>
    <w:rsid w:val="38BC48FF"/>
    <w:rsid w:val="38BE13DB"/>
    <w:rsid w:val="38BE762D"/>
    <w:rsid w:val="38BF4014"/>
    <w:rsid w:val="38C267FC"/>
    <w:rsid w:val="38C31BB6"/>
    <w:rsid w:val="38C42E95"/>
    <w:rsid w:val="38C5002E"/>
    <w:rsid w:val="38C70290"/>
    <w:rsid w:val="38C735B6"/>
    <w:rsid w:val="38C8225A"/>
    <w:rsid w:val="38C82ED6"/>
    <w:rsid w:val="38CA7D80"/>
    <w:rsid w:val="38CC58A6"/>
    <w:rsid w:val="38CF19E7"/>
    <w:rsid w:val="38CF5396"/>
    <w:rsid w:val="38D041F9"/>
    <w:rsid w:val="38D56239"/>
    <w:rsid w:val="38D64977"/>
    <w:rsid w:val="38D67CAD"/>
    <w:rsid w:val="38D8249D"/>
    <w:rsid w:val="38D834D0"/>
    <w:rsid w:val="38D96215"/>
    <w:rsid w:val="38D97FC3"/>
    <w:rsid w:val="38DD3F57"/>
    <w:rsid w:val="38DE0ACB"/>
    <w:rsid w:val="38DE55D9"/>
    <w:rsid w:val="38DF0EFB"/>
    <w:rsid w:val="38E1712C"/>
    <w:rsid w:val="38E30E42"/>
    <w:rsid w:val="38E6503F"/>
    <w:rsid w:val="38E84D06"/>
    <w:rsid w:val="38E86458"/>
    <w:rsid w:val="38E906EE"/>
    <w:rsid w:val="38E96612"/>
    <w:rsid w:val="38EA0422"/>
    <w:rsid w:val="38EC5F48"/>
    <w:rsid w:val="38EC7CF6"/>
    <w:rsid w:val="38EE1CC0"/>
    <w:rsid w:val="38EE76F0"/>
    <w:rsid w:val="38F02E41"/>
    <w:rsid w:val="38F17A02"/>
    <w:rsid w:val="38F2046B"/>
    <w:rsid w:val="38F350E9"/>
    <w:rsid w:val="38F35529"/>
    <w:rsid w:val="38F4304F"/>
    <w:rsid w:val="38F66DC7"/>
    <w:rsid w:val="38F70143"/>
    <w:rsid w:val="38F80803"/>
    <w:rsid w:val="38FA583A"/>
    <w:rsid w:val="38FC1BB2"/>
    <w:rsid w:val="38FE7214"/>
    <w:rsid w:val="390239BE"/>
    <w:rsid w:val="390414E4"/>
    <w:rsid w:val="390529E2"/>
    <w:rsid w:val="3905525C"/>
    <w:rsid w:val="390E2362"/>
    <w:rsid w:val="391016A5"/>
    <w:rsid w:val="39111E53"/>
    <w:rsid w:val="39112E4E"/>
    <w:rsid w:val="39140DAC"/>
    <w:rsid w:val="391A2E3D"/>
    <w:rsid w:val="39212CD5"/>
    <w:rsid w:val="39236744"/>
    <w:rsid w:val="39262948"/>
    <w:rsid w:val="39282B4D"/>
    <w:rsid w:val="39290F4A"/>
    <w:rsid w:val="39292CF8"/>
    <w:rsid w:val="392A30BC"/>
    <w:rsid w:val="392C27E9"/>
    <w:rsid w:val="392C4597"/>
    <w:rsid w:val="39317DFF"/>
    <w:rsid w:val="393264E7"/>
    <w:rsid w:val="39331DC9"/>
    <w:rsid w:val="39340896"/>
    <w:rsid w:val="39351B40"/>
    <w:rsid w:val="39355B41"/>
    <w:rsid w:val="393578EF"/>
    <w:rsid w:val="39361C46"/>
    <w:rsid w:val="39363DD0"/>
    <w:rsid w:val="393671C3"/>
    <w:rsid w:val="39382F3B"/>
    <w:rsid w:val="393B4A82"/>
    <w:rsid w:val="393D67A4"/>
    <w:rsid w:val="39400D04"/>
    <w:rsid w:val="394110C5"/>
    <w:rsid w:val="394418E0"/>
    <w:rsid w:val="39461AFC"/>
    <w:rsid w:val="39475874"/>
    <w:rsid w:val="39477622"/>
    <w:rsid w:val="394925BC"/>
    <w:rsid w:val="394969CE"/>
    <w:rsid w:val="394975EC"/>
    <w:rsid w:val="394D6F17"/>
    <w:rsid w:val="394E6C03"/>
    <w:rsid w:val="394F2436"/>
    <w:rsid w:val="39504729"/>
    <w:rsid w:val="3951224F"/>
    <w:rsid w:val="39513FFD"/>
    <w:rsid w:val="39545CE6"/>
    <w:rsid w:val="39551D3F"/>
    <w:rsid w:val="39552005"/>
    <w:rsid w:val="39556E89"/>
    <w:rsid w:val="395835DE"/>
    <w:rsid w:val="39586050"/>
    <w:rsid w:val="395B30CE"/>
    <w:rsid w:val="395D0BF4"/>
    <w:rsid w:val="395E4B87"/>
    <w:rsid w:val="395F1C11"/>
    <w:rsid w:val="395F2BBE"/>
    <w:rsid w:val="395F671A"/>
    <w:rsid w:val="39605333"/>
    <w:rsid w:val="396061CC"/>
    <w:rsid w:val="396226AE"/>
    <w:rsid w:val="3962620A"/>
    <w:rsid w:val="39663F4D"/>
    <w:rsid w:val="396957EB"/>
    <w:rsid w:val="39697599"/>
    <w:rsid w:val="396B387A"/>
    <w:rsid w:val="396F26D5"/>
    <w:rsid w:val="39704992"/>
    <w:rsid w:val="39706B79"/>
    <w:rsid w:val="3971469F"/>
    <w:rsid w:val="39715E2E"/>
    <w:rsid w:val="3971644D"/>
    <w:rsid w:val="39716A9F"/>
    <w:rsid w:val="397321C6"/>
    <w:rsid w:val="39754190"/>
    <w:rsid w:val="39755F3E"/>
    <w:rsid w:val="39772A69"/>
    <w:rsid w:val="39797168"/>
    <w:rsid w:val="397A08A5"/>
    <w:rsid w:val="397A17A6"/>
    <w:rsid w:val="397A3554"/>
    <w:rsid w:val="397A79F8"/>
    <w:rsid w:val="397D1296"/>
    <w:rsid w:val="397F0B6A"/>
    <w:rsid w:val="397F500E"/>
    <w:rsid w:val="3982065B"/>
    <w:rsid w:val="3986014B"/>
    <w:rsid w:val="39882115"/>
    <w:rsid w:val="398B236F"/>
    <w:rsid w:val="398B750F"/>
    <w:rsid w:val="398E34A3"/>
    <w:rsid w:val="398E3AAC"/>
    <w:rsid w:val="398E3C23"/>
    <w:rsid w:val="39902D77"/>
    <w:rsid w:val="39903E56"/>
    <w:rsid w:val="3991089E"/>
    <w:rsid w:val="39930ABA"/>
    <w:rsid w:val="39934616"/>
    <w:rsid w:val="3995213C"/>
    <w:rsid w:val="39965EB4"/>
    <w:rsid w:val="39972358"/>
    <w:rsid w:val="39974F27"/>
    <w:rsid w:val="39980E9A"/>
    <w:rsid w:val="399B1C0F"/>
    <w:rsid w:val="399D4F2C"/>
    <w:rsid w:val="399F120C"/>
    <w:rsid w:val="39A131D7"/>
    <w:rsid w:val="39A14F85"/>
    <w:rsid w:val="39A16D33"/>
    <w:rsid w:val="39A20CFD"/>
    <w:rsid w:val="39A405D1"/>
    <w:rsid w:val="39A43B03"/>
    <w:rsid w:val="39A64349"/>
    <w:rsid w:val="39A7718C"/>
    <w:rsid w:val="39A81897"/>
    <w:rsid w:val="39A86313"/>
    <w:rsid w:val="39AB5E03"/>
    <w:rsid w:val="39AC56D7"/>
    <w:rsid w:val="39AE76A2"/>
    <w:rsid w:val="39B051C8"/>
    <w:rsid w:val="39B36A66"/>
    <w:rsid w:val="39B47A61"/>
    <w:rsid w:val="39B47E9C"/>
    <w:rsid w:val="39B76556"/>
    <w:rsid w:val="39B8407C"/>
    <w:rsid w:val="39B86E14"/>
    <w:rsid w:val="39B93857"/>
    <w:rsid w:val="39BC3B6C"/>
    <w:rsid w:val="39BC591B"/>
    <w:rsid w:val="39BD1DBC"/>
    <w:rsid w:val="39BF5361"/>
    <w:rsid w:val="39BF540B"/>
    <w:rsid w:val="39C32098"/>
    <w:rsid w:val="39C3314D"/>
    <w:rsid w:val="39C405A8"/>
    <w:rsid w:val="39C40C73"/>
    <w:rsid w:val="39C42B6E"/>
    <w:rsid w:val="39C66799"/>
    <w:rsid w:val="39C758B9"/>
    <w:rsid w:val="39C90037"/>
    <w:rsid w:val="39CD3FCC"/>
    <w:rsid w:val="39CD7B28"/>
    <w:rsid w:val="39CE5179"/>
    <w:rsid w:val="39CF5CB2"/>
    <w:rsid w:val="39D23390"/>
    <w:rsid w:val="39D2513E"/>
    <w:rsid w:val="39D76BF8"/>
    <w:rsid w:val="39D92970"/>
    <w:rsid w:val="39DA0497"/>
    <w:rsid w:val="39DA3FF3"/>
    <w:rsid w:val="39DC1B4A"/>
    <w:rsid w:val="39DC4156"/>
    <w:rsid w:val="39E03482"/>
    <w:rsid w:val="39E135D3"/>
    <w:rsid w:val="39E14020"/>
    <w:rsid w:val="39E15381"/>
    <w:rsid w:val="39E3734B"/>
    <w:rsid w:val="39E430C3"/>
    <w:rsid w:val="39E9692C"/>
    <w:rsid w:val="39EA6840"/>
    <w:rsid w:val="39ED01CA"/>
    <w:rsid w:val="39EE7A9E"/>
    <w:rsid w:val="39F126B2"/>
    <w:rsid w:val="39F23A32"/>
    <w:rsid w:val="39F257E0"/>
    <w:rsid w:val="39F63BBE"/>
    <w:rsid w:val="39F71049"/>
    <w:rsid w:val="39F93DA9"/>
    <w:rsid w:val="39F94DC1"/>
    <w:rsid w:val="39F96B6F"/>
    <w:rsid w:val="39FA2880"/>
    <w:rsid w:val="39FA3748"/>
    <w:rsid w:val="39FA4695"/>
    <w:rsid w:val="39FD41D6"/>
    <w:rsid w:val="39FE23D7"/>
    <w:rsid w:val="39FE2691"/>
    <w:rsid w:val="3A020FA7"/>
    <w:rsid w:val="3A046CF0"/>
    <w:rsid w:val="3A057993"/>
    <w:rsid w:val="3A092B2A"/>
    <w:rsid w:val="3A0948D8"/>
    <w:rsid w:val="3A0B0650"/>
    <w:rsid w:val="3A0B2D5B"/>
    <w:rsid w:val="3A0B68A2"/>
    <w:rsid w:val="3A0E6561"/>
    <w:rsid w:val="3A1265D0"/>
    <w:rsid w:val="3A130B78"/>
    <w:rsid w:val="3A136BA5"/>
    <w:rsid w:val="3A137505"/>
    <w:rsid w:val="3A1439A9"/>
    <w:rsid w:val="3A15050C"/>
    <w:rsid w:val="3A175247"/>
    <w:rsid w:val="3A1A2FD3"/>
    <w:rsid w:val="3A1A4093"/>
    <w:rsid w:val="3A1C285D"/>
    <w:rsid w:val="3A1E149D"/>
    <w:rsid w:val="3A1E4827"/>
    <w:rsid w:val="3A1F40FB"/>
    <w:rsid w:val="3A211C22"/>
    <w:rsid w:val="3A2160C5"/>
    <w:rsid w:val="3A217E73"/>
    <w:rsid w:val="3A221A8C"/>
    <w:rsid w:val="3A2443AC"/>
    <w:rsid w:val="3A25075C"/>
    <w:rsid w:val="3A257964"/>
    <w:rsid w:val="3A263CF9"/>
    <w:rsid w:val="3A281202"/>
    <w:rsid w:val="3A287454"/>
    <w:rsid w:val="3A2A31CC"/>
    <w:rsid w:val="3A2B0CF2"/>
    <w:rsid w:val="3A2B3642"/>
    <w:rsid w:val="3A2B6F44"/>
    <w:rsid w:val="3A2B7626"/>
    <w:rsid w:val="3A2D3578"/>
    <w:rsid w:val="3A2E002F"/>
    <w:rsid w:val="3A2E2891"/>
    <w:rsid w:val="3A2F07E2"/>
    <w:rsid w:val="3A3000B7"/>
    <w:rsid w:val="3A345DF9"/>
    <w:rsid w:val="3A377697"/>
    <w:rsid w:val="3A3A098C"/>
    <w:rsid w:val="3A3C4CAD"/>
    <w:rsid w:val="3A3F02FA"/>
    <w:rsid w:val="3A3F696B"/>
    <w:rsid w:val="3A430DC5"/>
    <w:rsid w:val="3A43428E"/>
    <w:rsid w:val="3A4662B6"/>
    <w:rsid w:val="3A487FB1"/>
    <w:rsid w:val="3A4D2A17"/>
    <w:rsid w:val="3A4D6EBA"/>
    <w:rsid w:val="3A4F01C9"/>
    <w:rsid w:val="3A4F2C33"/>
    <w:rsid w:val="3A4F566B"/>
    <w:rsid w:val="3A504D6D"/>
    <w:rsid w:val="3A535CE8"/>
    <w:rsid w:val="3A543DA5"/>
    <w:rsid w:val="3A555D6F"/>
    <w:rsid w:val="3A585832"/>
    <w:rsid w:val="3A590C1A"/>
    <w:rsid w:val="3A594543"/>
    <w:rsid w:val="3A59585F"/>
    <w:rsid w:val="3A5A5133"/>
    <w:rsid w:val="3A5A64FE"/>
    <w:rsid w:val="3A5B15D7"/>
    <w:rsid w:val="3A5B3C66"/>
    <w:rsid w:val="3A5C534F"/>
    <w:rsid w:val="3A5C70FE"/>
    <w:rsid w:val="3A5E7E93"/>
    <w:rsid w:val="3A612966"/>
    <w:rsid w:val="3A622985"/>
    <w:rsid w:val="3A636C6D"/>
    <w:rsid w:val="3A657FA6"/>
    <w:rsid w:val="3A667F7C"/>
    <w:rsid w:val="3A6755EE"/>
    <w:rsid w:val="3A6B10EF"/>
    <w:rsid w:val="3A6C716A"/>
    <w:rsid w:val="3A6D1368"/>
    <w:rsid w:val="3A6D1C08"/>
    <w:rsid w:val="3A6F0BDF"/>
    <w:rsid w:val="3A6F6E31"/>
    <w:rsid w:val="3A710A63"/>
    <w:rsid w:val="3A7206CF"/>
    <w:rsid w:val="3A744447"/>
    <w:rsid w:val="3A760B5E"/>
    <w:rsid w:val="3A764F5D"/>
    <w:rsid w:val="3A777CB4"/>
    <w:rsid w:val="3A79230C"/>
    <w:rsid w:val="3A79380C"/>
    <w:rsid w:val="3A7B66B0"/>
    <w:rsid w:val="3A7C32FC"/>
    <w:rsid w:val="3A7E52C6"/>
    <w:rsid w:val="3A7E7E4B"/>
    <w:rsid w:val="3A7F7E3E"/>
    <w:rsid w:val="3A804B9A"/>
    <w:rsid w:val="3A815E0A"/>
    <w:rsid w:val="3A816B64"/>
    <w:rsid w:val="3A824DB6"/>
    <w:rsid w:val="3A830B2E"/>
    <w:rsid w:val="3A83468A"/>
    <w:rsid w:val="3A8521B0"/>
    <w:rsid w:val="3A856654"/>
    <w:rsid w:val="3A881CA1"/>
    <w:rsid w:val="3A886145"/>
    <w:rsid w:val="3A8A3C6B"/>
    <w:rsid w:val="3A8A77C7"/>
    <w:rsid w:val="3A8D5509"/>
    <w:rsid w:val="3A8D72B7"/>
    <w:rsid w:val="3A8E5120"/>
    <w:rsid w:val="3A8F74D3"/>
    <w:rsid w:val="3A900B55"/>
    <w:rsid w:val="3A914FF9"/>
    <w:rsid w:val="3A920D71"/>
    <w:rsid w:val="3A922B1F"/>
    <w:rsid w:val="3A945438"/>
    <w:rsid w:val="3A946897"/>
    <w:rsid w:val="3A971EE4"/>
    <w:rsid w:val="3A993EAE"/>
    <w:rsid w:val="3A9B7C26"/>
    <w:rsid w:val="3A9D66C5"/>
    <w:rsid w:val="3AA03492"/>
    <w:rsid w:val="3AA0523C"/>
    <w:rsid w:val="3AA24207"/>
    <w:rsid w:val="3AA376D1"/>
    <w:rsid w:val="3AA50AA5"/>
    <w:rsid w:val="3AA52853"/>
    <w:rsid w:val="3AA94148"/>
    <w:rsid w:val="3AAD5BAB"/>
    <w:rsid w:val="3AAD7959"/>
    <w:rsid w:val="3AAF1923"/>
    <w:rsid w:val="3AB26D1E"/>
    <w:rsid w:val="3AB40CE8"/>
    <w:rsid w:val="3AB605BC"/>
    <w:rsid w:val="3AB74334"/>
    <w:rsid w:val="3ABB02C8"/>
    <w:rsid w:val="3ABB3E24"/>
    <w:rsid w:val="3ABD23EC"/>
    <w:rsid w:val="3ABE5C67"/>
    <w:rsid w:val="3AC0768C"/>
    <w:rsid w:val="3AC214F7"/>
    <w:rsid w:val="3AC2225A"/>
    <w:rsid w:val="3AC239F8"/>
    <w:rsid w:val="3AC30B19"/>
    <w:rsid w:val="3AC36277"/>
    <w:rsid w:val="3AC6702F"/>
    <w:rsid w:val="3AC827C2"/>
    <w:rsid w:val="3ACB3177"/>
    <w:rsid w:val="3ACB352A"/>
    <w:rsid w:val="3ACD1DA9"/>
    <w:rsid w:val="3ACD3B57"/>
    <w:rsid w:val="3ACE0B10"/>
    <w:rsid w:val="3AD0360B"/>
    <w:rsid w:val="3AD07104"/>
    <w:rsid w:val="3AD1189A"/>
    <w:rsid w:val="3AD153F6"/>
    <w:rsid w:val="3AD42F2E"/>
    <w:rsid w:val="3AD62A0C"/>
    <w:rsid w:val="3AD9074E"/>
    <w:rsid w:val="3ADB24AE"/>
    <w:rsid w:val="3ADB2718"/>
    <w:rsid w:val="3AE113B1"/>
    <w:rsid w:val="3AE26162"/>
    <w:rsid w:val="3AE32E93"/>
    <w:rsid w:val="3AE80991"/>
    <w:rsid w:val="3AEA4FC3"/>
    <w:rsid w:val="3AEC01CF"/>
    <w:rsid w:val="3AEC222F"/>
    <w:rsid w:val="3AEF7F72"/>
    <w:rsid w:val="3AF02F9E"/>
    <w:rsid w:val="3AF13CEA"/>
    <w:rsid w:val="3AF15A98"/>
    <w:rsid w:val="3AF31810"/>
    <w:rsid w:val="3AF570B5"/>
    <w:rsid w:val="3AF95849"/>
    <w:rsid w:val="3AFB06C4"/>
    <w:rsid w:val="3AFB2473"/>
    <w:rsid w:val="3AFF35D3"/>
    <w:rsid w:val="3B007A89"/>
    <w:rsid w:val="3B020A8C"/>
    <w:rsid w:val="3B021A53"/>
    <w:rsid w:val="3B023801"/>
    <w:rsid w:val="3B0312A1"/>
    <w:rsid w:val="3B051543"/>
    <w:rsid w:val="3B057795"/>
    <w:rsid w:val="3B070E17"/>
    <w:rsid w:val="3B0752BB"/>
    <w:rsid w:val="3B086FE8"/>
    <w:rsid w:val="3B0A0908"/>
    <w:rsid w:val="3B0A68CD"/>
    <w:rsid w:val="3B0C4680"/>
    <w:rsid w:val="3B0D21A6"/>
    <w:rsid w:val="3B0F5F1E"/>
    <w:rsid w:val="3B0F7120"/>
    <w:rsid w:val="3B111C96"/>
    <w:rsid w:val="3B11613A"/>
    <w:rsid w:val="3B1579EE"/>
    <w:rsid w:val="3B1672AC"/>
    <w:rsid w:val="3B183024"/>
    <w:rsid w:val="3B184E0B"/>
    <w:rsid w:val="3B1938FA"/>
    <w:rsid w:val="3B1B48C3"/>
    <w:rsid w:val="3B1D4ADF"/>
    <w:rsid w:val="3B1F03A3"/>
    <w:rsid w:val="3B2319C9"/>
    <w:rsid w:val="3B24227D"/>
    <w:rsid w:val="3B253993"/>
    <w:rsid w:val="3B2730E4"/>
    <w:rsid w:val="3B273268"/>
    <w:rsid w:val="3B297CC7"/>
    <w:rsid w:val="3B2A2D58"/>
    <w:rsid w:val="3B2C087E"/>
    <w:rsid w:val="3B2C6AD0"/>
    <w:rsid w:val="3B2E26A9"/>
    <w:rsid w:val="3B31058A"/>
    <w:rsid w:val="3B312338"/>
    <w:rsid w:val="3B331C0C"/>
    <w:rsid w:val="3B3360B0"/>
    <w:rsid w:val="3B337E5E"/>
    <w:rsid w:val="3B345984"/>
    <w:rsid w:val="3B3616FD"/>
    <w:rsid w:val="3B392F9B"/>
    <w:rsid w:val="3B3A61B3"/>
    <w:rsid w:val="3B3E2CBB"/>
    <w:rsid w:val="3B3E362E"/>
    <w:rsid w:val="3B404329"/>
    <w:rsid w:val="3B414646"/>
    <w:rsid w:val="3B422973"/>
    <w:rsid w:val="3B423ABA"/>
    <w:rsid w:val="3B441599"/>
    <w:rsid w:val="3B443E1A"/>
    <w:rsid w:val="3B45279D"/>
    <w:rsid w:val="3B455DE4"/>
    <w:rsid w:val="3B4605CF"/>
    <w:rsid w:val="3B4756B8"/>
    <w:rsid w:val="3B491430"/>
    <w:rsid w:val="3B4B164C"/>
    <w:rsid w:val="3B4C2CCE"/>
    <w:rsid w:val="3B4D4BEE"/>
    <w:rsid w:val="3B4D5AB3"/>
    <w:rsid w:val="3B4E2EEA"/>
    <w:rsid w:val="3B4F27BE"/>
    <w:rsid w:val="3B5322AF"/>
    <w:rsid w:val="3B53367D"/>
    <w:rsid w:val="3B543BE4"/>
    <w:rsid w:val="3B547DD5"/>
    <w:rsid w:val="3B561D9F"/>
    <w:rsid w:val="3B563B4D"/>
    <w:rsid w:val="3B567FF1"/>
    <w:rsid w:val="3B573AA4"/>
    <w:rsid w:val="3B5771BA"/>
    <w:rsid w:val="3B583D69"/>
    <w:rsid w:val="3B590236"/>
    <w:rsid w:val="3B5A5C52"/>
    <w:rsid w:val="3B5B73B5"/>
    <w:rsid w:val="3B5C5C17"/>
    <w:rsid w:val="3B6224F2"/>
    <w:rsid w:val="3B64270E"/>
    <w:rsid w:val="3B651FE2"/>
    <w:rsid w:val="3B664484"/>
    <w:rsid w:val="3B673FAC"/>
    <w:rsid w:val="3B691AD2"/>
    <w:rsid w:val="3B693880"/>
    <w:rsid w:val="3B6C3370"/>
    <w:rsid w:val="3B6D66AC"/>
    <w:rsid w:val="3B705713"/>
    <w:rsid w:val="3B732951"/>
    <w:rsid w:val="3B74161C"/>
    <w:rsid w:val="3B762441"/>
    <w:rsid w:val="3B7A0CB0"/>
    <w:rsid w:val="3B7B1C49"/>
    <w:rsid w:val="3B7D732B"/>
    <w:rsid w:val="3B7F01CC"/>
    <w:rsid w:val="3B7F1F51"/>
    <w:rsid w:val="3B7F4E52"/>
    <w:rsid w:val="3B820DE6"/>
    <w:rsid w:val="3B844B5E"/>
    <w:rsid w:val="3B854432"/>
    <w:rsid w:val="3B8561E0"/>
    <w:rsid w:val="3B861EE2"/>
    <w:rsid w:val="3B864FAA"/>
    <w:rsid w:val="3B867253"/>
    <w:rsid w:val="3B871F58"/>
    <w:rsid w:val="3B8763FC"/>
    <w:rsid w:val="3B892174"/>
    <w:rsid w:val="3B895CD0"/>
    <w:rsid w:val="3B8B7C9A"/>
    <w:rsid w:val="3B8C57C0"/>
    <w:rsid w:val="3B9052B1"/>
    <w:rsid w:val="3B911029"/>
    <w:rsid w:val="3B922D1B"/>
    <w:rsid w:val="3B954675"/>
    <w:rsid w:val="3B9A1C8B"/>
    <w:rsid w:val="3B9C6D4B"/>
    <w:rsid w:val="3B9D526A"/>
    <w:rsid w:val="3B9D79CE"/>
    <w:rsid w:val="3B9F3746"/>
    <w:rsid w:val="3BA174BE"/>
    <w:rsid w:val="3BA27D9D"/>
    <w:rsid w:val="3BA321E9"/>
    <w:rsid w:val="3BA345A8"/>
    <w:rsid w:val="3BA37EBC"/>
    <w:rsid w:val="3BA6272A"/>
    <w:rsid w:val="3BA6552B"/>
    <w:rsid w:val="3BA725FA"/>
    <w:rsid w:val="3BA945C4"/>
    <w:rsid w:val="3BAB20EB"/>
    <w:rsid w:val="3BAB3E99"/>
    <w:rsid w:val="3BAB6E46"/>
    <w:rsid w:val="3BAC19BF"/>
    <w:rsid w:val="3BAC6AF0"/>
    <w:rsid w:val="3BAE3989"/>
    <w:rsid w:val="3BAF01E0"/>
    <w:rsid w:val="3BB1169C"/>
    <w:rsid w:val="3BB23479"/>
    <w:rsid w:val="3BB24A56"/>
    <w:rsid w:val="3BB52F69"/>
    <w:rsid w:val="3BB54D17"/>
    <w:rsid w:val="3BB6269A"/>
    <w:rsid w:val="3BB92193"/>
    <w:rsid w:val="3BBA0BA4"/>
    <w:rsid w:val="3BBA232E"/>
    <w:rsid w:val="3BBB11DD"/>
    <w:rsid w:val="3BBD1E1E"/>
    <w:rsid w:val="3BBD3634"/>
    <w:rsid w:val="3BBF4813"/>
    <w:rsid w:val="3BBF63A5"/>
    <w:rsid w:val="3BC136BC"/>
    <w:rsid w:val="3BC1546A"/>
    <w:rsid w:val="3BC431AC"/>
    <w:rsid w:val="3BC60CD2"/>
    <w:rsid w:val="3BC646E5"/>
    <w:rsid w:val="3BC91DFB"/>
    <w:rsid w:val="3BC92571"/>
    <w:rsid w:val="3BC96A15"/>
    <w:rsid w:val="3BCA4233"/>
    <w:rsid w:val="3BCC3E0F"/>
    <w:rsid w:val="3BCD02B3"/>
    <w:rsid w:val="3BCE34D9"/>
    <w:rsid w:val="3BCE7B87"/>
    <w:rsid w:val="3BD01B51"/>
    <w:rsid w:val="3BD0698E"/>
    <w:rsid w:val="3BD333EF"/>
    <w:rsid w:val="3BD3519D"/>
    <w:rsid w:val="3BD5540B"/>
    <w:rsid w:val="3BD57167"/>
    <w:rsid w:val="3BD72EE0"/>
    <w:rsid w:val="3BD7566A"/>
    <w:rsid w:val="3BD827B4"/>
    <w:rsid w:val="3BD916CB"/>
    <w:rsid w:val="3BDA141A"/>
    <w:rsid w:val="3BDC04F6"/>
    <w:rsid w:val="3BDC6748"/>
    <w:rsid w:val="3BE13D5E"/>
    <w:rsid w:val="3BE178BA"/>
    <w:rsid w:val="3BE21884"/>
    <w:rsid w:val="3BE2277D"/>
    <w:rsid w:val="3BE4097A"/>
    <w:rsid w:val="3BE473AB"/>
    <w:rsid w:val="3BE61375"/>
    <w:rsid w:val="3BE70C49"/>
    <w:rsid w:val="3BE776B6"/>
    <w:rsid w:val="3BEB67BA"/>
    <w:rsid w:val="3BED2703"/>
    <w:rsid w:val="3BEF7378"/>
    <w:rsid w:val="3BF33702"/>
    <w:rsid w:val="3BF3545F"/>
    <w:rsid w:val="3BF52E41"/>
    <w:rsid w:val="3BF5780A"/>
    <w:rsid w:val="3BF82E56"/>
    <w:rsid w:val="3BF85ABC"/>
    <w:rsid w:val="3BFA4E20"/>
    <w:rsid w:val="3BFB49A4"/>
    <w:rsid w:val="3BFC2946"/>
    <w:rsid w:val="3BFC46F4"/>
    <w:rsid w:val="3BFD44B9"/>
    <w:rsid w:val="3BFE1538"/>
    <w:rsid w:val="3C0161AE"/>
    <w:rsid w:val="3C027F6F"/>
    <w:rsid w:val="3C0417FB"/>
    <w:rsid w:val="3C0435A9"/>
    <w:rsid w:val="3C061B78"/>
    <w:rsid w:val="3C0812EB"/>
    <w:rsid w:val="3C092323"/>
    <w:rsid w:val="3C093C8E"/>
    <w:rsid w:val="3C0D65B5"/>
    <w:rsid w:val="3C0E4427"/>
    <w:rsid w:val="3C1005F8"/>
    <w:rsid w:val="3C1057FB"/>
    <w:rsid w:val="3C123601"/>
    <w:rsid w:val="3C123F18"/>
    <w:rsid w:val="3C137C90"/>
    <w:rsid w:val="3C145EE2"/>
    <w:rsid w:val="3C187054"/>
    <w:rsid w:val="3C1A4336"/>
    <w:rsid w:val="3C1C4D96"/>
    <w:rsid w:val="3C1D516D"/>
    <w:rsid w:val="3C1D522E"/>
    <w:rsid w:val="3C1E436A"/>
    <w:rsid w:val="3C2105FF"/>
    <w:rsid w:val="3C2123AD"/>
    <w:rsid w:val="3C236125"/>
    <w:rsid w:val="3C264599"/>
    <w:rsid w:val="3C2854E9"/>
    <w:rsid w:val="3C2974B3"/>
    <w:rsid w:val="3C2A636F"/>
    <w:rsid w:val="3C2D6FA3"/>
    <w:rsid w:val="3C3136A4"/>
    <w:rsid w:val="3C320116"/>
    <w:rsid w:val="3C333E8E"/>
    <w:rsid w:val="3C350CB2"/>
    <w:rsid w:val="3C364B1F"/>
    <w:rsid w:val="3C376F07"/>
    <w:rsid w:val="3C3B4850"/>
    <w:rsid w:val="3C3C0F95"/>
    <w:rsid w:val="3C3E127F"/>
    <w:rsid w:val="3C3E2F5F"/>
    <w:rsid w:val="3C3F0A85"/>
    <w:rsid w:val="3C406CD7"/>
    <w:rsid w:val="3C4205D9"/>
    <w:rsid w:val="3C425A6B"/>
    <w:rsid w:val="3C431551"/>
    <w:rsid w:val="3C4542ED"/>
    <w:rsid w:val="3C463BC1"/>
    <w:rsid w:val="3C46700B"/>
    <w:rsid w:val="3C4816E7"/>
    <w:rsid w:val="3C485B8B"/>
    <w:rsid w:val="3C48628C"/>
    <w:rsid w:val="3C4A0B1E"/>
    <w:rsid w:val="3C4A2F0A"/>
    <w:rsid w:val="3C4A424B"/>
    <w:rsid w:val="3C4C02AC"/>
    <w:rsid w:val="3C4D0D61"/>
    <w:rsid w:val="3C4D31A2"/>
    <w:rsid w:val="3C4E2A76"/>
    <w:rsid w:val="3C4E579D"/>
    <w:rsid w:val="3C521A9E"/>
    <w:rsid w:val="3C53008C"/>
    <w:rsid w:val="3C5470CB"/>
    <w:rsid w:val="3C553E04"/>
    <w:rsid w:val="3C566670"/>
    <w:rsid w:val="3C574020"/>
    <w:rsid w:val="3C5A141B"/>
    <w:rsid w:val="3C5A1F80"/>
    <w:rsid w:val="3C5A58BF"/>
    <w:rsid w:val="3C5C1637"/>
    <w:rsid w:val="3C5C33E5"/>
    <w:rsid w:val="3C5F2ED5"/>
    <w:rsid w:val="3C6109FB"/>
    <w:rsid w:val="3C622E41"/>
    <w:rsid w:val="3C632B58"/>
    <w:rsid w:val="3C634773"/>
    <w:rsid w:val="3C636521"/>
    <w:rsid w:val="3C642299"/>
    <w:rsid w:val="3C6749A6"/>
    <w:rsid w:val="3C695C95"/>
    <w:rsid w:val="3C6B6CFE"/>
    <w:rsid w:val="3C6B79B0"/>
    <w:rsid w:val="3C6D114E"/>
    <w:rsid w:val="3C6E6E3D"/>
    <w:rsid w:val="3C6F54AB"/>
    <w:rsid w:val="3C720C39"/>
    <w:rsid w:val="3C720E5A"/>
    <w:rsid w:val="3C722C08"/>
    <w:rsid w:val="3C74072E"/>
    <w:rsid w:val="3C746980"/>
    <w:rsid w:val="3C764FC0"/>
    <w:rsid w:val="3C77021F"/>
    <w:rsid w:val="3C7864B6"/>
    <w:rsid w:val="3C7A386B"/>
    <w:rsid w:val="3C7A5BC5"/>
    <w:rsid w:val="3C7B27CC"/>
    <w:rsid w:val="3C7C6ED8"/>
    <w:rsid w:val="3C7E15AD"/>
    <w:rsid w:val="3C812E4B"/>
    <w:rsid w:val="3C834E15"/>
    <w:rsid w:val="3C836BC3"/>
    <w:rsid w:val="3C8446EA"/>
    <w:rsid w:val="3C860462"/>
    <w:rsid w:val="3C885F88"/>
    <w:rsid w:val="3C895AAB"/>
    <w:rsid w:val="3C8A7F52"/>
    <w:rsid w:val="3C8B3CCA"/>
    <w:rsid w:val="3C8B44FE"/>
    <w:rsid w:val="3C8B5A78"/>
    <w:rsid w:val="3C8D24ED"/>
    <w:rsid w:val="3C8D7A42"/>
    <w:rsid w:val="3C8F37BA"/>
    <w:rsid w:val="3C905550"/>
    <w:rsid w:val="3C920BB5"/>
    <w:rsid w:val="3C926E07"/>
    <w:rsid w:val="3C950D47"/>
    <w:rsid w:val="3C9C34C0"/>
    <w:rsid w:val="3C9F2BB5"/>
    <w:rsid w:val="3CA12685"/>
    <w:rsid w:val="3CA12853"/>
    <w:rsid w:val="3CA3257E"/>
    <w:rsid w:val="3CA32DC2"/>
    <w:rsid w:val="3CA626D7"/>
    <w:rsid w:val="3CA76C44"/>
    <w:rsid w:val="3CA803D8"/>
    <w:rsid w:val="3CA80784"/>
    <w:rsid w:val="3CA8487C"/>
    <w:rsid w:val="3CAA23A2"/>
    <w:rsid w:val="3CAC7992"/>
    <w:rsid w:val="3CAE0B6E"/>
    <w:rsid w:val="3CAF1767"/>
    <w:rsid w:val="3CAF79B9"/>
    <w:rsid w:val="3CB054DF"/>
    <w:rsid w:val="3CB11E3E"/>
    <w:rsid w:val="3CB13731"/>
    <w:rsid w:val="3CB321FE"/>
    <w:rsid w:val="3CB44FCF"/>
    <w:rsid w:val="3CB60D47"/>
    <w:rsid w:val="3CB74ABF"/>
    <w:rsid w:val="3CBA010B"/>
    <w:rsid w:val="3CBD0327"/>
    <w:rsid w:val="3CBD278A"/>
    <w:rsid w:val="3CBF26B5"/>
    <w:rsid w:val="3CC01387"/>
    <w:rsid w:val="3CC01BC6"/>
    <w:rsid w:val="3CC1516B"/>
    <w:rsid w:val="3CC33464"/>
    <w:rsid w:val="3CC64D02"/>
    <w:rsid w:val="3CC80A7A"/>
    <w:rsid w:val="3CC945D6"/>
    <w:rsid w:val="3CC96E76"/>
    <w:rsid w:val="3CCA034E"/>
    <w:rsid w:val="3CCA2A44"/>
    <w:rsid w:val="3CCB0A1D"/>
    <w:rsid w:val="3CCD78C1"/>
    <w:rsid w:val="3CCD7F97"/>
    <w:rsid w:val="3CCF1553"/>
    <w:rsid w:val="3CD04124"/>
    <w:rsid w:val="3CD25DFF"/>
    <w:rsid w:val="3CD42EA0"/>
    <w:rsid w:val="3CD64F45"/>
    <w:rsid w:val="3CD70CBD"/>
    <w:rsid w:val="3CD76F0F"/>
    <w:rsid w:val="3CD77F41"/>
    <w:rsid w:val="3CD967E3"/>
    <w:rsid w:val="3CDB0AAB"/>
    <w:rsid w:val="3CDE3DFA"/>
    <w:rsid w:val="3CDE6FFD"/>
    <w:rsid w:val="3CDF1321"/>
    <w:rsid w:val="3CE33B06"/>
    <w:rsid w:val="3CE358B4"/>
    <w:rsid w:val="3CE533DA"/>
    <w:rsid w:val="3CE53F8F"/>
    <w:rsid w:val="3CE60F00"/>
    <w:rsid w:val="3CE77152"/>
    <w:rsid w:val="3CE81CE4"/>
    <w:rsid w:val="3CE84653"/>
    <w:rsid w:val="3CEA279F"/>
    <w:rsid w:val="3CEA6C43"/>
    <w:rsid w:val="3CEB6517"/>
    <w:rsid w:val="3CED228F"/>
    <w:rsid w:val="3CEF4259"/>
    <w:rsid w:val="3CF07CDE"/>
    <w:rsid w:val="3CF202DC"/>
    <w:rsid w:val="3CF33CE2"/>
    <w:rsid w:val="3CF47AC1"/>
    <w:rsid w:val="3CF772CF"/>
    <w:rsid w:val="3CF90C34"/>
    <w:rsid w:val="3CF9394B"/>
    <w:rsid w:val="3CF950D8"/>
    <w:rsid w:val="3CF96E86"/>
    <w:rsid w:val="3CFA359E"/>
    <w:rsid w:val="3CFB2BFE"/>
    <w:rsid w:val="3CFE624A"/>
    <w:rsid w:val="3CFF0108"/>
    <w:rsid w:val="3D000214"/>
    <w:rsid w:val="3D006466"/>
    <w:rsid w:val="3D010F9D"/>
    <w:rsid w:val="3D011321"/>
    <w:rsid w:val="3D016DCE"/>
    <w:rsid w:val="3D0221DE"/>
    <w:rsid w:val="3D032B65"/>
    <w:rsid w:val="3D057F74"/>
    <w:rsid w:val="3D0752FB"/>
    <w:rsid w:val="3D0870C9"/>
    <w:rsid w:val="3D0A1093"/>
    <w:rsid w:val="3D0B54B4"/>
    <w:rsid w:val="3D0C023E"/>
    <w:rsid w:val="3D0C0967"/>
    <w:rsid w:val="3D0D46DF"/>
    <w:rsid w:val="3D0D7772"/>
    <w:rsid w:val="3D0E419C"/>
    <w:rsid w:val="3D0F0457"/>
    <w:rsid w:val="3D0F3EBA"/>
    <w:rsid w:val="3D121CF5"/>
    <w:rsid w:val="3D1369EF"/>
    <w:rsid w:val="3D141F11"/>
    <w:rsid w:val="3D144CA7"/>
    <w:rsid w:val="3D146CD2"/>
    <w:rsid w:val="3D1617E6"/>
    <w:rsid w:val="3D163594"/>
    <w:rsid w:val="3D1D2B74"/>
    <w:rsid w:val="3D1E68EC"/>
    <w:rsid w:val="3D2008B6"/>
    <w:rsid w:val="3D204412"/>
    <w:rsid w:val="3D211F38"/>
    <w:rsid w:val="3D23769A"/>
    <w:rsid w:val="3D291319"/>
    <w:rsid w:val="3D2959BD"/>
    <w:rsid w:val="3D2A703F"/>
    <w:rsid w:val="3D2F28A7"/>
    <w:rsid w:val="3D2F488F"/>
    <w:rsid w:val="3D33006A"/>
    <w:rsid w:val="3D344362"/>
    <w:rsid w:val="3D346110"/>
    <w:rsid w:val="3D347EBE"/>
    <w:rsid w:val="3D351B7B"/>
    <w:rsid w:val="3D37175C"/>
    <w:rsid w:val="3D374762"/>
    <w:rsid w:val="3D387082"/>
    <w:rsid w:val="3D3954D4"/>
    <w:rsid w:val="3D396002"/>
    <w:rsid w:val="3D3B124C"/>
    <w:rsid w:val="3D3B2FFA"/>
    <w:rsid w:val="3D3B56F0"/>
    <w:rsid w:val="3D3D3216"/>
    <w:rsid w:val="3D3F6F8E"/>
    <w:rsid w:val="3D404AB5"/>
    <w:rsid w:val="3D451A4D"/>
    <w:rsid w:val="3D4520CB"/>
    <w:rsid w:val="3D453E79"/>
    <w:rsid w:val="3D4547DF"/>
    <w:rsid w:val="3D465744"/>
    <w:rsid w:val="3D465D29"/>
    <w:rsid w:val="3D474095"/>
    <w:rsid w:val="3D495FCD"/>
    <w:rsid w:val="3D4A76E1"/>
    <w:rsid w:val="3D4D2D2E"/>
    <w:rsid w:val="3D4F2F4A"/>
    <w:rsid w:val="3D4F4CF8"/>
    <w:rsid w:val="3D5567B2"/>
    <w:rsid w:val="3D570956"/>
    <w:rsid w:val="3D600CB3"/>
    <w:rsid w:val="3D604DFD"/>
    <w:rsid w:val="3D605157"/>
    <w:rsid w:val="3D636A7C"/>
    <w:rsid w:val="3D6407A3"/>
    <w:rsid w:val="3D677C57"/>
    <w:rsid w:val="3D695628"/>
    <w:rsid w:val="3D6961CA"/>
    <w:rsid w:val="3D6A38DF"/>
    <w:rsid w:val="3D6B1F10"/>
    <w:rsid w:val="3D6E1622"/>
    <w:rsid w:val="3D6F0EF6"/>
    <w:rsid w:val="3D7309E6"/>
    <w:rsid w:val="3D761CE0"/>
    <w:rsid w:val="3D7824A0"/>
    <w:rsid w:val="3D78424E"/>
    <w:rsid w:val="3D791D75"/>
    <w:rsid w:val="3D7B5AED"/>
    <w:rsid w:val="3D7E738B"/>
    <w:rsid w:val="3D7F0B25"/>
    <w:rsid w:val="3D7F7D55"/>
    <w:rsid w:val="3D803103"/>
    <w:rsid w:val="3D814136"/>
    <w:rsid w:val="3D8336B3"/>
    <w:rsid w:val="3D840E45"/>
    <w:rsid w:val="3D864BBD"/>
    <w:rsid w:val="3D89645B"/>
    <w:rsid w:val="3D8B7B9E"/>
    <w:rsid w:val="3D8D5DCB"/>
    <w:rsid w:val="3D917C81"/>
    <w:rsid w:val="3D920557"/>
    <w:rsid w:val="3D941E11"/>
    <w:rsid w:val="3D962707"/>
    <w:rsid w:val="3D96729B"/>
    <w:rsid w:val="3D9848F1"/>
    <w:rsid w:val="3D98669F"/>
    <w:rsid w:val="3D986CBC"/>
    <w:rsid w:val="3D9B7F3D"/>
    <w:rsid w:val="3D9D3CB5"/>
    <w:rsid w:val="3D9D6068"/>
    <w:rsid w:val="3DA07BD2"/>
    <w:rsid w:val="3DA319B4"/>
    <w:rsid w:val="3DA72FF0"/>
    <w:rsid w:val="3DA94408"/>
    <w:rsid w:val="3DAE5243"/>
    <w:rsid w:val="3DB01C3A"/>
    <w:rsid w:val="3DB039E8"/>
    <w:rsid w:val="3DB17760"/>
    <w:rsid w:val="3DB334D8"/>
    <w:rsid w:val="3DB35286"/>
    <w:rsid w:val="3DB36DB1"/>
    <w:rsid w:val="3DB50FFF"/>
    <w:rsid w:val="3DB72FC9"/>
    <w:rsid w:val="3DB8289D"/>
    <w:rsid w:val="3DBA6615"/>
    <w:rsid w:val="3DBB1F87"/>
    <w:rsid w:val="3DBB413B"/>
    <w:rsid w:val="3DBD311F"/>
    <w:rsid w:val="3DBD7EB3"/>
    <w:rsid w:val="3DC56568"/>
    <w:rsid w:val="3DC6320C"/>
    <w:rsid w:val="3DC94AAA"/>
    <w:rsid w:val="3DC95A81"/>
    <w:rsid w:val="3DCC6348"/>
    <w:rsid w:val="3DCE20C0"/>
    <w:rsid w:val="3DD05E38"/>
    <w:rsid w:val="3DD1570D"/>
    <w:rsid w:val="3DD17377"/>
    <w:rsid w:val="3DD34DF5"/>
    <w:rsid w:val="3DD43653"/>
    <w:rsid w:val="3DD54C6B"/>
    <w:rsid w:val="3DD551FD"/>
    <w:rsid w:val="3DD82F3F"/>
    <w:rsid w:val="3DDD0555"/>
    <w:rsid w:val="3DDD67A7"/>
    <w:rsid w:val="3DDD743D"/>
    <w:rsid w:val="3DDE68B5"/>
    <w:rsid w:val="3DDF370F"/>
    <w:rsid w:val="3DDF502E"/>
    <w:rsid w:val="3DDF7E2A"/>
    <w:rsid w:val="3DE10D5D"/>
    <w:rsid w:val="3DE11DF4"/>
    <w:rsid w:val="3DE15BC8"/>
    <w:rsid w:val="3DE22B68"/>
    <w:rsid w:val="3DE23DBE"/>
    <w:rsid w:val="3DE713D4"/>
    <w:rsid w:val="3DE73182"/>
    <w:rsid w:val="3DEF0C9E"/>
    <w:rsid w:val="3DF064DB"/>
    <w:rsid w:val="3DF96E3A"/>
    <w:rsid w:val="3DFB6DE9"/>
    <w:rsid w:val="3DFC6C2D"/>
    <w:rsid w:val="3DFD1951"/>
    <w:rsid w:val="3DFE0BF8"/>
    <w:rsid w:val="3DFE6E63"/>
    <w:rsid w:val="3DFF04CC"/>
    <w:rsid w:val="3DFF227A"/>
    <w:rsid w:val="3DFF413C"/>
    <w:rsid w:val="3E015FF2"/>
    <w:rsid w:val="3E021D6A"/>
    <w:rsid w:val="3E022EE1"/>
    <w:rsid w:val="3E03620E"/>
    <w:rsid w:val="3E045AE2"/>
    <w:rsid w:val="3E047890"/>
    <w:rsid w:val="3E0738D0"/>
    <w:rsid w:val="3E0B0C1F"/>
    <w:rsid w:val="3E0B50C2"/>
    <w:rsid w:val="3E0B6CF5"/>
    <w:rsid w:val="3E0F5707"/>
    <w:rsid w:val="3E10092B"/>
    <w:rsid w:val="3E111FAD"/>
    <w:rsid w:val="3E1201FF"/>
    <w:rsid w:val="3E122545"/>
    <w:rsid w:val="3E122907"/>
    <w:rsid w:val="3E137A53"/>
    <w:rsid w:val="3E15298F"/>
    <w:rsid w:val="3E171CB9"/>
    <w:rsid w:val="3E173A67"/>
    <w:rsid w:val="3E190AA8"/>
    <w:rsid w:val="3E1A5306"/>
    <w:rsid w:val="3E1A56BE"/>
    <w:rsid w:val="3E1B5C0C"/>
    <w:rsid w:val="3E1B6F14"/>
    <w:rsid w:val="3E1C2E2C"/>
    <w:rsid w:val="3E1C5014"/>
    <w:rsid w:val="3E216694"/>
    <w:rsid w:val="3E220CF9"/>
    <w:rsid w:val="3E2241BA"/>
    <w:rsid w:val="3E23044B"/>
    <w:rsid w:val="3E272866"/>
    <w:rsid w:val="3E290067"/>
    <w:rsid w:val="3E2919ED"/>
    <w:rsid w:val="3E2C3159"/>
    <w:rsid w:val="3E2C3CBF"/>
    <w:rsid w:val="3E2D731D"/>
    <w:rsid w:val="3E2D78A5"/>
    <w:rsid w:val="3E2E027E"/>
    <w:rsid w:val="3E2E0DB1"/>
    <w:rsid w:val="3E32588A"/>
    <w:rsid w:val="3E391C30"/>
    <w:rsid w:val="3E3B5E55"/>
    <w:rsid w:val="3E3E7246"/>
    <w:rsid w:val="3E3F4D6C"/>
    <w:rsid w:val="3E40231E"/>
    <w:rsid w:val="3E4405D4"/>
    <w:rsid w:val="3E442382"/>
    <w:rsid w:val="3E467EA9"/>
    <w:rsid w:val="3E47026C"/>
    <w:rsid w:val="3E4800C5"/>
    <w:rsid w:val="3E483C21"/>
    <w:rsid w:val="3E493C5F"/>
    <w:rsid w:val="3E4B3711"/>
    <w:rsid w:val="3E4B54BF"/>
    <w:rsid w:val="3E4C4E9C"/>
    <w:rsid w:val="3E4D56DB"/>
    <w:rsid w:val="3E500D27"/>
    <w:rsid w:val="3E5325C6"/>
    <w:rsid w:val="3E5647AD"/>
    <w:rsid w:val="3E5668B2"/>
    <w:rsid w:val="3E594080"/>
    <w:rsid w:val="3E5A7DF8"/>
    <w:rsid w:val="3E5B4A96"/>
    <w:rsid w:val="3E5C147A"/>
    <w:rsid w:val="3E622809"/>
    <w:rsid w:val="3E66054B"/>
    <w:rsid w:val="3E661B42"/>
    <w:rsid w:val="3E667536"/>
    <w:rsid w:val="3E675770"/>
    <w:rsid w:val="3E686071"/>
    <w:rsid w:val="3E691DE9"/>
    <w:rsid w:val="3E6C767A"/>
    <w:rsid w:val="3E6F1166"/>
    <w:rsid w:val="3E71188D"/>
    <w:rsid w:val="3E7265B2"/>
    <w:rsid w:val="3E726EF0"/>
    <w:rsid w:val="3E7569E0"/>
    <w:rsid w:val="3E774506"/>
    <w:rsid w:val="3E796617"/>
    <w:rsid w:val="3E7A0EA8"/>
    <w:rsid w:val="3E7D5DF6"/>
    <w:rsid w:val="3E7E5894"/>
    <w:rsid w:val="3E7E7642"/>
    <w:rsid w:val="3E7F5329"/>
    <w:rsid w:val="3E804F45"/>
    <w:rsid w:val="3E811845"/>
    <w:rsid w:val="3E82067B"/>
    <w:rsid w:val="3E823B0A"/>
    <w:rsid w:val="3E832EAB"/>
    <w:rsid w:val="3E834C59"/>
    <w:rsid w:val="3E84485B"/>
    <w:rsid w:val="3E860BED"/>
    <w:rsid w:val="3E86299B"/>
    <w:rsid w:val="3E8804C1"/>
    <w:rsid w:val="3E894239"/>
    <w:rsid w:val="3E897452"/>
    <w:rsid w:val="3E8C37C4"/>
    <w:rsid w:val="3E8E1B58"/>
    <w:rsid w:val="3E8F4811"/>
    <w:rsid w:val="3E921340"/>
    <w:rsid w:val="3E941738"/>
    <w:rsid w:val="3E94330A"/>
    <w:rsid w:val="3E9560B7"/>
    <w:rsid w:val="3E962575"/>
    <w:rsid w:val="3E974BA8"/>
    <w:rsid w:val="3E976629"/>
    <w:rsid w:val="3E98013E"/>
    <w:rsid w:val="3E9A1FA2"/>
    <w:rsid w:val="3E9C21BE"/>
    <w:rsid w:val="3E9F580B"/>
    <w:rsid w:val="3EA1766C"/>
    <w:rsid w:val="3EA21DFC"/>
    <w:rsid w:val="3EA572C5"/>
    <w:rsid w:val="3EAA48DB"/>
    <w:rsid w:val="3EAA6283"/>
    <w:rsid w:val="3EAA6689"/>
    <w:rsid w:val="3EAB2402"/>
    <w:rsid w:val="3EAD43CC"/>
    <w:rsid w:val="3EB017C6"/>
    <w:rsid w:val="3EB36553"/>
    <w:rsid w:val="3EB70DA6"/>
    <w:rsid w:val="3EB915A0"/>
    <w:rsid w:val="3EB9437E"/>
    <w:rsid w:val="3EBB29A2"/>
    <w:rsid w:val="3EBF7C5B"/>
    <w:rsid w:val="3EC13D03"/>
    <w:rsid w:val="3EC44618"/>
    <w:rsid w:val="3EC6723B"/>
    <w:rsid w:val="3EC7548D"/>
    <w:rsid w:val="3EC9670E"/>
    <w:rsid w:val="3ECA2888"/>
    <w:rsid w:val="3ECB0A99"/>
    <w:rsid w:val="3ECB4852"/>
    <w:rsid w:val="3ECB6F1A"/>
    <w:rsid w:val="3ECD4DB7"/>
    <w:rsid w:val="3ECD69DC"/>
    <w:rsid w:val="3ED16309"/>
    <w:rsid w:val="3ED43706"/>
    <w:rsid w:val="3EDA4ED4"/>
    <w:rsid w:val="3EDC1FA8"/>
    <w:rsid w:val="3EE14075"/>
    <w:rsid w:val="3EE4397B"/>
    <w:rsid w:val="3EE53B65"/>
    <w:rsid w:val="3EE871B2"/>
    <w:rsid w:val="3EE94A45"/>
    <w:rsid w:val="3EEA117C"/>
    <w:rsid w:val="3EEC2A7C"/>
    <w:rsid w:val="3EEC2ACB"/>
    <w:rsid w:val="3EEC4EF4"/>
    <w:rsid w:val="3EEC6CA2"/>
    <w:rsid w:val="3EF122C9"/>
    <w:rsid w:val="3EF21DDE"/>
    <w:rsid w:val="3EF22C3D"/>
    <w:rsid w:val="3EF2526D"/>
    <w:rsid w:val="3EF26D09"/>
    <w:rsid w:val="3EF40282"/>
    <w:rsid w:val="3EF45B57"/>
    <w:rsid w:val="3EF47F62"/>
    <w:rsid w:val="3EF51390"/>
    <w:rsid w:val="3EF72CFE"/>
    <w:rsid w:val="3EF75647"/>
    <w:rsid w:val="3EF773F5"/>
    <w:rsid w:val="3EF913BF"/>
    <w:rsid w:val="3EFB0C93"/>
    <w:rsid w:val="3EFB6EE5"/>
    <w:rsid w:val="3EFD0EAF"/>
    <w:rsid w:val="3EFF0627"/>
    <w:rsid w:val="3F0044FB"/>
    <w:rsid w:val="3F010273"/>
    <w:rsid w:val="3F020323"/>
    <w:rsid w:val="3F033FEC"/>
    <w:rsid w:val="3F0609B9"/>
    <w:rsid w:val="3F06588A"/>
    <w:rsid w:val="3F0833B0"/>
    <w:rsid w:val="3F0B1996"/>
    <w:rsid w:val="3F0B1D20"/>
    <w:rsid w:val="3F0B4C4E"/>
    <w:rsid w:val="3F0D224A"/>
    <w:rsid w:val="3F0D4E6A"/>
    <w:rsid w:val="3F113729"/>
    <w:rsid w:val="3F122481"/>
    <w:rsid w:val="3F125FDD"/>
    <w:rsid w:val="3F1330E2"/>
    <w:rsid w:val="3F141D55"/>
    <w:rsid w:val="3F142CB8"/>
    <w:rsid w:val="3F157145"/>
    <w:rsid w:val="3F161F71"/>
    <w:rsid w:val="3F163D1F"/>
    <w:rsid w:val="3F174702"/>
    <w:rsid w:val="3F1955BD"/>
    <w:rsid w:val="3F1D32FF"/>
    <w:rsid w:val="3F1E17D4"/>
    <w:rsid w:val="3F1E7423"/>
    <w:rsid w:val="3F220916"/>
    <w:rsid w:val="3F2521B4"/>
    <w:rsid w:val="3F275F2C"/>
    <w:rsid w:val="3F276247"/>
    <w:rsid w:val="3F2A2BEE"/>
    <w:rsid w:val="3F2A4139"/>
    <w:rsid w:val="3F2C3542"/>
    <w:rsid w:val="3F2D1069"/>
    <w:rsid w:val="3F324978"/>
    <w:rsid w:val="3F32667F"/>
    <w:rsid w:val="3F33629E"/>
    <w:rsid w:val="3F3441A5"/>
    <w:rsid w:val="3F347287"/>
    <w:rsid w:val="3F373C95"/>
    <w:rsid w:val="3F375A43"/>
    <w:rsid w:val="3F3A1267"/>
    <w:rsid w:val="3F3B19D7"/>
    <w:rsid w:val="3F3C52C8"/>
    <w:rsid w:val="3F3E27B9"/>
    <w:rsid w:val="3F3E3276"/>
    <w:rsid w:val="3F3E3F57"/>
    <w:rsid w:val="3F461CB5"/>
    <w:rsid w:val="3F464E22"/>
    <w:rsid w:val="3F465470"/>
    <w:rsid w:val="3F473ED8"/>
    <w:rsid w:val="3F4978CC"/>
    <w:rsid w:val="3F4C1ED4"/>
    <w:rsid w:val="3F4C4CEC"/>
    <w:rsid w:val="3F4D2DEE"/>
    <w:rsid w:val="3F4F28EF"/>
    <w:rsid w:val="3F4F7231"/>
    <w:rsid w:val="3F512FA9"/>
    <w:rsid w:val="3F5460B9"/>
    <w:rsid w:val="3F5605BF"/>
    <w:rsid w:val="3F56236D"/>
    <w:rsid w:val="3F566811"/>
    <w:rsid w:val="3F593C0C"/>
    <w:rsid w:val="3F5C76FF"/>
    <w:rsid w:val="3F5D194E"/>
    <w:rsid w:val="3F5D5D75"/>
    <w:rsid w:val="3F5D7BA0"/>
    <w:rsid w:val="3F604F9A"/>
    <w:rsid w:val="3F605053"/>
    <w:rsid w:val="3F622FB7"/>
    <w:rsid w:val="3F6266C7"/>
    <w:rsid w:val="3F626F64"/>
    <w:rsid w:val="3F650802"/>
    <w:rsid w:val="3F670284"/>
    <w:rsid w:val="3F6820A1"/>
    <w:rsid w:val="3F6902F3"/>
    <w:rsid w:val="3F6970B0"/>
    <w:rsid w:val="3F6C7184"/>
    <w:rsid w:val="3F6C766D"/>
    <w:rsid w:val="3F6C7DE3"/>
    <w:rsid w:val="3F6D5D27"/>
    <w:rsid w:val="3F6F1681"/>
    <w:rsid w:val="3F6F2D36"/>
    <w:rsid w:val="3F6F342F"/>
    <w:rsid w:val="3F6F78D3"/>
    <w:rsid w:val="3F7171A7"/>
    <w:rsid w:val="3F720FE7"/>
    <w:rsid w:val="3F724F8D"/>
    <w:rsid w:val="3F727FFA"/>
    <w:rsid w:val="3F731171"/>
    <w:rsid w:val="3F741963"/>
    <w:rsid w:val="3F744EE9"/>
    <w:rsid w:val="3F755C74"/>
    <w:rsid w:val="3F760C61"/>
    <w:rsid w:val="3F773E8F"/>
    <w:rsid w:val="3F7741D8"/>
    <w:rsid w:val="3F7822EA"/>
    <w:rsid w:val="3F7942AE"/>
    <w:rsid w:val="3F7D3D9E"/>
    <w:rsid w:val="3F7E18C4"/>
    <w:rsid w:val="3F7E2075"/>
    <w:rsid w:val="3F7F7B16"/>
    <w:rsid w:val="3F80256C"/>
    <w:rsid w:val="3F8205BE"/>
    <w:rsid w:val="3F8213B4"/>
    <w:rsid w:val="3F836EDA"/>
    <w:rsid w:val="3F843AC3"/>
    <w:rsid w:val="3F84512C"/>
    <w:rsid w:val="3F850885"/>
    <w:rsid w:val="3F867998"/>
    <w:rsid w:val="3F8844F1"/>
    <w:rsid w:val="3F8A61EF"/>
    <w:rsid w:val="3F8A64BB"/>
    <w:rsid w:val="3F8C1CD0"/>
    <w:rsid w:val="3F8C2233"/>
    <w:rsid w:val="3F8C5D8F"/>
    <w:rsid w:val="3F8C6526"/>
    <w:rsid w:val="3F8E34A2"/>
    <w:rsid w:val="3F8E48A8"/>
    <w:rsid w:val="3F8F0BD1"/>
    <w:rsid w:val="3F942E96"/>
    <w:rsid w:val="3F950710"/>
    <w:rsid w:val="3F9609BC"/>
    <w:rsid w:val="3F9634F8"/>
    <w:rsid w:val="3F9904AC"/>
    <w:rsid w:val="3F9A4950"/>
    <w:rsid w:val="3F9A69AD"/>
    <w:rsid w:val="3F9D61EE"/>
    <w:rsid w:val="3F9E5AC2"/>
    <w:rsid w:val="3FA00368"/>
    <w:rsid w:val="3FA07A8C"/>
    <w:rsid w:val="3FA30B08"/>
    <w:rsid w:val="3FA43A6A"/>
    <w:rsid w:val="3FA5147C"/>
    <w:rsid w:val="3FA532F5"/>
    <w:rsid w:val="3FA56E51"/>
    <w:rsid w:val="3FA717C9"/>
    <w:rsid w:val="3FA7706D"/>
    <w:rsid w:val="3FA77324"/>
    <w:rsid w:val="3FA806EF"/>
    <w:rsid w:val="3FAA57D9"/>
    <w:rsid w:val="3FAB5528"/>
    <w:rsid w:val="3FAB6ABD"/>
    <w:rsid w:val="3FAC4683"/>
    <w:rsid w:val="3FB00F40"/>
    <w:rsid w:val="3FB83028"/>
    <w:rsid w:val="3FB83870"/>
    <w:rsid w:val="3FB86B84"/>
    <w:rsid w:val="3FB97C74"/>
    <w:rsid w:val="3FBA6DA0"/>
    <w:rsid w:val="3FBB5D50"/>
    <w:rsid w:val="3FBB6674"/>
    <w:rsid w:val="3FBC1059"/>
    <w:rsid w:val="3FBD41B1"/>
    <w:rsid w:val="3FC01EDD"/>
    <w:rsid w:val="3FC165DA"/>
    <w:rsid w:val="3FC217B1"/>
    <w:rsid w:val="3FC33B9C"/>
    <w:rsid w:val="3FC36F46"/>
    <w:rsid w:val="3FC419CD"/>
    <w:rsid w:val="3FC4446F"/>
    <w:rsid w:val="3FC470D8"/>
    <w:rsid w:val="3FC60617"/>
    <w:rsid w:val="3FC6532D"/>
    <w:rsid w:val="3FC65745"/>
    <w:rsid w:val="3FC84F7C"/>
    <w:rsid w:val="3FC90D91"/>
    <w:rsid w:val="3FC96FE3"/>
    <w:rsid w:val="3FCA4B09"/>
    <w:rsid w:val="3FCB17B4"/>
    <w:rsid w:val="3FCD30FD"/>
    <w:rsid w:val="3FCE3196"/>
    <w:rsid w:val="3FCE63A8"/>
    <w:rsid w:val="3FCF2120"/>
    <w:rsid w:val="3FD103D3"/>
    <w:rsid w:val="3FD10963"/>
    <w:rsid w:val="3FD11FAF"/>
    <w:rsid w:val="3FD21374"/>
    <w:rsid w:val="3FD24BE9"/>
    <w:rsid w:val="3FD339BE"/>
    <w:rsid w:val="3FD4793B"/>
    <w:rsid w:val="3FD57736"/>
    <w:rsid w:val="3FD80FD4"/>
    <w:rsid w:val="3FD82C72"/>
    <w:rsid w:val="3FDC6027"/>
    <w:rsid w:val="3FDD2A8F"/>
    <w:rsid w:val="3FDD2F01"/>
    <w:rsid w:val="3FDD483D"/>
    <w:rsid w:val="3FDF2363"/>
    <w:rsid w:val="3FDF5A39"/>
    <w:rsid w:val="3FE200A5"/>
    <w:rsid w:val="3FE52320"/>
    <w:rsid w:val="3FE536F1"/>
    <w:rsid w:val="3FE61943"/>
    <w:rsid w:val="3FE6701E"/>
    <w:rsid w:val="3FE71217"/>
    <w:rsid w:val="3FE7577B"/>
    <w:rsid w:val="3FE77469"/>
    <w:rsid w:val="3FE83818"/>
    <w:rsid w:val="3FE931E1"/>
    <w:rsid w:val="3FEB0CA5"/>
    <w:rsid w:val="3FEB0DEC"/>
    <w:rsid w:val="3FEC2CD2"/>
    <w:rsid w:val="3FEE07F8"/>
    <w:rsid w:val="3FF102E8"/>
    <w:rsid w:val="3FF14F55"/>
    <w:rsid w:val="3FF3391E"/>
    <w:rsid w:val="3FF35DA4"/>
    <w:rsid w:val="3FF676AC"/>
    <w:rsid w:val="3FF82AC5"/>
    <w:rsid w:val="3FF83425"/>
    <w:rsid w:val="3FFD5812"/>
    <w:rsid w:val="400116FA"/>
    <w:rsid w:val="40011C8E"/>
    <w:rsid w:val="4002372B"/>
    <w:rsid w:val="40041DC9"/>
    <w:rsid w:val="400718BA"/>
    <w:rsid w:val="400915BF"/>
    <w:rsid w:val="400A428E"/>
    <w:rsid w:val="400A6A92"/>
    <w:rsid w:val="400B13AA"/>
    <w:rsid w:val="40106F53"/>
    <w:rsid w:val="40110079"/>
    <w:rsid w:val="401144E6"/>
    <w:rsid w:val="4013200C"/>
    <w:rsid w:val="40141BC7"/>
    <w:rsid w:val="40144798"/>
    <w:rsid w:val="40144D9F"/>
    <w:rsid w:val="40151FA4"/>
    <w:rsid w:val="40153FD6"/>
    <w:rsid w:val="4015641E"/>
    <w:rsid w:val="401678CF"/>
    <w:rsid w:val="4017375A"/>
    <w:rsid w:val="401A339B"/>
    <w:rsid w:val="401C5365"/>
    <w:rsid w:val="401C72AC"/>
    <w:rsid w:val="401F09B1"/>
    <w:rsid w:val="401F30A7"/>
    <w:rsid w:val="402204A1"/>
    <w:rsid w:val="402266F3"/>
    <w:rsid w:val="4024246B"/>
    <w:rsid w:val="40244301"/>
    <w:rsid w:val="40251D40"/>
    <w:rsid w:val="40267F92"/>
    <w:rsid w:val="40275AB8"/>
    <w:rsid w:val="40295CD4"/>
    <w:rsid w:val="40297A82"/>
    <w:rsid w:val="402C1320"/>
    <w:rsid w:val="402D7572"/>
    <w:rsid w:val="402F1A22"/>
    <w:rsid w:val="40306AF9"/>
    <w:rsid w:val="403311B0"/>
    <w:rsid w:val="40363F4D"/>
    <w:rsid w:val="40384169"/>
    <w:rsid w:val="403A3A3D"/>
    <w:rsid w:val="403E177F"/>
    <w:rsid w:val="40402A78"/>
    <w:rsid w:val="404364B8"/>
    <w:rsid w:val="40436D96"/>
    <w:rsid w:val="40440F3B"/>
    <w:rsid w:val="404448BC"/>
    <w:rsid w:val="40445CE2"/>
    <w:rsid w:val="404550EB"/>
    <w:rsid w:val="404605CF"/>
    <w:rsid w:val="40461C54"/>
    <w:rsid w:val="40480AB6"/>
    <w:rsid w:val="404855C4"/>
    <w:rsid w:val="40490124"/>
    <w:rsid w:val="404A3285"/>
    <w:rsid w:val="404B5937"/>
    <w:rsid w:val="404C551E"/>
    <w:rsid w:val="404E74E8"/>
    <w:rsid w:val="404F780F"/>
    <w:rsid w:val="40532D51"/>
    <w:rsid w:val="40586E6A"/>
    <w:rsid w:val="405961D5"/>
    <w:rsid w:val="405A40DF"/>
    <w:rsid w:val="405B02ED"/>
    <w:rsid w:val="405B31E3"/>
    <w:rsid w:val="405C250C"/>
    <w:rsid w:val="405D441D"/>
    <w:rsid w:val="405D597D"/>
    <w:rsid w:val="405D772B"/>
    <w:rsid w:val="405E58AD"/>
    <w:rsid w:val="405E71B7"/>
    <w:rsid w:val="405F5252"/>
    <w:rsid w:val="406311E6"/>
    <w:rsid w:val="40672358"/>
    <w:rsid w:val="406D1341"/>
    <w:rsid w:val="406D3E12"/>
    <w:rsid w:val="406E1939"/>
    <w:rsid w:val="406F2AE5"/>
    <w:rsid w:val="406F3B97"/>
    <w:rsid w:val="407056B1"/>
    <w:rsid w:val="40714F85"/>
    <w:rsid w:val="40731583"/>
    <w:rsid w:val="40752AFC"/>
    <w:rsid w:val="40752CC7"/>
    <w:rsid w:val="40776A3F"/>
    <w:rsid w:val="407775D8"/>
    <w:rsid w:val="40784565"/>
    <w:rsid w:val="407A0D74"/>
    <w:rsid w:val="407A7D40"/>
    <w:rsid w:val="407C22A8"/>
    <w:rsid w:val="407C5E04"/>
    <w:rsid w:val="4080460F"/>
    <w:rsid w:val="4081166C"/>
    <w:rsid w:val="40824EDC"/>
    <w:rsid w:val="40833636"/>
    <w:rsid w:val="4084115C"/>
    <w:rsid w:val="40842268"/>
    <w:rsid w:val="40854466"/>
    <w:rsid w:val="4085718A"/>
    <w:rsid w:val="40880C4C"/>
    <w:rsid w:val="408847A8"/>
    <w:rsid w:val="40890521"/>
    <w:rsid w:val="40896772"/>
    <w:rsid w:val="408A49C4"/>
    <w:rsid w:val="408B4299"/>
    <w:rsid w:val="408D1DBF"/>
    <w:rsid w:val="408E324B"/>
    <w:rsid w:val="408E5002"/>
    <w:rsid w:val="408F73D9"/>
    <w:rsid w:val="40905D53"/>
    <w:rsid w:val="40916333"/>
    <w:rsid w:val="40923879"/>
    <w:rsid w:val="40925627"/>
    <w:rsid w:val="409273D5"/>
    <w:rsid w:val="40947942"/>
    <w:rsid w:val="409503C5"/>
    <w:rsid w:val="4095597C"/>
    <w:rsid w:val="40956EC5"/>
    <w:rsid w:val="40965771"/>
    <w:rsid w:val="40970E8F"/>
    <w:rsid w:val="40972E6D"/>
    <w:rsid w:val="409757F0"/>
    <w:rsid w:val="409767C4"/>
    <w:rsid w:val="409B660A"/>
    <w:rsid w:val="409C5A79"/>
    <w:rsid w:val="409D5731"/>
    <w:rsid w:val="409E221E"/>
    <w:rsid w:val="40A07FF6"/>
    <w:rsid w:val="40A435AC"/>
    <w:rsid w:val="40A4535A"/>
    <w:rsid w:val="40A67324"/>
    <w:rsid w:val="40A72962"/>
    <w:rsid w:val="40A8309D"/>
    <w:rsid w:val="40AB0497"/>
    <w:rsid w:val="40AB493B"/>
    <w:rsid w:val="40AC770A"/>
    <w:rsid w:val="40AE42F3"/>
    <w:rsid w:val="40AF2FDF"/>
    <w:rsid w:val="40AF43C9"/>
    <w:rsid w:val="40B24963"/>
    <w:rsid w:val="40B27A77"/>
    <w:rsid w:val="40B57568"/>
    <w:rsid w:val="40B7360A"/>
    <w:rsid w:val="40B7508E"/>
    <w:rsid w:val="40B76E3C"/>
    <w:rsid w:val="40BA692C"/>
    <w:rsid w:val="40BC26A4"/>
    <w:rsid w:val="40BE01CA"/>
    <w:rsid w:val="40BF2194"/>
    <w:rsid w:val="40C13092"/>
    <w:rsid w:val="40C15F0C"/>
    <w:rsid w:val="40C31C84"/>
    <w:rsid w:val="40C33A32"/>
    <w:rsid w:val="40C41E8A"/>
    <w:rsid w:val="40C45930"/>
    <w:rsid w:val="40C652D1"/>
    <w:rsid w:val="40C81049"/>
    <w:rsid w:val="40C854ED"/>
    <w:rsid w:val="40C8729B"/>
    <w:rsid w:val="40CB0B39"/>
    <w:rsid w:val="40CB6D8B"/>
    <w:rsid w:val="40CD2B03"/>
    <w:rsid w:val="40CE0200"/>
    <w:rsid w:val="40CF0629"/>
    <w:rsid w:val="40D23C76"/>
    <w:rsid w:val="40D43E92"/>
    <w:rsid w:val="40D43F81"/>
    <w:rsid w:val="40D5662E"/>
    <w:rsid w:val="40D75730"/>
    <w:rsid w:val="40DA6FCE"/>
    <w:rsid w:val="40DA7F79"/>
    <w:rsid w:val="40DC15A1"/>
    <w:rsid w:val="40DC68A2"/>
    <w:rsid w:val="40E043EB"/>
    <w:rsid w:val="40E045E4"/>
    <w:rsid w:val="40E07A17"/>
    <w:rsid w:val="40E13EB9"/>
    <w:rsid w:val="40E26603"/>
    <w:rsid w:val="40E276C1"/>
    <w:rsid w:val="40E276F7"/>
    <w:rsid w:val="40E340D5"/>
    <w:rsid w:val="40E41474"/>
    <w:rsid w:val="40E65973"/>
    <w:rsid w:val="40EA7211"/>
    <w:rsid w:val="40EB2F89"/>
    <w:rsid w:val="40EB76AA"/>
    <w:rsid w:val="40EF2A79"/>
    <w:rsid w:val="40F260C6"/>
    <w:rsid w:val="40F36398"/>
    <w:rsid w:val="40F37AD9"/>
    <w:rsid w:val="40F40F69"/>
    <w:rsid w:val="40F41E3E"/>
    <w:rsid w:val="40F55BB6"/>
    <w:rsid w:val="40F7192E"/>
    <w:rsid w:val="40F77B80"/>
    <w:rsid w:val="40F8598E"/>
    <w:rsid w:val="40FB5855"/>
    <w:rsid w:val="410127AD"/>
    <w:rsid w:val="4102167C"/>
    <w:rsid w:val="4102194D"/>
    <w:rsid w:val="41032808"/>
    <w:rsid w:val="410858E9"/>
    <w:rsid w:val="410860B3"/>
    <w:rsid w:val="4109310F"/>
    <w:rsid w:val="410A78B3"/>
    <w:rsid w:val="410C362B"/>
    <w:rsid w:val="410D1152"/>
    <w:rsid w:val="410D73A4"/>
    <w:rsid w:val="41120516"/>
    <w:rsid w:val="411249BA"/>
    <w:rsid w:val="411419E3"/>
    <w:rsid w:val="411424E0"/>
    <w:rsid w:val="411A73CB"/>
    <w:rsid w:val="411C1395"/>
    <w:rsid w:val="412070D7"/>
    <w:rsid w:val="41232723"/>
    <w:rsid w:val="41263FC1"/>
    <w:rsid w:val="41265D6F"/>
    <w:rsid w:val="412960CF"/>
    <w:rsid w:val="412A3AB2"/>
    <w:rsid w:val="412E149E"/>
    <w:rsid w:val="412E19BE"/>
    <w:rsid w:val="413103D1"/>
    <w:rsid w:val="41322966"/>
    <w:rsid w:val="4132661D"/>
    <w:rsid w:val="4134048C"/>
    <w:rsid w:val="413606A8"/>
    <w:rsid w:val="413B1439"/>
    <w:rsid w:val="413D1A37"/>
    <w:rsid w:val="413D22F2"/>
    <w:rsid w:val="41401818"/>
    <w:rsid w:val="414032D5"/>
    <w:rsid w:val="41405083"/>
    <w:rsid w:val="414508EB"/>
    <w:rsid w:val="414538EA"/>
    <w:rsid w:val="414601C0"/>
    <w:rsid w:val="41462326"/>
    <w:rsid w:val="414803DC"/>
    <w:rsid w:val="4148218A"/>
    <w:rsid w:val="414B31EF"/>
    <w:rsid w:val="414D154E"/>
    <w:rsid w:val="414D59F2"/>
    <w:rsid w:val="414E0275"/>
    <w:rsid w:val="41514029"/>
    <w:rsid w:val="41523178"/>
    <w:rsid w:val="4153125A"/>
    <w:rsid w:val="415442A5"/>
    <w:rsid w:val="41547429"/>
    <w:rsid w:val="4155088C"/>
    <w:rsid w:val="41562AF9"/>
    <w:rsid w:val="41566655"/>
    <w:rsid w:val="41571710"/>
    <w:rsid w:val="415723CD"/>
    <w:rsid w:val="415851BB"/>
    <w:rsid w:val="4159130B"/>
    <w:rsid w:val="415977C1"/>
    <w:rsid w:val="415D487B"/>
    <w:rsid w:val="415E19AD"/>
    <w:rsid w:val="415E375B"/>
    <w:rsid w:val="415E7BFF"/>
    <w:rsid w:val="415F4F93"/>
    <w:rsid w:val="415F721B"/>
    <w:rsid w:val="4160354D"/>
    <w:rsid w:val="4162726E"/>
    <w:rsid w:val="4164671B"/>
    <w:rsid w:val="41656898"/>
    <w:rsid w:val="4167271B"/>
    <w:rsid w:val="41673FEE"/>
    <w:rsid w:val="416845DA"/>
    <w:rsid w:val="416A4F3E"/>
    <w:rsid w:val="416C40CA"/>
    <w:rsid w:val="416D3483"/>
    <w:rsid w:val="416D4BE4"/>
    <w:rsid w:val="416E675C"/>
    <w:rsid w:val="416F5968"/>
    <w:rsid w:val="416F7716"/>
    <w:rsid w:val="41733CDD"/>
    <w:rsid w:val="417411D1"/>
    <w:rsid w:val="41762957"/>
    <w:rsid w:val="417662C5"/>
    <w:rsid w:val="41766CF7"/>
    <w:rsid w:val="41785538"/>
    <w:rsid w:val="41790595"/>
    <w:rsid w:val="417B255F"/>
    <w:rsid w:val="417D62D7"/>
    <w:rsid w:val="417E0C11"/>
    <w:rsid w:val="417E5BAB"/>
    <w:rsid w:val="41807B75"/>
    <w:rsid w:val="418238EE"/>
    <w:rsid w:val="4182569C"/>
    <w:rsid w:val="4185518C"/>
    <w:rsid w:val="418618BC"/>
    <w:rsid w:val="41861D8C"/>
    <w:rsid w:val="41870C3A"/>
    <w:rsid w:val="41870F04"/>
    <w:rsid w:val="418807D8"/>
    <w:rsid w:val="41886A2A"/>
    <w:rsid w:val="41894C7C"/>
    <w:rsid w:val="418A4550"/>
    <w:rsid w:val="418C02C8"/>
    <w:rsid w:val="418C2076"/>
    <w:rsid w:val="418D4040"/>
    <w:rsid w:val="419158DF"/>
    <w:rsid w:val="4193257B"/>
    <w:rsid w:val="41950470"/>
    <w:rsid w:val="41961147"/>
    <w:rsid w:val="41967399"/>
    <w:rsid w:val="41973A76"/>
    <w:rsid w:val="41981549"/>
    <w:rsid w:val="41990C37"/>
    <w:rsid w:val="41992059"/>
    <w:rsid w:val="419A0EE9"/>
    <w:rsid w:val="419D79F6"/>
    <w:rsid w:val="41A01FC6"/>
    <w:rsid w:val="41A033AB"/>
    <w:rsid w:val="41A05B22"/>
    <w:rsid w:val="41A225FB"/>
    <w:rsid w:val="41A27720"/>
    <w:rsid w:val="41A8703B"/>
    <w:rsid w:val="41AA4BF2"/>
    <w:rsid w:val="41AC096A"/>
    <w:rsid w:val="41AE6491"/>
    <w:rsid w:val="41B077CF"/>
    <w:rsid w:val="41B2662A"/>
    <w:rsid w:val="41B33AA7"/>
    <w:rsid w:val="41B45A71"/>
    <w:rsid w:val="41B4616B"/>
    <w:rsid w:val="41B60F28"/>
    <w:rsid w:val="41B63641"/>
    <w:rsid w:val="41B65345"/>
    <w:rsid w:val="41B65947"/>
    <w:rsid w:val="41B810BD"/>
    <w:rsid w:val="41B94E35"/>
    <w:rsid w:val="41BB295C"/>
    <w:rsid w:val="41BD0482"/>
    <w:rsid w:val="41BD351D"/>
    <w:rsid w:val="41BE5406"/>
    <w:rsid w:val="41C061C4"/>
    <w:rsid w:val="41C07F72"/>
    <w:rsid w:val="41C31810"/>
    <w:rsid w:val="41C41ECC"/>
    <w:rsid w:val="41C45CB4"/>
    <w:rsid w:val="41C51A2C"/>
    <w:rsid w:val="41C54AA2"/>
    <w:rsid w:val="41C826C6"/>
    <w:rsid w:val="41C95125"/>
    <w:rsid w:val="41C96953"/>
    <w:rsid w:val="41CE08E1"/>
    <w:rsid w:val="41CE6B33"/>
    <w:rsid w:val="41D103D1"/>
    <w:rsid w:val="41D11633"/>
    <w:rsid w:val="41D1217F"/>
    <w:rsid w:val="41D13F2D"/>
    <w:rsid w:val="41D14912"/>
    <w:rsid w:val="41D15DFF"/>
    <w:rsid w:val="41D34149"/>
    <w:rsid w:val="41D37CA5"/>
    <w:rsid w:val="41D7297A"/>
    <w:rsid w:val="41D852BC"/>
    <w:rsid w:val="41D91034"/>
    <w:rsid w:val="41DB1250"/>
    <w:rsid w:val="41DF1AEB"/>
    <w:rsid w:val="41DF2AEE"/>
    <w:rsid w:val="41E03C86"/>
    <w:rsid w:val="41E06866"/>
    <w:rsid w:val="41E104A2"/>
    <w:rsid w:val="41E123D9"/>
    <w:rsid w:val="41E27A8D"/>
    <w:rsid w:val="41E40104"/>
    <w:rsid w:val="41E81277"/>
    <w:rsid w:val="41E974C9"/>
    <w:rsid w:val="41EA1493"/>
    <w:rsid w:val="41EA3241"/>
    <w:rsid w:val="41EA4FEF"/>
    <w:rsid w:val="41EC0D67"/>
    <w:rsid w:val="41ED6E5C"/>
    <w:rsid w:val="41EE0C01"/>
    <w:rsid w:val="41EE0F83"/>
    <w:rsid w:val="41EF2605"/>
    <w:rsid w:val="41F04C62"/>
    <w:rsid w:val="41F12821"/>
    <w:rsid w:val="41F15AEE"/>
    <w:rsid w:val="41F320F5"/>
    <w:rsid w:val="41F53C1B"/>
    <w:rsid w:val="41F5634E"/>
    <w:rsid w:val="41F57425"/>
    <w:rsid w:val="41FB544E"/>
    <w:rsid w:val="41FC23F5"/>
    <w:rsid w:val="42003C8D"/>
    <w:rsid w:val="42004812"/>
    <w:rsid w:val="42015BE7"/>
    <w:rsid w:val="420378EC"/>
    <w:rsid w:val="42051E29"/>
    <w:rsid w:val="420B0DEA"/>
    <w:rsid w:val="420C765B"/>
    <w:rsid w:val="420E5181"/>
    <w:rsid w:val="420E6F2F"/>
    <w:rsid w:val="42141B0B"/>
    <w:rsid w:val="42162288"/>
    <w:rsid w:val="42167C36"/>
    <w:rsid w:val="42176448"/>
    <w:rsid w:val="4217789A"/>
    <w:rsid w:val="421A3B26"/>
    <w:rsid w:val="421E7CE0"/>
    <w:rsid w:val="422102DE"/>
    <w:rsid w:val="42224789"/>
    <w:rsid w:val="4222518C"/>
    <w:rsid w:val="422273B3"/>
    <w:rsid w:val="42240501"/>
    <w:rsid w:val="42256110"/>
    <w:rsid w:val="422624CB"/>
    <w:rsid w:val="422A7BDF"/>
    <w:rsid w:val="422B6354"/>
    <w:rsid w:val="422C1AAB"/>
    <w:rsid w:val="422D6887"/>
    <w:rsid w:val="422E312E"/>
    <w:rsid w:val="4230334A"/>
    <w:rsid w:val="42305131"/>
    <w:rsid w:val="423305D5"/>
    <w:rsid w:val="423341AF"/>
    <w:rsid w:val="42377601"/>
    <w:rsid w:val="423821FE"/>
    <w:rsid w:val="424004A9"/>
    <w:rsid w:val="42402E61"/>
    <w:rsid w:val="42417305"/>
    <w:rsid w:val="4242307D"/>
    <w:rsid w:val="42424E2B"/>
    <w:rsid w:val="42446DF5"/>
    <w:rsid w:val="424620A5"/>
    <w:rsid w:val="42462B6D"/>
    <w:rsid w:val="4246491B"/>
    <w:rsid w:val="42470693"/>
    <w:rsid w:val="42472441"/>
    <w:rsid w:val="42473E51"/>
    <w:rsid w:val="424A0617"/>
    <w:rsid w:val="424B0183"/>
    <w:rsid w:val="424B3CDF"/>
    <w:rsid w:val="424C5CAA"/>
    <w:rsid w:val="424D3EFC"/>
    <w:rsid w:val="425012F6"/>
    <w:rsid w:val="4250579A"/>
    <w:rsid w:val="42507548"/>
    <w:rsid w:val="425132C0"/>
    <w:rsid w:val="4252548F"/>
    <w:rsid w:val="42532311"/>
    <w:rsid w:val="42544C74"/>
    <w:rsid w:val="42562684"/>
    <w:rsid w:val="4256371A"/>
    <w:rsid w:val="42565461"/>
    <w:rsid w:val="42576B28"/>
    <w:rsid w:val="42577DB4"/>
    <w:rsid w:val="425B476A"/>
    <w:rsid w:val="425C0320"/>
    <w:rsid w:val="425D3A13"/>
    <w:rsid w:val="425F59DD"/>
    <w:rsid w:val="426254CD"/>
    <w:rsid w:val="42641245"/>
    <w:rsid w:val="42685540"/>
    <w:rsid w:val="42690B45"/>
    <w:rsid w:val="426B6130"/>
    <w:rsid w:val="426C20C0"/>
    <w:rsid w:val="426F21F7"/>
    <w:rsid w:val="42714171"/>
    <w:rsid w:val="42752198"/>
    <w:rsid w:val="42755200"/>
    <w:rsid w:val="427619E1"/>
    <w:rsid w:val="42770F78"/>
    <w:rsid w:val="42786A9F"/>
    <w:rsid w:val="427A2817"/>
    <w:rsid w:val="427B6E03"/>
    <w:rsid w:val="427C658F"/>
    <w:rsid w:val="427D5E63"/>
    <w:rsid w:val="427F5C35"/>
    <w:rsid w:val="42800D1D"/>
    <w:rsid w:val="42815953"/>
    <w:rsid w:val="4283165A"/>
    <w:rsid w:val="42862F6A"/>
    <w:rsid w:val="42872C3E"/>
    <w:rsid w:val="42876CE2"/>
    <w:rsid w:val="428B0580"/>
    <w:rsid w:val="428B4A24"/>
    <w:rsid w:val="428B67D2"/>
    <w:rsid w:val="428C42F8"/>
    <w:rsid w:val="428D53F2"/>
    <w:rsid w:val="428E5F29"/>
    <w:rsid w:val="428E62C2"/>
    <w:rsid w:val="42927B60"/>
    <w:rsid w:val="42935686"/>
    <w:rsid w:val="42940A81"/>
    <w:rsid w:val="429513FF"/>
    <w:rsid w:val="42976F25"/>
    <w:rsid w:val="42980EEF"/>
    <w:rsid w:val="42982C9D"/>
    <w:rsid w:val="429B3B74"/>
    <w:rsid w:val="429F227D"/>
    <w:rsid w:val="429F5DD9"/>
    <w:rsid w:val="42A13D8F"/>
    <w:rsid w:val="42A15D01"/>
    <w:rsid w:val="42A31D6D"/>
    <w:rsid w:val="42A4043F"/>
    <w:rsid w:val="42A6360C"/>
    <w:rsid w:val="42A653BA"/>
    <w:rsid w:val="42A81132"/>
    <w:rsid w:val="42A930FC"/>
    <w:rsid w:val="42A94EAA"/>
    <w:rsid w:val="42AA5FDC"/>
    <w:rsid w:val="42AB6E74"/>
    <w:rsid w:val="42AC04F6"/>
    <w:rsid w:val="42AC311E"/>
    <w:rsid w:val="42AC34C9"/>
    <w:rsid w:val="42AC41EC"/>
    <w:rsid w:val="42AC76B9"/>
    <w:rsid w:val="42AE0712"/>
    <w:rsid w:val="42AF4F89"/>
    <w:rsid w:val="42B0448A"/>
    <w:rsid w:val="42B275C1"/>
    <w:rsid w:val="42B40F4D"/>
    <w:rsid w:val="42B46931"/>
    <w:rsid w:val="42B850ED"/>
    <w:rsid w:val="42B9333F"/>
    <w:rsid w:val="42B93D22"/>
    <w:rsid w:val="42BA0E65"/>
    <w:rsid w:val="42BA5338"/>
    <w:rsid w:val="42BA6002"/>
    <w:rsid w:val="42BA70B7"/>
    <w:rsid w:val="42BD2703"/>
    <w:rsid w:val="42C35F6C"/>
    <w:rsid w:val="42C3751B"/>
    <w:rsid w:val="42C41CE4"/>
    <w:rsid w:val="42C45840"/>
    <w:rsid w:val="42C57F36"/>
    <w:rsid w:val="42C910A8"/>
    <w:rsid w:val="42CF6863"/>
    <w:rsid w:val="42D27F5D"/>
    <w:rsid w:val="42D737C5"/>
    <w:rsid w:val="42D812EB"/>
    <w:rsid w:val="42D92A2D"/>
    <w:rsid w:val="42D9578F"/>
    <w:rsid w:val="42DA1507"/>
    <w:rsid w:val="42DA1FD4"/>
    <w:rsid w:val="42DD6902"/>
    <w:rsid w:val="42DF267A"/>
    <w:rsid w:val="42E537AA"/>
    <w:rsid w:val="42E70FB2"/>
    <w:rsid w:val="42E859D2"/>
    <w:rsid w:val="42EA48FB"/>
    <w:rsid w:val="42ED2FE9"/>
    <w:rsid w:val="42EE109D"/>
    <w:rsid w:val="42EE576F"/>
    <w:rsid w:val="42F04887"/>
    <w:rsid w:val="42F223AD"/>
    <w:rsid w:val="42F46F8C"/>
    <w:rsid w:val="42F63A1F"/>
    <w:rsid w:val="42F75C15"/>
    <w:rsid w:val="42F9198D"/>
    <w:rsid w:val="42FA5706"/>
    <w:rsid w:val="42FA75A6"/>
    <w:rsid w:val="42FB3958"/>
    <w:rsid w:val="42FC322C"/>
    <w:rsid w:val="42FF16EA"/>
    <w:rsid w:val="42FF2D1C"/>
    <w:rsid w:val="43016A94"/>
    <w:rsid w:val="430239C6"/>
    <w:rsid w:val="43046F1B"/>
    <w:rsid w:val="430640AA"/>
    <w:rsid w:val="43086074"/>
    <w:rsid w:val="430A1DED"/>
    <w:rsid w:val="430B346F"/>
    <w:rsid w:val="4315253F"/>
    <w:rsid w:val="43175059"/>
    <w:rsid w:val="4318661A"/>
    <w:rsid w:val="43195B8C"/>
    <w:rsid w:val="431C1B20"/>
    <w:rsid w:val="431C742A"/>
    <w:rsid w:val="43217136"/>
    <w:rsid w:val="43234C5C"/>
    <w:rsid w:val="43235C40"/>
    <w:rsid w:val="43251644"/>
    <w:rsid w:val="43264F82"/>
    <w:rsid w:val="4327340C"/>
    <w:rsid w:val="43284021"/>
    <w:rsid w:val="432B1745"/>
    <w:rsid w:val="432B3260"/>
    <w:rsid w:val="432B6CC3"/>
    <w:rsid w:val="432C01D1"/>
    <w:rsid w:val="432E715D"/>
    <w:rsid w:val="432F1853"/>
    <w:rsid w:val="432F1E7F"/>
    <w:rsid w:val="432F3601"/>
    <w:rsid w:val="43301127"/>
    <w:rsid w:val="43303E58"/>
    <w:rsid w:val="43324E9F"/>
    <w:rsid w:val="43346E69"/>
    <w:rsid w:val="4335673E"/>
    <w:rsid w:val="43362BE2"/>
    <w:rsid w:val="4338647E"/>
    <w:rsid w:val="4339622E"/>
    <w:rsid w:val="433A476F"/>
    <w:rsid w:val="433C5D1E"/>
    <w:rsid w:val="433D6D73"/>
    <w:rsid w:val="433E23A1"/>
    <w:rsid w:val="434049AE"/>
    <w:rsid w:val="43404C67"/>
    <w:rsid w:val="434075BC"/>
    <w:rsid w:val="43416087"/>
    <w:rsid w:val="43430E5B"/>
    <w:rsid w:val="43443DB8"/>
    <w:rsid w:val="43446B14"/>
    <w:rsid w:val="43457B8B"/>
    <w:rsid w:val="434807F2"/>
    <w:rsid w:val="434D3931"/>
    <w:rsid w:val="434D7F2B"/>
    <w:rsid w:val="43525542"/>
    <w:rsid w:val="43532BE2"/>
    <w:rsid w:val="43544E16"/>
    <w:rsid w:val="4355293C"/>
    <w:rsid w:val="435C016E"/>
    <w:rsid w:val="435C3CCA"/>
    <w:rsid w:val="435D57AC"/>
    <w:rsid w:val="43601A0D"/>
    <w:rsid w:val="436037BB"/>
    <w:rsid w:val="436112E1"/>
    <w:rsid w:val="436239D7"/>
    <w:rsid w:val="4363146C"/>
    <w:rsid w:val="43635059"/>
    <w:rsid w:val="43637E2F"/>
    <w:rsid w:val="43655275"/>
    <w:rsid w:val="43656F37"/>
    <w:rsid w:val="436662B5"/>
    <w:rsid w:val="43670FED"/>
    <w:rsid w:val="436808C1"/>
    <w:rsid w:val="43686B13"/>
    <w:rsid w:val="436B17F1"/>
    <w:rsid w:val="436D260D"/>
    <w:rsid w:val="436D4129"/>
    <w:rsid w:val="436E5BA1"/>
    <w:rsid w:val="43741014"/>
    <w:rsid w:val="43770B04"/>
    <w:rsid w:val="43777AB5"/>
    <w:rsid w:val="43790D20"/>
    <w:rsid w:val="437E6337"/>
    <w:rsid w:val="43805C0B"/>
    <w:rsid w:val="43851473"/>
    <w:rsid w:val="43860D47"/>
    <w:rsid w:val="43880F63"/>
    <w:rsid w:val="43885829"/>
    <w:rsid w:val="438A7056"/>
    <w:rsid w:val="438F22F2"/>
    <w:rsid w:val="438F40A0"/>
    <w:rsid w:val="43911BC6"/>
    <w:rsid w:val="43917E18"/>
    <w:rsid w:val="43923B90"/>
    <w:rsid w:val="4393627D"/>
    <w:rsid w:val="43937BD7"/>
    <w:rsid w:val="43947F8D"/>
    <w:rsid w:val="4396542E"/>
    <w:rsid w:val="439711A6"/>
    <w:rsid w:val="43972F54"/>
    <w:rsid w:val="4398452A"/>
    <w:rsid w:val="439873F8"/>
    <w:rsid w:val="43993170"/>
    <w:rsid w:val="439B0C97"/>
    <w:rsid w:val="439B2A45"/>
    <w:rsid w:val="439D4A0F"/>
    <w:rsid w:val="439E0787"/>
    <w:rsid w:val="439E2535"/>
    <w:rsid w:val="439E42E3"/>
    <w:rsid w:val="43A0005B"/>
    <w:rsid w:val="43A13BB0"/>
    <w:rsid w:val="43A26768"/>
    <w:rsid w:val="43A3196D"/>
    <w:rsid w:val="43A32475"/>
    <w:rsid w:val="43A35D9D"/>
    <w:rsid w:val="43A37B4B"/>
    <w:rsid w:val="43A7763B"/>
    <w:rsid w:val="43A80903"/>
    <w:rsid w:val="43A855D7"/>
    <w:rsid w:val="43A86F8C"/>
    <w:rsid w:val="43A91D93"/>
    <w:rsid w:val="43AC6A00"/>
    <w:rsid w:val="43AE09CA"/>
    <w:rsid w:val="43AE425F"/>
    <w:rsid w:val="43AE45F3"/>
    <w:rsid w:val="43AF029E"/>
    <w:rsid w:val="43AF4742"/>
    <w:rsid w:val="43AF701F"/>
    <w:rsid w:val="43B104BA"/>
    <w:rsid w:val="43B12268"/>
    <w:rsid w:val="43B14016"/>
    <w:rsid w:val="43B1593C"/>
    <w:rsid w:val="43B20CEE"/>
    <w:rsid w:val="43B43B06"/>
    <w:rsid w:val="43B458B4"/>
    <w:rsid w:val="43B52F07"/>
    <w:rsid w:val="43BA0E09"/>
    <w:rsid w:val="43BB30E7"/>
    <w:rsid w:val="43BB4E95"/>
    <w:rsid w:val="43BD1491"/>
    <w:rsid w:val="43BE2B29"/>
    <w:rsid w:val="43BE6733"/>
    <w:rsid w:val="43C006FD"/>
    <w:rsid w:val="43C0303F"/>
    <w:rsid w:val="43C0405A"/>
    <w:rsid w:val="43C04259"/>
    <w:rsid w:val="43C31F9B"/>
    <w:rsid w:val="43C33A88"/>
    <w:rsid w:val="43C35661"/>
    <w:rsid w:val="43C5095E"/>
    <w:rsid w:val="43C755E8"/>
    <w:rsid w:val="43CA332A"/>
    <w:rsid w:val="43CB7F9D"/>
    <w:rsid w:val="43CC2BFE"/>
    <w:rsid w:val="43D47D05"/>
    <w:rsid w:val="43D63A7D"/>
    <w:rsid w:val="43D9356D"/>
    <w:rsid w:val="43DB1093"/>
    <w:rsid w:val="43DF6B4D"/>
    <w:rsid w:val="43E20674"/>
    <w:rsid w:val="43E7452D"/>
    <w:rsid w:val="43E74CEE"/>
    <w:rsid w:val="43E80C28"/>
    <w:rsid w:val="43E87F77"/>
    <w:rsid w:val="43E91A02"/>
    <w:rsid w:val="43E96A97"/>
    <w:rsid w:val="43E97C54"/>
    <w:rsid w:val="43EC14F2"/>
    <w:rsid w:val="43EC504E"/>
    <w:rsid w:val="43ED0938"/>
    <w:rsid w:val="43EE526A"/>
    <w:rsid w:val="43EE7018"/>
    <w:rsid w:val="43EF4B3E"/>
    <w:rsid w:val="43F03EAE"/>
    <w:rsid w:val="43F263DD"/>
    <w:rsid w:val="43F33F5F"/>
    <w:rsid w:val="43F3462F"/>
    <w:rsid w:val="43F62371"/>
    <w:rsid w:val="43F65ECD"/>
    <w:rsid w:val="43F74D96"/>
    <w:rsid w:val="43F81C45"/>
    <w:rsid w:val="43F8414A"/>
    <w:rsid w:val="43F87E97"/>
    <w:rsid w:val="43FD390A"/>
    <w:rsid w:val="43FE0B50"/>
    <w:rsid w:val="43FE2FD4"/>
    <w:rsid w:val="43FE4D82"/>
    <w:rsid w:val="44006D4C"/>
    <w:rsid w:val="44044A8E"/>
    <w:rsid w:val="44050229"/>
    <w:rsid w:val="44056110"/>
    <w:rsid w:val="440700DA"/>
    <w:rsid w:val="44071E88"/>
    <w:rsid w:val="440A6183"/>
    <w:rsid w:val="440C5955"/>
    <w:rsid w:val="440E1469"/>
    <w:rsid w:val="4410023A"/>
    <w:rsid w:val="44103433"/>
    <w:rsid w:val="44114AB5"/>
    <w:rsid w:val="44134CD1"/>
    <w:rsid w:val="44141445"/>
    <w:rsid w:val="44185E43"/>
    <w:rsid w:val="441B3B85"/>
    <w:rsid w:val="441E641C"/>
    <w:rsid w:val="441E71D2"/>
    <w:rsid w:val="442073EE"/>
    <w:rsid w:val="44254A04"/>
    <w:rsid w:val="44273581"/>
    <w:rsid w:val="44283229"/>
    <w:rsid w:val="442962A2"/>
    <w:rsid w:val="442A5A15"/>
    <w:rsid w:val="442C5D93"/>
    <w:rsid w:val="442E5667"/>
    <w:rsid w:val="442F13DF"/>
    <w:rsid w:val="44307CE9"/>
    <w:rsid w:val="44314417"/>
    <w:rsid w:val="44330ECF"/>
    <w:rsid w:val="44332C7D"/>
    <w:rsid w:val="44335A44"/>
    <w:rsid w:val="44380293"/>
    <w:rsid w:val="44381220"/>
    <w:rsid w:val="4439400C"/>
    <w:rsid w:val="443E6D6E"/>
    <w:rsid w:val="4440539A"/>
    <w:rsid w:val="44435C86"/>
    <w:rsid w:val="44436036"/>
    <w:rsid w:val="44437E31"/>
    <w:rsid w:val="444430DC"/>
    <w:rsid w:val="44477C42"/>
    <w:rsid w:val="444A7FC7"/>
    <w:rsid w:val="444C1F91"/>
    <w:rsid w:val="444E3F5B"/>
    <w:rsid w:val="444E7AB7"/>
    <w:rsid w:val="444F2703"/>
    <w:rsid w:val="44502384"/>
    <w:rsid w:val="44516417"/>
    <w:rsid w:val="445175A7"/>
    <w:rsid w:val="44550E45"/>
    <w:rsid w:val="4455153B"/>
    <w:rsid w:val="445552E9"/>
    <w:rsid w:val="44580936"/>
    <w:rsid w:val="44592057"/>
    <w:rsid w:val="445B0426"/>
    <w:rsid w:val="445B4977"/>
    <w:rsid w:val="445C406F"/>
    <w:rsid w:val="445C4285"/>
    <w:rsid w:val="445D419E"/>
    <w:rsid w:val="445D5F4C"/>
    <w:rsid w:val="445F3A72"/>
    <w:rsid w:val="446138AA"/>
    <w:rsid w:val="44613C8E"/>
    <w:rsid w:val="44633EFA"/>
    <w:rsid w:val="4466114B"/>
    <w:rsid w:val="44673154"/>
    <w:rsid w:val="446948F1"/>
    <w:rsid w:val="446A2FDC"/>
    <w:rsid w:val="446B06BC"/>
    <w:rsid w:val="446C43E1"/>
    <w:rsid w:val="446D4053"/>
    <w:rsid w:val="44727C49"/>
    <w:rsid w:val="44775260"/>
    <w:rsid w:val="44782D86"/>
    <w:rsid w:val="447A1E68"/>
    <w:rsid w:val="447A4D50"/>
    <w:rsid w:val="447A7DBC"/>
    <w:rsid w:val="447B4624"/>
    <w:rsid w:val="447B7A7D"/>
    <w:rsid w:val="447C0AC8"/>
    <w:rsid w:val="447C1C23"/>
    <w:rsid w:val="447D214A"/>
    <w:rsid w:val="447D65EE"/>
    <w:rsid w:val="44823C05"/>
    <w:rsid w:val="4484172B"/>
    <w:rsid w:val="44883190"/>
    <w:rsid w:val="448B0D0B"/>
    <w:rsid w:val="448B4301"/>
    <w:rsid w:val="448C05DF"/>
    <w:rsid w:val="448C3B4F"/>
    <w:rsid w:val="448D7806"/>
    <w:rsid w:val="448E07FB"/>
    <w:rsid w:val="44903F6C"/>
    <w:rsid w:val="44906321"/>
    <w:rsid w:val="44915BF6"/>
    <w:rsid w:val="449435F4"/>
    <w:rsid w:val="449545A6"/>
    <w:rsid w:val="449561F9"/>
    <w:rsid w:val="449619E9"/>
    <w:rsid w:val="449851D6"/>
    <w:rsid w:val="449C3299"/>
    <w:rsid w:val="449C4CC6"/>
    <w:rsid w:val="449D6124"/>
    <w:rsid w:val="449F47B6"/>
    <w:rsid w:val="44A1408B"/>
    <w:rsid w:val="44A45929"/>
    <w:rsid w:val="44A771C7"/>
    <w:rsid w:val="44A92DAC"/>
    <w:rsid w:val="44AE0C01"/>
    <w:rsid w:val="44AE49FA"/>
    <w:rsid w:val="44B042CE"/>
    <w:rsid w:val="44B841EA"/>
    <w:rsid w:val="44BA15F0"/>
    <w:rsid w:val="44BA4460"/>
    <w:rsid w:val="44BC2CFF"/>
    <w:rsid w:val="44BC3F56"/>
    <w:rsid w:val="44BC709F"/>
    <w:rsid w:val="44BC7116"/>
    <w:rsid w:val="44BF2CE3"/>
    <w:rsid w:val="44BF5846"/>
    <w:rsid w:val="44C1472D"/>
    <w:rsid w:val="44C16CA9"/>
    <w:rsid w:val="44C24001"/>
    <w:rsid w:val="44C24FB4"/>
    <w:rsid w:val="44C41A18"/>
    <w:rsid w:val="44C424A5"/>
    <w:rsid w:val="44C4421D"/>
    <w:rsid w:val="44C45FCB"/>
    <w:rsid w:val="44C67F95"/>
    <w:rsid w:val="44C85ABB"/>
    <w:rsid w:val="44C935E1"/>
    <w:rsid w:val="44CC4023"/>
    <w:rsid w:val="44CC79D1"/>
    <w:rsid w:val="44CE0BF8"/>
    <w:rsid w:val="44CE6128"/>
    <w:rsid w:val="44CE6E4A"/>
    <w:rsid w:val="44CE712A"/>
    <w:rsid w:val="44D02BC2"/>
    <w:rsid w:val="44D04970"/>
    <w:rsid w:val="44D12242"/>
    <w:rsid w:val="44D2693A"/>
    <w:rsid w:val="44D501D8"/>
    <w:rsid w:val="44D71E17"/>
    <w:rsid w:val="44D84400"/>
    <w:rsid w:val="44D97CC8"/>
    <w:rsid w:val="44DA134B"/>
    <w:rsid w:val="44DD0E3B"/>
    <w:rsid w:val="44E24BED"/>
    <w:rsid w:val="44E5741C"/>
    <w:rsid w:val="44E73A68"/>
    <w:rsid w:val="44E77A55"/>
    <w:rsid w:val="44E952E8"/>
    <w:rsid w:val="44EA51D1"/>
    <w:rsid w:val="44ED39AD"/>
    <w:rsid w:val="44EE4DF6"/>
    <w:rsid w:val="44F00032"/>
    <w:rsid w:val="44F03353"/>
    <w:rsid w:val="44F61785"/>
    <w:rsid w:val="44F85C75"/>
    <w:rsid w:val="44F93EC7"/>
    <w:rsid w:val="44FA19ED"/>
    <w:rsid w:val="44FC5765"/>
    <w:rsid w:val="44FE3B92"/>
    <w:rsid w:val="44FF5255"/>
    <w:rsid w:val="44FF5974"/>
    <w:rsid w:val="4504461A"/>
    <w:rsid w:val="45062140"/>
    <w:rsid w:val="45084358"/>
    <w:rsid w:val="450929D1"/>
    <w:rsid w:val="45097E82"/>
    <w:rsid w:val="450B59A8"/>
    <w:rsid w:val="450D212B"/>
    <w:rsid w:val="450E2D47"/>
    <w:rsid w:val="45101210"/>
    <w:rsid w:val="45106740"/>
    <w:rsid w:val="45120AE5"/>
    <w:rsid w:val="45124F88"/>
    <w:rsid w:val="4513266B"/>
    <w:rsid w:val="45132AAF"/>
    <w:rsid w:val="45140AC1"/>
    <w:rsid w:val="45140D01"/>
    <w:rsid w:val="45144258"/>
    <w:rsid w:val="451508BD"/>
    <w:rsid w:val="451548CD"/>
    <w:rsid w:val="45154A79"/>
    <w:rsid w:val="4517434D"/>
    <w:rsid w:val="451900C5"/>
    <w:rsid w:val="45196317"/>
    <w:rsid w:val="451A208F"/>
    <w:rsid w:val="451E1B7F"/>
    <w:rsid w:val="451E20A0"/>
    <w:rsid w:val="451E30AD"/>
    <w:rsid w:val="451E392D"/>
    <w:rsid w:val="451E56DB"/>
    <w:rsid w:val="451F1453"/>
    <w:rsid w:val="4521127F"/>
    <w:rsid w:val="452151CC"/>
    <w:rsid w:val="45230F44"/>
    <w:rsid w:val="45232CF2"/>
    <w:rsid w:val="45244CBC"/>
    <w:rsid w:val="45263D44"/>
    <w:rsid w:val="45264590"/>
    <w:rsid w:val="452B268D"/>
    <w:rsid w:val="452B429C"/>
    <w:rsid w:val="452D591E"/>
    <w:rsid w:val="45333E46"/>
    <w:rsid w:val="45352A25"/>
    <w:rsid w:val="4536717B"/>
    <w:rsid w:val="453677FF"/>
    <w:rsid w:val="45395FE6"/>
    <w:rsid w:val="45396853"/>
    <w:rsid w:val="453B44DF"/>
    <w:rsid w:val="453E269A"/>
    <w:rsid w:val="453E3FCF"/>
    <w:rsid w:val="453F0F59"/>
    <w:rsid w:val="45464C32"/>
    <w:rsid w:val="454669E0"/>
    <w:rsid w:val="454809AA"/>
    <w:rsid w:val="4548478F"/>
    <w:rsid w:val="454964D0"/>
    <w:rsid w:val="454C4C9E"/>
    <w:rsid w:val="4550160D"/>
    <w:rsid w:val="45513D03"/>
    <w:rsid w:val="4553085F"/>
    <w:rsid w:val="45533B9A"/>
    <w:rsid w:val="45557FC5"/>
    <w:rsid w:val="45570BED"/>
    <w:rsid w:val="455E52EF"/>
    <w:rsid w:val="45604EA8"/>
    <w:rsid w:val="45605EC7"/>
    <w:rsid w:val="45633960"/>
    <w:rsid w:val="456432B0"/>
    <w:rsid w:val="4565155C"/>
    <w:rsid w:val="45682DFA"/>
    <w:rsid w:val="4568626D"/>
    <w:rsid w:val="45694AC2"/>
    <w:rsid w:val="456A0921"/>
    <w:rsid w:val="456E4DC1"/>
    <w:rsid w:val="45703A5D"/>
    <w:rsid w:val="4571731D"/>
    <w:rsid w:val="45717F01"/>
    <w:rsid w:val="45721E58"/>
    <w:rsid w:val="45725A27"/>
    <w:rsid w:val="4574583E"/>
    <w:rsid w:val="4577128F"/>
    <w:rsid w:val="45782CD1"/>
    <w:rsid w:val="457C68A6"/>
    <w:rsid w:val="457E3359"/>
    <w:rsid w:val="457F787C"/>
    <w:rsid w:val="4582210E"/>
    <w:rsid w:val="45830DCE"/>
    <w:rsid w:val="458319E2"/>
    <w:rsid w:val="45835E86"/>
    <w:rsid w:val="4584768D"/>
    <w:rsid w:val="458478C3"/>
    <w:rsid w:val="4585575A"/>
    <w:rsid w:val="45863281"/>
    <w:rsid w:val="458847A6"/>
    <w:rsid w:val="4588524B"/>
    <w:rsid w:val="4589251D"/>
    <w:rsid w:val="458A0758"/>
    <w:rsid w:val="458B6FD3"/>
    <w:rsid w:val="458C7727"/>
    <w:rsid w:val="458D0AB3"/>
    <w:rsid w:val="458D2861"/>
    <w:rsid w:val="458F0387"/>
    <w:rsid w:val="45901F42"/>
    <w:rsid w:val="459364D1"/>
    <w:rsid w:val="45941D53"/>
    <w:rsid w:val="45941E41"/>
    <w:rsid w:val="45955326"/>
    <w:rsid w:val="45977244"/>
    <w:rsid w:val="45992FB4"/>
    <w:rsid w:val="459A44BE"/>
    <w:rsid w:val="459B31D0"/>
    <w:rsid w:val="459B7055"/>
    <w:rsid w:val="459C0CF6"/>
    <w:rsid w:val="459C4852"/>
    <w:rsid w:val="459C771C"/>
    <w:rsid w:val="459D5C9D"/>
    <w:rsid w:val="459E4A6E"/>
    <w:rsid w:val="459F0946"/>
    <w:rsid w:val="45A100BA"/>
    <w:rsid w:val="45A10B7D"/>
    <w:rsid w:val="45A71B75"/>
    <w:rsid w:val="45A81449"/>
    <w:rsid w:val="45AA51C1"/>
    <w:rsid w:val="45AC0F39"/>
    <w:rsid w:val="45AD6A5F"/>
    <w:rsid w:val="45B140E3"/>
    <w:rsid w:val="45B20519"/>
    <w:rsid w:val="45B20744"/>
    <w:rsid w:val="45B222C8"/>
    <w:rsid w:val="45B44292"/>
    <w:rsid w:val="45B71E2A"/>
    <w:rsid w:val="45BB265C"/>
    <w:rsid w:val="45BB73CE"/>
    <w:rsid w:val="45BD1935"/>
    <w:rsid w:val="45BD781E"/>
    <w:rsid w:val="45BE0C6C"/>
    <w:rsid w:val="45C06792"/>
    <w:rsid w:val="45C33A1E"/>
    <w:rsid w:val="45C5024D"/>
    <w:rsid w:val="45C62011"/>
    <w:rsid w:val="45C90DEE"/>
    <w:rsid w:val="45CA13BF"/>
    <w:rsid w:val="45CB2A30"/>
    <w:rsid w:val="45CE5353"/>
    <w:rsid w:val="45CF4C28"/>
    <w:rsid w:val="45D1274E"/>
    <w:rsid w:val="45D25D77"/>
    <w:rsid w:val="45D30D83"/>
    <w:rsid w:val="45D3296A"/>
    <w:rsid w:val="45D35810"/>
    <w:rsid w:val="45D4223E"/>
    <w:rsid w:val="45D64208"/>
    <w:rsid w:val="45D97854"/>
    <w:rsid w:val="45DB545A"/>
    <w:rsid w:val="45DD4764"/>
    <w:rsid w:val="45DE130F"/>
    <w:rsid w:val="45DE2D69"/>
    <w:rsid w:val="45DE30BD"/>
    <w:rsid w:val="45E06E35"/>
    <w:rsid w:val="45E44536"/>
    <w:rsid w:val="45E529EA"/>
    <w:rsid w:val="45E536CC"/>
    <w:rsid w:val="45E5444B"/>
    <w:rsid w:val="45E60856"/>
    <w:rsid w:val="45EA7CB3"/>
    <w:rsid w:val="45EB4900"/>
    <w:rsid w:val="45EF3DEE"/>
    <w:rsid w:val="45EF7078"/>
    <w:rsid w:val="45F14B9E"/>
    <w:rsid w:val="45F34DBA"/>
    <w:rsid w:val="45F428E0"/>
    <w:rsid w:val="45F4468E"/>
    <w:rsid w:val="45F46717"/>
    <w:rsid w:val="45F60406"/>
    <w:rsid w:val="45F62AB0"/>
    <w:rsid w:val="45F70820"/>
    <w:rsid w:val="45F97EF6"/>
    <w:rsid w:val="45FB77CB"/>
    <w:rsid w:val="45FC3040"/>
    <w:rsid w:val="45FC3821"/>
    <w:rsid w:val="46006015"/>
    <w:rsid w:val="46007705"/>
    <w:rsid w:val="4601100F"/>
    <w:rsid w:val="46024FFD"/>
    <w:rsid w:val="46026DAB"/>
    <w:rsid w:val="46041FB3"/>
    <w:rsid w:val="46080139"/>
    <w:rsid w:val="46083505"/>
    <w:rsid w:val="46097673"/>
    <w:rsid w:val="460C7C2A"/>
    <w:rsid w:val="46102647"/>
    <w:rsid w:val="461026A2"/>
    <w:rsid w:val="46112B77"/>
    <w:rsid w:val="46132D66"/>
    <w:rsid w:val="4613720A"/>
    <w:rsid w:val="46164604"/>
    <w:rsid w:val="461B48FF"/>
    <w:rsid w:val="461C409C"/>
    <w:rsid w:val="461F3847"/>
    <w:rsid w:val="461F5BAF"/>
    <w:rsid w:val="461F6CBA"/>
    <w:rsid w:val="46206EE9"/>
    <w:rsid w:val="46207231"/>
    <w:rsid w:val="462372A1"/>
    <w:rsid w:val="462431C5"/>
    <w:rsid w:val="46250CEB"/>
    <w:rsid w:val="46267619"/>
    <w:rsid w:val="46274A64"/>
    <w:rsid w:val="46284338"/>
    <w:rsid w:val="462C02CC"/>
    <w:rsid w:val="462D6A65"/>
    <w:rsid w:val="462E21D7"/>
    <w:rsid w:val="462E5DF2"/>
    <w:rsid w:val="462F1B6A"/>
    <w:rsid w:val="462F561B"/>
    <w:rsid w:val="462F693E"/>
    <w:rsid w:val="46300583"/>
    <w:rsid w:val="463166D6"/>
    <w:rsid w:val="46317690"/>
    <w:rsid w:val="46320EFE"/>
    <w:rsid w:val="46333408"/>
    <w:rsid w:val="46340F2E"/>
    <w:rsid w:val="46342CDD"/>
    <w:rsid w:val="463465C0"/>
    <w:rsid w:val="46362A48"/>
    <w:rsid w:val="46366A55"/>
    <w:rsid w:val="46380A1F"/>
    <w:rsid w:val="463B6920"/>
    <w:rsid w:val="463D4287"/>
    <w:rsid w:val="463D6F01"/>
    <w:rsid w:val="46447F1C"/>
    <w:rsid w:val="46456C98"/>
    <w:rsid w:val="46462EC9"/>
    <w:rsid w:val="46475DC6"/>
    <w:rsid w:val="46492C2C"/>
    <w:rsid w:val="464C0026"/>
    <w:rsid w:val="464C6278"/>
    <w:rsid w:val="464D513A"/>
    <w:rsid w:val="46513995"/>
    <w:rsid w:val="46536F3B"/>
    <w:rsid w:val="4654337F"/>
    <w:rsid w:val="465515D1"/>
    <w:rsid w:val="465670F7"/>
    <w:rsid w:val="4658048C"/>
    <w:rsid w:val="465869CB"/>
    <w:rsid w:val="4659529A"/>
    <w:rsid w:val="465A0107"/>
    <w:rsid w:val="465A0995"/>
    <w:rsid w:val="465A3360"/>
    <w:rsid w:val="465B470D"/>
    <w:rsid w:val="465B64BB"/>
    <w:rsid w:val="465D2233"/>
    <w:rsid w:val="46646548"/>
    <w:rsid w:val="46696E2A"/>
    <w:rsid w:val="466A379D"/>
    <w:rsid w:val="466B2BA2"/>
    <w:rsid w:val="466C2476"/>
    <w:rsid w:val="466D1D6B"/>
    <w:rsid w:val="466E2692"/>
    <w:rsid w:val="466F77E5"/>
    <w:rsid w:val="46717A8D"/>
    <w:rsid w:val="46733805"/>
    <w:rsid w:val="46737CA9"/>
    <w:rsid w:val="467557CF"/>
    <w:rsid w:val="467638EF"/>
    <w:rsid w:val="46794B93"/>
    <w:rsid w:val="467A2DE5"/>
    <w:rsid w:val="467B2000"/>
    <w:rsid w:val="467B6B5D"/>
    <w:rsid w:val="467D0B27"/>
    <w:rsid w:val="467D4684"/>
    <w:rsid w:val="467E745C"/>
    <w:rsid w:val="467F1518"/>
    <w:rsid w:val="467F29B1"/>
    <w:rsid w:val="46805F22"/>
    <w:rsid w:val="46816594"/>
    <w:rsid w:val="46827EEC"/>
    <w:rsid w:val="46843C64"/>
    <w:rsid w:val="468541A6"/>
    <w:rsid w:val="46875502"/>
    <w:rsid w:val="468A6DA0"/>
    <w:rsid w:val="468B4FF2"/>
    <w:rsid w:val="468E6891"/>
    <w:rsid w:val="4691012F"/>
    <w:rsid w:val="46916381"/>
    <w:rsid w:val="46933EA7"/>
    <w:rsid w:val="4695585D"/>
    <w:rsid w:val="46957C1F"/>
    <w:rsid w:val="46976AF9"/>
    <w:rsid w:val="469A3487"/>
    <w:rsid w:val="469C3D1C"/>
    <w:rsid w:val="469C7200"/>
    <w:rsid w:val="469D0882"/>
    <w:rsid w:val="469D2F78"/>
    <w:rsid w:val="469D4D26"/>
    <w:rsid w:val="469E435E"/>
    <w:rsid w:val="46A07972"/>
    <w:rsid w:val="46A14816"/>
    <w:rsid w:val="46A4144B"/>
    <w:rsid w:val="46A63BDA"/>
    <w:rsid w:val="46A71700"/>
    <w:rsid w:val="46A9191C"/>
    <w:rsid w:val="46A95464"/>
    <w:rsid w:val="46AA4368"/>
    <w:rsid w:val="46AB7443"/>
    <w:rsid w:val="46AC4F69"/>
    <w:rsid w:val="46AD21B0"/>
    <w:rsid w:val="46AE2A8F"/>
    <w:rsid w:val="46B02CAB"/>
    <w:rsid w:val="46B34549"/>
    <w:rsid w:val="46B50998"/>
    <w:rsid w:val="46B5206F"/>
    <w:rsid w:val="46B61944"/>
    <w:rsid w:val="46B67767"/>
    <w:rsid w:val="46B84F4F"/>
    <w:rsid w:val="46BA1434"/>
    <w:rsid w:val="46BC1650"/>
    <w:rsid w:val="46BD2CD2"/>
    <w:rsid w:val="46C16C66"/>
    <w:rsid w:val="46C202E8"/>
    <w:rsid w:val="46C2478C"/>
    <w:rsid w:val="46C40D53"/>
    <w:rsid w:val="46C422B2"/>
    <w:rsid w:val="46C6602A"/>
    <w:rsid w:val="46C67DD9"/>
    <w:rsid w:val="46C71DA3"/>
    <w:rsid w:val="46C95B1B"/>
    <w:rsid w:val="46CA3C83"/>
    <w:rsid w:val="46CB53EF"/>
    <w:rsid w:val="46CD2054"/>
    <w:rsid w:val="46CE6F4C"/>
    <w:rsid w:val="46D149CF"/>
    <w:rsid w:val="46D52711"/>
    <w:rsid w:val="46D5626E"/>
    <w:rsid w:val="46D8332B"/>
    <w:rsid w:val="46DB6B62"/>
    <w:rsid w:val="46DC584E"/>
    <w:rsid w:val="46DD0749"/>
    <w:rsid w:val="46E110B6"/>
    <w:rsid w:val="46E14C12"/>
    <w:rsid w:val="46E26BDC"/>
    <w:rsid w:val="46E6047B"/>
    <w:rsid w:val="46E652FC"/>
    <w:rsid w:val="46E82445"/>
    <w:rsid w:val="46E97F6B"/>
    <w:rsid w:val="46EA6EAB"/>
    <w:rsid w:val="46ED1809"/>
    <w:rsid w:val="46EE10DD"/>
    <w:rsid w:val="46F012F9"/>
    <w:rsid w:val="46F10B9E"/>
    <w:rsid w:val="46F10BCE"/>
    <w:rsid w:val="46F23FFE"/>
    <w:rsid w:val="46F56910"/>
    <w:rsid w:val="46FD7572"/>
    <w:rsid w:val="470218EF"/>
    <w:rsid w:val="470339A1"/>
    <w:rsid w:val="47040901"/>
    <w:rsid w:val="47044DA5"/>
    <w:rsid w:val="47075B7F"/>
    <w:rsid w:val="47095F17"/>
    <w:rsid w:val="470A5AAB"/>
    <w:rsid w:val="470A69DC"/>
    <w:rsid w:val="470D1EAB"/>
    <w:rsid w:val="470D3C59"/>
    <w:rsid w:val="470D5A07"/>
    <w:rsid w:val="470E352E"/>
    <w:rsid w:val="47103FFA"/>
    <w:rsid w:val="4712589E"/>
    <w:rsid w:val="47131BFB"/>
    <w:rsid w:val="47136D96"/>
    <w:rsid w:val="47150D60"/>
    <w:rsid w:val="471537AA"/>
    <w:rsid w:val="47172367"/>
    <w:rsid w:val="47172AA3"/>
    <w:rsid w:val="47174AD8"/>
    <w:rsid w:val="471A45C8"/>
    <w:rsid w:val="471C3DDF"/>
    <w:rsid w:val="471C61B3"/>
    <w:rsid w:val="471F573B"/>
    <w:rsid w:val="47213261"/>
    <w:rsid w:val="47217705"/>
    <w:rsid w:val="47226FD9"/>
    <w:rsid w:val="47227BB6"/>
    <w:rsid w:val="472471F5"/>
    <w:rsid w:val="47276F68"/>
    <w:rsid w:val="472829CB"/>
    <w:rsid w:val="472965B9"/>
    <w:rsid w:val="472B40E0"/>
    <w:rsid w:val="472D1A95"/>
    <w:rsid w:val="472D31A0"/>
    <w:rsid w:val="472D42FC"/>
    <w:rsid w:val="47302587"/>
    <w:rsid w:val="47304268"/>
    <w:rsid w:val="47321912"/>
    <w:rsid w:val="473236C0"/>
    <w:rsid w:val="473311E6"/>
    <w:rsid w:val="47347C1D"/>
    <w:rsid w:val="473531B0"/>
    <w:rsid w:val="4735345B"/>
    <w:rsid w:val="47365564"/>
    <w:rsid w:val="47376F28"/>
    <w:rsid w:val="473814D8"/>
    <w:rsid w:val="473860EE"/>
    <w:rsid w:val="47390F16"/>
    <w:rsid w:val="47397647"/>
    <w:rsid w:val="473B1E9E"/>
    <w:rsid w:val="473C453F"/>
    <w:rsid w:val="473D0BED"/>
    <w:rsid w:val="473F7B8B"/>
    <w:rsid w:val="4740402F"/>
    <w:rsid w:val="4741335D"/>
    <w:rsid w:val="474156B1"/>
    <w:rsid w:val="474346DF"/>
    <w:rsid w:val="4743767B"/>
    <w:rsid w:val="474651A4"/>
    <w:rsid w:val="4746684B"/>
    <w:rsid w:val="4746716B"/>
    <w:rsid w:val="474847A2"/>
    <w:rsid w:val="47484C91"/>
    <w:rsid w:val="47486A40"/>
    <w:rsid w:val="474A6C5C"/>
    <w:rsid w:val="474C5379"/>
    <w:rsid w:val="474E6020"/>
    <w:rsid w:val="474F15A2"/>
    <w:rsid w:val="47503B46"/>
    <w:rsid w:val="47511799"/>
    <w:rsid w:val="4755115C"/>
    <w:rsid w:val="47570D47"/>
    <w:rsid w:val="47573126"/>
    <w:rsid w:val="47592343"/>
    <w:rsid w:val="475C0883"/>
    <w:rsid w:val="475E2707"/>
    <w:rsid w:val="475E44B5"/>
    <w:rsid w:val="475F1FDB"/>
    <w:rsid w:val="475F7049"/>
    <w:rsid w:val="47613705"/>
    <w:rsid w:val="476725FC"/>
    <w:rsid w:val="47677A2B"/>
    <w:rsid w:val="47685463"/>
    <w:rsid w:val="476870E2"/>
    <w:rsid w:val="47693740"/>
    <w:rsid w:val="47694C08"/>
    <w:rsid w:val="476A1A4C"/>
    <w:rsid w:val="476B4E24"/>
    <w:rsid w:val="476D4480"/>
    <w:rsid w:val="476E4C66"/>
    <w:rsid w:val="476F0470"/>
    <w:rsid w:val="477162C9"/>
    <w:rsid w:val="477535AD"/>
    <w:rsid w:val="477737C9"/>
    <w:rsid w:val="47787B93"/>
    <w:rsid w:val="477912EF"/>
    <w:rsid w:val="477B488F"/>
    <w:rsid w:val="477B7331"/>
    <w:rsid w:val="477C35C2"/>
    <w:rsid w:val="477C54A9"/>
    <w:rsid w:val="477C68EF"/>
    <w:rsid w:val="477D15A8"/>
    <w:rsid w:val="47834805"/>
    <w:rsid w:val="47887784"/>
    <w:rsid w:val="47891C73"/>
    <w:rsid w:val="478A4C38"/>
    <w:rsid w:val="478A62C0"/>
    <w:rsid w:val="478B1022"/>
    <w:rsid w:val="478B4B7E"/>
    <w:rsid w:val="478B56E4"/>
    <w:rsid w:val="478F0B12"/>
    <w:rsid w:val="478F466E"/>
    <w:rsid w:val="4791488A"/>
    <w:rsid w:val="47956161"/>
    <w:rsid w:val="479954ED"/>
    <w:rsid w:val="479B4556"/>
    <w:rsid w:val="479C6D8B"/>
    <w:rsid w:val="479E2B03"/>
    <w:rsid w:val="479F672B"/>
    <w:rsid w:val="47A10846"/>
    <w:rsid w:val="47A3011A"/>
    <w:rsid w:val="47A53E92"/>
    <w:rsid w:val="47A83982"/>
    <w:rsid w:val="47A913B5"/>
    <w:rsid w:val="47A94DE7"/>
    <w:rsid w:val="47AA594C"/>
    <w:rsid w:val="47AB6FCE"/>
    <w:rsid w:val="47AD0F98"/>
    <w:rsid w:val="47AF6745"/>
    <w:rsid w:val="47B02837"/>
    <w:rsid w:val="47B40579"/>
    <w:rsid w:val="47B440D5"/>
    <w:rsid w:val="47B642F1"/>
    <w:rsid w:val="47B91EA3"/>
    <w:rsid w:val="47BB2B21"/>
    <w:rsid w:val="47BC742D"/>
    <w:rsid w:val="47BD2299"/>
    <w:rsid w:val="47BD4B73"/>
    <w:rsid w:val="47BD70E3"/>
    <w:rsid w:val="47C17193"/>
    <w:rsid w:val="47C20947"/>
    <w:rsid w:val="47C3256A"/>
    <w:rsid w:val="47C54534"/>
    <w:rsid w:val="47C6205A"/>
    <w:rsid w:val="47CA1B4A"/>
    <w:rsid w:val="47CB42CD"/>
    <w:rsid w:val="47CB7671"/>
    <w:rsid w:val="47CC6BA2"/>
    <w:rsid w:val="47CD0F5B"/>
    <w:rsid w:val="47CF40C9"/>
    <w:rsid w:val="47D32726"/>
    <w:rsid w:val="47D429C9"/>
    <w:rsid w:val="47D6229D"/>
    <w:rsid w:val="47D77DC3"/>
    <w:rsid w:val="47D924D0"/>
    <w:rsid w:val="47D955E5"/>
    <w:rsid w:val="47DB7853"/>
    <w:rsid w:val="47DB78B4"/>
    <w:rsid w:val="47DE73A4"/>
    <w:rsid w:val="47E0311C"/>
    <w:rsid w:val="47E30E5E"/>
    <w:rsid w:val="47E349BA"/>
    <w:rsid w:val="47E56984"/>
    <w:rsid w:val="47E66258"/>
    <w:rsid w:val="47E764D4"/>
    <w:rsid w:val="47EA3F9B"/>
    <w:rsid w:val="47EA7AF7"/>
    <w:rsid w:val="47EB01EC"/>
    <w:rsid w:val="47EC1AC1"/>
    <w:rsid w:val="47ED75E7"/>
    <w:rsid w:val="47EF15B1"/>
    <w:rsid w:val="47EF72F5"/>
    <w:rsid w:val="47EF7803"/>
    <w:rsid w:val="47F15329"/>
    <w:rsid w:val="47F210A1"/>
    <w:rsid w:val="47F44954"/>
    <w:rsid w:val="47F6293F"/>
    <w:rsid w:val="47F646ED"/>
    <w:rsid w:val="47F768EB"/>
    <w:rsid w:val="47F95F8C"/>
    <w:rsid w:val="47F97484"/>
    <w:rsid w:val="47FD3CCE"/>
    <w:rsid w:val="47FD4661"/>
    <w:rsid w:val="47FE17F4"/>
    <w:rsid w:val="47FF16AC"/>
    <w:rsid w:val="4800556C"/>
    <w:rsid w:val="48013092"/>
    <w:rsid w:val="48054931"/>
    <w:rsid w:val="480768FB"/>
    <w:rsid w:val="480908C5"/>
    <w:rsid w:val="480E5EDB"/>
    <w:rsid w:val="480F3A01"/>
    <w:rsid w:val="480F755D"/>
    <w:rsid w:val="48111527"/>
    <w:rsid w:val="48125136"/>
    <w:rsid w:val="48142DC6"/>
    <w:rsid w:val="48193144"/>
    <w:rsid w:val="481D611E"/>
    <w:rsid w:val="481D7ECC"/>
    <w:rsid w:val="4820176A"/>
    <w:rsid w:val="48205C0E"/>
    <w:rsid w:val="48215DFC"/>
    <w:rsid w:val="48215F13"/>
    <w:rsid w:val="48231EC2"/>
    <w:rsid w:val="48272AF9"/>
    <w:rsid w:val="4828061F"/>
    <w:rsid w:val="48286871"/>
    <w:rsid w:val="482A25E9"/>
    <w:rsid w:val="482C010F"/>
    <w:rsid w:val="482E33A4"/>
    <w:rsid w:val="482F7BFF"/>
    <w:rsid w:val="483248F6"/>
    <w:rsid w:val="48335942"/>
    <w:rsid w:val="48347CEA"/>
    <w:rsid w:val="48360929"/>
    <w:rsid w:val="48376AB4"/>
    <w:rsid w:val="483772D8"/>
    <w:rsid w:val="48382F58"/>
    <w:rsid w:val="48387027"/>
    <w:rsid w:val="483925C3"/>
    <w:rsid w:val="483B0352"/>
    <w:rsid w:val="483B2A48"/>
    <w:rsid w:val="483B7D29"/>
    <w:rsid w:val="483D056E"/>
    <w:rsid w:val="483D45DA"/>
    <w:rsid w:val="48433EFC"/>
    <w:rsid w:val="48457423"/>
    <w:rsid w:val="48474F49"/>
    <w:rsid w:val="48475477"/>
    <w:rsid w:val="48476F4E"/>
    <w:rsid w:val="4848025D"/>
    <w:rsid w:val="48480CC1"/>
    <w:rsid w:val="48492B70"/>
    <w:rsid w:val="484E0785"/>
    <w:rsid w:val="484F02A2"/>
    <w:rsid w:val="4851401A"/>
    <w:rsid w:val="48515DC8"/>
    <w:rsid w:val="48530CAE"/>
    <w:rsid w:val="48541414"/>
    <w:rsid w:val="48547666"/>
    <w:rsid w:val="485756B9"/>
    <w:rsid w:val="4859107E"/>
    <w:rsid w:val="485B1F5E"/>
    <w:rsid w:val="485C3F8A"/>
    <w:rsid w:val="485F6737"/>
    <w:rsid w:val="48627FF5"/>
    <w:rsid w:val="48630B93"/>
    <w:rsid w:val="4863357E"/>
    <w:rsid w:val="486378A9"/>
    <w:rsid w:val="48645AFB"/>
    <w:rsid w:val="48662AE6"/>
    <w:rsid w:val="48666FEA"/>
    <w:rsid w:val="48671147"/>
    <w:rsid w:val="48684EBF"/>
    <w:rsid w:val="48691363"/>
    <w:rsid w:val="486A0C38"/>
    <w:rsid w:val="486A431F"/>
    <w:rsid w:val="486E031B"/>
    <w:rsid w:val="486E697A"/>
    <w:rsid w:val="487026F3"/>
    <w:rsid w:val="48710218"/>
    <w:rsid w:val="48726B4A"/>
    <w:rsid w:val="487321E2"/>
    <w:rsid w:val="4874171C"/>
    <w:rsid w:val="48741AB6"/>
    <w:rsid w:val="48743864"/>
    <w:rsid w:val="48757D08"/>
    <w:rsid w:val="487A0140"/>
    <w:rsid w:val="487B1097"/>
    <w:rsid w:val="487B29C9"/>
    <w:rsid w:val="487C42CB"/>
    <w:rsid w:val="487F17BC"/>
    <w:rsid w:val="48802209"/>
    <w:rsid w:val="48821CAF"/>
    <w:rsid w:val="48825F81"/>
    <w:rsid w:val="48831CF9"/>
    <w:rsid w:val="48836BD9"/>
    <w:rsid w:val="48847F4B"/>
    <w:rsid w:val="48853CC3"/>
    <w:rsid w:val="48861F15"/>
    <w:rsid w:val="48872B1F"/>
    <w:rsid w:val="48873598"/>
    <w:rsid w:val="488937B4"/>
    <w:rsid w:val="488C6E00"/>
    <w:rsid w:val="488E2B78"/>
    <w:rsid w:val="488E4926"/>
    <w:rsid w:val="48915A29"/>
    <w:rsid w:val="48945CB4"/>
    <w:rsid w:val="48965A61"/>
    <w:rsid w:val="48965ED0"/>
    <w:rsid w:val="4896658D"/>
    <w:rsid w:val="489910E8"/>
    <w:rsid w:val="489A151D"/>
    <w:rsid w:val="489F3A56"/>
    <w:rsid w:val="489F4D85"/>
    <w:rsid w:val="48A35C5A"/>
    <w:rsid w:val="48A44149"/>
    <w:rsid w:val="48A57EC2"/>
    <w:rsid w:val="48A630C4"/>
    <w:rsid w:val="48A70ADD"/>
    <w:rsid w:val="48A91B7B"/>
    <w:rsid w:val="48AB0E15"/>
    <w:rsid w:val="48AC1250"/>
    <w:rsid w:val="48AC5E33"/>
    <w:rsid w:val="48AC74A2"/>
    <w:rsid w:val="48AF2AEE"/>
    <w:rsid w:val="48B06BBA"/>
    <w:rsid w:val="48B3438D"/>
    <w:rsid w:val="48B36094"/>
    <w:rsid w:val="48B65B6A"/>
    <w:rsid w:val="48B75044"/>
    <w:rsid w:val="48B81B49"/>
    <w:rsid w:val="48B974A9"/>
    <w:rsid w:val="48BC4629"/>
    <w:rsid w:val="48BE6910"/>
    <w:rsid w:val="48C04CFB"/>
    <w:rsid w:val="48C540C0"/>
    <w:rsid w:val="48C60564"/>
    <w:rsid w:val="48C755E5"/>
    <w:rsid w:val="48C77E38"/>
    <w:rsid w:val="48C85A3B"/>
    <w:rsid w:val="48C91E02"/>
    <w:rsid w:val="48C93848"/>
    <w:rsid w:val="48C96023"/>
    <w:rsid w:val="48CB0061"/>
    <w:rsid w:val="48CB0B60"/>
    <w:rsid w:val="48CB5B7A"/>
    <w:rsid w:val="48CC18F2"/>
    <w:rsid w:val="48CC544E"/>
    <w:rsid w:val="48CE7418"/>
    <w:rsid w:val="48D11FAA"/>
    <w:rsid w:val="48D30D22"/>
    <w:rsid w:val="48D3302F"/>
    <w:rsid w:val="48D569F9"/>
    <w:rsid w:val="48D97C0A"/>
    <w:rsid w:val="48DA5DBD"/>
    <w:rsid w:val="48DA7B6B"/>
    <w:rsid w:val="48DC3A26"/>
    <w:rsid w:val="48DC7C0E"/>
    <w:rsid w:val="48DD3AFF"/>
    <w:rsid w:val="48DD765B"/>
    <w:rsid w:val="48DF5182"/>
    <w:rsid w:val="48E0528B"/>
    <w:rsid w:val="48E24C72"/>
    <w:rsid w:val="48E26B1E"/>
    <w:rsid w:val="48E303B5"/>
    <w:rsid w:val="48E305BF"/>
    <w:rsid w:val="48E374F8"/>
    <w:rsid w:val="48E704DA"/>
    <w:rsid w:val="48E831C3"/>
    <w:rsid w:val="48E94252"/>
    <w:rsid w:val="48EA334C"/>
    <w:rsid w:val="48EE7ABB"/>
    <w:rsid w:val="48F01B81"/>
    <w:rsid w:val="48F055E1"/>
    <w:rsid w:val="48F0738F"/>
    <w:rsid w:val="48F07601"/>
    <w:rsid w:val="48F13107"/>
    <w:rsid w:val="48F1321F"/>
    <w:rsid w:val="48F21359"/>
    <w:rsid w:val="48F40BE1"/>
    <w:rsid w:val="48F83C08"/>
    <w:rsid w:val="48F8597F"/>
    <w:rsid w:val="48FB5D34"/>
    <w:rsid w:val="48FC07B7"/>
    <w:rsid w:val="48FC3F85"/>
    <w:rsid w:val="48FD7CFE"/>
    <w:rsid w:val="49052B05"/>
    <w:rsid w:val="490746D8"/>
    <w:rsid w:val="49080B7C"/>
    <w:rsid w:val="49090450"/>
    <w:rsid w:val="490948F4"/>
    <w:rsid w:val="490E48EC"/>
    <w:rsid w:val="49105C83"/>
    <w:rsid w:val="49115557"/>
    <w:rsid w:val="49122557"/>
    <w:rsid w:val="491237A9"/>
    <w:rsid w:val="49127EC1"/>
    <w:rsid w:val="49155047"/>
    <w:rsid w:val="491A08B0"/>
    <w:rsid w:val="491A529C"/>
    <w:rsid w:val="491B4D4A"/>
    <w:rsid w:val="491C63D6"/>
    <w:rsid w:val="491F7C74"/>
    <w:rsid w:val="4921579A"/>
    <w:rsid w:val="4926728C"/>
    <w:rsid w:val="49295C0D"/>
    <w:rsid w:val="492B486B"/>
    <w:rsid w:val="492C6CA0"/>
    <w:rsid w:val="492D05E3"/>
    <w:rsid w:val="492D6F2F"/>
    <w:rsid w:val="492E6109"/>
    <w:rsid w:val="493164B3"/>
    <w:rsid w:val="49341C23"/>
    <w:rsid w:val="4934502A"/>
    <w:rsid w:val="493556E9"/>
    <w:rsid w:val="49380D36"/>
    <w:rsid w:val="493C25D4"/>
    <w:rsid w:val="493D6C54"/>
    <w:rsid w:val="493D7389"/>
    <w:rsid w:val="493F0316"/>
    <w:rsid w:val="49423962"/>
    <w:rsid w:val="4944592C"/>
    <w:rsid w:val="49470F79"/>
    <w:rsid w:val="49493CCA"/>
    <w:rsid w:val="494D658F"/>
    <w:rsid w:val="4953791E"/>
    <w:rsid w:val="4954425A"/>
    <w:rsid w:val="495518E8"/>
    <w:rsid w:val="49555444"/>
    <w:rsid w:val="495711BC"/>
    <w:rsid w:val="4957464A"/>
    <w:rsid w:val="49575660"/>
    <w:rsid w:val="49583186"/>
    <w:rsid w:val="495913D8"/>
    <w:rsid w:val="495A0CAC"/>
    <w:rsid w:val="495A2AEA"/>
    <w:rsid w:val="495A5150"/>
    <w:rsid w:val="495C67D2"/>
    <w:rsid w:val="495C7EA9"/>
    <w:rsid w:val="495E69EE"/>
    <w:rsid w:val="495F0B5E"/>
    <w:rsid w:val="495F4514"/>
    <w:rsid w:val="495F62C2"/>
    <w:rsid w:val="4961203A"/>
    <w:rsid w:val="49623B48"/>
    <w:rsid w:val="49627B61"/>
    <w:rsid w:val="49634005"/>
    <w:rsid w:val="496422DE"/>
    <w:rsid w:val="49671E58"/>
    <w:rsid w:val="49675177"/>
    <w:rsid w:val="49697141"/>
    <w:rsid w:val="496B2EB9"/>
    <w:rsid w:val="496C1C44"/>
    <w:rsid w:val="496D09DF"/>
    <w:rsid w:val="496E684B"/>
    <w:rsid w:val="497004D0"/>
    <w:rsid w:val="497438C9"/>
    <w:rsid w:val="49747FC0"/>
    <w:rsid w:val="49753D38"/>
    <w:rsid w:val="49764214"/>
    <w:rsid w:val="497C50C6"/>
    <w:rsid w:val="49804BB7"/>
    <w:rsid w:val="4980542C"/>
    <w:rsid w:val="49812D26"/>
    <w:rsid w:val="49836455"/>
    <w:rsid w:val="49843F7B"/>
    <w:rsid w:val="49854DDB"/>
    <w:rsid w:val="49861AA1"/>
    <w:rsid w:val="4989217A"/>
    <w:rsid w:val="498D7D16"/>
    <w:rsid w:val="498E0118"/>
    <w:rsid w:val="498E0956"/>
    <w:rsid w:val="49900B72"/>
    <w:rsid w:val="49902920"/>
    <w:rsid w:val="49923959"/>
    <w:rsid w:val="49924168"/>
    <w:rsid w:val="499441BE"/>
    <w:rsid w:val="49951CE4"/>
    <w:rsid w:val="49962CC7"/>
    <w:rsid w:val="49975A5C"/>
    <w:rsid w:val="499847D6"/>
    <w:rsid w:val="499A554C"/>
    <w:rsid w:val="499E328F"/>
    <w:rsid w:val="49A14B2D"/>
    <w:rsid w:val="49A2403D"/>
    <w:rsid w:val="49A308A5"/>
    <w:rsid w:val="49A52336"/>
    <w:rsid w:val="49A62AA1"/>
    <w:rsid w:val="49A87C69"/>
    <w:rsid w:val="49AA02F1"/>
    <w:rsid w:val="49AA1C33"/>
    <w:rsid w:val="49AC016B"/>
    <w:rsid w:val="49AD1724"/>
    <w:rsid w:val="49B123F5"/>
    <w:rsid w:val="49B22896"/>
    <w:rsid w:val="49B303BC"/>
    <w:rsid w:val="49B44399"/>
    <w:rsid w:val="49B605D8"/>
    <w:rsid w:val="49B60930"/>
    <w:rsid w:val="49B66B4B"/>
    <w:rsid w:val="49B77EAC"/>
    <w:rsid w:val="49B93C25"/>
    <w:rsid w:val="49BC5519"/>
    <w:rsid w:val="49BC6688"/>
    <w:rsid w:val="49BC6DB4"/>
    <w:rsid w:val="49BF6D61"/>
    <w:rsid w:val="49C209BD"/>
    <w:rsid w:val="49C4381E"/>
    <w:rsid w:val="49C91069"/>
    <w:rsid w:val="49CA7BE0"/>
    <w:rsid w:val="49CC7DFC"/>
    <w:rsid w:val="49CD3B92"/>
    <w:rsid w:val="49CD5922"/>
    <w:rsid w:val="49CF1E7A"/>
    <w:rsid w:val="49CF3448"/>
    <w:rsid w:val="49CF51F6"/>
    <w:rsid w:val="49D00F6E"/>
    <w:rsid w:val="49D05A0A"/>
    <w:rsid w:val="49D24CE6"/>
    <w:rsid w:val="49D27EE3"/>
    <w:rsid w:val="49D86BD0"/>
    <w:rsid w:val="49D922D1"/>
    <w:rsid w:val="49D96075"/>
    <w:rsid w:val="49DA4EA4"/>
    <w:rsid w:val="49DB1DED"/>
    <w:rsid w:val="49DC3DB7"/>
    <w:rsid w:val="49DC5B65"/>
    <w:rsid w:val="49DE368B"/>
    <w:rsid w:val="49E05655"/>
    <w:rsid w:val="49E07403"/>
    <w:rsid w:val="49E1317B"/>
    <w:rsid w:val="49E36EF3"/>
    <w:rsid w:val="49E52C6C"/>
    <w:rsid w:val="49E54A1A"/>
    <w:rsid w:val="49E669E4"/>
    <w:rsid w:val="49E67045"/>
    <w:rsid w:val="49E8275C"/>
    <w:rsid w:val="49E8450A"/>
    <w:rsid w:val="49E94A65"/>
    <w:rsid w:val="49EC3FFA"/>
    <w:rsid w:val="49EC6192"/>
    <w:rsid w:val="49ED498F"/>
    <w:rsid w:val="49EE01EE"/>
    <w:rsid w:val="49EF5A8A"/>
    <w:rsid w:val="49F27137"/>
    <w:rsid w:val="49F66C27"/>
    <w:rsid w:val="49F70BF1"/>
    <w:rsid w:val="49F73DBE"/>
    <w:rsid w:val="49FA3B17"/>
    <w:rsid w:val="49FA595F"/>
    <w:rsid w:val="49FA5FEB"/>
    <w:rsid w:val="4A0027BD"/>
    <w:rsid w:val="4A0155CC"/>
    <w:rsid w:val="4A01737A"/>
    <w:rsid w:val="4A023518"/>
    <w:rsid w:val="4A02381D"/>
    <w:rsid w:val="4A025F61"/>
    <w:rsid w:val="4A064990"/>
    <w:rsid w:val="4A080F4F"/>
    <w:rsid w:val="4A0B3079"/>
    <w:rsid w:val="4A0D21C2"/>
    <w:rsid w:val="4A111CB3"/>
    <w:rsid w:val="4A123335"/>
    <w:rsid w:val="4A1273FA"/>
    <w:rsid w:val="4A143551"/>
    <w:rsid w:val="4A190B67"/>
    <w:rsid w:val="4A192915"/>
    <w:rsid w:val="4A193364"/>
    <w:rsid w:val="4A1D0657"/>
    <w:rsid w:val="4A1E4284"/>
    <w:rsid w:val="4A203CA4"/>
    <w:rsid w:val="4A2117CA"/>
    <w:rsid w:val="4A225C6E"/>
    <w:rsid w:val="4A2417B8"/>
    <w:rsid w:val="4A241BB8"/>
    <w:rsid w:val="4A250534"/>
    <w:rsid w:val="4A25750C"/>
    <w:rsid w:val="4A266DE0"/>
    <w:rsid w:val="4A2A68D0"/>
    <w:rsid w:val="4A2E5DC3"/>
    <w:rsid w:val="4A2F038B"/>
    <w:rsid w:val="4A2F2139"/>
    <w:rsid w:val="4A3012E7"/>
    <w:rsid w:val="4A301A0D"/>
    <w:rsid w:val="4A312B08"/>
    <w:rsid w:val="4A314103"/>
    <w:rsid w:val="4A316273"/>
    <w:rsid w:val="4A317C5F"/>
    <w:rsid w:val="4A325785"/>
    <w:rsid w:val="4A343794"/>
    <w:rsid w:val="4A361719"/>
    <w:rsid w:val="4A3634C7"/>
    <w:rsid w:val="4A392FB7"/>
    <w:rsid w:val="4A396B13"/>
    <w:rsid w:val="4A3B0ADD"/>
    <w:rsid w:val="4A3B288C"/>
    <w:rsid w:val="4A3C66FE"/>
    <w:rsid w:val="4A3E275F"/>
    <w:rsid w:val="4A3F2F5D"/>
    <w:rsid w:val="4A4060F4"/>
    <w:rsid w:val="4A413C1A"/>
    <w:rsid w:val="4A435BE4"/>
    <w:rsid w:val="4A4542A8"/>
    <w:rsid w:val="4A464AE8"/>
    <w:rsid w:val="4A484FA8"/>
    <w:rsid w:val="4A49144C"/>
    <w:rsid w:val="4A4A0625"/>
    <w:rsid w:val="4A4B0681"/>
    <w:rsid w:val="4A4D25BF"/>
    <w:rsid w:val="4A4E3970"/>
    <w:rsid w:val="4A4E7E25"/>
    <w:rsid w:val="4A4F0D67"/>
    <w:rsid w:val="4A4F6F19"/>
    <w:rsid w:val="4A500C79"/>
    <w:rsid w:val="4A5364A1"/>
    <w:rsid w:val="4A5751EC"/>
    <w:rsid w:val="4A581DD0"/>
    <w:rsid w:val="4A5B1180"/>
    <w:rsid w:val="4A5C5CE8"/>
    <w:rsid w:val="4A5C730A"/>
    <w:rsid w:val="4A5D4EF8"/>
    <w:rsid w:val="4A6022F2"/>
    <w:rsid w:val="4A606796"/>
    <w:rsid w:val="4A630034"/>
    <w:rsid w:val="4A64447A"/>
    <w:rsid w:val="4A652584"/>
    <w:rsid w:val="4A6A3171"/>
    <w:rsid w:val="4A6C513B"/>
    <w:rsid w:val="4A6F3D98"/>
    <w:rsid w:val="4A7144FF"/>
    <w:rsid w:val="4A7162AD"/>
    <w:rsid w:val="4A727F0E"/>
    <w:rsid w:val="4A7364C9"/>
    <w:rsid w:val="4A745D9D"/>
    <w:rsid w:val="4A746B40"/>
    <w:rsid w:val="4A767D68"/>
    <w:rsid w:val="4A78588E"/>
    <w:rsid w:val="4A7B3CC5"/>
    <w:rsid w:val="4A7C4FC1"/>
    <w:rsid w:val="4A7D2EA4"/>
    <w:rsid w:val="4A7D6761"/>
    <w:rsid w:val="4A7E6C1C"/>
    <w:rsid w:val="4A804742"/>
    <w:rsid w:val="4A81325E"/>
    <w:rsid w:val="4A8204BA"/>
    <w:rsid w:val="4A82670C"/>
    <w:rsid w:val="4A845C50"/>
    <w:rsid w:val="4A846628"/>
    <w:rsid w:val="4A873D23"/>
    <w:rsid w:val="4A885C43"/>
    <w:rsid w:val="4A8C0235"/>
    <w:rsid w:val="4A8D4B99"/>
    <w:rsid w:val="4A8E3303"/>
    <w:rsid w:val="4A8E5923"/>
    <w:rsid w:val="4A8E6E5F"/>
    <w:rsid w:val="4A9106FD"/>
    <w:rsid w:val="4A921BC4"/>
    <w:rsid w:val="4A9401EE"/>
    <w:rsid w:val="4A941E17"/>
    <w:rsid w:val="4A94749E"/>
    <w:rsid w:val="4A954692"/>
    <w:rsid w:val="4A960A49"/>
    <w:rsid w:val="4A963F66"/>
    <w:rsid w:val="4A9B77CE"/>
    <w:rsid w:val="4A9D52F4"/>
    <w:rsid w:val="4A9F72BE"/>
    <w:rsid w:val="4AA3047C"/>
    <w:rsid w:val="4AA448D5"/>
    <w:rsid w:val="4AA7341E"/>
    <w:rsid w:val="4AA8171D"/>
    <w:rsid w:val="4AAE33D3"/>
    <w:rsid w:val="4AB07D99"/>
    <w:rsid w:val="4AB443EC"/>
    <w:rsid w:val="4AB663B6"/>
    <w:rsid w:val="4AB670FE"/>
    <w:rsid w:val="4AB80417"/>
    <w:rsid w:val="4AB83DE3"/>
    <w:rsid w:val="4ABB1C1E"/>
    <w:rsid w:val="4ABB39CC"/>
    <w:rsid w:val="4ABB4750"/>
    <w:rsid w:val="4ABB4997"/>
    <w:rsid w:val="4ABC5F9D"/>
    <w:rsid w:val="4ABF170F"/>
    <w:rsid w:val="4AC00E41"/>
    <w:rsid w:val="4AC05487"/>
    <w:rsid w:val="4AC408E4"/>
    <w:rsid w:val="4AC83DB3"/>
    <w:rsid w:val="4AC91669"/>
    <w:rsid w:val="4ACA1E61"/>
    <w:rsid w:val="4ACB00B3"/>
    <w:rsid w:val="4ACC0B18"/>
    <w:rsid w:val="4ACC3E2B"/>
    <w:rsid w:val="4ACE01A4"/>
    <w:rsid w:val="4ACE3700"/>
    <w:rsid w:val="4ACE3AA0"/>
    <w:rsid w:val="4ACF1226"/>
    <w:rsid w:val="4ACF1258"/>
    <w:rsid w:val="4AD102CE"/>
    <w:rsid w:val="4AD351BA"/>
    <w:rsid w:val="4AD36F68"/>
    <w:rsid w:val="4AD827D0"/>
    <w:rsid w:val="4ADA6548"/>
    <w:rsid w:val="4ADB5E1D"/>
    <w:rsid w:val="4ADD6571"/>
    <w:rsid w:val="4ADE2F2D"/>
    <w:rsid w:val="4ADF3B5F"/>
    <w:rsid w:val="4AE01685"/>
    <w:rsid w:val="4AE03433"/>
    <w:rsid w:val="4AE20F59"/>
    <w:rsid w:val="4AE271AB"/>
    <w:rsid w:val="4AE277C6"/>
    <w:rsid w:val="4AE50A49"/>
    <w:rsid w:val="4AE5143A"/>
    <w:rsid w:val="4AE64EED"/>
    <w:rsid w:val="4AE66C9B"/>
    <w:rsid w:val="4AE729B3"/>
    <w:rsid w:val="4AE747C1"/>
    <w:rsid w:val="4AEC1DD8"/>
    <w:rsid w:val="4AEF6F7A"/>
    <w:rsid w:val="4AF12210"/>
    <w:rsid w:val="4AF26B3E"/>
    <w:rsid w:val="4AF46894"/>
    <w:rsid w:val="4AF6374F"/>
    <w:rsid w:val="4AF84C20"/>
    <w:rsid w:val="4AFA3B96"/>
    <w:rsid w:val="4AFB026D"/>
    <w:rsid w:val="4AFC0D1E"/>
    <w:rsid w:val="4AFC1594"/>
    <w:rsid w:val="4AFD2237"/>
    <w:rsid w:val="4AFF7F4E"/>
    <w:rsid w:val="4B045373"/>
    <w:rsid w:val="4B047121"/>
    <w:rsid w:val="4B0479D0"/>
    <w:rsid w:val="4B0709C0"/>
    <w:rsid w:val="4B090BDC"/>
    <w:rsid w:val="4B0A076B"/>
    <w:rsid w:val="4B0E376D"/>
    <w:rsid w:val="4B0E61F2"/>
    <w:rsid w:val="4B133808"/>
    <w:rsid w:val="4B1355B6"/>
    <w:rsid w:val="4B1559B7"/>
    <w:rsid w:val="4B1730BE"/>
    <w:rsid w:val="4B173794"/>
    <w:rsid w:val="4B182BCD"/>
    <w:rsid w:val="4B1A06F3"/>
    <w:rsid w:val="4B1A4B97"/>
    <w:rsid w:val="4B1B1A3F"/>
    <w:rsid w:val="4B1C224D"/>
    <w:rsid w:val="4B1C4236"/>
    <w:rsid w:val="4B1D01C2"/>
    <w:rsid w:val="4B1F5D09"/>
    <w:rsid w:val="4B1F5E4F"/>
    <w:rsid w:val="4B201A81"/>
    <w:rsid w:val="4B2257F9"/>
    <w:rsid w:val="4B226BBF"/>
    <w:rsid w:val="4B244232"/>
    <w:rsid w:val="4B26317A"/>
    <w:rsid w:val="4B271062"/>
    <w:rsid w:val="4B2876E8"/>
    <w:rsid w:val="4B2C0426"/>
    <w:rsid w:val="4B2C2732"/>
    <w:rsid w:val="4B2E2169"/>
    <w:rsid w:val="4B2F78B4"/>
    <w:rsid w:val="4B30384C"/>
    <w:rsid w:val="4B3043BA"/>
    <w:rsid w:val="4B307F16"/>
    <w:rsid w:val="4B311E65"/>
    <w:rsid w:val="4B313C8F"/>
    <w:rsid w:val="4B320132"/>
    <w:rsid w:val="4B321EE0"/>
    <w:rsid w:val="4B331156"/>
    <w:rsid w:val="4B337A07"/>
    <w:rsid w:val="4B3551B7"/>
    <w:rsid w:val="4B360DA7"/>
    <w:rsid w:val="4B38326F"/>
    <w:rsid w:val="4B386DCB"/>
    <w:rsid w:val="4B3A2B43"/>
    <w:rsid w:val="4B3B68BB"/>
    <w:rsid w:val="4B3D0885"/>
    <w:rsid w:val="4B3E2804"/>
    <w:rsid w:val="4B3F07FA"/>
    <w:rsid w:val="4B4111EB"/>
    <w:rsid w:val="4B426B97"/>
    <w:rsid w:val="4B441C14"/>
    <w:rsid w:val="4B447E66"/>
    <w:rsid w:val="4B490FD8"/>
    <w:rsid w:val="4B4D6D1A"/>
    <w:rsid w:val="4B4E375C"/>
    <w:rsid w:val="4B4E65EF"/>
    <w:rsid w:val="4B510D23"/>
    <w:rsid w:val="4B51714C"/>
    <w:rsid w:val="4B517E8D"/>
    <w:rsid w:val="4B524331"/>
    <w:rsid w:val="4B5300A9"/>
    <w:rsid w:val="4B5B2952"/>
    <w:rsid w:val="4B5C51AF"/>
    <w:rsid w:val="4B5D13C9"/>
    <w:rsid w:val="4B5D6832"/>
    <w:rsid w:val="4B605CD1"/>
    <w:rsid w:val="4B6127C6"/>
    <w:rsid w:val="4B62209A"/>
    <w:rsid w:val="4B63653E"/>
    <w:rsid w:val="4B645E12"/>
    <w:rsid w:val="4B655CAA"/>
    <w:rsid w:val="4B663938"/>
    <w:rsid w:val="4B6749F4"/>
    <w:rsid w:val="4B6814D6"/>
    <w:rsid w:val="4B6A43A0"/>
    <w:rsid w:val="4B6E4198"/>
    <w:rsid w:val="4B6E6C91"/>
    <w:rsid w:val="4B700D35"/>
    <w:rsid w:val="4B705798"/>
    <w:rsid w:val="4B707C68"/>
    <w:rsid w:val="4B72052F"/>
    <w:rsid w:val="4B7365E9"/>
    <w:rsid w:val="4B75001F"/>
    <w:rsid w:val="4B7778F3"/>
    <w:rsid w:val="4B797B0F"/>
    <w:rsid w:val="4B7C6318"/>
    <w:rsid w:val="4B7C7600"/>
    <w:rsid w:val="4B7F3FB2"/>
    <w:rsid w:val="4B814C16"/>
    <w:rsid w:val="4B8A113C"/>
    <w:rsid w:val="4B8D5369"/>
    <w:rsid w:val="4B8E10E1"/>
    <w:rsid w:val="4B8E34A2"/>
    <w:rsid w:val="4B8E6AC5"/>
    <w:rsid w:val="4B8F7333"/>
    <w:rsid w:val="4B904E59"/>
    <w:rsid w:val="4B906E00"/>
    <w:rsid w:val="4B92297F"/>
    <w:rsid w:val="4B9366F7"/>
    <w:rsid w:val="4B9A333B"/>
    <w:rsid w:val="4B9C55AC"/>
    <w:rsid w:val="4B9C6C85"/>
    <w:rsid w:val="4B9F509C"/>
    <w:rsid w:val="4BA10E14"/>
    <w:rsid w:val="4BA17066"/>
    <w:rsid w:val="4BA32DDE"/>
    <w:rsid w:val="4BA34B8C"/>
    <w:rsid w:val="4BA426B2"/>
    <w:rsid w:val="4BA44460"/>
    <w:rsid w:val="4BA62F14"/>
    <w:rsid w:val="4BA64049"/>
    <w:rsid w:val="4BA77263"/>
    <w:rsid w:val="4BA95F1B"/>
    <w:rsid w:val="4BAB1C93"/>
    <w:rsid w:val="4BAD27E2"/>
    <w:rsid w:val="4BAD6BFC"/>
    <w:rsid w:val="4BB072A9"/>
    <w:rsid w:val="4BB23021"/>
    <w:rsid w:val="4BB24DCF"/>
    <w:rsid w:val="4BB328F5"/>
    <w:rsid w:val="4BB46D99"/>
    <w:rsid w:val="4BB548C0"/>
    <w:rsid w:val="4BB70638"/>
    <w:rsid w:val="4BB723E6"/>
    <w:rsid w:val="4BB74194"/>
    <w:rsid w:val="4BBA3C84"/>
    <w:rsid w:val="4BBE19C6"/>
    <w:rsid w:val="4BBE2AFA"/>
    <w:rsid w:val="4BBE45C0"/>
    <w:rsid w:val="4BBF74EC"/>
    <w:rsid w:val="4BC04BF0"/>
    <w:rsid w:val="4BC15012"/>
    <w:rsid w:val="4BC538C9"/>
    <w:rsid w:val="4BC6087B"/>
    <w:rsid w:val="4BC62629"/>
    <w:rsid w:val="4BC845F3"/>
    <w:rsid w:val="4BC863A1"/>
    <w:rsid w:val="4BCA036B"/>
    <w:rsid w:val="4BCB40E3"/>
    <w:rsid w:val="4BCC026A"/>
    <w:rsid w:val="4BCD328D"/>
    <w:rsid w:val="4BCD71F4"/>
    <w:rsid w:val="4BCD7E5B"/>
    <w:rsid w:val="4BCE14D3"/>
    <w:rsid w:val="4BCF3098"/>
    <w:rsid w:val="4BCF3255"/>
    <w:rsid w:val="4BD22EBD"/>
    <w:rsid w:val="4BD25472"/>
    <w:rsid w:val="4BD42F98"/>
    <w:rsid w:val="4BD44D46"/>
    <w:rsid w:val="4BD47300"/>
    <w:rsid w:val="4BD5286C"/>
    <w:rsid w:val="4BD56D10"/>
    <w:rsid w:val="4BD619E7"/>
    <w:rsid w:val="4BD74836"/>
    <w:rsid w:val="4BD8402C"/>
    <w:rsid w:val="4BD905AE"/>
    <w:rsid w:val="4BDA4326"/>
    <w:rsid w:val="4BDC009E"/>
    <w:rsid w:val="4BDC3BFA"/>
    <w:rsid w:val="4BDC5B79"/>
    <w:rsid w:val="4BDC6577"/>
    <w:rsid w:val="4BDE5BC4"/>
    <w:rsid w:val="4BE02A99"/>
    <w:rsid w:val="4BE11211"/>
    <w:rsid w:val="4BE17463"/>
    <w:rsid w:val="4BE17F1F"/>
    <w:rsid w:val="4BE3360E"/>
    <w:rsid w:val="4BE42F0C"/>
    <w:rsid w:val="4BE807F1"/>
    <w:rsid w:val="4BE920CC"/>
    <w:rsid w:val="4BE96317"/>
    <w:rsid w:val="4BEA2FA9"/>
    <w:rsid w:val="4BEC277D"/>
    <w:rsid w:val="4BED4059"/>
    <w:rsid w:val="4BEF456E"/>
    <w:rsid w:val="4BF058F8"/>
    <w:rsid w:val="4BF1634C"/>
    <w:rsid w:val="4BF453E8"/>
    <w:rsid w:val="4BF47196"/>
    <w:rsid w:val="4BF52F0E"/>
    <w:rsid w:val="4BF61160"/>
    <w:rsid w:val="4BF70A34"/>
    <w:rsid w:val="4BF74ED8"/>
    <w:rsid w:val="4BF90C50"/>
    <w:rsid w:val="4BF947AC"/>
    <w:rsid w:val="4BFB4538"/>
    <w:rsid w:val="4BFB6776"/>
    <w:rsid w:val="4BFC604B"/>
    <w:rsid w:val="4BFC78BF"/>
    <w:rsid w:val="4BFD3AFF"/>
    <w:rsid w:val="4BFD3E0F"/>
    <w:rsid w:val="4BFF74B1"/>
    <w:rsid w:val="4C002082"/>
    <w:rsid w:val="4C013661"/>
    <w:rsid w:val="4C01482B"/>
    <w:rsid w:val="4C020DC6"/>
    <w:rsid w:val="4C03387D"/>
    <w:rsid w:val="4C033D8E"/>
    <w:rsid w:val="4C041522"/>
    <w:rsid w:val="4C043151"/>
    <w:rsid w:val="4C0525EE"/>
    <w:rsid w:val="4C06511B"/>
    <w:rsid w:val="4C076ED2"/>
    <w:rsid w:val="4C080E93"/>
    <w:rsid w:val="4C0849EF"/>
    <w:rsid w:val="4C0A4C0B"/>
    <w:rsid w:val="4C0A69B9"/>
    <w:rsid w:val="4C0C31F6"/>
    <w:rsid w:val="4C0D2218"/>
    <w:rsid w:val="4C0D46FC"/>
    <w:rsid w:val="4C0D64AA"/>
    <w:rsid w:val="4C121D12"/>
    <w:rsid w:val="4C124959"/>
    <w:rsid w:val="4C1635B0"/>
    <w:rsid w:val="4C167EC0"/>
    <w:rsid w:val="4C192A5C"/>
    <w:rsid w:val="4C194E4E"/>
    <w:rsid w:val="4C1B2975"/>
    <w:rsid w:val="4C204C65"/>
    <w:rsid w:val="4C213D03"/>
    <w:rsid w:val="4C236060"/>
    <w:rsid w:val="4C237FED"/>
    <w:rsid w:val="4C261319"/>
    <w:rsid w:val="4C2630C7"/>
    <w:rsid w:val="4C287FCB"/>
    <w:rsid w:val="4C2B503E"/>
    <w:rsid w:val="4C2C4B82"/>
    <w:rsid w:val="4C2D26A8"/>
    <w:rsid w:val="4C2E1D34"/>
    <w:rsid w:val="4C312198"/>
    <w:rsid w:val="4C3363A1"/>
    <w:rsid w:val="4C341C88"/>
    <w:rsid w:val="4C343A36"/>
    <w:rsid w:val="4C35155C"/>
    <w:rsid w:val="4C371778"/>
    <w:rsid w:val="4C390EDB"/>
    <w:rsid w:val="4C392DFB"/>
    <w:rsid w:val="4C3B4DC5"/>
    <w:rsid w:val="4C3C0B3D"/>
    <w:rsid w:val="4C3C28EB"/>
    <w:rsid w:val="4C3D5C0E"/>
    <w:rsid w:val="4C404189"/>
    <w:rsid w:val="4C417D2D"/>
    <w:rsid w:val="4C43011D"/>
    <w:rsid w:val="4C4334BC"/>
    <w:rsid w:val="4C444F1E"/>
    <w:rsid w:val="4C455C43"/>
    <w:rsid w:val="4C4579F1"/>
    <w:rsid w:val="4C461C46"/>
    <w:rsid w:val="4C485734"/>
    <w:rsid w:val="4C4874E2"/>
    <w:rsid w:val="4C48766D"/>
    <w:rsid w:val="4C4B2D02"/>
    <w:rsid w:val="4C4E5A8A"/>
    <w:rsid w:val="4C4F0870"/>
    <w:rsid w:val="4C4F6AC2"/>
    <w:rsid w:val="4C502A61"/>
    <w:rsid w:val="4C51283A"/>
    <w:rsid w:val="4C516396"/>
    <w:rsid w:val="4C520F1C"/>
    <w:rsid w:val="4C523EBC"/>
    <w:rsid w:val="4C53424A"/>
    <w:rsid w:val="4C5365B2"/>
    <w:rsid w:val="4C561BFF"/>
    <w:rsid w:val="4C567E51"/>
    <w:rsid w:val="4C577725"/>
    <w:rsid w:val="4C583BC9"/>
    <w:rsid w:val="4C5A2C8D"/>
    <w:rsid w:val="4C5C2F8D"/>
    <w:rsid w:val="4C612351"/>
    <w:rsid w:val="4C6267F5"/>
    <w:rsid w:val="4C63256E"/>
    <w:rsid w:val="4C650094"/>
    <w:rsid w:val="4C674416"/>
    <w:rsid w:val="4C6A56AA"/>
    <w:rsid w:val="4C6A6C19"/>
    <w:rsid w:val="4C6A7458"/>
    <w:rsid w:val="4C6A7509"/>
    <w:rsid w:val="4C6A7939"/>
    <w:rsid w:val="4C6B47EC"/>
    <w:rsid w:val="4C6D519A"/>
    <w:rsid w:val="4C6D61C9"/>
    <w:rsid w:val="4C6F2CC0"/>
    <w:rsid w:val="4C6F4A6E"/>
    <w:rsid w:val="4C706E38"/>
    <w:rsid w:val="4C722A64"/>
    <w:rsid w:val="4C7402D7"/>
    <w:rsid w:val="4C742085"/>
    <w:rsid w:val="4C746529"/>
    <w:rsid w:val="4C765DFD"/>
    <w:rsid w:val="4C7B3413"/>
    <w:rsid w:val="4C7D739B"/>
    <w:rsid w:val="4C7D78BC"/>
    <w:rsid w:val="4C7E066F"/>
    <w:rsid w:val="4C7F03E4"/>
    <w:rsid w:val="4C801ED7"/>
    <w:rsid w:val="4C803267"/>
    <w:rsid w:val="4C804ECE"/>
    <w:rsid w:val="4C806C7C"/>
    <w:rsid w:val="4C813447"/>
    <w:rsid w:val="4C83676C"/>
    <w:rsid w:val="4C84165D"/>
    <w:rsid w:val="4C861922"/>
    <w:rsid w:val="4C871DB8"/>
    <w:rsid w:val="4C891FD4"/>
    <w:rsid w:val="4C895A5A"/>
    <w:rsid w:val="4C8B7B57"/>
    <w:rsid w:val="4C8C3872"/>
    <w:rsid w:val="4C8C73CE"/>
    <w:rsid w:val="4C8D1398"/>
    <w:rsid w:val="4C8D15D8"/>
    <w:rsid w:val="4C910E89"/>
    <w:rsid w:val="4C9269AF"/>
    <w:rsid w:val="4C9277A5"/>
    <w:rsid w:val="4C9466B4"/>
    <w:rsid w:val="4C95415A"/>
    <w:rsid w:val="4C970E98"/>
    <w:rsid w:val="4C991F0A"/>
    <w:rsid w:val="4C9B1D07"/>
    <w:rsid w:val="4C9C4528"/>
    <w:rsid w:val="4C9D12DE"/>
    <w:rsid w:val="4C9D782D"/>
    <w:rsid w:val="4CA010CC"/>
    <w:rsid w:val="4CA23096"/>
    <w:rsid w:val="4CA311D2"/>
    <w:rsid w:val="4CA3296A"/>
    <w:rsid w:val="4CA55CFB"/>
    <w:rsid w:val="4CA566E2"/>
    <w:rsid w:val="4CA666C3"/>
    <w:rsid w:val="4CA706AC"/>
    <w:rsid w:val="4CA95865"/>
    <w:rsid w:val="4CAA3CA9"/>
    <w:rsid w:val="4CAA3CF8"/>
    <w:rsid w:val="4CAA69AE"/>
    <w:rsid w:val="4CAC181F"/>
    <w:rsid w:val="4CAD5597"/>
    <w:rsid w:val="4CB16072"/>
    <w:rsid w:val="4CB35614"/>
    <w:rsid w:val="4CB44B77"/>
    <w:rsid w:val="4CB608EF"/>
    <w:rsid w:val="4CB678DD"/>
    <w:rsid w:val="4CB740F1"/>
    <w:rsid w:val="4CB75F07"/>
    <w:rsid w:val="4CBA03DF"/>
    <w:rsid w:val="4CBA7686"/>
    <w:rsid w:val="4CBB5F06"/>
    <w:rsid w:val="4CBB5F7B"/>
    <w:rsid w:val="4CBD3A2C"/>
    <w:rsid w:val="4CBE1552"/>
    <w:rsid w:val="4CBE6E71"/>
    <w:rsid w:val="4CBF2A10"/>
    <w:rsid w:val="4CBF59F6"/>
    <w:rsid w:val="4CC03114"/>
    <w:rsid w:val="4CC30E44"/>
    <w:rsid w:val="4CC34DBA"/>
    <w:rsid w:val="4CC35BEB"/>
    <w:rsid w:val="4CC50B32"/>
    <w:rsid w:val="4CC55A7A"/>
    <w:rsid w:val="4CC6023E"/>
    <w:rsid w:val="4CC748AA"/>
    <w:rsid w:val="4CC76658"/>
    <w:rsid w:val="4CC823D1"/>
    <w:rsid w:val="4CCA5ABE"/>
    <w:rsid w:val="4CCA6402"/>
    <w:rsid w:val="4CCA7EF7"/>
    <w:rsid w:val="4CCC3C6F"/>
    <w:rsid w:val="4CCC6E0F"/>
    <w:rsid w:val="4CCD6939"/>
    <w:rsid w:val="4CCE5C39"/>
    <w:rsid w:val="4CCF19B1"/>
    <w:rsid w:val="4CD12B58"/>
    <w:rsid w:val="4CD2153B"/>
    <w:rsid w:val="4CD241FD"/>
    <w:rsid w:val="4CD64AED"/>
    <w:rsid w:val="4CD77A52"/>
    <w:rsid w:val="4CD80866"/>
    <w:rsid w:val="4CD82614"/>
    <w:rsid w:val="4CD86AB8"/>
    <w:rsid w:val="4CD9638C"/>
    <w:rsid w:val="4CDC1083"/>
    <w:rsid w:val="4CDF78ED"/>
    <w:rsid w:val="4CE22604"/>
    <w:rsid w:val="4CE4545C"/>
    <w:rsid w:val="4CE6712F"/>
    <w:rsid w:val="4CE70772"/>
    <w:rsid w:val="4CE74F4D"/>
    <w:rsid w:val="4CE76CFB"/>
    <w:rsid w:val="4CE865CF"/>
    <w:rsid w:val="4CEA2347"/>
    <w:rsid w:val="4CEC4311"/>
    <w:rsid w:val="4CEC60BF"/>
    <w:rsid w:val="4CEF2847"/>
    <w:rsid w:val="4CF3569F"/>
    <w:rsid w:val="4CF467B1"/>
    <w:rsid w:val="4CF50A45"/>
    <w:rsid w:val="4CF5766A"/>
    <w:rsid w:val="4CFA6A2E"/>
    <w:rsid w:val="4CFC75B2"/>
    <w:rsid w:val="4CFD02CC"/>
    <w:rsid w:val="4CFE4613"/>
    <w:rsid w:val="4CFF5D2F"/>
    <w:rsid w:val="4D0345CF"/>
    <w:rsid w:val="4D043409"/>
    <w:rsid w:val="4D045CCD"/>
    <w:rsid w:val="4D057181"/>
    <w:rsid w:val="4D096C71"/>
    <w:rsid w:val="4D0F1DAD"/>
    <w:rsid w:val="4D106251"/>
    <w:rsid w:val="4D1137F0"/>
    <w:rsid w:val="4D13189E"/>
    <w:rsid w:val="4D155616"/>
    <w:rsid w:val="4D16138E"/>
    <w:rsid w:val="4D165AC0"/>
    <w:rsid w:val="4D1952A4"/>
    <w:rsid w:val="4D1A0E7E"/>
    <w:rsid w:val="4D1B0752"/>
    <w:rsid w:val="4D1B2795"/>
    <w:rsid w:val="4D1E0FF1"/>
    <w:rsid w:val="4D2025A6"/>
    <w:rsid w:val="4D221AE1"/>
    <w:rsid w:val="4D226519"/>
    <w:rsid w:val="4D2470EE"/>
    <w:rsid w:val="4D2770F7"/>
    <w:rsid w:val="4D2834AF"/>
    <w:rsid w:val="4D2838C3"/>
    <w:rsid w:val="4D2910C1"/>
    <w:rsid w:val="4D2A6BE7"/>
    <w:rsid w:val="4D2A7286"/>
    <w:rsid w:val="4D2E0486"/>
    <w:rsid w:val="4D2F41FE"/>
    <w:rsid w:val="4D312395"/>
    <w:rsid w:val="4D3165FC"/>
    <w:rsid w:val="4D3260CC"/>
    <w:rsid w:val="4D3261BD"/>
    <w:rsid w:val="4D330192"/>
    <w:rsid w:val="4D331F40"/>
    <w:rsid w:val="4D355CB8"/>
    <w:rsid w:val="4D357A66"/>
    <w:rsid w:val="4D3637DE"/>
    <w:rsid w:val="4D3642A2"/>
    <w:rsid w:val="4D377C71"/>
    <w:rsid w:val="4D381304"/>
    <w:rsid w:val="4D387556"/>
    <w:rsid w:val="4D387820"/>
    <w:rsid w:val="4D3A7620"/>
    <w:rsid w:val="4D3D691B"/>
    <w:rsid w:val="4D3F08E5"/>
    <w:rsid w:val="4D400D0A"/>
    <w:rsid w:val="4D403CD6"/>
    <w:rsid w:val="4D41465D"/>
    <w:rsid w:val="4D4203D5"/>
    <w:rsid w:val="4D435BAA"/>
    <w:rsid w:val="4D44414D"/>
    <w:rsid w:val="4D445EFB"/>
    <w:rsid w:val="4D461C73"/>
    <w:rsid w:val="4D477799"/>
    <w:rsid w:val="4D4A31A1"/>
    <w:rsid w:val="4D4A53CD"/>
    <w:rsid w:val="4D4D1254"/>
    <w:rsid w:val="4D4D54B0"/>
    <w:rsid w:val="4D4E28D6"/>
    <w:rsid w:val="4D4E6D7A"/>
    <w:rsid w:val="4D50664E"/>
    <w:rsid w:val="4D510618"/>
    <w:rsid w:val="4D53613E"/>
    <w:rsid w:val="4D562C80"/>
    <w:rsid w:val="4D567C6D"/>
    <w:rsid w:val="4D582110"/>
    <w:rsid w:val="4D5B19A9"/>
    <w:rsid w:val="4D5D2EA3"/>
    <w:rsid w:val="4D5D3FBF"/>
    <w:rsid w:val="4D5D520F"/>
    <w:rsid w:val="4D60140A"/>
    <w:rsid w:val="4D61085B"/>
    <w:rsid w:val="4D64034B"/>
    <w:rsid w:val="4D64549B"/>
    <w:rsid w:val="4D652F6F"/>
    <w:rsid w:val="4D662315"/>
    <w:rsid w:val="4D693BB4"/>
    <w:rsid w:val="4D6B2AAF"/>
    <w:rsid w:val="4D6B3488"/>
    <w:rsid w:val="4D700BD4"/>
    <w:rsid w:val="4D707FFE"/>
    <w:rsid w:val="4D711E4D"/>
    <w:rsid w:val="4D73058E"/>
    <w:rsid w:val="4D775402"/>
    <w:rsid w:val="4D783DF7"/>
    <w:rsid w:val="4D7A6873"/>
    <w:rsid w:val="4D7A7B6F"/>
    <w:rsid w:val="4D7C5C78"/>
    <w:rsid w:val="4D7D1B31"/>
    <w:rsid w:val="4D7D1BC3"/>
    <w:rsid w:val="4D7F5185"/>
    <w:rsid w:val="4D810EFD"/>
    <w:rsid w:val="4D844549"/>
    <w:rsid w:val="4D891310"/>
    <w:rsid w:val="4D8A54AD"/>
    <w:rsid w:val="4D8B2323"/>
    <w:rsid w:val="4D8B34B4"/>
    <w:rsid w:val="4D8C75C8"/>
    <w:rsid w:val="4D8E53C8"/>
    <w:rsid w:val="4D907392"/>
    <w:rsid w:val="4D914D59"/>
    <w:rsid w:val="4D924EB8"/>
    <w:rsid w:val="4D930C30"/>
    <w:rsid w:val="4D93478D"/>
    <w:rsid w:val="4D950505"/>
    <w:rsid w:val="4D952659"/>
    <w:rsid w:val="4D9579B3"/>
    <w:rsid w:val="4D9724CF"/>
    <w:rsid w:val="4D981DA3"/>
    <w:rsid w:val="4D9A3D6D"/>
    <w:rsid w:val="4D9D5247"/>
    <w:rsid w:val="4D9E2555"/>
    <w:rsid w:val="4DA102E6"/>
    <w:rsid w:val="4DA1334D"/>
    <w:rsid w:val="4DA44BEC"/>
    <w:rsid w:val="4DA5088A"/>
    <w:rsid w:val="4DA70238"/>
    <w:rsid w:val="4DA772A9"/>
    <w:rsid w:val="4DA846DC"/>
    <w:rsid w:val="4DA8648A"/>
    <w:rsid w:val="4DA92202"/>
    <w:rsid w:val="4DA92F2A"/>
    <w:rsid w:val="4DAA338D"/>
    <w:rsid w:val="4DAE1D94"/>
    <w:rsid w:val="4DAE26E2"/>
    <w:rsid w:val="4DB0533F"/>
    <w:rsid w:val="4DB12E65"/>
    <w:rsid w:val="4DB210B7"/>
    <w:rsid w:val="4DB82445"/>
    <w:rsid w:val="4DB82DFC"/>
    <w:rsid w:val="4DB84D64"/>
    <w:rsid w:val="4DBA440F"/>
    <w:rsid w:val="4DBB5A70"/>
    <w:rsid w:val="4DBC3CE3"/>
    <w:rsid w:val="4DBC5894"/>
    <w:rsid w:val="4DC005E1"/>
    <w:rsid w:val="4DC06A10"/>
    <w:rsid w:val="4DC25072"/>
    <w:rsid w:val="4DC31516"/>
    <w:rsid w:val="4DC3281F"/>
    <w:rsid w:val="4DC332C4"/>
    <w:rsid w:val="4DC40DEA"/>
    <w:rsid w:val="4DC46E97"/>
    <w:rsid w:val="4DC53AA9"/>
    <w:rsid w:val="4DC56A8B"/>
    <w:rsid w:val="4DC66910"/>
    <w:rsid w:val="4DC70076"/>
    <w:rsid w:val="4DC94652"/>
    <w:rsid w:val="4DC95567"/>
    <w:rsid w:val="4DCA15C8"/>
    <w:rsid w:val="4DCB4199"/>
    <w:rsid w:val="4DCD7C9F"/>
    <w:rsid w:val="4DD012EF"/>
    <w:rsid w:val="4DD03C33"/>
    <w:rsid w:val="4DD23B64"/>
    <w:rsid w:val="4DD728CB"/>
    <w:rsid w:val="4DD74FC1"/>
    <w:rsid w:val="4DD83BCC"/>
    <w:rsid w:val="4DD94895"/>
    <w:rsid w:val="4DDA060D"/>
    <w:rsid w:val="4DDA23BB"/>
    <w:rsid w:val="4DDA6459"/>
    <w:rsid w:val="4DDA685F"/>
    <w:rsid w:val="4DDD4E6D"/>
    <w:rsid w:val="4DDD5428"/>
    <w:rsid w:val="4DE13DC5"/>
    <w:rsid w:val="4DE33966"/>
    <w:rsid w:val="4DE35714"/>
    <w:rsid w:val="4DE7333A"/>
    <w:rsid w:val="4DE84AD8"/>
    <w:rsid w:val="4DE94B51"/>
    <w:rsid w:val="4DE97C40"/>
    <w:rsid w:val="4DEA6AA2"/>
    <w:rsid w:val="4DEB281B"/>
    <w:rsid w:val="4DED0A29"/>
    <w:rsid w:val="4DF0234A"/>
    <w:rsid w:val="4DF06083"/>
    <w:rsid w:val="4DF07E31"/>
    <w:rsid w:val="4DF23BA9"/>
    <w:rsid w:val="4DF25957"/>
    <w:rsid w:val="4DF40333"/>
    <w:rsid w:val="4DF47921"/>
    <w:rsid w:val="4DF47D0E"/>
    <w:rsid w:val="4DF571F5"/>
    <w:rsid w:val="4DF72F6D"/>
    <w:rsid w:val="4DF96CE5"/>
    <w:rsid w:val="4DFA480C"/>
    <w:rsid w:val="4DFC67D6"/>
    <w:rsid w:val="4DFF1E22"/>
    <w:rsid w:val="4E0208ED"/>
    <w:rsid w:val="4E0336C0"/>
    <w:rsid w:val="4E037B64"/>
    <w:rsid w:val="4E0538DC"/>
    <w:rsid w:val="4E07094D"/>
    <w:rsid w:val="4E073C92"/>
    <w:rsid w:val="4E092BC1"/>
    <w:rsid w:val="4E0B4C6B"/>
    <w:rsid w:val="4E0D453F"/>
    <w:rsid w:val="4E0F0A96"/>
    <w:rsid w:val="4E105DDD"/>
    <w:rsid w:val="4E12468D"/>
    <w:rsid w:val="4E125FF9"/>
    <w:rsid w:val="4E1458CD"/>
    <w:rsid w:val="4E157897"/>
    <w:rsid w:val="4E165AE9"/>
    <w:rsid w:val="4E172040"/>
    <w:rsid w:val="4E17716C"/>
    <w:rsid w:val="4E177BCF"/>
    <w:rsid w:val="4E1C0C26"/>
    <w:rsid w:val="4E1E674C"/>
    <w:rsid w:val="4E1F7810"/>
    <w:rsid w:val="4E213B1B"/>
    <w:rsid w:val="4E231FB4"/>
    <w:rsid w:val="4E234053"/>
    <w:rsid w:val="4E270D69"/>
    <w:rsid w:val="4E2741E7"/>
    <w:rsid w:val="4E286199"/>
    <w:rsid w:val="4E2A3474"/>
    <w:rsid w:val="4E2A50F1"/>
    <w:rsid w:val="4E2D2E33"/>
    <w:rsid w:val="4E2E44B5"/>
    <w:rsid w:val="4E2F0959"/>
    <w:rsid w:val="4E314E49"/>
    <w:rsid w:val="4E3917D8"/>
    <w:rsid w:val="4E3A10AC"/>
    <w:rsid w:val="4E3A4E06"/>
    <w:rsid w:val="4E3B72FE"/>
    <w:rsid w:val="4E3C6BD2"/>
    <w:rsid w:val="4E3E6DEE"/>
    <w:rsid w:val="4E41068C"/>
    <w:rsid w:val="4E422B8B"/>
    <w:rsid w:val="4E49078F"/>
    <w:rsid w:val="4E4C36D5"/>
    <w:rsid w:val="4E4D5283"/>
    <w:rsid w:val="4E4D5CD1"/>
    <w:rsid w:val="4E4E0090"/>
    <w:rsid w:val="4E4F2FD1"/>
    <w:rsid w:val="4E4F3F85"/>
    <w:rsid w:val="4E516B22"/>
    <w:rsid w:val="4E524648"/>
    <w:rsid w:val="4E5403C0"/>
    <w:rsid w:val="4E547CBB"/>
    <w:rsid w:val="4E5A52AA"/>
    <w:rsid w:val="4E5C7274"/>
    <w:rsid w:val="4E6042A1"/>
    <w:rsid w:val="4E604FB7"/>
    <w:rsid w:val="4E606D65"/>
    <w:rsid w:val="4E6323B1"/>
    <w:rsid w:val="4E656129"/>
    <w:rsid w:val="4E683554"/>
    <w:rsid w:val="4E6A1991"/>
    <w:rsid w:val="4E6B5632"/>
    <w:rsid w:val="4E6D1B47"/>
    <w:rsid w:val="4E6E0739"/>
    <w:rsid w:val="4E6F3CCE"/>
    <w:rsid w:val="4E711BD3"/>
    <w:rsid w:val="4E717099"/>
    <w:rsid w:val="4E740A62"/>
    <w:rsid w:val="4E7445BE"/>
    <w:rsid w:val="4E74636C"/>
    <w:rsid w:val="4E766588"/>
    <w:rsid w:val="4E771EB1"/>
    <w:rsid w:val="4E774086"/>
    <w:rsid w:val="4E781D55"/>
    <w:rsid w:val="4E78242B"/>
    <w:rsid w:val="4E791BD4"/>
    <w:rsid w:val="4E796078"/>
    <w:rsid w:val="4E7B594C"/>
    <w:rsid w:val="4E7B76FB"/>
    <w:rsid w:val="4E7C16C5"/>
    <w:rsid w:val="4E7D33F0"/>
    <w:rsid w:val="4E810A89"/>
    <w:rsid w:val="4E816CDB"/>
    <w:rsid w:val="4E830CA5"/>
    <w:rsid w:val="4E850579"/>
    <w:rsid w:val="4E854A1D"/>
    <w:rsid w:val="4E865398"/>
    <w:rsid w:val="4E877E2F"/>
    <w:rsid w:val="4E8862BB"/>
    <w:rsid w:val="4E8B7BA5"/>
    <w:rsid w:val="4E8C7B5A"/>
    <w:rsid w:val="4E8D38D2"/>
    <w:rsid w:val="4E8E5B94"/>
    <w:rsid w:val="4E8F31A6"/>
    <w:rsid w:val="4E911F25"/>
    <w:rsid w:val="4E9407BC"/>
    <w:rsid w:val="4E941E25"/>
    <w:rsid w:val="4E942433"/>
    <w:rsid w:val="4E94544A"/>
    <w:rsid w:val="4E946A0E"/>
    <w:rsid w:val="4E9531A8"/>
    <w:rsid w:val="4E961C8A"/>
    <w:rsid w:val="4E994025"/>
    <w:rsid w:val="4E995ACB"/>
    <w:rsid w:val="4E9C58C3"/>
    <w:rsid w:val="4E9D4C26"/>
    <w:rsid w:val="4EA05994"/>
    <w:rsid w:val="4EA07161"/>
    <w:rsid w:val="4EA40C13"/>
    <w:rsid w:val="4EA561C0"/>
    <w:rsid w:val="4EA63D16"/>
    <w:rsid w:val="4EA67419"/>
    <w:rsid w:val="4EA74993"/>
    <w:rsid w:val="4EAA7FE0"/>
    <w:rsid w:val="4EAC01FC"/>
    <w:rsid w:val="4EAC3D58"/>
    <w:rsid w:val="4EAF55F6"/>
    <w:rsid w:val="4EB26E94"/>
    <w:rsid w:val="4EB33338"/>
    <w:rsid w:val="4EB4172E"/>
    <w:rsid w:val="4EB55E28"/>
    <w:rsid w:val="4EB56A95"/>
    <w:rsid w:val="4EB643B1"/>
    <w:rsid w:val="4EB946C7"/>
    <w:rsid w:val="4EB95303"/>
    <w:rsid w:val="4EBA7519"/>
    <w:rsid w:val="4EBB043F"/>
    <w:rsid w:val="4EBB1FA7"/>
    <w:rsid w:val="4EBE3A8B"/>
    <w:rsid w:val="4EC07803"/>
    <w:rsid w:val="4EC14021"/>
    <w:rsid w:val="4EC15FC5"/>
    <w:rsid w:val="4EC254B1"/>
    <w:rsid w:val="4EC310A1"/>
    <w:rsid w:val="4EC372F3"/>
    <w:rsid w:val="4EC53642"/>
    <w:rsid w:val="4EC56BC8"/>
    <w:rsid w:val="4EC92B5C"/>
    <w:rsid w:val="4ECA68D4"/>
    <w:rsid w:val="4ECB4629"/>
    <w:rsid w:val="4ECE0172"/>
    <w:rsid w:val="4ECE1E6E"/>
    <w:rsid w:val="4ECF0928"/>
    <w:rsid w:val="4ED13D87"/>
    <w:rsid w:val="4ED41501"/>
    <w:rsid w:val="4ED432AF"/>
    <w:rsid w:val="4ED63798"/>
    <w:rsid w:val="4ED65279"/>
    <w:rsid w:val="4ED67027"/>
    <w:rsid w:val="4ED84B4D"/>
    <w:rsid w:val="4ED86247"/>
    <w:rsid w:val="4ED92673"/>
    <w:rsid w:val="4EDA5C7C"/>
    <w:rsid w:val="4EDB5E67"/>
    <w:rsid w:val="4EDB63EB"/>
    <w:rsid w:val="4EDB7799"/>
    <w:rsid w:val="4EDD5024"/>
    <w:rsid w:val="4EDD6E28"/>
    <w:rsid w:val="4EDD74E8"/>
    <w:rsid w:val="4EDE0E96"/>
    <w:rsid w:val="4EE01C53"/>
    <w:rsid w:val="4EE03A01"/>
    <w:rsid w:val="4EE07EA5"/>
    <w:rsid w:val="4EE31744"/>
    <w:rsid w:val="4EE51018"/>
    <w:rsid w:val="4EE74D90"/>
    <w:rsid w:val="4EEC05F8"/>
    <w:rsid w:val="4EEC53F0"/>
    <w:rsid w:val="4EEE4D91"/>
    <w:rsid w:val="4EF120B3"/>
    <w:rsid w:val="4EF13D52"/>
    <w:rsid w:val="4EF15C0F"/>
    <w:rsid w:val="4EF474AD"/>
    <w:rsid w:val="4EF63225"/>
    <w:rsid w:val="4EF66ADA"/>
    <w:rsid w:val="4EF70D4B"/>
    <w:rsid w:val="4EF80B93"/>
    <w:rsid w:val="4EF82028"/>
    <w:rsid w:val="4EF86F9D"/>
    <w:rsid w:val="4EF922EB"/>
    <w:rsid w:val="4EFB7302"/>
    <w:rsid w:val="4EFE032C"/>
    <w:rsid w:val="4F0040A4"/>
    <w:rsid w:val="4F027E1C"/>
    <w:rsid w:val="4F03280C"/>
    <w:rsid w:val="4F050434"/>
    <w:rsid w:val="4F0574DA"/>
    <w:rsid w:val="4F05790C"/>
    <w:rsid w:val="4F071E9B"/>
    <w:rsid w:val="4F073684"/>
    <w:rsid w:val="4F0771E0"/>
    <w:rsid w:val="4F0911AA"/>
    <w:rsid w:val="4F0A1409"/>
    <w:rsid w:val="4F0A4F22"/>
    <w:rsid w:val="4F0D41CC"/>
    <w:rsid w:val="4F0E0ACA"/>
    <w:rsid w:val="4F0E2A8F"/>
    <w:rsid w:val="4F0F3F90"/>
    <w:rsid w:val="4F130CF7"/>
    <w:rsid w:val="4F135B85"/>
    <w:rsid w:val="4F13748C"/>
    <w:rsid w:val="4F18319B"/>
    <w:rsid w:val="4F1B712F"/>
    <w:rsid w:val="4F1F277C"/>
    <w:rsid w:val="4F204746"/>
    <w:rsid w:val="4F2064F4"/>
    <w:rsid w:val="4F20650C"/>
    <w:rsid w:val="4F22401A"/>
    <w:rsid w:val="4F244236"/>
    <w:rsid w:val="4F251D5C"/>
    <w:rsid w:val="4F285868"/>
    <w:rsid w:val="4F2953A8"/>
    <w:rsid w:val="4F2A1121"/>
    <w:rsid w:val="4F2F6737"/>
    <w:rsid w:val="4F323CA6"/>
    <w:rsid w:val="4F337FD5"/>
    <w:rsid w:val="4F342C01"/>
    <w:rsid w:val="4F381A8F"/>
    <w:rsid w:val="4F381BBF"/>
    <w:rsid w:val="4F381C11"/>
    <w:rsid w:val="4F3860E4"/>
    <w:rsid w:val="4F395AA5"/>
    <w:rsid w:val="4F3A75B6"/>
    <w:rsid w:val="4F3B1644"/>
    <w:rsid w:val="4F3E3390"/>
    <w:rsid w:val="4F4134BC"/>
    <w:rsid w:val="4F453B86"/>
    <w:rsid w:val="4F457E37"/>
    <w:rsid w:val="4F4641AC"/>
    <w:rsid w:val="4F466847"/>
    <w:rsid w:val="4F477F24"/>
    <w:rsid w:val="4F4925DB"/>
    <w:rsid w:val="4F4B17C3"/>
    <w:rsid w:val="4F4B5D83"/>
    <w:rsid w:val="4F4C01D9"/>
    <w:rsid w:val="4F4C553B"/>
    <w:rsid w:val="4F4E3C04"/>
    <w:rsid w:val="4F5028F7"/>
    <w:rsid w:val="4F506DD9"/>
    <w:rsid w:val="4F532425"/>
    <w:rsid w:val="4F534A42"/>
    <w:rsid w:val="4F5368C9"/>
    <w:rsid w:val="4F55619D"/>
    <w:rsid w:val="4F561466"/>
    <w:rsid w:val="4F563CC4"/>
    <w:rsid w:val="4F572A3E"/>
    <w:rsid w:val="4F576D80"/>
    <w:rsid w:val="4F58591B"/>
    <w:rsid w:val="4F5A6F4F"/>
    <w:rsid w:val="4F5B7E66"/>
    <w:rsid w:val="4F5C7E93"/>
    <w:rsid w:val="4F5D1139"/>
    <w:rsid w:val="4F5D32A4"/>
    <w:rsid w:val="4F5E3848"/>
    <w:rsid w:val="4F624D5E"/>
    <w:rsid w:val="4F672375"/>
    <w:rsid w:val="4F674123"/>
    <w:rsid w:val="4F697E9B"/>
    <w:rsid w:val="4F6C798B"/>
    <w:rsid w:val="4F716D4F"/>
    <w:rsid w:val="4F732AC8"/>
    <w:rsid w:val="4F7505EE"/>
    <w:rsid w:val="4F754C17"/>
    <w:rsid w:val="4F766114"/>
    <w:rsid w:val="4F7743AF"/>
    <w:rsid w:val="4F7A0475"/>
    <w:rsid w:val="4F7A5C04"/>
    <w:rsid w:val="4F7B372A"/>
    <w:rsid w:val="4F7B6B94"/>
    <w:rsid w:val="4F7F76BE"/>
    <w:rsid w:val="4F821B4F"/>
    <w:rsid w:val="4F822D0B"/>
    <w:rsid w:val="4F860A4D"/>
    <w:rsid w:val="4F865A8C"/>
    <w:rsid w:val="4F876573"/>
    <w:rsid w:val="4F8852DA"/>
    <w:rsid w:val="4F8922EB"/>
    <w:rsid w:val="4F8B5318"/>
    <w:rsid w:val="4F8B6063"/>
    <w:rsid w:val="4F8C5937"/>
    <w:rsid w:val="4F8C78A7"/>
    <w:rsid w:val="4F8E345D"/>
    <w:rsid w:val="4F8E537E"/>
    <w:rsid w:val="4F912F4E"/>
    <w:rsid w:val="4F93181B"/>
    <w:rsid w:val="4F93316A"/>
    <w:rsid w:val="4F9710BD"/>
    <w:rsid w:val="4F9842DC"/>
    <w:rsid w:val="4F9B5B7A"/>
    <w:rsid w:val="4F9C3DCC"/>
    <w:rsid w:val="4F9D3A8B"/>
    <w:rsid w:val="4F9E57D4"/>
    <w:rsid w:val="4FA03191"/>
    <w:rsid w:val="4FA113E3"/>
    <w:rsid w:val="4FA42C81"/>
    <w:rsid w:val="4FA47125"/>
    <w:rsid w:val="4FA80C84"/>
    <w:rsid w:val="4FA964E9"/>
    <w:rsid w:val="4FAE3B00"/>
    <w:rsid w:val="4FAE58AE"/>
    <w:rsid w:val="4FB05716"/>
    <w:rsid w:val="4FB05ACA"/>
    <w:rsid w:val="4FB24A0D"/>
    <w:rsid w:val="4FB31116"/>
    <w:rsid w:val="4FB46C68"/>
    <w:rsid w:val="4FB629B4"/>
    <w:rsid w:val="4FB64338"/>
    <w:rsid w:val="4FBA24A4"/>
    <w:rsid w:val="4FBA6948"/>
    <w:rsid w:val="4FBB6C94"/>
    <w:rsid w:val="4FBC446F"/>
    <w:rsid w:val="4FBF5D0D"/>
    <w:rsid w:val="4FBF7ABB"/>
    <w:rsid w:val="4FC06E1D"/>
    <w:rsid w:val="4FC06EFC"/>
    <w:rsid w:val="4FC10B72"/>
    <w:rsid w:val="4FC357FD"/>
    <w:rsid w:val="4FC60E49"/>
    <w:rsid w:val="4FC6548F"/>
    <w:rsid w:val="4FC74BC1"/>
    <w:rsid w:val="4FC93116"/>
    <w:rsid w:val="4FC94E2D"/>
    <w:rsid w:val="4FC979FE"/>
    <w:rsid w:val="4FCA0E8E"/>
    <w:rsid w:val="4FCB6460"/>
    <w:rsid w:val="4FCC0660"/>
    <w:rsid w:val="4FCD042A"/>
    <w:rsid w:val="4FCD79F1"/>
    <w:rsid w:val="4FCE7CFE"/>
    <w:rsid w:val="4FD25A40"/>
    <w:rsid w:val="4FD277EE"/>
    <w:rsid w:val="4FD30164"/>
    <w:rsid w:val="4FD41F40"/>
    <w:rsid w:val="4FD6081A"/>
    <w:rsid w:val="4FD61FB9"/>
    <w:rsid w:val="4FD7228A"/>
    <w:rsid w:val="4FD82AA8"/>
    <w:rsid w:val="4FDA4DD1"/>
    <w:rsid w:val="4FDB0CDA"/>
    <w:rsid w:val="4FDC241B"/>
    <w:rsid w:val="4FDC68BF"/>
    <w:rsid w:val="4FDE2637"/>
    <w:rsid w:val="4FE14544"/>
    <w:rsid w:val="4FE305A5"/>
    <w:rsid w:val="4FE33176"/>
    <w:rsid w:val="4FE45773"/>
    <w:rsid w:val="4FE65048"/>
    <w:rsid w:val="4FE6773D"/>
    <w:rsid w:val="4FE73EBC"/>
    <w:rsid w:val="4FE94B38"/>
    <w:rsid w:val="4FE967EE"/>
    <w:rsid w:val="4FEB5A44"/>
    <w:rsid w:val="4FEB6B02"/>
    <w:rsid w:val="4FED287A"/>
    <w:rsid w:val="4FEE03A0"/>
    <w:rsid w:val="4FEF6B48"/>
    <w:rsid w:val="4FF0236A"/>
    <w:rsid w:val="4FF166B7"/>
    <w:rsid w:val="4FFA0AF3"/>
    <w:rsid w:val="4FFA4F97"/>
    <w:rsid w:val="4FFC0D0F"/>
    <w:rsid w:val="4FFC486B"/>
    <w:rsid w:val="4FFD0FD6"/>
    <w:rsid w:val="4FFE6835"/>
    <w:rsid w:val="50011E81"/>
    <w:rsid w:val="50033E4B"/>
    <w:rsid w:val="50041972"/>
    <w:rsid w:val="500428C9"/>
    <w:rsid w:val="50081462"/>
    <w:rsid w:val="500D2E48"/>
    <w:rsid w:val="500F0A42"/>
    <w:rsid w:val="500F420E"/>
    <w:rsid w:val="50113623"/>
    <w:rsid w:val="501164F0"/>
    <w:rsid w:val="50131BB5"/>
    <w:rsid w:val="501471CD"/>
    <w:rsid w:val="50187DDF"/>
    <w:rsid w:val="5019366F"/>
    <w:rsid w:val="501A73E7"/>
    <w:rsid w:val="501B6F55"/>
    <w:rsid w:val="501E0C85"/>
    <w:rsid w:val="501E2A33"/>
    <w:rsid w:val="501E5109"/>
    <w:rsid w:val="501F1A47"/>
    <w:rsid w:val="501F26D9"/>
    <w:rsid w:val="502072E6"/>
    <w:rsid w:val="50212524"/>
    <w:rsid w:val="50222E67"/>
    <w:rsid w:val="502344EE"/>
    <w:rsid w:val="502368D5"/>
    <w:rsid w:val="50241EA8"/>
    <w:rsid w:val="502913D8"/>
    <w:rsid w:val="50295B11"/>
    <w:rsid w:val="502A587C"/>
    <w:rsid w:val="502D0EC8"/>
    <w:rsid w:val="502F5371"/>
    <w:rsid w:val="503132B0"/>
    <w:rsid w:val="50354221"/>
    <w:rsid w:val="5036480D"/>
    <w:rsid w:val="50364E1E"/>
    <w:rsid w:val="50377F99"/>
    <w:rsid w:val="50381EFE"/>
    <w:rsid w:val="503C110B"/>
    <w:rsid w:val="503E4E84"/>
    <w:rsid w:val="503F160B"/>
    <w:rsid w:val="503F7267"/>
    <w:rsid w:val="5041514D"/>
    <w:rsid w:val="50416722"/>
    <w:rsid w:val="50422451"/>
    <w:rsid w:val="504306EC"/>
    <w:rsid w:val="50446212"/>
    <w:rsid w:val="50464969"/>
    <w:rsid w:val="50474E33"/>
    <w:rsid w:val="50495563"/>
    <w:rsid w:val="504A2452"/>
    <w:rsid w:val="504B57F2"/>
    <w:rsid w:val="504B75A0"/>
    <w:rsid w:val="504E494E"/>
    <w:rsid w:val="505110AD"/>
    <w:rsid w:val="50552045"/>
    <w:rsid w:val="505521CD"/>
    <w:rsid w:val="50567811"/>
    <w:rsid w:val="50574197"/>
    <w:rsid w:val="50575F4B"/>
    <w:rsid w:val="50577CF3"/>
    <w:rsid w:val="5058707D"/>
    <w:rsid w:val="50591CBD"/>
    <w:rsid w:val="505A536E"/>
    <w:rsid w:val="505A77E4"/>
    <w:rsid w:val="505B3C87"/>
    <w:rsid w:val="505C355C"/>
    <w:rsid w:val="505E1082"/>
    <w:rsid w:val="505E5526"/>
    <w:rsid w:val="505E72D4"/>
    <w:rsid w:val="505F0E17"/>
    <w:rsid w:val="5060129E"/>
    <w:rsid w:val="5060304C"/>
    <w:rsid w:val="506140DE"/>
    <w:rsid w:val="5065449F"/>
    <w:rsid w:val="506568B4"/>
    <w:rsid w:val="50666188"/>
    <w:rsid w:val="50681F00"/>
    <w:rsid w:val="506965F3"/>
    <w:rsid w:val="506A5C79"/>
    <w:rsid w:val="506A6A8B"/>
    <w:rsid w:val="506E4CAA"/>
    <w:rsid w:val="506E6346"/>
    <w:rsid w:val="50753CCC"/>
    <w:rsid w:val="50760AC1"/>
    <w:rsid w:val="50774FED"/>
    <w:rsid w:val="50783079"/>
    <w:rsid w:val="507A1C34"/>
    <w:rsid w:val="507B60D8"/>
    <w:rsid w:val="507E1724"/>
    <w:rsid w:val="507E6391"/>
    <w:rsid w:val="508036EE"/>
    <w:rsid w:val="5080549C"/>
    <w:rsid w:val="50807663"/>
    <w:rsid w:val="50864307"/>
    <w:rsid w:val="50874A7C"/>
    <w:rsid w:val="508760E6"/>
    <w:rsid w:val="508825A3"/>
    <w:rsid w:val="508A6075"/>
    <w:rsid w:val="508F3931"/>
    <w:rsid w:val="50903205"/>
    <w:rsid w:val="50910B0A"/>
    <w:rsid w:val="50915FFB"/>
    <w:rsid w:val="50923421"/>
    <w:rsid w:val="509251CF"/>
    <w:rsid w:val="50927E09"/>
    <w:rsid w:val="50947199"/>
    <w:rsid w:val="509A417D"/>
    <w:rsid w:val="509F0C78"/>
    <w:rsid w:val="50A05B3E"/>
    <w:rsid w:val="50A06FBB"/>
    <w:rsid w:val="50A15412"/>
    <w:rsid w:val="50A43B2D"/>
    <w:rsid w:val="50A515C7"/>
    <w:rsid w:val="50A76ECD"/>
    <w:rsid w:val="50A8404B"/>
    <w:rsid w:val="50A935EB"/>
    <w:rsid w:val="50AB003F"/>
    <w:rsid w:val="50AF18DD"/>
    <w:rsid w:val="50B05655"/>
    <w:rsid w:val="50B36B51"/>
    <w:rsid w:val="50B45146"/>
    <w:rsid w:val="50B52C6C"/>
    <w:rsid w:val="50B67110"/>
    <w:rsid w:val="50B7737A"/>
    <w:rsid w:val="50B82959"/>
    <w:rsid w:val="50B909AE"/>
    <w:rsid w:val="50BB0282"/>
    <w:rsid w:val="50BB64D4"/>
    <w:rsid w:val="50BF5FB2"/>
    <w:rsid w:val="50C57353"/>
    <w:rsid w:val="50C652F5"/>
    <w:rsid w:val="50C80BF1"/>
    <w:rsid w:val="50C91E6E"/>
    <w:rsid w:val="50CA30F4"/>
    <w:rsid w:val="50CC06E1"/>
    <w:rsid w:val="50CC6EA4"/>
    <w:rsid w:val="50CD4459"/>
    <w:rsid w:val="50CF3D2E"/>
    <w:rsid w:val="50D011CD"/>
    <w:rsid w:val="50D43A3A"/>
    <w:rsid w:val="50D47596"/>
    <w:rsid w:val="50D74284"/>
    <w:rsid w:val="50D90657"/>
    <w:rsid w:val="50D9535C"/>
    <w:rsid w:val="50DB0924"/>
    <w:rsid w:val="50DB26D2"/>
    <w:rsid w:val="50DC335D"/>
    <w:rsid w:val="50DE50F0"/>
    <w:rsid w:val="50DE6E6A"/>
    <w:rsid w:val="50E13A61"/>
    <w:rsid w:val="50E377D9"/>
    <w:rsid w:val="50E53B70"/>
    <w:rsid w:val="50E579F5"/>
    <w:rsid w:val="50E91662"/>
    <w:rsid w:val="50EA500B"/>
    <w:rsid w:val="50ED0658"/>
    <w:rsid w:val="50ED7977"/>
    <w:rsid w:val="50F06FAE"/>
    <w:rsid w:val="50F20572"/>
    <w:rsid w:val="50F32112"/>
    <w:rsid w:val="50F745BA"/>
    <w:rsid w:val="50FB0FC7"/>
    <w:rsid w:val="50FE0AB7"/>
    <w:rsid w:val="50FE2865"/>
    <w:rsid w:val="50FE4613"/>
    <w:rsid w:val="50FF62BF"/>
    <w:rsid w:val="510032D0"/>
    <w:rsid w:val="51024103"/>
    <w:rsid w:val="51047441"/>
    <w:rsid w:val="51053BF3"/>
    <w:rsid w:val="51066F16"/>
    <w:rsid w:val="510936E3"/>
    <w:rsid w:val="51095DCA"/>
    <w:rsid w:val="510D00A4"/>
    <w:rsid w:val="510D4856"/>
    <w:rsid w:val="5110480D"/>
    <w:rsid w:val="5111216B"/>
    <w:rsid w:val="51120665"/>
    <w:rsid w:val="511300BE"/>
    <w:rsid w:val="51136310"/>
    <w:rsid w:val="51142088"/>
    <w:rsid w:val="51144444"/>
    <w:rsid w:val="51155487"/>
    <w:rsid w:val="5116195C"/>
    <w:rsid w:val="51164890"/>
    <w:rsid w:val="51165E00"/>
    <w:rsid w:val="51171A31"/>
    <w:rsid w:val="51184306"/>
    <w:rsid w:val="5119144D"/>
    <w:rsid w:val="511931FB"/>
    <w:rsid w:val="51195638"/>
    <w:rsid w:val="511A2CA6"/>
    <w:rsid w:val="511B126A"/>
    <w:rsid w:val="511C04D5"/>
    <w:rsid w:val="511D66C1"/>
    <w:rsid w:val="511E4CB5"/>
    <w:rsid w:val="511F2F07"/>
    <w:rsid w:val="511F537D"/>
    <w:rsid w:val="512247A5"/>
    <w:rsid w:val="51232C8A"/>
    <w:rsid w:val="51246D02"/>
    <w:rsid w:val="51271DBC"/>
    <w:rsid w:val="51295B34"/>
    <w:rsid w:val="512A365A"/>
    <w:rsid w:val="512C73D2"/>
    <w:rsid w:val="512F4515"/>
    <w:rsid w:val="5133250E"/>
    <w:rsid w:val="513416D1"/>
    <w:rsid w:val="51346287"/>
    <w:rsid w:val="5139564B"/>
    <w:rsid w:val="51396EF1"/>
    <w:rsid w:val="513A1AEF"/>
    <w:rsid w:val="513B7615"/>
    <w:rsid w:val="513D15DF"/>
    <w:rsid w:val="513D3748"/>
    <w:rsid w:val="513F7105"/>
    <w:rsid w:val="51404C2B"/>
    <w:rsid w:val="5141620C"/>
    <w:rsid w:val="51422839"/>
    <w:rsid w:val="51426E42"/>
    <w:rsid w:val="5144505A"/>
    <w:rsid w:val="514566E6"/>
    <w:rsid w:val="5147420C"/>
    <w:rsid w:val="51480E67"/>
    <w:rsid w:val="51491D32"/>
    <w:rsid w:val="514C4C75"/>
    <w:rsid w:val="514C537E"/>
    <w:rsid w:val="514F62E4"/>
    <w:rsid w:val="51501312"/>
    <w:rsid w:val="5151162E"/>
    <w:rsid w:val="51525A50"/>
    <w:rsid w:val="51566BAA"/>
    <w:rsid w:val="51575EAE"/>
    <w:rsid w:val="51581A8F"/>
    <w:rsid w:val="51586419"/>
    <w:rsid w:val="515A3181"/>
    <w:rsid w:val="515B0736"/>
    <w:rsid w:val="515D758B"/>
    <w:rsid w:val="515E5734"/>
    <w:rsid w:val="5161414F"/>
    <w:rsid w:val="51621046"/>
    <w:rsid w:val="516350E5"/>
    <w:rsid w:val="5164091A"/>
    <w:rsid w:val="516415A6"/>
    <w:rsid w:val="5167665C"/>
    <w:rsid w:val="51691AA0"/>
    <w:rsid w:val="516923D4"/>
    <w:rsid w:val="51695F30"/>
    <w:rsid w:val="516A26A0"/>
    <w:rsid w:val="516C5A20"/>
    <w:rsid w:val="516E1798"/>
    <w:rsid w:val="516E79EA"/>
    <w:rsid w:val="516F0B4D"/>
    <w:rsid w:val="5170676B"/>
    <w:rsid w:val="517364CA"/>
    <w:rsid w:val="51782617"/>
    <w:rsid w:val="517843C5"/>
    <w:rsid w:val="51785239"/>
    <w:rsid w:val="51785955"/>
    <w:rsid w:val="517D5E7F"/>
    <w:rsid w:val="51825244"/>
    <w:rsid w:val="51825B49"/>
    <w:rsid w:val="5187285A"/>
    <w:rsid w:val="51874608"/>
    <w:rsid w:val="51895F8F"/>
    <w:rsid w:val="518A40F8"/>
    <w:rsid w:val="518C5E69"/>
    <w:rsid w:val="518D06D5"/>
    <w:rsid w:val="51915487"/>
    <w:rsid w:val="51917235"/>
    <w:rsid w:val="5193316B"/>
    <w:rsid w:val="5195052A"/>
    <w:rsid w:val="51956A13"/>
    <w:rsid w:val="519A433C"/>
    <w:rsid w:val="519B6306"/>
    <w:rsid w:val="519F5DF6"/>
    <w:rsid w:val="51A1583A"/>
    <w:rsid w:val="51A51F3D"/>
    <w:rsid w:val="51A52CE0"/>
    <w:rsid w:val="51A67CAD"/>
    <w:rsid w:val="51A800FD"/>
    <w:rsid w:val="51A80889"/>
    <w:rsid w:val="51AA6CDC"/>
    <w:rsid w:val="51AB6549"/>
    <w:rsid w:val="51AB7480"/>
    <w:rsid w:val="51AC0513"/>
    <w:rsid w:val="51AC22C1"/>
    <w:rsid w:val="51AF1FDF"/>
    <w:rsid w:val="51B1646C"/>
    <w:rsid w:val="51B1799A"/>
    <w:rsid w:val="51B32C74"/>
    <w:rsid w:val="51B33E51"/>
    <w:rsid w:val="51B6149B"/>
    <w:rsid w:val="51B7313F"/>
    <w:rsid w:val="51B7529F"/>
    <w:rsid w:val="51B760F6"/>
    <w:rsid w:val="51B9608E"/>
    <w:rsid w:val="51BA678C"/>
    <w:rsid w:val="51BB160E"/>
    <w:rsid w:val="51BC6C27"/>
    <w:rsid w:val="51BD1EC3"/>
    <w:rsid w:val="51BD627C"/>
    <w:rsid w:val="51C04AD1"/>
    <w:rsid w:val="51C07B1A"/>
    <w:rsid w:val="51C4585C"/>
    <w:rsid w:val="51C46E89"/>
    <w:rsid w:val="51C504A8"/>
    <w:rsid w:val="51C70EA9"/>
    <w:rsid w:val="51C770FB"/>
    <w:rsid w:val="51CA0754"/>
    <w:rsid w:val="51CB6BEB"/>
    <w:rsid w:val="51CD0E2F"/>
    <w:rsid w:val="51CE0489"/>
    <w:rsid w:val="51D05708"/>
    <w:rsid w:val="51D13AD5"/>
    <w:rsid w:val="51D21802"/>
    <w:rsid w:val="51D33CF1"/>
    <w:rsid w:val="51D84E64"/>
    <w:rsid w:val="51D94ECF"/>
    <w:rsid w:val="51DA31A2"/>
    <w:rsid w:val="51DA6E2E"/>
    <w:rsid w:val="51DB7C35"/>
    <w:rsid w:val="51DC4954"/>
    <w:rsid w:val="51DD06CC"/>
    <w:rsid w:val="51DF4444"/>
    <w:rsid w:val="51E05D03"/>
    <w:rsid w:val="51E13126"/>
    <w:rsid w:val="51E152C2"/>
    <w:rsid w:val="51E23F34"/>
    <w:rsid w:val="51E41A5B"/>
    <w:rsid w:val="51E56331"/>
    <w:rsid w:val="51E6017D"/>
    <w:rsid w:val="51E70B4F"/>
    <w:rsid w:val="51E7154B"/>
    <w:rsid w:val="51E83788"/>
    <w:rsid w:val="51E8716F"/>
    <w:rsid w:val="51EA1176"/>
    <w:rsid w:val="51EB103B"/>
    <w:rsid w:val="51EB4B97"/>
    <w:rsid w:val="51EC53F1"/>
    <w:rsid w:val="51EE6435"/>
    <w:rsid w:val="51F223CA"/>
    <w:rsid w:val="51F36142"/>
    <w:rsid w:val="51F40176"/>
    <w:rsid w:val="51F54E50"/>
    <w:rsid w:val="51F7586C"/>
    <w:rsid w:val="51F766B2"/>
    <w:rsid w:val="51F83758"/>
    <w:rsid w:val="51F84F6F"/>
    <w:rsid w:val="51F85506"/>
    <w:rsid w:val="51FA302C"/>
    <w:rsid w:val="51FA74D0"/>
    <w:rsid w:val="51FB0B52"/>
    <w:rsid w:val="51FC5AB8"/>
    <w:rsid w:val="51FC6DA4"/>
    <w:rsid w:val="51FD48CA"/>
    <w:rsid w:val="51FE279D"/>
    <w:rsid w:val="51FE6E7D"/>
    <w:rsid w:val="5201260D"/>
    <w:rsid w:val="520143BB"/>
    <w:rsid w:val="52021EDB"/>
    <w:rsid w:val="52024F4A"/>
    <w:rsid w:val="520420FD"/>
    <w:rsid w:val="52043EAB"/>
    <w:rsid w:val="520A18F2"/>
    <w:rsid w:val="520B5239"/>
    <w:rsid w:val="520B7B5C"/>
    <w:rsid w:val="520C4A59"/>
    <w:rsid w:val="520E0886"/>
    <w:rsid w:val="520E792B"/>
    <w:rsid w:val="521045FE"/>
    <w:rsid w:val="52117024"/>
    <w:rsid w:val="52140A2F"/>
    <w:rsid w:val="5217598C"/>
    <w:rsid w:val="52190196"/>
    <w:rsid w:val="52195BA8"/>
    <w:rsid w:val="521A1920"/>
    <w:rsid w:val="521C11F4"/>
    <w:rsid w:val="521C5786"/>
    <w:rsid w:val="521C7446"/>
    <w:rsid w:val="521E75A7"/>
    <w:rsid w:val="521F6F37"/>
    <w:rsid w:val="5220662D"/>
    <w:rsid w:val="52253E9B"/>
    <w:rsid w:val="52281131"/>
    <w:rsid w:val="52287B99"/>
    <w:rsid w:val="52291B0B"/>
    <w:rsid w:val="52291B63"/>
    <w:rsid w:val="522A6536"/>
    <w:rsid w:val="522F4D30"/>
    <w:rsid w:val="52302EF2"/>
    <w:rsid w:val="52304CA0"/>
    <w:rsid w:val="52312781"/>
    <w:rsid w:val="52320A18"/>
    <w:rsid w:val="52321BEC"/>
    <w:rsid w:val="523227C6"/>
    <w:rsid w:val="5233595D"/>
    <w:rsid w:val="5233653E"/>
    <w:rsid w:val="5234135F"/>
    <w:rsid w:val="52345251"/>
    <w:rsid w:val="52350508"/>
    <w:rsid w:val="52354064"/>
    <w:rsid w:val="5237602E"/>
    <w:rsid w:val="52383444"/>
    <w:rsid w:val="52383927"/>
    <w:rsid w:val="52383B54"/>
    <w:rsid w:val="52384A5B"/>
    <w:rsid w:val="52391DA6"/>
    <w:rsid w:val="5239284C"/>
    <w:rsid w:val="52392BB8"/>
    <w:rsid w:val="52392C30"/>
    <w:rsid w:val="523C1897"/>
    <w:rsid w:val="523E560F"/>
    <w:rsid w:val="523F4EE3"/>
    <w:rsid w:val="52426781"/>
    <w:rsid w:val="52466271"/>
    <w:rsid w:val="52477E5E"/>
    <w:rsid w:val="52481FEA"/>
    <w:rsid w:val="524A3079"/>
    <w:rsid w:val="524B7D2C"/>
    <w:rsid w:val="524C399F"/>
    <w:rsid w:val="524C5358"/>
    <w:rsid w:val="524D13AE"/>
    <w:rsid w:val="524E3378"/>
    <w:rsid w:val="52524C16"/>
    <w:rsid w:val="5253273C"/>
    <w:rsid w:val="525A3ACB"/>
    <w:rsid w:val="525C3CE7"/>
    <w:rsid w:val="525E180D"/>
    <w:rsid w:val="526112FD"/>
    <w:rsid w:val="52623366"/>
    <w:rsid w:val="52630BD1"/>
    <w:rsid w:val="52635075"/>
    <w:rsid w:val="526B217C"/>
    <w:rsid w:val="526C74C3"/>
    <w:rsid w:val="526D1A50"/>
    <w:rsid w:val="52707792"/>
    <w:rsid w:val="52720E14"/>
    <w:rsid w:val="52722ED3"/>
    <w:rsid w:val="52734B8D"/>
    <w:rsid w:val="5274764A"/>
    <w:rsid w:val="527518B4"/>
    <w:rsid w:val="527821A3"/>
    <w:rsid w:val="52785145"/>
    <w:rsid w:val="527903F5"/>
    <w:rsid w:val="527B264F"/>
    <w:rsid w:val="527E3F9F"/>
    <w:rsid w:val="527E5A0B"/>
    <w:rsid w:val="527F1CB8"/>
    <w:rsid w:val="527F58C4"/>
    <w:rsid w:val="528154FB"/>
    <w:rsid w:val="528172AA"/>
    <w:rsid w:val="52831274"/>
    <w:rsid w:val="52833022"/>
    <w:rsid w:val="52836CB7"/>
    <w:rsid w:val="52855B8B"/>
    <w:rsid w:val="52862838"/>
    <w:rsid w:val="52877104"/>
    <w:rsid w:val="52884C9B"/>
    <w:rsid w:val="5288688A"/>
    <w:rsid w:val="528A2602"/>
    <w:rsid w:val="528F5E6A"/>
    <w:rsid w:val="52903990"/>
    <w:rsid w:val="52913E6A"/>
    <w:rsid w:val="52917B87"/>
    <w:rsid w:val="52946FDD"/>
    <w:rsid w:val="529674E9"/>
    <w:rsid w:val="529A036B"/>
    <w:rsid w:val="529A65BD"/>
    <w:rsid w:val="529C1C38"/>
    <w:rsid w:val="529C2335"/>
    <w:rsid w:val="529E2390"/>
    <w:rsid w:val="52A01E26"/>
    <w:rsid w:val="52A05885"/>
    <w:rsid w:val="52A12747"/>
    <w:rsid w:val="52A31916"/>
    <w:rsid w:val="52A42F98"/>
    <w:rsid w:val="52A64F62"/>
    <w:rsid w:val="52AA2CA4"/>
    <w:rsid w:val="52AB07CA"/>
    <w:rsid w:val="52AD39CE"/>
    <w:rsid w:val="52AD62F0"/>
    <w:rsid w:val="52AF3E17"/>
    <w:rsid w:val="52AF44ED"/>
    <w:rsid w:val="52B007B9"/>
    <w:rsid w:val="52B35EBB"/>
    <w:rsid w:val="52B633F7"/>
    <w:rsid w:val="52B762E4"/>
    <w:rsid w:val="52BB5BF9"/>
    <w:rsid w:val="52BD0645"/>
    <w:rsid w:val="52BE04FE"/>
    <w:rsid w:val="52C17723"/>
    <w:rsid w:val="52C27FEE"/>
    <w:rsid w:val="52C33D66"/>
    <w:rsid w:val="52C618E0"/>
    <w:rsid w:val="52C76699"/>
    <w:rsid w:val="52CA0C50"/>
    <w:rsid w:val="52CB49C9"/>
    <w:rsid w:val="52CD0741"/>
    <w:rsid w:val="52CD6993"/>
    <w:rsid w:val="52CF44B9"/>
    <w:rsid w:val="52D03D8D"/>
    <w:rsid w:val="52D054FF"/>
    <w:rsid w:val="52D10231"/>
    <w:rsid w:val="52D23FA9"/>
    <w:rsid w:val="52D31F69"/>
    <w:rsid w:val="52D65847"/>
    <w:rsid w:val="52D7511B"/>
    <w:rsid w:val="52D81261"/>
    <w:rsid w:val="52D95337"/>
    <w:rsid w:val="52DB033A"/>
    <w:rsid w:val="52DB707F"/>
    <w:rsid w:val="52DC0984"/>
    <w:rsid w:val="52DE64AA"/>
    <w:rsid w:val="52E02642"/>
    <w:rsid w:val="52E11882"/>
    <w:rsid w:val="52E2243E"/>
    <w:rsid w:val="52E53CDC"/>
    <w:rsid w:val="52E635B0"/>
    <w:rsid w:val="52E77466"/>
    <w:rsid w:val="52E8557B"/>
    <w:rsid w:val="52EA4E4F"/>
    <w:rsid w:val="52EF06B7"/>
    <w:rsid w:val="52F103A6"/>
    <w:rsid w:val="52F36CA2"/>
    <w:rsid w:val="52F43F1F"/>
    <w:rsid w:val="52F61A46"/>
    <w:rsid w:val="52F65EE9"/>
    <w:rsid w:val="52F762F4"/>
    <w:rsid w:val="52F91536"/>
    <w:rsid w:val="52F97788"/>
    <w:rsid w:val="52FB3500"/>
    <w:rsid w:val="52FB52AE"/>
    <w:rsid w:val="52FE08FA"/>
    <w:rsid w:val="53026ACB"/>
    <w:rsid w:val="53034162"/>
    <w:rsid w:val="53035F10"/>
    <w:rsid w:val="53053B16"/>
    <w:rsid w:val="53071EA5"/>
    <w:rsid w:val="530775AB"/>
    <w:rsid w:val="53081779"/>
    <w:rsid w:val="53083527"/>
    <w:rsid w:val="53095C1D"/>
    <w:rsid w:val="530A3743"/>
    <w:rsid w:val="530C3017"/>
    <w:rsid w:val="530D4FE1"/>
    <w:rsid w:val="530D6D8F"/>
    <w:rsid w:val="530E2CB8"/>
    <w:rsid w:val="530E3233"/>
    <w:rsid w:val="530F1B11"/>
    <w:rsid w:val="5311062D"/>
    <w:rsid w:val="53125328"/>
    <w:rsid w:val="53154EDF"/>
    <w:rsid w:val="53177C0E"/>
    <w:rsid w:val="531910E2"/>
    <w:rsid w:val="531A23E7"/>
    <w:rsid w:val="531A6088"/>
    <w:rsid w:val="531C6FD2"/>
    <w:rsid w:val="531C7F24"/>
    <w:rsid w:val="531D3476"/>
    <w:rsid w:val="53204D14"/>
    <w:rsid w:val="53205058"/>
    <w:rsid w:val="53207A51"/>
    <w:rsid w:val="53230E08"/>
    <w:rsid w:val="532540D9"/>
    <w:rsid w:val="532562F9"/>
    <w:rsid w:val="532760A3"/>
    <w:rsid w:val="532E5F1B"/>
    <w:rsid w:val="532F4F57"/>
    <w:rsid w:val="53310CD0"/>
    <w:rsid w:val="53311227"/>
    <w:rsid w:val="533407C0"/>
    <w:rsid w:val="53362962"/>
    <w:rsid w:val="533802B0"/>
    <w:rsid w:val="53395DD6"/>
    <w:rsid w:val="53397B84"/>
    <w:rsid w:val="533B088A"/>
    <w:rsid w:val="533D4580"/>
    <w:rsid w:val="533F163E"/>
    <w:rsid w:val="533F3520"/>
    <w:rsid w:val="53402F01"/>
    <w:rsid w:val="53407165"/>
    <w:rsid w:val="53447DB8"/>
    <w:rsid w:val="5345477B"/>
    <w:rsid w:val="534568DB"/>
    <w:rsid w:val="53476745"/>
    <w:rsid w:val="53486019"/>
    <w:rsid w:val="534B600C"/>
    <w:rsid w:val="534C4A3B"/>
    <w:rsid w:val="534C78B7"/>
    <w:rsid w:val="534F55FA"/>
    <w:rsid w:val="53511372"/>
    <w:rsid w:val="535367A5"/>
    <w:rsid w:val="53542C10"/>
    <w:rsid w:val="5354676C"/>
    <w:rsid w:val="53560736"/>
    <w:rsid w:val="53563377"/>
    <w:rsid w:val="53590226"/>
    <w:rsid w:val="535B3F9E"/>
    <w:rsid w:val="535C4145"/>
    <w:rsid w:val="535E1DF2"/>
    <w:rsid w:val="535E75EB"/>
    <w:rsid w:val="53640E6B"/>
    <w:rsid w:val="53652FC7"/>
    <w:rsid w:val="536A3872"/>
    <w:rsid w:val="536D782E"/>
    <w:rsid w:val="536E35C0"/>
    <w:rsid w:val="536F17F8"/>
    <w:rsid w:val="53726443"/>
    <w:rsid w:val="53746E0E"/>
    <w:rsid w:val="53752178"/>
    <w:rsid w:val="537C3940"/>
    <w:rsid w:val="537D2167"/>
    <w:rsid w:val="537D3F15"/>
    <w:rsid w:val="537D5CC3"/>
    <w:rsid w:val="537F5EDF"/>
    <w:rsid w:val="53803A05"/>
    <w:rsid w:val="53832B5F"/>
    <w:rsid w:val="53837051"/>
    <w:rsid w:val="5385101B"/>
    <w:rsid w:val="53852DC9"/>
    <w:rsid w:val="53860DB0"/>
    <w:rsid w:val="53867BE3"/>
    <w:rsid w:val="53890B0C"/>
    <w:rsid w:val="538A2B86"/>
    <w:rsid w:val="538A5297"/>
    <w:rsid w:val="538C4158"/>
    <w:rsid w:val="538C5F06"/>
    <w:rsid w:val="538E7ED0"/>
    <w:rsid w:val="53933738"/>
    <w:rsid w:val="5394300C"/>
    <w:rsid w:val="539526B6"/>
    <w:rsid w:val="53961ACF"/>
    <w:rsid w:val="53977C61"/>
    <w:rsid w:val="53990C1F"/>
    <w:rsid w:val="539C366E"/>
    <w:rsid w:val="539D0113"/>
    <w:rsid w:val="539D45B7"/>
    <w:rsid w:val="539F20DD"/>
    <w:rsid w:val="53A05E55"/>
    <w:rsid w:val="53A07C03"/>
    <w:rsid w:val="53A40CC6"/>
    <w:rsid w:val="53A56FC8"/>
    <w:rsid w:val="53A616BE"/>
    <w:rsid w:val="53A72D40"/>
    <w:rsid w:val="53A742F8"/>
    <w:rsid w:val="53A804BB"/>
    <w:rsid w:val="53A82F50"/>
    <w:rsid w:val="53AB6CD4"/>
    <w:rsid w:val="53AD6A75"/>
    <w:rsid w:val="53AD73D7"/>
    <w:rsid w:val="53B03160"/>
    <w:rsid w:val="53B271C1"/>
    <w:rsid w:val="53B316E5"/>
    <w:rsid w:val="53B4545D"/>
    <w:rsid w:val="53B8319F"/>
    <w:rsid w:val="53B86CFB"/>
    <w:rsid w:val="53B92A73"/>
    <w:rsid w:val="53BE765E"/>
    <w:rsid w:val="53C02B75"/>
    <w:rsid w:val="53C04396"/>
    <w:rsid w:val="53C2401E"/>
    <w:rsid w:val="53C552AD"/>
    <w:rsid w:val="53C658BC"/>
    <w:rsid w:val="53C7314D"/>
    <w:rsid w:val="53C9715A"/>
    <w:rsid w:val="53CA4C80"/>
    <w:rsid w:val="53CE6383"/>
    <w:rsid w:val="53D25BD1"/>
    <w:rsid w:val="53D43C9C"/>
    <w:rsid w:val="53D53935"/>
    <w:rsid w:val="53D66D40"/>
    <w:rsid w:val="53D708D8"/>
    <w:rsid w:val="53D77AC9"/>
    <w:rsid w:val="53DD4D4E"/>
    <w:rsid w:val="53DE1D6D"/>
    <w:rsid w:val="53DF076F"/>
    <w:rsid w:val="53DF5F6C"/>
    <w:rsid w:val="53E126F6"/>
    <w:rsid w:val="53E144A4"/>
    <w:rsid w:val="53E2021C"/>
    <w:rsid w:val="53E2646E"/>
    <w:rsid w:val="53E45D42"/>
    <w:rsid w:val="53E53868"/>
    <w:rsid w:val="53E67D0C"/>
    <w:rsid w:val="53E71C1B"/>
    <w:rsid w:val="53E73A84"/>
    <w:rsid w:val="53E93358"/>
    <w:rsid w:val="53EA321F"/>
    <w:rsid w:val="53EB70D0"/>
    <w:rsid w:val="53EC109A"/>
    <w:rsid w:val="53ED4843"/>
    <w:rsid w:val="53EE1575"/>
    <w:rsid w:val="53EE6BC1"/>
    <w:rsid w:val="53EF08A4"/>
    <w:rsid w:val="53F00AB3"/>
    <w:rsid w:val="53F266B1"/>
    <w:rsid w:val="53F341D7"/>
    <w:rsid w:val="53F51CFD"/>
    <w:rsid w:val="53F561A1"/>
    <w:rsid w:val="53F57F4F"/>
    <w:rsid w:val="53F65A75"/>
    <w:rsid w:val="53F73012"/>
    <w:rsid w:val="53F758F5"/>
    <w:rsid w:val="53F8359B"/>
    <w:rsid w:val="53F92DE6"/>
    <w:rsid w:val="53FB308C"/>
    <w:rsid w:val="53FC735A"/>
    <w:rsid w:val="53FD32A8"/>
    <w:rsid w:val="53FD6E04"/>
    <w:rsid w:val="540006A2"/>
    <w:rsid w:val="54014B46"/>
    <w:rsid w:val="54065330"/>
    <w:rsid w:val="54065CB8"/>
    <w:rsid w:val="540753EA"/>
    <w:rsid w:val="540906E1"/>
    <w:rsid w:val="5409562F"/>
    <w:rsid w:val="540957A8"/>
    <w:rsid w:val="540A3A96"/>
    <w:rsid w:val="540B7B71"/>
    <w:rsid w:val="540C0223"/>
    <w:rsid w:val="540C3261"/>
    <w:rsid w:val="540D34EB"/>
    <w:rsid w:val="540E0200"/>
    <w:rsid w:val="540F7CC5"/>
    <w:rsid w:val="54104D89"/>
    <w:rsid w:val="54106B37"/>
    <w:rsid w:val="54120B01"/>
    <w:rsid w:val="5415414D"/>
    <w:rsid w:val="54183C3E"/>
    <w:rsid w:val="541C1980"/>
    <w:rsid w:val="541F4FCC"/>
    <w:rsid w:val="54205F92"/>
    <w:rsid w:val="5422686A"/>
    <w:rsid w:val="542549A6"/>
    <w:rsid w:val="542720D3"/>
    <w:rsid w:val="54280D3A"/>
    <w:rsid w:val="542919A7"/>
    <w:rsid w:val="5429409D"/>
    <w:rsid w:val="54297BF9"/>
    <w:rsid w:val="542E3461"/>
    <w:rsid w:val="54300F87"/>
    <w:rsid w:val="54302D35"/>
    <w:rsid w:val="54330A77"/>
    <w:rsid w:val="54332825"/>
    <w:rsid w:val="54336CC9"/>
    <w:rsid w:val="5435497A"/>
    <w:rsid w:val="54372316"/>
    <w:rsid w:val="543723AC"/>
    <w:rsid w:val="54392731"/>
    <w:rsid w:val="543B1C5C"/>
    <w:rsid w:val="543B36E1"/>
    <w:rsid w:val="543C5B7E"/>
    <w:rsid w:val="543E403C"/>
    <w:rsid w:val="54412749"/>
    <w:rsid w:val="54413194"/>
    <w:rsid w:val="54415C74"/>
    <w:rsid w:val="54433B90"/>
    <w:rsid w:val="54441ACD"/>
    <w:rsid w:val="544467E1"/>
    <w:rsid w:val="54464BBC"/>
    <w:rsid w:val="54475E84"/>
    <w:rsid w:val="544762D1"/>
    <w:rsid w:val="54484523"/>
    <w:rsid w:val="544B630B"/>
    <w:rsid w:val="544C398F"/>
    <w:rsid w:val="544C3B1E"/>
    <w:rsid w:val="544D38E7"/>
    <w:rsid w:val="544E252B"/>
    <w:rsid w:val="544E5CE1"/>
    <w:rsid w:val="54505070"/>
    <w:rsid w:val="54534C76"/>
    <w:rsid w:val="54536BBE"/>
    <w:rsid w:val="54560EE2"/>
    <w:rsid w:val="54574766"/>
    <w:rsid w:val="54576514"/>
    <w:rsid w:val="545804DE"/>
    <w:rsid w:val="545834F6"/>
    <w:rsid w:val="54596730"/>
    <w:rsid w:val="545A2D73"/>
    <w:rsid w:val="545C1D7C"/>
    <w:rsid w:val="545D3F9B"/>
    <w:rsid w:val="545D5AF4"/>
    <w:rsid w:val="545E6407"/>
    <w:rsid w:val="54624EB9"/>
    <w:rsid w:val="54656608"/>
    <w:rsid w:val="54660E4D"/>
    <w:rsid w:val="54685377"/>
    <w:rsid w:val="546B04BF"/>
    <w:rsid w:val="546B1FBF"/>
    <w:rsid w:val="546B6463"/>
    <w:rsid w:val="546D1A44"/>
    <w:rsid w:val="547075D6"/>
    <w:rsid w:val="54714F66"/>
    <w:rsid w:val="547215A0"/>
    <w:rsid w:val="54772666"/>
    <w:rsid w:val="547849B9"/>
    <w:rsid w:val="5479292E"/>
    <w:rsid w:val="5479570C"/>
    <w:rsid w:val="547A66A6"/>
    <w:rsid w:val="547C5F7A"/>
    <w:rsid w:val="547E6196"/>
    <w:rsid w:val="547E7F44"/>
    <w:rsid w:val="547F716B"/>
    <w:rsid w:val="54823F10"/>
    <w:rsid w:val="5483555B"/>
    <w:rsid w:val="54837309"/>
    <w:rsid w:val="54857525"/>
    <w:rsid w:val="5486329D"/>
    <w:rsid w:val="54866DF9"/>
    <w:rsid w:val="54891120"/>
    <w:rsid w:val="548A4B3B"/>
    <w:rsid w:val="548A55F3"/>
    <w:rsid w:val="548E3F00"/>
    <w:rsid w:val="54921C42"/>
    <w:rsid w:val="54924F20"/>
    <w:rsid w:val="54931516"/>
    <w:rsid w:val="549332C4"/>
    <w:rsid w:val="54945339"/>
    <w:rsid w:val="549459BA"/>
    <w:rsid w:val="54953DD4"/>
    <w:rsid w:val="54977258"/>
    <w:rsid w:val="54996B2C"/>
    <w:rsid w:val="549A3F89"/>
    <w:rsid w:val="549A4653"/>
    <w:rsid w:val="549C400B"/>
    <w:rsid w:val="549C629B"/>
    <w:rsid w:val="549E2395"/>
    <w:rsid w:val="549E4143"/>
    <w:rsid w:val="549F0C30"/>
    <w:rsid w:val="549F610D"/>
    <w:rsid w:val="54A0435F"/>
    <w:rsid w:val="54A159E1"/>
    <w:rsid w:val="54A24918"/>
    <w:rsid w:val="54A30979"/>
    <w:rsid w:val="54A43723"/>
    <w:rsid w:val="54A61249"/>
    <w:rsid w:val="54A656ED"/>
    <w:rsid w:val="54A92AE8"/>
    <w:rsid w:val="54AB4AB2"/>
    <w:rsid w:val="54AD25D8"/>
    <w:rsid w:val="54B27BEE"/>
    <w:rsid w:val="54B33353"/>
    <w:rsid w:val="54B43966"/>
    <w:rsid w:val="54B62075"/>
    <w:rsid w:val="54B73573"/>
    <w:rsid w:val="54B75204"/>
    <w:rsid w:val="54B8170F"/>
    <w:rsid w:val="54B971CF"/>
    <w:rsid w:val="54BF230B"/>
    <w:rsid w:val="54C142D5"/>
    <w:rsid w:val="54C17E31"/>
    <w:rsid w:val="54C3004D"/>
    <w:rsid w:val="54C618EB"/>
    <w:rsid w:val="54C673AA"/>
    <w:rsid w:val="54C81E1C"/>
    <w:rsid w:val="54C8268A"/>
    <w:rsid w:val="54CC4171"/>
    <w:rsid w:val="54CC5154"/>
    <w:rsid w:val="54CD2C7A"/>
    <w:rsid w:val="54CE07E8"/>
    <w:rsid w:val="54D45DB6"/>
    <w:rsid w:val="54D51B2F"/>
    <w:rsid w:val="54D9161F"/>
    <w:rsid w:val="54DC42F4"/>
    <w:rsid w:val="54DC4C6B"/>
    <w:rsid w:val="54DC6C05"/>
    <w:rsid w:val="54DD4731"/>
    <w:rsid w:val="54DE1540"/>
    <w:rsid w:val="54DF5163"/>
    <w:rsid w:val="54E30C7D"/>
    <w:rsid w:val="54E56216"/>
    <w:rsid w:val="54E57FC4"/>
    <w:rsid w:val="54E6556D"/>
    <w:rsid w:val="54E81862"/>
    <w:rsid w:val="54E82062"/>
    <w:rsid w:val="54E82B9E"/>
    <w:rsid w:val="54E85C1C"/>
    <w:rsid w:val="54EA382C"/>
    <w:rsid w:val="54ED0C26"/>
    <w:rsid w:val="54ED0EC5"/>
    <w:rsid w:val="54EF0985"/>
    <w:rsid w:val="54F0556F"/>
    <w:rsid w:val="54F255AA"/>
    <w:rsid w:val="54F36599"/>
    <w:rsid w:val="54F42131"/>
    <w:rsid w:val="54F46459"/>
    <w:rsid w:val="54F55D2D"/>
    <w:rsid w:val="54F77CF7"/>
    <w:rsid w:val="54F97184"/>
    <w:rsid w:val="54FB77E7"/>
    <w:rsid w:val="54FC530D"/>
    <w:rsid w:val="54FE2C0F"/>
    <w:rsid w:val="55004DFD"/>
    <w:rsid w:val="5503044A"/>
    <w:rsid w:val="55081F04"/>
    <w:rsid w:val="550C0EAB"/>
    <w:rsid w:val="550C0F27"/>
    <w:rsid w:val="550C2DC5"/>
    <w:rsid w:val="550D3076"/>
    <w:rsid w:val="550D751A"/>
    <w:rsid w:val="550F3292"/>
    <w:rsid w:val="55111A1E"/>
    <w:rsid w:val="551406A0"/>
    <w:rsid w:val="551408A9"/>
    <w:rsid w:val="55171C58"/>
    <w:rsid w:val="55172147"/>
    <w:rsid w:val="55175CA3"/>
    <w:rsid w:val="55180399"/>
    <w:rsid w:val="551B5DB4"/>
    <w:rsid w:val="551D6842"/>
    <w:rsid w:val="55202DAA"/>
    <w:rsid w:val="55214D74"/>
    <w:rsid w:val="55233875"/>
    <w:rsid w:val="552555CE"/>
    <w:rsid w:val="55255BBE"/>
    <w:rsid w:val="552705DC"/>
    <w:rsid w:val="552C446C"/>
    <w:rsid w:val="552C5BF2"/>
    <w:rsid w:val="552D3719"/>
    <w:rsid w:val="55306B8D"/>
    <w:rsid w:val="55306D65"/>
    <w:rsid w:val="55313209"/>
    <w:rsid w:val="55326F81"/>
    <w:rsid w:val="55344AA7"/>
    <w:rsid w:val="5536081F"/>
    <w:rsid w:val="553700F3"/>
    <w:rsid w:val="55393E6B"/>
    <w:rsid w:val="553B4087"/>
    <w:rsid w:val="553C395C"/>
    <w:rsid w:val="553E01CD"/>
    <w:rsid w:val="553E2D10"/>
    <w:rsid w:val="553E5926"/>
    <w:rsid w:val="553E76D4"/>
    <w:rsid w:val="5540344C"/>
    <w:rsid w:val="55410F72"/>
    <w:rsid w:val="55425416"/>
    <w:rsid w:val="5543118E"/>
    <w:rsid w:val="55450A62"/>
    <w:rsid w:val="55456CB4"/>
    <w:rsid w:val="55474313"/>
    <w:rsid w:val="55480552"/>
    <w:rsid w:val="554967A4"/>
    <w:rsid w:val="554B66D2"/>
    <w:rsid w:val="554C7C1D"/>
    <w:rsid w:val="554F7B33"/>
    <w:rsid w:val="555022BB"/>
    <w:rsid w:val="55503D03"/>
    <w:rsid w:val="55505211"/>
    <w:rsid w:val="555146B1"/>
    <w:rsid w:val="55517407"/>
    <w:rsid w:val="55545149"/>
    <w:rsid w:val="55564A1D"/>
    <w:rsid w:val="55570796"/>
    <w:rsid w:val="555B2034"/>
    <w:rsid w:val="555C7B5A"/>
    <w:rsid w:val="555E1B24"/>
    <w:rsid w:val="55603AEE"/>
    <w:rsid w:val="5562386F"/>
    <w:rsid w:val="5563388E"/>
    <w:rsid w:val="55651104"/>
    <w:rsid w:val="55674E7D"/>
    <w:rsid w:val="556C5FEF"/>
    <w:rsid w:val="556D0AA9"/>
    <w:rsid w:val="556E7FB9"/>
    <w:rsid w:val="55705593"/>
    <w:rsid w:val="55722A84"/>
    <w:rsid w:val="557238F3"/>
    <w:rsid w:val="55737C83"/>
    <w:rsid w:val="55746AE5"/>
    <w:rsid w:val="557547C5"/>
    <w:rsid w:val="557650C0"/>
    <w:rsid w:val="5579070C"/>
    <w:rsid w:val="557D7B97"/>
    <w:rsid w:val="55805F3E"/>
    <w:rsid w:val="55807C59"/>
    <w:rsid w:val="55835261"/>
    <w:rsid w:val="55855303"/>
    <w:rsid w:val="558570B1"/>
    <w:rsid w:val="55867822"/>
    <w:rsid w:val="558772CD"/>
    <w:rsid w:val="55886900"/>
    <w:rsid w:val="55886BA1"/>
    <w:rsid w:val="558C48E3"/>
    <w:rsid w:val="558C6691"/>
    <w:rsid w:val="558E7193"/>
    <w:rsid w:val="558F6181"/>
    <w:rsid w:val="558F7F2F"/>
    <w:rsid w:val="55902DF0"/>
    <w:rsid w:val="55937A20"/>
    <w:rsid w:val="55943798"/>
    <w:rsid w:val="55945546"/>
    <w:rsid w:val="55955E18"/>
    <w:rsid w:val="55985036"/>
    <w:rsid w:val="559B4B26"/>
    <w:rsid w:val="559D43FA"/>
    <w:rsid w:val="559F4616"/>
    <w:rsid w:val="55A21A11"/>
    <w:rsid w:val="55A30365"/>
    <w:rsid w:val="55A32FD7"/>
    <w:rsid w:val="55A6581F"/>
    <w:rsid w:val="55A75D10"/>
    <w:rsid w:val="55A76196"/>
    <w:rsid w:val="55A8144B"/>
    <w:rsid w:val="55AC0AE1"/>
    <w:rsid w:val="55AF412E"/>
    <w:rsid w:val="55B13EB6"/>
    <w:rsid w:val="55B160F8"/>
    <w:rsid w:val="55B32DA5"/>
    <w:rsid w:val="55B856D8"/>
    <w:rsid w:val="55B87486"/>
    <w:rsid w:val="55BA127A"/>
    <w:rsid w:val="55BB2AD2"/>
    <w:rsid w:val="55BC39AE"/>
    <w:rsid w:val="55BD2CEE"/>
    <w:rsid w:val="55C0458D"/>
    <w:rsid w:val="55C15416"/>
    <w:rsid w:val="55C5375B"/>
    <w:rsid w:val="55C53951"/>
    <w:rsid w:val="55C571AD"/>
    <w:rsid w:val="55C66A82"/>
    <w:rsid w:val="55C91693"/>
    <w:rsid w:val="55CA0F67"/>
    <w:rsid w:val="55CC0ABE"/>
    <w:rsid w:val="55CC1183"/>
    <w:rsid w:val="55CD2886"/>
    <w:rsid w:val="55CF05C5"/>
    <w:rsid w:val="55D1679A"/>
    <w:rsid w:val="55D342C0"/>
    <w:rsid w:val="55D63329"/>
    <w:rsid w:val="55D65B5E"/>
    <w:rsid w:val="55D6790C"/>
    <w:rsid w:val="55D71631"/>
    <w:rsid w:val="55D818D6"/>
    <w:rsid w:val="55D81C4F"/>
    <w:rsid w:val="55DA564E"/>
    <w:rsid w:val="55DA73FC"/>
    <w:rsid w:val="55DD0C9B"/>
    <w:rsid w:val="55DF2C65"/>
    <w:rsid w:val="55E012E9"/>
    <w:rsid w:val="55E262B1"/>
    <w:rsid w:val="55E40C52"/>
    <w:rsid w:val="55E74FF6"/>
    <w:rsid w:val="55E77D6B"/>
    <w:rsid w:val="55E83909"/>
    <w:rsid w:val="55EA5788"/>
    <w:rsid w:val="55EB785C"/>
    <w:rsid w:val="55EC2C3D"/>
    <w:rsid w:val="55EC35D4"/>
    <w:rsid w:val="55EC5382"/>
    <w:rsid w:val="55EC7130"/>
    <w:rsid w:val="55ED6529"/>
    <w:rsid w:val="55F04E72"/>
    <w:rsid w:val="55F14746"/>
    <w:rsid w:val="55F35490"/>
    <w:rsid w:val="55F54236"/>
    <w:rsid w:val="55F609A9"/>
    <w:rsid w:val="55F65E7E"/>
    <w:rsid w:val="55F66DE8"/>
    <w:rsid w:val="55F81F79"/>
    <w:rsid w:val="55FA527D"/>
    <w:rsid w:val="55FB4FCC"/>
    <w:rsid w:val="55FC2763"/>
    <w:rsid w:val="55FD30EB"/>
    <w:rsid w:val="55FF3307"/>
    <w:rsid w:val="56020BD1"/>
    <w:rsid w:val="56051FA0"/>
    <w:rsid w:val="560721BC"/>
    <w:rsid w:val="56073F6A"/>
    <w:rsid w:val="56080822"/>
    <w:rsid w:val="56095F34"/>
    <w:rsid w:val="56097CE2"/>
    <w:rsid w:val="560B118E"/>
    <w:rsid w:val="560C0B22"/>
    <w:rsid w:val="560E4C7E"/>
    <w:rsid w:val="56116B96"/>
    <w:rsid w:val="56120FF0"/>
    <w:rsid w:val="561641AD"/>
    <w:rsid w:val="561731DC"/>
    <w:rsid w:val="56183FCE"/>
    <w:rsid w:val="561871BB"/>
    <w:rsid w:val="561A27D0"/>
    <w:rsid w:val="561B503A"/>
    <w:rsid w:val="561B579A"/>
    <w:rsid w:val="561C0570"/>
    <w:rsid w:val="561C2065"/>
    <w:rsid w:val="561C5C67"/>
    <w:rsid w:val="561F12B3"/>
    <w:rsid w:val="561F5757"/>
    <w:rsid w:val="56220DA3"/>
    <w:rsid w:val="56231279"/>
    <w:rsid w:val="56244B1C"/>
    <w:rsid w:val="562543F0"/>
    <w:rsid w:val="56260894"/>
    <w:rsid w:val="56261052"/>
    <w:rsid w:val="56262642"/>
    <w:rsid w:val="562809AC"/>
    <w:rsid w:val="56284D2A"/>
    <w:rsid w:val="56292132"/>
    <w:rsid w:val="562A4AA1"/>
    <w:rsid w:val="562C4D86"/>
    <w:rsid w:val="562E599A"/>
    <w:rsid w:val="562F2CE4"/>
    <w:rsid w:val="56310FE7"/>
    <w:rsid w:val="56317315"/>
    <w:rsid w:val="56337256"/>
    <w:rsid w:val="56363D8F"/>
    <w:rsid w:val="56373C3F"/>
    <w:rsid w:val="56384123"/>
    <w:rsid w:val="563A7E9B"/>
    <w:rsid w:val="563B3C13"/>
    <w:rsid w:val="563B4020"/>
    <w:rsid w:val="563D3E2F"/>
    <w:rsid w:val="563E0B15"/>
    <w:rsid w:val="563E0DA2"/>
    <w:rsid w:val="563F54B2"/>
    <w:rsid w:val="563F6488"/>
    <w:rsid w:val="563F6C7E"/>
    <w:rsid w:val="564231F4"/>
    <w:rsid w:val="56423FB2"/>
    <w:rsid w:val="564451BE"/>
    <w:rsid w:val="56452779"/>
    <w:rsid w:val="56462CE4"/>
    <w:rsid w:val="5647080A"/>
    <w:rsid w:val="56484A62"/>
    <w:rsid w:val="56495B31"/>
    <w:rsid w:val="56496330"/>
    <w:rsid w:val="564B02FA"/>
    <w:rsid w:val="564B3E56"/>
    <w:rsid w:val="564B5E25"/>
    <w:rsid w:val="564D4072"/>
    <w:rsid w:val="564D7444"/>
    <w:rsid w:val="564E08D4"/>
    <w:rsid w:val="56502A9A"/>
    <w:rsid w:val="56503B63"/>
    <w:rsid w:val="56507F39"/>
    <w:rsid w:val="565147CA"/>
    <w:rsid w:val="565151E5"/>
    <w:rsid w:val="56535401"/>
    <w:rsid w:val="56545C38"/>
    <w:rsid w:val="56551179"/>
    <w:rsid w:val="56554CD5"/>
    <w:rsid w:val="56570A4D"/>
    <w:rsid w:val="565847C5"/>
    <w:rsid w:val="56586573"/>
    <w:rsid w:val="565C42B5"/>
    <w:rsid w:val="565E627F"/>
    <w:rsid w:val="566118CC"/>
    <w:rsid w:val="566273F2"/>
    <w:rsid w:val="5663166A"/>
    <w:rsid w:val="56632DAB"/>
    <w:rsid w:val="5664316A"/>
    <w:rsid w:val="56674A08"/>
    <w:rsid w:val="56690780"/>
    <w:rsid w:val="566B4385"/>
    <w:rsid w:val="567007BE"/>
    <w:rsid w:val="567315FF"/>
    <w:rsid w:val="56733B27"/>
    <w:rsid w:val="56743D30"/>
    <w:rsid w:val="567809C3"/>
    <w:rsid w:val="56786C15"/>
    <w:rsid w:val="567C03D1"/>
    <w:rsid w:val="567D5FDA"/>
    <w:rsid w:val="567D6285"/>
    <w:rsid w:val="567E13F4"/>
    <w:rsid w:val="56813763"/>
    <w:rsid w:val="56821842"/>
    <w:rsid w:val="56824BF3"/>
    <w:rsid w:val="56854E8E"/>
    <w:rsid w:val="56867584"/>
    <w:rsid w:val="56890E23"/>
    <w:rsid w:val="568E5D67"/>
    <w:rsid w:val="568F468B"/>
    <w:rsid w:val="569021B1"/>
    <w:rsid w:val="56903F5F"/>
    <w:rsid w:val="569071B7"/>
    <w:rsid w:val="56921A85"/>
    <w:rsid w:val="569577C7"/>
    <w:rsid w:val="569C6DA8"/>
    <w:rsid w:val="569D042A"/>
    <w:rsid w:val="569E667C"/>
    <w:rsid w:val="56A30136"/>
    <w:rsid w:val="56A52B5E"/>
    <w:rsid w:val="56A63783"/>
    <w:rsid w:val="56A65531"/>
    <w:rsid w:val="56AA7B2C"/>
    <w:rsid w:val="56AC6375"/>
    <w:rsid w:val="56AE2637"/>
    <w:rsid w:val="56B0015D"/>
    <w:rsid w:val="56B04601"/>
    <w:rsid w:val="56B0752C"/>
    <w:rsid w:val="56B129E1"/>
    <w:rsid w:val="56B22591"/>
    <w:rsid w:val="56B367AF"/>
    <w:rsid w:val="56B624FB"/>
    <w:rsid w:val="56B75990"/>
    <w:rsid w:val="56B85264"/>
    <w:rsid w:val="56BC4D54"/>
    <w:rsid w:val="56BC6B02"/>
    <w:rsid w:val="56BE0ACC"/>
    <w:rsid w:val="56BE4A22"/>
    <w:rsid w:val="56BF65F2"/>
    <w:rsid w:val="56C116C1"/>
    <w:rsid w:val="56C40CAB"/>
    <w:rsid w:val="56C449A6"/>
    <w:rsid w:val="56C500AD"/>
    <w:rsid w:val="56C60197"/>
    <w:rsid w:val="56C71A14"/>
    <w:rsid w:val="56C9121F"/>
    <w:rsid w:val="56CD0D0F"/>
    <w:rsid w:val="56CD6F61"/>
    <w:rsid w:val="56CD7199"/>
    <w:rsid w:val="56CF0F2B"/>
    <w:rsid w:val="56D053BF"/>
    <w:rsid w:val="56D402F0"/>
    <w:rsid w:val="56D4409B"/>
    <w:rsid w:val="56D5543B"/>
    <w:rsid w:val="56D93B58"/>
    <w:rsid w:val="56D976B4"/>
    <w:rsid w:val="56DA167E"/>
    <w:rsid w:val="56DB73DF"/>
    <w:rsid w:val="56DC53F6"/>
    <w:rsid w:val="56DF6C95"/>
    <w:rsid w:val="56DF6F78"/>
    <w:rsid w:val="56E16569"/>
    <w:rsid w:val="56E31F7C"/>
    <w:rsid w:val="56E3418D"/>
    <w:rsid w:val="56E36785"/>
    <w:rsid w:val="56E61DD1"/>
    <w:rsid w:val="56E9366F"/>
    <w:rsid w:val="56EB0A54"/>
    <w:rsid w:val="56ED74A9"/>
    <w:rsid w:val="56EF2533"/>
    <w:rsid w:val="56F269C8"/>
    <w:rsid w:val="56F3737E"/>
    <w:rsid w:val="56F42740"/>
    <w:rsid w:val="56F664B8"/>
    <w:rsid w:val="56F73FDE"/>
    <w:rsid w:val="56F83CE7"/>
    <w:rsid w:val="56F95FA8"/>
    <w:rsid w:val="56FC15F5"/>
    <w:rsid w:val="56FC58A6"/>
    <w:rsid w:val="570010E5"/>
    <w:rsid w:val="570100BC"/>
    <w:rsid w:val="5703587E"/>
    <w:rsid w:val="570404A9"/>
    <w:rsid w:val="57043815"/>
    <w:rsid w:val="57081D47"/>
    <w:rsid w:val="5708289B"/>
    <w:rsid w:val="5708396D"/>
    <w:rsid w:val="57090374"/>
    <w:rsid w:val="570A5ABF"/>
    <w:rsid w:val="570D1A54"/>
    <w:rsid w:val="570D296C"/>
    <w:rsid w:val="570D3802"/>
    <w:rsid w:val="570E3A04"/>
    <w:rsid w:val="570F0A51"/>
    <w:rsid w:val="570F1328"/>
    <w:rsid w:val="571526B6"/>
    <w:rsid w:val="57154464"/>
    <w:rsid w:val="571A1A7B"/>
    <w:rsid w:val="5721027C"/>
    <w:rsid w:val="57210E56"/>
    <w:rsid w:val="5721105B"/>
    <w:rsid w:val="57224B04"/>
    <w:rsid w:val="57245073"/>
    <w:rsid w:val="5728181B"/>
    <w:rsid w:val="572B1EDA"/>
    <w:rsid w:val="572B3C88"/>
    <w:rsid w:val="572D203D"/>
    <w:rsid w:val="572D3B16"/>
    <w:rsid w:val="572D3C16"/>
    <w:rsid w:val="572D5C52"/>
    <w:rsid w:val="572E4C25"/>
    <w:rsid w:val="572E5274"/>
    <w:rsid w:val="572F27EA"/>
    <w:rsid w:val="57315742"/>
    <w:rsid w:val="5731610F"/>
    <w:rsid w:val="57342B3C"/>
    <w:rsid w:val="573458DA"/>
    <w:rsid w:val="57346FE0"/>
    <w:rsid w:val="57366409"/>
    <w:rsid w:val="573B211D"/>
    <w:rsid w:val="573C40E7"/>
    <w:rsid w:val="573E7E5F"/>
    <w:rsid w:val="574216FD"/>
    <w:rsid w:val="57462870"/>
    <w:rsid w:val="57465EFE"/>
    <w:rsid w:val="5747738E"/>
    <w:rsid w:val="574865E8"/>
    <w:rsid w:val="574D00A2"/>
    <w:rsid w:val="574D1E50"/>
    <w:rsid w:val="574F5BC8"/>
    <w:rsid w:val="57511655"/>
    <w:rsid w:val="57517B92"/>
    <w:rsid w:val="57521214"/>
    <w:rsid w:val="575256B8"/>
    <w:rsid w:val="57563CB6"/>
    <w:rsid w:val="57572CCF"/>
    <w:rsid w:val="5758229D"/>
    <w:rsid w:val="575E405D"/>
    <w:rsid w:val="575F64C7"/>
    <w:rsid w:val="57603931"/>
    <w:rsid w:val="57607DD5"/>
    <w:rsid w:val="57623F96"/>
    <w:rsid w:val="57643DC6"/>
    <w:rsid w:val="57671164"/>
    <w:rsid w:val="57675237"/>
    <w:rsid w:val="57681F96"/>
    <w:rsid w:val="57687884"/>
    <w:rsid w:val="57692A08"/>
    <w:rsid w:val="576B22D6"/>
    <w:rsid w:val="576C0528"/>
    <w:rsid w:val="576D098E"/>
    <w:rsid w:val="576D604E"/>
    <w:rsid w:val="577218B7"/>
    <w:rsid w:val="57723665"/>
    <w:rsid w:val="5774562F"/>
    <w:rsid w:val="57747180"/>
    <w:rsid w:val="57763155"/>
    <w:rsid w:val="57770C7B"/>
    <w:rsid w:val="57783371"/>
    <w:rsid w:val="57792C45"/>
    <w:rsid w:val="577A0ADC"/>
    <w:rsid w:val="577B4C0F"/>
    <w:rsid w:val="577B69BD"/>
    <w:rsid w:val="577C7B68"/>
    <w:rsid w:val="577F494E"/>
    <w:rsid w:val="57805D82"/>
    <w:rsid w:val="57813A64"/>
    <w:rsid w:val="57822044"/>
    <w:rsid w:val="57824056"/>
    <w:rsid w:val="57835872"/>
    <w:rsid w:val="57877110"/>
    <w:rsid w:val="57896641"/>
    <w:rsid w:val="578C0BCA"/>
    <w:rsid w:val="578C4726"/>
    <w:rsid w:val="578D049F"/>
    <w:rsid w:val="578D7812"/>
    <w:rsid w:val="578E4942"/>
    <w:rsid w:val="578E6CC7"/>
    <w:rsid w:val="578F06BB"/>
    <w:rsid w:val="57914433"/>
    <w:rsid w:val="579161E1"/>
    <w:rsid w:val="57923690"/>
    <w:rsid w:val="57923D07"/>
    <w:rsid w:val="579414A3"/>
    <w:rsid w:val="57947A7F"/>
    <w:rsid w:val="57961A49"/>
    <w:rsid w:val="57964DE4"/>
    <w:rsid w:val="579655A5"/>
    <w:rsid w:val="5797560C"/>
    <w:rsid w:val="57977DEC"/>
    <w:rsid w:val="579900C6"/>
    <w:rsid w:val="579B2BBB"/>
    <w:rsid w:val="579D66A3"/>
    <w:rsid w:val="57A04676"/>
    <w:rsid w:val="57A06424"/>
    <w:rsid w:val="57A17126"/>
    <w:rsid w:val="57A2219C"/>
    <w:rsid w:val="57A4136E"/>
    <w:rsid w:val="57A557E8"/>
    <w:rsid w:val="57A8352A"/>
    <w:rsid w:val="57AA1051"/>
    <w:rsid w:val="57AA72A2"/>
    <w:rsid w:val="57AC0713"/>
    <w:rsid w:val="57AC24CD"/>
    <w:rsid w:val="57AC301B"/>
    <w:rsid w:val="57AC3096"/>
    <w:rsid w:val="57AC4DC9"/>
    <w:rsid w:val="57AE0B41"/>
    <w:rsid w:val="57AF6667"/>
    <w:rsid w:val="57B1418D"/>
    <w:rsid w:val="57B43C7D"/>
    <w:rsid w:val="57B50541"/>
    <w:rsid w:val="57B63E99"/>
    <w:rsid w:val="57BC467E"/>
    <w:rsid w:val="57BF2D4E"/>
    <w:rsid w:val="57BF34B4"/>
    <w:rsid w:val="57C13F96"/>
    <w:rsid w:val="57C2639A"/>
    <w:rsid w:val="57C3195F"/>
    <w:rsid w:val="57C40364"/>
    <w:rsid w:val="57C522C8"/>
    <w:rsid w:val="57C6609F"/>
    <w:rsid w:val="57C71C02"/>
    <w:rsid w:val="57C77E54"/>
    <w:rsid w:val="57CA16F3"/>
    <w:rsid w:val="57CA34A1"/>
    <w:rsid w:val="57CB1858"/>
    <w:rsid w:val="57CC0FC7"/>
    <w:rsid w:val="57CC50C0"/>
    <w:rsid w:val="57CE2F91"/>
    <w:rsid w:val="57D04F5B"/>
    <w:rsid w:val="57D2252B"/>
    <w:rsid w:val="57D305A7"/>
    <w:rsid w:val="57D32355"/>
    <w:rsid w:val="57D473E3"/>
    <w:rsid w:val="57D528FE"/>
    <w:rsid w:val="57D61E46"/>
    <w:rsid w:val="57D66BD7"/>
    <w:rsid w:val="57D77EB8"/>
    <w:rsid w:val="57D8796C"/>
    <w:rsid w:val="57DD31D4"/>
    <w:rsid w:val="57DD4F82"/>
    <w:rsid w:val="57DE260E"/>
    <w:rsid w:val="57DE6F4C"/>
    <w:rsid w:val="57DF389C"/>
    <w:rsid w:val="57E00F16"/>
    <w:rsid w:val="57E24C8E"/>
    <w:rsid w:val="57E33262"/>
    <w:rsid w:val="57E37A00"/>
    <w:rsid w:val="57E44562"/>
    <w:rsid w:val="57E5652D"/>
    <w:rsid w:val="57E63204"/>
    <w:rsid w:val="57E97DCB"/>
    <w:rsid w:val="57EA1846"/>
    <w:rsid w:val="57EE53E1"/>
    <w:rsid w:val="57EF2F07"/>
    <w:rsid w:val="57EF4CB5"/>
    <w:rsid w:val="57F15FB7"/>
    <w:rsid w:val="57F16C7F"/>
    <w:rsid w:val="57F30757"/>
    <w:rsid w:val="57F4051E"/>
    <w:rsid w:val="57F66044"/>
    <w:rsid w:val="57FB7AFE"/>
    <w:rsid w:val="57FC198F"/>
    <w:rsid w:val="57FE13FC"/>
    <w:rsid w:val="57FF05EB"/>
    <w:rsid w:val="57FF3A68"/>
    <w:rsid w:val="58005114"/>
    <w:rsid w:val="58011B93"/>
    <w:rsid w:val="58033B6C"/>
    <w:rsid w:val="5804522C"/>
    <w:rsid w:val="58047084"/>
    <w:rsid w:val="58064575"/>
    <w:rsid w:val="580764A3"/>
    <w:rsid w:val="5807710A"/>
    <w:rsid w:val="58095D77"/>
    <w:rsid w:val="580A39A1"/>
    <w:rsid w:val="580A7C4B"/>
    <w:rsid w:val="580A7D41"/>
    <w:rsid w:val="580B42A0"/>
    <w:rsid w:val="580B5EDC"/>
    <w:rsid w:val="580F5357"/>
    <w:rsid w:val="580F7DD6"/>
    <w:rsid w:val="581035A9"/>
    <w:rsid w:val="58112E7E"/>
    <w:rsid w:val="58134E48"/>
    <w:rsid w:val="58136BF6"/>
    <w:rsid w:val="5814471C"/>
    <w:rsid w:val="58160494"/>
    <w:rsid w:val="581666E6"/>
    <w:rsid w:val="5818245E"/>
    <w:rsid w:val="581B7295"/>
    <w:rsid w:val="581D7A74"/>
    <w:rsid w:val="581F559B"/>
    <w:rsid w:val="58201313"/>
    <w:rsid w:val="58244F2D"/>
    <w:rsid w:val="58254B7B"/>
    <w:rsid w:val="5825674D"/>
    <w:rsid w:val="58256929"/>
    <w:rsid w:val="58262DCD"/>
    <w:rsid w:val="582924E0"/>
    <w:rsid w:val="58293497"/>
    <w:rsid w:val="58296419"/>
    <w:rsid w:val="582B03E3"/>
    <w:rsid w:val="582C7CB7"/>
    <w:rsid w:val="582E1C82"/>
    <w:rsid w:val="582F1556"/>
    <w:rsid w:val="582F3781"/>
    <w:rsid w:val="582F7ABC"/>
    <w:rsid w:val="583059FA"/>
    <w:rsid w:val="583346E6"/>
    <w:rsid w:val="58341F93"/>
    <w:rsid w:val="583475F3"/>
    <w:rsid w:val="58363D0D"/>
    <w:rsid w:val="58366D88"/>
    <w:rsid w:val="58382B00"/>
    <w:rsid w:val="583841EB"/>
    <w:rsid w:val="58390195"/>
    <w:rsid w:val="583B7EFB"/>
    <w:rsid w:val="583D0117"/>
    <w:rsid w:val="583D1EC5"/>
    <w:rsid w:val="583E06A5"/>
    <w:rsid w:val="58403763"/>
    <w:rsid w:val="58425AC6"/>
    <w:rsid w:val="58466FCB"/>
    <w:rsid w:val="58490869"/>
    <w:rsid w:val="584B2834"/>
    <w:rsid w:val="584C78AA"/>
    <w:rsid w:val="584E5E80"/>
    <w:rsid w:val="58500D87"/>
    <w:rsid w:val="58535244"/>
    <w:rsid w:val="5853793A"/>
    <w:rsid w:val="58555819"/>
    <w:rsid w:val="585614FD"/>
    <w:rsid w:val="585711D8"/>
    <w:rsid w:val="58586CFE"/>
    <w:rsid w:val="585C67EF"/>
    <w:rsid w:val="585D7C25"/>
    <w:rsid w:val="585F008D"/>
    <w:rsid w:val="58627B7D"/>
    <w:rsid w:val="58643BED"/>
    <w:rsid w:val="58661DE1"/>
    <w:rsid w:val="58675193"/>
    <w:rsid w:val="58694A68"/>
    <w:rsid w:val="586A6F0D"/>
    <w:rsid w:val="586B07E0"/>
    <w:rsid w:val="586C4558"/>
    <w:rsid w:val="586D09FC"/>
    <w:rsid w:val="586E02D0"/>
    <w:rsid w:val="586F4122"/>
    <w:rsid w:val="5870229A"/>
    <w:rsid w:val="587141F8"/>
    <w:rsid w:val="58726012"/>
    <w:rsid w:val="58727DC0"/>
    <w:rsid w:val="58737694"/>
    <w:rsid w:val="5875165E"/>
    <w:rsid w:val="5878114F"/>
    <w:rsid w:val="58783461"/>
    <w:rsid w:val="587868EA"/>
    <w:rsid w:val="587A6C75"/>
    <w:rsid w:val="587B479B"/>
    <w:rsid w:val="587B59B6"/>
    <w:rsid w:val="587B71B7"/>
    <w:rsid w:val="587C0C3F"/>
    <w:rsid w:val="587D1DB6"/>
    <w:rsid w:val="587D6765"/>
    <w:rsid w:val="587F428B"/>
    <w:rsid w:val="5880272A"/>
    <w:rsid w:val="58814A6C"/>
    <w:rsid w:val="58823D7B"/>
    <w:rsid w:val="58847AF3"/>
    <w:rsid w:val="58871392"/>
    <w:rsid w:val="58873140"/>
    <w:rsid w:val="58874B26"/>
    <w:rsid w:val="58896EB8"/>
    <w:rsid w:val="588C0756"/>
    <w:rsid w:val="588D1DE6"/>
    <w:rsid w:val="588D419D"/>
    <w:rsid w:val="58900246"/>
    <w:rsid w:val="589051A4"/>
    <w:rsid w:val="58922210"/>
    <w:rsid w:val="58937D37"/>
    <w:rsid w:val="58943211"/>
    <w:rsid w:val="58951D01"/>
    <w:rsid w:val="58961E2B"/>
    <w:rsid w:val="58975B15"/>
    <w:rsid w:val="58977919"/>
    <w:rsid w:val="589C4E3D"/>
    <w:rsid w:val="589C6BEB"/>
    <w:rsid w:val="589D0BB5"/>
    <w:rsid w:val="589D277F"/>
    <w:rsid w:val="589F34AA"/>
    <w:rsid w:val="58A078B3"/>
    <w:rsid w:val="58A14202"/>
    <w:rsid w:val="58A15AE0"/>
    <w:rsid w:val="58A20A16"/>
    <w:rsid w:val="58A261CC"/>
    <w:rsid w:val="58A43CF2"/>
    <w:rsid w:val="58A55BA2"/>
    <w:rsid w:val="58A83CC3"/>
    <w:rsid w:val="58A91308"/>
    <w:rsid w:val="58A935EA"/>
    <w:rsid w:val="58AB1524"/>
    <w:rsid w:val="58AB6E2E"/>
    <w:rsid w:val="58AB7726"/>
    <w:rsid w:val="58AF69D9"/>
    <w:rsid w:val="58B101BD"/>
    <w:rsid w:val="58B10512"/>
    <w:rsid w:val="58B109C7"/>
    <w:rsid w:val="58B33F35"/>
    <w:rsid w:val="58B51294"/>
    <w:rsid w:val="58B630ED"/>
    <w:rsid w:val="58B77EC9"/>
    <w:rsid w:val="58B959EF"/>
    <w:rsid w:val="58BC3751"/>
    <w:rsid w:val="58BC4221"/>
    <w:rsid w:val="58BC6BD7"/>
    <w:rsid w:val="58BE0FC6"/>
    <w:rsid w:val="58BE1257"/>
    <w:rsid w:val="58BF25FF"/>
    <w:rsid w:val="58BF28DA"/>
    <w:rsid w:val="58C112AE"/>
    <w:rsid w:val="58C2026D"/>
    <w:rsid w:val="58C3061C"/>
    <w:rsid w:val="58C44FF6"/>
    <w:rsid w:val="58C64FF2"/>
    <w:rsid w:val="58C75E87"/>
    <w:rsid w:val="58C81F1A"/>
    <w:rsid w:val="58C83E84"/>
    <w:rsid w:val="58C9269A"/>
    <w:rsid w:val="58CA2CAF"/>
    <w:rsid w:val="58CB127E"/>
    <w:rsid w:val="58CD134C"/>
    <w:rsid w:val="58CE2090"/>
    <w:rsid w:val="58CE6FC1"/>
    <w:rsid w:val="58CF22E8"/>
    <w:rsid w:val="58D2260D"/>
    <w:rsid w:val="58D263C5"/>
    <w:rsid w:val="58D2645F"/>
    <w:rsid w:val="58D345D7"/>
    <w:rsid w:val="58D73FD1"/>
    <w:rsid w:val="58D77C23"/>
    <w:rsid w:val="58D8399B"/>
    <w:rsid w:val="58D97E3F"/>
    <w:rsid w:val="58DA7713"/>
    <w:rsid w:val="58DC348C"/>
    <w:rsid w:val="58DE7204"/>
    <w:rsid w:val="58DF2F7C"/>
    <w:rsid w:val="58E12846"/>
    <w:rsid w:val="58E13419"/>
    <w:rsid w:val="58E32A6C"/>
    <w:rsid w:val="58E33856"/>
    <w:rsid w:val="58E40592"/>
    <w:rsid w:val="58E42340"/>
    <w:rsid w:val="58E44CE6"/>
    <w:rsid w:val="58E63C3C"/>
    <w:rsid w:val="58F00CE5"/>
    <w:rsid w:val="58F04DB9"/>
    <w:rsid w:val="58F06F37"/>
    <w:rsid w:val="58F15E51"/>
    <w:rsid w:val="58F63CA2"/>
    <w:rsid w:val="58F7058B"/>
    <w:rsid w:val="58F84EDE"/>
    <w:rsid w:val="58F92290"/>
    <w:rsid w:val="58F971BD"/>
    <w:rsid w:val="58FB4B00"/>
    <w:rsid w:val="58FB500B"/>
    <w:rsid w:val="58FB7220"/>
    <w:rsid w:val="58FC58DC"/>
    <w:rsid w:val="58FC62F2"/>
    <w:rsid w:val="58FE1654"/>
    <w:rsid w:val="5901594F"/>
    <w:rsid w:val="5903310E"/>
    <w:rsid w:val="59034EBC"/>
    <w:rsid w:val="590B15D2"/>
    <w:rsid w:val="590B270C"/>
    <w:rsid w:val="590C72C8"/>
    <w:rsid w:val="590C7D58"/>
    <w:rsid w:val="590E4C50"/>
    <w:rsid w:val="590F35AA"/>
    <w:rsid w:val="591209B2"/>
    <w:rsid w:val="59142C25"/>
    <w:rsid w:val="59152DBC"/>
    <w:rsid w:val="59195AD7"/>
    <w:rsid w:val="591C0EBE"/>
    <w:rsid w:val="591C1ADA"/>
    <w:rsid w:val="591D1B7F"/>
    <w:rsid w:val="591E1CF6"/>
    <w:rsid w:val="591E5852"/>
    <w:rsid w:val="591F15CA"/>
    <w:rsid w:val="59202368"/>
    <w:rsid w:val="59213594"/>
    <w:rsid w:val="59215342"/>
    <w:rsid w:val="59221F7F"/>
    <w:rsid w:val="5924362E"/>
    <w:rsid w:val="5926603E"/>
    <w:rsid w:val="59266DFD"/>
    <w:rsid w:val="59282B75"/>
    <w:rsid w:val="59284923"/>
    <w:rsid w:val="592A2449"/>
    <w:rsid w:val="592A3ACE"/>
    <w:rsid w:val="592B7F6F"/>
    <w:rsid w:val="592C090B"/>
    <w:rsid w:val="592D3CE7"/>
    <w:rsid w:val="592E180D"/>
    <w:rsid w:val="592F26FE"/>
    <w:rsid w:val="592F5CB1"/>
    <w:rsid w:val="593257A1"/>
    <w:rsid w:val="59374B66"/>
    <w:rsid w:val="593908DE"/>
    <w:rsid w:val="59396B30"/>
    <w:rsid w:val="593C03FF"/>
    <w:rsid w:val="593C3F2A"/>
    <w:rsid w:val="593F3A1A"/>
    <w:rsid w:val="593F7C1A"/>
    <w:rsid w:val="59401F94"/>
    <w:rsid w:val="59407EBE"/>
    <w:rsid w:val="59412DE1"/>
    <w:rsid w:val="594159E5"/>
    <w:rsid w:val="59442F17"/>
    <w:rsid w:val="594453FF"/>
    <w:rsid w:val="59457283"/>
    <w:rsid w:val="594613D7"/>
    <w:rsid w:val="59462679"/>
    <w:rsid w:val="59462FFB"/>
    <w:rsid w:val="594B6A64"/>
    <w:rsid w:val="594E06FF"/>
    <w:rsid w:val="594F3C5E"/>
    <w:rsid w:val="595079D6"/>
    <w:rsid w:val="595158B5"/>
    <w:rsid w:val="595219A0"/>
    <w:rsid w:val="5952374E"/>
    <w:rsid w:val="59554FEC"/>
    <w:rsid w:val="59570D64"/>
    <w:rsid w:val="595919B0"/>
    <w:rsid w:val="59592837"/>
    <w:rsid w:val="595A1865"/>
    <w:rsid w:val="595B0854"/>
    <w:rsid w:val="595C637A"/>
    <w:rsid w:val="595D11CF"/>
    <w:rsid w:val="595E27CE"/>
    <w:rsid w:val="595E6596"/>
    <w:rsid w:val="596040BD"/>
    <w:rsid w:val="596100A0"/>
    <w:rsid w:val="59611BE3"/>
    <w:rsid w:val="596173AF"/>
    <w:rsid w:val="59677AC6"/>
    <w:rsid w:val="596863C7"/>
    <w:rsid w:val="596A4F3B"/>
    <w:rsid w:val="596C22C4"/>
    <w:rsid w:val="596C298D"/>
    <w:rsid w:val="59701E26"/>
    <w:rsid w:val="597076AA"/>
    <w:rsid w:val="597436C4"/>
    <w:rsid w:val="59754CD5"/>
    <w:rsid w:val="5975743C"/>
    <w:rsid w:val="59782BEE"/>
    <w:rsid w:val="597A4A53"/>
    <w:rsid w:val="597B0EF6"/>
    <w:rsid w:val="597B6299"/>
    <w:rsid w:val="597D18F3"/>
    <w:rsid w:val="59810DD1"/>
    <w:rsid w:val="59814033"/>
    <w:rsid w:val="59815DE1"/>
    <w:rsid w:val="59822285"/>
    <w:rsid w:val="59831B59"/>
    <w:rsid w:val="59837DAB"/>
    <w:rsid w:val="59853B23"/>
    <w:rsid w:val="59861649"/>
    <w:rsid w:val="59883613"/>
    <w:rsid w:val="5989726A"/>
    <w:rsid w:val="598B4003"/>
    <w:rsid w:val="598F6750"/>
    <w:rsid w:val="59906391"/>
    <w:rsid w:val="59927FEE"/>
    <w:rsid w:val="59952AE5"/>
    <w:rsid w:val="599709B8"/>
    <w:rsid w:val="5999038C"/>
    <w:rsid w:val="59A0095D"/>
    <w:rsid w:val="59A0270B"/>
    <w:rsid w:val="59A33402"/>
    <w:rsid w:val="59A55F73"/>
    <w:rsid w:val="59A719FB"/>
    <w:rsid w:val="59A85123"/>
    <w:rsid w:val="59A93B27"/>
    <w:rsid w:val="59AA17DC"/>
    <w:rsid w:val="59AC10B0"/>
    <w:rsid w:val="59AE2AF1"/>
    <w:rsid w:val="59B30690"/>
    <w:rsid w:val="59B461B6"/>
    <w:rsid w:val="59B66EB3"/>
    <w:rsid w:val="59B8375B"/>
    <w:rsid w:val="59B83FF6"/>
    <w:rsid w:val="59B85CA7"/>
    <w:rsid w:val="59B94243"/>
    <w:rsid w:val="59B96EAB"/>
    <w:rsid w:val="59BB5797"/>
    <w:rsid w:val="59BC46C1"/>
    <w:rsid w:val="59BD150F"/>
    <w:rsid w:val="59BE7035"/>
    <w:rsid w:val="59C02DAD"/>
    <w:rsid w:val="59C03FFF"/>
    <w:rsid w:val="59C06909"/>
    <w:rsid w:val="59C108F0"/>
    <w:rsid w:val="59C13ACF"/>
    <w:rsid w:val="59C23447"/>
    <w:rsid w:val="59C27F77"/>
    <w:rsid w:val="59C3464B"/>
    <w:rsid w:val="59C53F20"/>
    <w:rsid w:val="59C7413C"/>
    <w:rsid w:val="59C75EEA"/>
    <w:rsid w:val="59C97EB4"/>
    <w:rsid w:val="59CA7788"/>
    <w:rsid w:val="59CC4D07"/>
    <w:rsid w:val="59CD7278"/>
    <w:rsid w:val="59CE54CA"/>
    <w:rsid w:val="59CF43BD"/>
    <w:rsid w:val="59D03840"/>
    <w:rsid w:val="59D16D68"/>
    <w:rsid w:val="59D23B95"/>
    <w:rsid w:val="59D32AE1"/>
    <w:rsid w:val="59D34395"/>
    <w:rsid w:val="59D54104"/>
    <w:rsid w:val="59D81EA5"/>
    <w:rsid w:val="59D838C9"/>
    <w:rsid w:val="59D86349"/>
    <w:rsid w:val="59D979CB"/>
    <w:rsid w:val="59DA4E40"/>
    <w:rsid w:val="59DB7BE7"/>
    <w:rsid w:val="59DD379F"/>
    <w:rsid w:val="59DD570D"/>
    <w:rsid w:val="59DF677D"/>
    <w:rsid w:val="59E06FAB"/>
    <w:rsid w:val="59E20F76"/>
    <w:rsid w:val="59E3084A"/>
    <w:rsid w:val="59E308B8"/>
    <w:rsid w:val="59E35ED0"/>
    <w:rsid w:val="59E376D2"/>
    <w:rsid w:val="59E64851"/>
    <w:rsid w:val="59E7033A"/>
    <w:rsid w:val="59E832F7"/>
    <w:rsid w:val="59E8742F"/>
    <w:rsid w:val="59E93D50"/>
    <w:rsid w:val="59EA1BD8"/>
    <w:rsid w:val="59EC5950"/>
    <w:rsid w:val="59EC76FE"/>
    <w:rsid w:val="59ED3B50"/>
    <w:rsid w:val="59EF5441"/>
    <w:rsid w:val="59F12F67"/>
    <w:rsid w:val="59F1740B"/>
    <w:rsid w:val="59F209F7"/>
    <w:rsid w:val="59F36CDF"/>
    <w:rsid w:val="59F36D13"/>
    <w:rsid w:val="59F65F2C"/>
    <w:rsid w:val="59F75B73"/>
    <w:rsid w:val="59FB3DE5"/>
    <w:rsid w:val="5A0013FC"/>
    <w:rsid w:val="5A0028FB"/>
    <w:rsid w:val="5A003508"/>
    <w:rsid w:val="5A025174"/>
    <w:rsid w:val="5A067715"/>
    <w:rsid w:val="5A074538"/>
    <w:rsid w:val="5A0802B0"/>
    <w:rsid w:val="5A094754"/>
    <w:rsid w:val="5A0A1023"/>
    <w:rsid w:val="5A0A227A"/>
    <w:rsid w:val="5A0A4028"/>
    <w:rsid w:val="5A0C7DA1"/>
    <w:rsid w:val="5A0F1650"/>
    <w:rsid w:val="5A0F7891"/>
    <w:rsid w:val="5A104EED"/>
    <w:rsid w:val="5A13112F"/>
    <w:rsid w:val="5A14609D"/>
    <w:rsid w:val="5A166E71"/>
    <w:rsid w:val="5A182090"/>
    <w:rsid w:val="5A1934B8"/>
    <w:rsid w:val="5A1B7FE4"/>
    <w:rsid w:val="5A1C4D49"/>
    <w:rsid w:val="5A1D0200"/>
    <w:rsid w:val="5A1D3D5C"/>
    <w:rsid w:val="5A1E0981"/>
    <w:rsid w:val="5A1F084B"/>
    <w:rsid w:val="5A20384C"/>
    <w:rsid w:val="5A2222FB"/>
    <w:rsid w:val="5A235F34"/>
    <w:rsid w:val="5A2476EC"/>
    <w:rsid w:val="5A250E62"/>
    <w:rsid w:val="5A274BDA"/>
    <w:rsid w:val="5A287271"/>
    <w:rsid w:val="5A2C21F1"/>
    <w:rsid w:val="5A3148A5"/>
    <w:rsid w:val="5A33357F"/>
    <w:rsid w:val="5A355A42"/>
    <w:rsid w:val="5A35609B"/>
    <w:rsid w:val="5A376D05"/>
    <w:rsid w:val="5A37717F"/>
    <w:rsid w:val="5A395589"/>
    <w:rsid w:val="5A3B0686"/>
    <w:rsid w:val="5A3B2A23"/>
    <w:rsid w:val="5A3B2A7A"/>
    <w:rsid w:val="5A3B7B05"/>
    <w:rsid w:val="5A3C1938"/>
    <w:rsid w:val="5A3E3715"/>
    <w:rsid w:val="5A4073F7"/>
    <w:rsid w:val="5A407A4A"/>
    <w:rsid w:val="5A4237C2"/>
    <w:rsid w:val="5A432047"/>
    <w:rsid w:val="5A455061"/>
    <w:rsid w:val="5A4968FF"/>
    <w:rsid w:val="5A4B0E61"/>
    <w:rsid w:val="5A4B3F32"/>
    <w:rsid w:val="5A4B6B1B"/>
    <w:rsid w:val="5A4E6861"/>
    <w:rsid w:val="5A5014F8"/>
    <w:rsid w:val="5A5378ED"/>
    <w:rsid w:val="5A56101C"/>
    <w:rsid w:val="5A56726E"/>
    <w:rsid w:val="5A577EFE"/>
    <w:rsid w:val="5A5A0B0C"/>
    <w:rsid w:val="5A5B039E"/>
    <w:rsid w:val="5A5B2AD6"/>
    <w:rsid w:val="5A5C34F4"/>
    <w:rsid w:val="5A601E9A"/>
    <w:rsid w:val="5A6102D5"/>
    <w:rsid w:val="5A625C12"/>
    <w:rsid w:val="5A641C86"/>
    <w:rsid w:val="5A655703"/>
    <w:rsid w:val="5A673229"/>
    <w:rsid w:val="5A6A4AC7"/>
    <w:rsid w:val="5A6B2D19"/>
    <w:rsid w:val="5A6E7B08"/>
    <w:rsid w:val="5A712320"/>
    <w:rsid w:val="5A737E20"/>
    <w:rsid w:val="5A751DEA"/>
    <w:rsid w:val="5A7525FB"/>
    <w:rsid w:val="5A755946"/>
    <w:rsid w:val="5A7659B1"/>
    <w:rsid w:val="5A7723FC"/>
    <w:rsid w:val="5A782CCD"/>
    <w:rsid w:val="5A783688"/>
    <w:rsid w:val="5A7871E4"/>
    <w:rsid w:val="5A7A7400"/>
    <w:rsid w:val="5A7E3464"/>
    <w:rsid w:val="5A8042EB"/>
    <w:rsid w:val="5A826E8B"/>
    <w:rsid w:val="5A866C4D"/>
    <w:rsid w:val="5A8738CB"/>
    <w:rsid w:val="5A894E4F"/>
    <w:rsid w:val="5A8B33BB"/>
    <w:rsid w:val="5A8B5169"/>
    <w:rsid w:val="5A8E78FB"/>
    <w:rsid w:val="5A902780"/>
    <w:rsid w:val="5A912133"/>
    <w:rsid w:val="5A916445"/>
    <w:rsid w:val="5A93401E"/>
    <w:rsid w:val="5A957D96"/>
    <w:rsid w:val="5A961500"/>
    <w:rsid w:val="5A9621C3"/>
    <w:rsid w:val="5A971D60"/>
    <w:rsid w:val="5A9A1850"/>
    <w:rsid w:val="5A9A35FE"/>
    <w:rsid w:val="5A9B0A81"/>
    <w:rsid w:val="5A9B2ED2"/>
    <w:rsid w:val="5A9D01E2"/>
    <w:rsid w:val="5A9F6E67"/>
    <w:rsid w:val="5AA12BDF"/>
    <w:rsid w:val="5AA1498D"/>
    <w:rsid w:val="5AA149DD"/>
    <w:rsid w:val="5AA37859"/>
    <w:rsid w:val="5AA47FD9"/>
    <w:rsid w:val="5AA63D51"/>
    <w:rsid w:val="5AA6725E"/>
    <w:rsid w:val="5AA862C2"/>
    <w:rsid w:val="5AAA08AB"/>
    <w:rsid w:val="5AB02E22"/>
    <w:rsid w:val="5AB11A83"/>
    <w:rsid w:val="5AB135C4"/>
    <w:rsid w:val="5AB13AE4"/>
    <w:rsid w:val="5AB53F94"/>
    <w:rsid w:val="5AB75F5E"/>
    <w:rsid w:val="5AB94BCA"/>
    <w:rsid w:val="5ABB079A"/>
    <w:rsid w:val="5ABC2DD0"/>
    <w:rsid w:val="5ABC690E"/>
    <w:rsid w:val="5ABE7A54"/>
    <w:rsid w:val="5ABF12B7"/>
    <w:rsid w:val="5AC02939"/>
    <w:rsid w:val="5AC24903"/>
    <w:rsid w:val="5AC752A1"/>
    <w:rsid w:val="5AC8016B"/>
    <w:rsid w:val="5AC821DD"/>
    <w:rsid w:val="5AC95C92"/>
    <w:rsid w:val="5ACB37B8"/>
    <w:rsid w:val="5ACE32A8"/>
    <w:rsid w:val="5ACE5056"/>
    <w:rsid w:val="5ACE61DC"/>
    <w:rsid w:val="5ACF7B3C"/>
    <w:rsid w:val="5AD00DCE"/>
    <w:rsid w:val="5AD14605"/>
    <w:rsid w:val="5AD17550"/>
    <w:rsid w:val="5AD20FEA"/>
    <w:rsid w:val="5AD50114"/>
    <w:rsid w:val="5AD60082"/>
    <w:rsid w:val="5AD7215D"/>
    <w:rsid w:val="5AD92379"/>
    <w:rsid w:val="5ADA1C4D"/>
    <w:rsid w:val="5AE20B01"/>
    <w:rsid w:val="5AE221F6"/>
    <w:rsid w:val="5AE25F8D"/>
    <w:rsid w:val="5AE26D53"/>
    <w:rsid w:val="5AE302EC"/>
    <w:rsid w:val="5AE825BC"/>
    <w:rsid w:val="5AEA4122"/>
    <w:rsid w:val="5AED055F"/>
    <w:rsid w:val="5AF32D0E"/>
    <w:rsid w:val="5AF41016"/>
    <w:rsid w:val="5AF56A87"/>
    <w:rsid w:val="5AF70A51"/>
    <w:rsid w:val="5AF727FF"/>
    <w:rsid w:val="5AF72A21"/>
    <w:rsid w:val="5AFA5E4B"/>
    <w:rsid w:val="5AFC7E15"/>
    <w:rsid w:val="5AFE3B8D"/>
    <w:rsid w:val="5AFF16B3"/>
    <w:rsid w:val="5AFF7905"/>
    <w:rsid w:val="5B0126FD"/>
    <w:rsid w:val="5B036543"/>
    <w:rsid w:val="5B0608E3"/>
    <w:rsid w:val="5B060F00"/>
    <w:rsid w:val="5B0824F2"/>
    <w:rsid w:val="5B0867BA"/>
    <w:rsid w:val="5B0E18F6"/>
    <w:rsid w:val="5B1433B1"/>
    <w:rsid w:val="5B177AA6"/>
    <w:rsid w:val="5B18349B"/>
    <w:rsid w:val="5B1A029B"/>
    <w:rsid w:val="5B1C2265"/>
    <w:rsid w:val="5B1C4013"/>
    <w:rsid w:val="5B1F6A1F"/>
    <w:rsid w:val="5B201C2D"/>
    <w:rsid w:val="5B21162A"/>
    <w:rsid w:val="5B212792"/>
    <w:rsid w:val="5B23695A"/>
    <w:rsid w:val="5B2555BE"/>
    <w:rsid w:val="5B283918"/>
    <w:rsid w:val="5B2A2BD4"/>
    <w:rsid w:val="5B2B24A8"/>
    <w:rsid w:val="5B2D6064"/>
    <w:rsid w:val="5B303F63"/>
    <w:rsid w:val="5B3062C7"/>
    <w:rsid w:val="5B321A89"/>
    <w:rsid w:val="5B323837"/>
    <w:rsid w:val="5B33135D"/>
    <w:rsid w:val="5B340B71"/>
    <w:rsid w:val="5B3700B4"/>
    <w:rsid w:val="5B397D06"/>
    <w:rsid w:val="5B3A6B8F"/>
    <w:rsid w:val="5B3C2907"/>
    <w:rsid w:val="5B3C2E15"/>
    <w:rsid w:val="5B3C6463"/>
    <w:rsid w:val="5B3D3F8A"/>
    <w:rsid w:val="5B3E042E"/>
    <w:rsid w:val="5B3E21DC"/>
    <w:rsid w:val="5B433C96"/>
    <w:rsid w:val="5B4377F2"/>
    <w:rsid w:val="5B4517BC"/>
    <w:rsid w:val="5B465534"/>
    <w:rsid w:val="5B474DD8"/>
    <w:rsid w:val="5B476268"/>
    <w:rsid w:val="5B490B80"/>
    <w:rsid w:val="5B49753A"/>
    <w:rsid w:val="5B4A0FCF"/>
    <w:rsid w:val="5B4A6DD2"/>
    <w:rsid w:val="5B4B2B4A"/>
    <w:rsid w:val="5B4B48F9"/>
    <w:rsid w:val="5B4C11AD"/>
    <w:rsid w:val="5B4D0671"/>
    <w:rsid w:val="5B4D241F"/>
    <w:rsid w:val="5B4F43E9"/>
    <w:rsid w:val="5B503CBD"/>
    <w:rsid w:val="5B5163B3"/>
    <w:rsid w:val="5B5419FF"/>
    <w:rsid w:val="5B541FFB"/>
    <w:rsid w:val="5B57504B"/>
    <w:rsid w:val="5B575D5D"/>
    <w:rsid w:val="5B595267"/>
    <w:rsid w:val="5B597015"/>
    <w:rsid w:val="5B61236E"/>
    <w:rsid w:val="5B61392A"/>
    <w:rsid w:val="5B637E94"/>
    <w:rsid w:val="5B676B3B"/>
    <w:rsid w:val="5B684AE8"/>
    <w:rsid w:val="5B687259"/>
    <w:rsid w:val="5B6B024A"/>
    <w:rsid w:val="5B6B0AF7"/>
    <w:rsid w:val="5B6B2007"/>
    <w:rsid w:val="5B6C3FA6"/>
    <w:rsid w:val="5B6D486F"/>
    <w:rsid w:val="5B6D5FB4"/>
    <w:rsid w:val="5B6F4A8B"/>
    <w:rsid w:val="5B6F586C"/>
    <w:rsid w:val="5B6F6839"/>
    <w:rsid w:val="5B705474"/>
    <w:rsid w:val="5B7143C7"/>
    <w:rsid w:val="5B723851"/>
    <w:rsid w:val="5B726329"/>
    <w:rsid w:val="5B735CCA"/>
    <w:rsid w:val="5B7471AE"/>
    <w:rsid w:val="5B78547E"/>
    <w:rsid w:val="5B7C2D04"/>
    <w:rsid w:val="5B7E082A"/>
    <w:rsid w:val="5B7E5E84"/>
    <w:rsid w:val="5B7F45A2"/>
    <w:rsid w:val="5B803D14"/>
    <w:rsid w:val="5B806E55"/>
    <w:rsid w:val="5B81031A"/>
    <w:rsid w:val="5B865931"/>
    <w:rsid w:val="5B885B4D"/>
    <w:rsid w:val="5B8878FB"/>
    <w:rsid w:val="5B897056"/>
    <w:rsid w:val="5B8B15E4"/>
    <w:rsid w:val="5B8D6CBF"/>
    <w:rsid w:val="5B8F0C89"/>
    <w:rsid w:val="5B904A5E"/>
    <w:rsid w:val="5B955B74"/>
    <w:rsid w:val="5B966BE8"/>
    <w:rsid w:val="5B975D90"/>
    <w:rsid w:val="5B987048"/>
    <w:rsid w:val="5B9910E2"/>
    <w:rsid w:val="5B995664"/>
    <w:rsid w:val="5B9E2C7A"/>
    <w:rsid w:val="5B9E2EBD"/>
    <w:rsid w:val="5B9F3060"/>
    <w:rsid w:val="5BA02E96"/>
    <w:rsid w:val="5BA159E3"/>
    <w:rsid w:val="5BA47AEE"/>
    <w:rsid w:val="5BA66C84"/>
    <w:rsid w:val="5BA67D81"/>
    <w:rsid w:val="5BA74225"/>
    <w:rsid w:val="5BA75F0B"/>
    <w:rsid w:val="5BA83AF9"/>
    <w:rsid w:val="5BAC183B"/>
    <w:rsid w:val="5BAC262F"/>
    <w:rsid w:val="5BAC35E9"/>
    <w:rsid w:val="5BAD55B3"/>
    <w:rsid w:val="5BAD7361"/>
    <w:rsid w:val="5BAD7B3C"/>
    <w:rsid w:val="5BAF3F30"/>
    <w:rsid w:val="5BB22BCA"/>
    <w:rsid w:val="5BB4249E"/>
    <w:rsid w:val="5BB57FC4"/>
    <w:rsid w:val="5BB66216"/>
    <w:rsid w:val="5BB90243"/>
    <w:rsid w:val="5BBC75A4"/>
    <w:rsid w:val="5BBE24D1"/>
    <w:rsid w:val="5BC03AC3"/>
    <w:rsid w:val="5BC16969"/>
    <w:rsid w:val="5BC22E0D"/>
    <w:rsid w:val="5BC266EF"/>
    <w:rsid w:val="5BC754AC"/>
    <w:rsid w:val="5BC86A61"/>
    <w:rsid w:val="5BCA3A6F"/>
    <w:rsid w:val="5BCA7F13"/>
    <w:rsid w:val="5BCD51C4"/>
    <w:rsid w:val="5BD20B76"/>
    <w:rsid w:val="5BD3501A"/>
    <w:rsid w:val="5BD448EE"/>
    <w:rsid w:val="5BD668B8"/>
    <w:rsid w:val="5BD7618C"/>
    <w:rsid w:val="5BD90156"/>
    <w:rsid w:val="5BD94488"/>
    <w:rsid w:val="5BD94682"/>
    <w:rsid w:val="5BDA6B2A"/>
    <w:rsid w:val="5BDE0C5B"/>
    <w:rsid w:val="5BDE576D"/>
    <w:rsid w:val="5BDE751B"/>
    <w:rsid w:val="5BDF372E"/>
    <w:rsid w:val="5BE03293"/>
    <w:rsid w:val="5BE2700B"/>
    <w:rsid w:val="5BE32D83"/>
    <w:rsid w:val="5BE54D4D"/>
    <w:rsid w:val="5BE56AFB"/>
    <w:rsid w:val="5BE621FE"/>
    <w:rsid w:val="5BE80399"/>
    <w:rsid w:val="5BE81349"/>
    <w:rsid w:val="5BE82147"/>
    <w:rsid w:val="5BE86340"/>
    <w:rsid w:val="5BED07FF"/>
    <w:rsid w:val="5BED3C02"/>
    <w:rsid w:val="5BEF0C8B"/>
    <w:rsid w:val="5BEF797A"/>
    <w:rsid w:val="5BF154A0"/>
    <w:rsid w:val="5BF23DFB"/>
    <w:rsid w:val="5BF32EA2"/>
    <w:rsid w:val="5BF44879"/>
    <w:rsid w:val="5BF52B3D"/>
    <w:rsid w:val="5BF705DC"/>
    <w:rsid w:val="5BFF4CBE"/>
    <w:rsid w:val="5C007491"/>
    <w:rsid w:val="5C0276AD"/>
    <w:rsid w:val="5C036F81"/>
    <w:rsid w:val="5C082471"/>
    <w:rsid w:val="5C0A08AC"/>
    <w:rsid w:val="5C0A270F"/>
    <w:rsid w:val="5C0B12A9"/>
    <w:rsid w:val="5C0C104D"/>
    <w:rsid w:val="5C0C22DA"/>
    <w:rsid w:val="5C0D27E7"/>
    <w:rsid w:val="5C125416"/>
    <w:rsid w:val="5C142F3C"/>
    <w:rsid w:val="5C147195"/>
    <w:rsid w:val="5C190553"/>
    <w:rsid w:val="5C194F28"/>
    <w:rsid w:val="5C1A63BE"/>
    <w:rsid w:val="5C1B315C"/>
    <w:rsid w:val="5C1D44E7"/>
    <w:rsid w:val="5C1D6295"/>
    <w:rsid w:val="5C1F3637"/>
    <w:rsid w:val="5C2018E1"/>
    <w:rsid w:val="5C201DAC"/>
    <w:rsid w:val="5C21673C"/>
    <w:rsid w:val="5C2313D1"/>
    <w:rsid w:val="5C232C28"/>
    <w:rsid w:val="5C241AD5"/>
    <w:rsid w:val="5C2511AF"/>
    <w:rsid w:val="5C27560A"/>
    <w:rsid w:val="5C2869E8"/>
    <w:rsid w:val="5C292E8C"/>
    <w:rsid w:val="5C2A1F71"/>
    <w:rsid w:val="5C2B3B87"/>
    <w:rsid w:val="5C2C297C"/>
    <w:rsid w:val="5C2D18B8"/>
    <w:rsid w:val="5C2D3FFE"/>
    <w:rsid w:val="5C2E04A2"/>
    <w:rsid w:val="5C2E663D"/>
    <w:rsid w:val="5C2F460D"/>
    <w:rsid w:val="5C311D40"/>
    <w:rsid w:val="5C317F92"/>
    <w:rsid w:val="5C321615"/>
    <w:rsid w:val="5C341831"/>
    <w:rsid w:val="5C342F1A"/>
    <w:rsid w:val="5C34538D"/>
    <w:rsid w:val="5C3548EC"/>
    <w:rsid w:val="5C361105"/>
    <w:rsid w:val="5C3655A9"/>
    <w:rsid w:val="5C380358"/>
    <w:rsid w:val="5C3830CF"/>
    <w:rsid w:val="5C384E7D"/>
    <w:rsid w:val="5C396788"/>
    <w:rsid w:val="5C3A1EDF"/>
    <w:rsid w:val="5C3C5975"/>
    <w:rsid w:val="5C3D6937"/>
    <w:rsid w:val="5C3E7FB9"/>
    <w:rsid w:val="5C407366"/>
    <w:rsid w:val="5C4161B1"/>
    <w:rsid w:val="5C427AAA"/>
    <w:rsid w:val="5C430AD1"/>
    <w:rsid w:val="5C447CC6"/>
    <w:rsid w:val="5C4546BB"/>
    <w:rsid w:val="5C4C0928"/>
    <w:rsid w:val="5C4C26D6"/>
    <w:rsid w:val="5C4C447D"/>
    <w:rsid w:val="5C4D47E4"/>
    <w:rsid w:val="5C4E11DA"/>
    <w:rsid w:val="5C4E644E"/>
    <w:rsid w:val="5C4F0418"/>
    <w:rsid w:val="5C4F21C6"/>
    <w:rsid w:val="5C50666A"/>
    <w:rsid w:val="5C5305C6"/>
    <w:rsid w:val="5C531CB7"/>
    <w:rsid w:val="5C5378B0"/>
    <w:rsid w:val="5C545A2F"/>
    <w:rsid w:val="5C555AB7"/>
    <w:rsid w:val="5C5617A7"/>
    <w:rsid w:val="5C563555"/>
    <w:rsid w:val="5C5679F9"/>
    <w:rsid w:val="5C572FD7"/>
    <w:rsid w:val="5C576978"/>
    <w:rsid w:val="5C576CE3"/>
    <w:rsid w:val="5C58111E"/>
    <w:rsid w:val="5C58551F"/>
    <w:rsid w:val="5C5A0499"/>
    <w:rsid w:val="5C5A5991"/>
    <w:rsid w:val="5C5D48E3"/>
    <w:rsid w:val="5C5E240A"/>
    <w:rsid w:val="5C5F68AD"/>
    <w:rsid w:val="5C5F6B69"/>
    <w:rsid w:val="5C620893"/>
    <w:rsid w:val="5C621EFA"/>
    <w:rsid w:val="5C634CD4"/>
    <w:rsid w:val="5C666A3C"/>
    <w:rsid w:val="5C69772C"/>
    <w:rsid w:val="5C6E6AF1"/>
    <w:rsid w:val="5C741C2D"/>
    <w:rsid w:val="5C7560D1"/>
    <w:rsid w:val="5C7731D7"/>
    <w:rsid w:val="5C797243"/>
    <w:rsid w:val="5C7D4F86"/>
    <w:rsid w:val="5C7E46C1"/>
    <w:rsid w:val="5C7F0CFE"/>
    <w:rsid w:val="5C81159B"/>
    <w:rsid w:val="5C82259C"/>
    <w:rsid w:val="5C872843"/>
    <w:rsid w:val="5C8A495A"/>
    <w:rsid w:val="5C8A4FE3"/>
    <w:rsid w:val="5C8C341B"/>
    <w:rsid w:val="5C8C51C9"/>
    <w:rsid w:val="5C8F6A67"/>
    <w:rsid w:val="5C9049E6"/>
    <w:rsid w:val="5C910A31"/>
    <w:rsid w:val="5C930305"/>
    <w:rsid w:val="5C966047"/>
    <w:rsid w:val="5C9A5B38"/>
    <w:rsid w:val="5C9A78E6"/>
    <w:rsid w:val="5C9B365E"/>
    <w:rsid w:val="5C9D2F32"/>
    <w:rsid w:val="5C9D73D6"/>
    <w:rsid w:val="5C9E26A8"/>
    <w:rsid w:val="5C9F3FFC"/>
    <w:rsid w:val="5C9F4EFC"/>
    <w:rsid w:val="5CA20B74"/>
    <w:rsid w:val="5CA22804"/>
    <w:rsid w:val="5CA40764"/>
    <w:rsid w:val="5CA51446"/>
    <w:rsid w:val="5CA72002"/>
    <w:rsid w:val="5CA779DA"/>
    <w:rsid w:val="5CA95D7B"/>
    <w:rsid w:val="5CAC12E4"/>
    <w:rsid w:val="5CAF5BEF"/>
    <w:rsid w:val="5CB169DD"/>
    <w:rsid w:val="5CB309A7"/>
    <w:rsid w:val="5CB32755"/>
    <w:rsid w:val="5CB32FD2"/>
    <w:rsid w:val="5CB37F43"/>
    <w:rsid w:val="5CB61202"/>
    <w:rsid w:val="5CBF559E"/>
    <w:rsid w:val="5CC11316"/>
    <w:rsid w:val="5CC333F7"/>
    <w:rsid w:val="5CC52489"/>
    <w:rsid w:val="5CCB7813"/>
    <w:rsid w:val="5CCC1A69"/>
    <w:rsid w:val="5CCC3817"/>
    <w:rsid w:val="5CCC74D2"/>
    <w:rsid w:val="5CCE7ECF"/>
    <w:rsid w:val="5CD01935"/>
    <w:rsid w:val="5CD145DA"/>
    <w:rsid w:val="5CD1707F"/>
    <w:rsid w:val="5CD270DC"/>
    <w:rsid w:val="5CD305D2"/>
    <w:rsid w:val="5CD32EEC"/>
    <w:rsid w:val="5CD526CC"/>
    <w:rsid w:val="5CD60EB2"/>
    <w:rsid w:val="5CD66444"/>
    <w:rsid w:val="5CD728E8"/>
    <w:rsid w:val="5CD901EE"/>
    <w:rsid w:val="5CD91A64"/>
    <w:rsid w:val="5CDA23D8"/>
    <w:rsid w:val="5CDA7A9F"/>
    <w:rsid w:val="5CDC243E"/>
    <w:rsid w:val="5CDE7FFF"/>
    <w:rsid w:val="5CDF79EE"/>
    <w:rsid w:val="5CE07E7F"/>
    <w:rsid w:val="5CE129DF"/>
    <w:rsid w:val="5CE2128D"/>
    <w:rsid w:val="5CE24DE9"/>
    <w:rsid w:val="5CE40B61"/>
    <w:rsid w:val="5CE70011"/>
    <w:rsid w:val="5CE768A3"/>
    <w:rsid w:val="5CE818B8"/>
    <w:rsid w:val="5CEB033D"/>
    <w:rsid w:val="5CEB1EEF"/>
    <w:rsid w:val="5CF000D6"/>
    <w:rsid w:val="5CF4383F"/>
    <w:rsid w:val="5CF67475"/>
    <w:rsid w:val="5CF86355"/>
    <w:rsid w:val="5CF94257"/>
    <w:rsid w:val="5CFB4CC5"/>
    <w:rsid w:val="5CFB5EAA"/>
    <w:rsid w:val="5CFE5EA8"/>
    <w:rsid w:val="5CFE60C6"/>
    <w:rsid w:val="5CFF0317"/>
    <w:rsid w:val="5CFF333A"/>
    <w:rsid w:val="5D0134C1"/>
    <w:rsid w:val="5D0148EC"/>
    <w:rsid w:val="5D015F6A"/>
    <w:rsid w:val="5D027239"/>
    <w:rsid w:val="5D05319C"/>
    <w:rsid w:val="5D0578BA"/>
    <w:rsid w:val="5D063D09"/>
    <w:rsid w:val="5D066936"/>
    <w:rsid w:val="5D07484F"/>
    <w:rsid w:val="5D076C27"/>
    <w:rsid w:val="5D080CF3"/>
    <w:rsid w:val="5D086F45"/>
    <w:rsid w:val="5D0B07E3"/>
    <w:rsid w:val="5D0B4022"/>
    <w:rsid w:val="5D0C307D"/>
    <w:rsid w:val="5D0E4D8D"/>
    <w:rsid w:val="5D101956"/>
    <w:rsid w:val="5D107BA8"/>
    <w:rsid w:val="5D127531"/>
    <w:rsid w:val="5D131446"/>
    <w:rsid w:val="5D153410"/>
    <w:rsid w:val="5D1549BF"/>
    <w:rsid w:val="5D17775F"/>
    <w:rsid w:val="5D1C1431"/>
    <w:rsid w:val="5D1C654D"/>
    <w:rsid w:val="5D1D4073"/>
    <w:rsid w:val="5D202983"/>
    <w:rsid w:val="5D2148DF"/>
    <w:rsid w:val="5D236F12"/>
    <w:rsid w:val="5D2673CB"/>
    <w:rsid w:val="5D280E34"/>
    <w:rsid w:val="5D296EBB"/>
    <w:rsid w:val="5D2D2508"/>
    <w:rsid w:val="5D2D69AC"/>
    <w:rsid w:val="5D2E5CC4"/>
    <w:rsid w:val="5D2E6280"/>
    <w:rsid w:val="5D327B1E"/>
    <w:rsid w:val="5D331AE8"/>
    <w:rsid w:val="5D375134"/>
    <w:rsid w:val="5D380C0A"/>
    <w:rsid w:val="5D3A2E77"/>
    <w:rsid w:val="5D3A4C25"/>
    <w:rsid w:val="5D3A69D3"/>
    <w:rsid w:val="5D3B5C90"/>
    <w:rsid w:val="5D3C0F7F"/>
    <w:rsid w:val="5D3D5B0D"/>
    <w:rsid w:val="5D3D64C3"/>
    <w:rsid w:val="5D3E2967"/>
    <w:rsid w:val="5D3F223B"/>
    <w:rsid w:val="5D403159"/>
    <w:rsid w:val="5D417D61"/>
    <w:rsid w:val="5D436804"/>
    <w:rsid w:val="5D443CF5"/>
    <w:rsid w:val="5D445AA3"/>
    <w:rsid w:val="5D467A6D"/>
    <w:rsid w:val="5D486FBE"/>
    <w:rsid w:val="5D4A1ECB"/>
    <w:rsid w:val="5D4B0BE0"/>
    <w:rsid w:val="5D4B6E32"/>
    <w:rsid w:val="5D4C017A"/>
    <w:rsid w:val="5D4C3F91"/>
    <w:rsid w:val="5D4D2BAA"/>
    <w:rsid w:val="5D4D4958"/>
    <w:rsid w:val="5D4D6706"/>
    <w:rsid w:val="5D4E06D0"/>
    <w:rsid w:val="5D4E2E30"/>
    <w:rsid w:val="5D504448"/>
    <w:rsid w:val="5D5102C6"/>
    <w:rsid w:val="5D525F29"/>
    <w:rsid w:val="5D543F38"/>
    <w:rsid w:val="5D551A5E"/>
    <w:rsid w:val="5D5656EB"/>
    <w:rsid w:val="5D577585"/>
    <w:rsid w:val="5D586282"/>
    <w:rsid w:val="5D59154F"/>
    <w:rsid w:val="5D5A1D57"/>
    <w:rsid w:val="5D5A2E78"/>
    <w:rsid w:val="5D5A7075"/>
    <w:rsid w:val="5D5E0913"/>
    <w:rsid w:val="5D5E0A28"/>
    <w:rsid w:val="5D5E4DB7"/>
    <w:rsid w:val="5D641CA2"/>
    <w:rsid w:val="5D646797"/>
    <w:rsid w:val="5D681792"/>
    <w:rsid w:val="5D6930FC"/>
    <w:rsid w:val="5D6A3A99"/>
    <w:rsid w:val="5D6B74D4"/>
    <w:rsid w:val="5D6D6DA8"/>
    <w:rsid w:val="5D6E48CE"/>
    <w:rsid w:val="5D740137"/>
    <w:rsid w:val="5D76195E"/>
    <w:rsid w:val="5D782CEC"/>
    <w:rsid w:val="5D786ECF"/>
    <w:rsid w:val="5D7874FB"/>
    <w:rsid w:val="5D7A3273"/>
    <w:rsid w:val="5D7A7DC2"/>
    <w:rsid w:val="5D7B3146"/>
    <w:rsid w:val="5D7C5EAE"/>
    <w:rsid w:val="5D7E2D63"/>
    <w:rsid w:val="5D7E7207"/>
    <w:rsid w:val="5D7F339F"/>
    <w:rsid w:val="5D7F5AF4"/>
    <w:rsid w:val="5D7F6ADB"/>
    <w:rsid w:val="5D83481E"/>
    <w:rsid w:val="5D8440F2"/>
    <w:rsid w:val="5D850596"/>
    <w:rsid w:val="5D852344"/>
    <w:rsid w:val="5D855AD0"/>
    <w:rsid w:val="5D891D6C"/>
    <w:rsid w:val="5D8972C7"/>
    <w:rsid w:val="5D8A795A"/>
    <w:rsid w:val="5D8B5480"/>
    <w:rsid w:val="5D8C12FF"/>
    <w:rsid w:val="5D8D2FA6"/>
    <w:rsid w:val="5D8F31C2"/>
    <w:rsid w:val="5D8F4F70"/>
    <w:rsid w:val="5D9205BD"/>
    <w:rsid w:val="5D957966"/>
    <w:rsid w:val="5D96156A"/>
    <w:rsid w:val="5D962B86"/>
    <w:rsid w:val="5D972077"/>
    <w:rsid w:val="5D973E25"/>
    <w:rsid w:val="5D9765E9"/>
    <w:rsid w:val="5D986F5F"/>
    <w:rsid w:val="5D994523"/>
    <w:rsid w:val="5D997B9D"/>
    <w:rsid w:val="5D9B1B67"/>
    <w:rsid w:val="5D9B7CF9"/>
    <w:rsid w:val="5D9C143B"/>
    <w:rsid w:val="5D9C768D"/>
    <w:rsid w:val="5D9E3405"/>
    <w:rsid w:val="5D9F668F"/>
    <w:rsid w:val="5DA0717E"/>
    <w:rsid w:val="5DA16A52"/>
    <w:rsid w:val="5DA31058"/>
    <w:rsid w:val="5DA55F81"/>
    <w:rsid w:val="5DAA0151"/>
    <w:rsid w:val="5DAA1DAA"/>
    <w:rsid w:val="5DAB5B22"/>
    <w:rsid w:val="5DAE34AD"/>
    <w:rsid w:val="5DAF116F"/>
    <w:rsid w:val="5DB00B2C"/>
    <w:rsid w:val="5DB1357E"/>
    <w:rsid w:val="5DB14403"/>
    <w:rsid w:val="5DB449D7"/>
    <w:rsid w:val="5DB46785"/>
    <w:rsid w:val="5DB61BDB"/>
    <w:rsid w:val="5DB639B3"/>
    <w:rsid w:val="5DB744C7"/>
    <w:rsid w:val="5DB91FED"/>
    <w:rsid w:val="5DB949BF"/>
    <w:rsid w:val="5DBA03E4"/>
    <w:rsid w:val="5DBA4EB4"/>
    <w:rsid w:val="5DBA7B13"/>
    <w:rsid w:val="5DBB3FB7"/>
    <w:rsid w:val="5DBD1BFF"/>
    <w:rsid w:val="5DBF0051"/>
    <w:rsid w:val="5DBF512A"/>
    <w:rsid w:val="5DC13151"/>
    <w:rsid w:val="5DC42740"/>
    <w:rsid w:val="5DC7352A"/>
    <w:rsid w:val="5DC866D4"/>
    <w:rsid w:val="5DC958CF"/>
    <w:rsid w:val="5DCA5FA9"/>
    <w:rsid w:val="5DCA7D57"/>
    <w:rsid w:val="5DCB1D21"/>
    <w:rsid w:val="5DCD3CEB"/>
    <w:rsid w:val="5DCD5337"/>
    <w:rsid w:val="5DCD7847"/>
    <w:rsid w:val="5DCF022D"/>
    <w:rsid w:val="5DCF1811"/>
    <w:rsid w:val="5DCF5807"/>
    <w:rsid w:val="5DD010E5"/>
    <w:rsid w:val="5DD260ED"/>
    <w:rsid w:val="5DD369F6"/>
    <w:rsid w:val="5DD40BD5"/>
    <w:rsid w:val="5DD45079"/>
    <w:rsid w:val="5DD61FCB"/>
    <w:rsid w:val="5DD706C5"/>
    <w:rsid w:val="5DD72F4E"/>
    <w:rsid w:val="5DD76917"/>
    <w:rsid w:val="5DD92690"/>
    <w:rsid w:val="5DDA55AB"/>
    <w:rsid w:val="5DDB01B6"/>
    <w:rsid w:val="5DDB1F64"/>
    <w:rsid w:val="5DDB6408"/>
    <w:rsid w:val="5DDC11E9"/>
    <w:rsid w:val="5DE0757A"/>
    <w:rsid w:val="5DE352BC"/>
    <w:rsid w:val="5DE3706A"/>
    <w:rsid w:val="5DE50D1C"/>
    <w:rsid w:val="5DE73394"/>
    <w:rsid w:val="5DE74DAC"/>
    <w:rsid w:val="5DE76EF1"/>
    <w:rsid w:val="5DEA71AC"/>
    <w:rsid w:val="5DEB5F1F"/>
    <w:rsid w:val="5DED4704"/>
    <w:rsid w:val="5DED613B"/>
    <w:rsid w:val="5DEF3829"/>
    <w:rsid w:val="5DEF5A0F"/>
    <w:rsid w:val="5DF31FDF"/>
    <w:rsid w:val="5DF41277"/>
    <w:rsid w:val="5DF43025"/>
    <w:rsid w:val="5DF474C9"/>
    <w:rsid w:val="5DF50B4C"/>
    <w:rsid w:val="5DF63241"/>
    <w:rsid w:val="5DFB2606"/>
    <w:rsid w:val="5DFB3F5C"/>
    <w:rsid w:val="5DFB43B4"/>
    <w:rsid w:val="5E015742"/>
    <w:rsid w:val="5E016FC7"/>
    <w:rsid w:val="5E021BE6"/>
    <w:rsid w:val="5E023994"/>
    <w:rsid w:val="5E0503F5"/>
    <w:rsid w:val="5E0627E9"/>
    <w:rsid w:val="5E064CFB"/>
    <w:rsid w:val="5E0A1027"/>
    <w:rsid w:val="5E0C4813"/>
    <w:rsid w:val="5E0D5985"/>
    <w:rsid w:val="5E0F1C0D"/>
    <w:rsid w:val="5E0F7E5F"/>
    <w:rsid w:val="5E1611EE"/>
    <w:rsid w:val="5E181BF4"/>
    <w:rsid w:val="5E197CFB"/>
    <w:rsid w:val="5E1C432A"/>
    <w:rsid w:val="5E224037"/>
    <w:rsid w:val="5E225DE5"/>
    <w:rsid w:val="5E2356B9"/>
    <w:rsid w:val="5E2676F1"/>
    <w:rsid w:val="5E2751A9"/>
    <w:rsid w:val="5E28367C"/>
    <w:rsid w:val="5E2977F0"/>
    <w:rsid w:val="5E2A2EEB"/>
    <w:rsid w:val="5E2C0A11"/>
    <w:rsid w:val="5E2C27BF"/>
    <w:rsid w:val="5E2C6C63"/>
    <w:rsid w:val="5E2F0501"/>
    <w:rsid w:val="5E316028"/>
    <w:rsid w:val="5E326E69"/>
    <w:rsid w:val="5E34531D"/>
    <w:rsid w:val="5E345B18"/>
    <w:rsid w:val="5E3608C5"/>
    <w:rsid w:val="5E36363E"/>
    <w:rsid w:val="5E39312E"/>
    <w:rsid w:val="5E3B6EA6"/>
    <w:rsid w:val="5E3C43B8"/>
    <w:rsid w:val="5E3D2C1E"/>
    <w:rsid w:val="5E3E0745"/>
    <w:rsid w:val="5E3E6996"/>
    <w:rsid w:val="5E435D5B"/>
    <w:rsid w:val="5E437B09"/>
    <w:rsid w:val="5E464C80"/>
    <w:rsid w:val="5E466993"/>
    <w:rsid w:val="5E4A0E97"/>
    <w:rsid w:val="5E4A70E9"/>
    <w:rsid w:val="5E4F6C13"/>
    <w:rsid w:val="5E510478"/>
    <w:rsid w:val="5E512226"/>
    <w:rsid w:val="5E521F28"/>
    <w:rsid w:val="5E522721"/>
    <w:rsid w:val="5E525F9E"/>
    <w:rsid w:val="5E52616B"/>
    <w:rsid w:val="5E531040"/>
    <w:rsid w:val="5E5341F0"/>
    <w:rsid w:val="5E554C7D"/>
    <w:rsid w:val="5E5674C7"/>
    <w:rsid w:val="5E5757D7"/>
    <w:rsid w:val="5E575CB4"/>
    <w:rsid w:val="5E585412"/>
    <w:rsid w:val="5E59557E"/>
    <w:rsid w:val="5E5B0A68"/>
    <w:rsid w:val="5E5B30A5"/>
    <w:rsid w:val="5E5D6E1D"/>
    <w:rsid w:val="5E5E0C38"/>
    <w:rsid w:val="5E604B5F"/>
    <w:rsid w:val="5E60690D"/>
    <w:rsid w:val="5E6110E6"/>
    <w:rsid w:val="5E6160E7"/>
    <w:rsid w:val="5E631F59"/>
    <w:rsid w:val="5E641D71"/>
    <w:rsid w:val="5E6463FD"/>
    <w:rsid w:val="5E652175"/>
    <w:rsid w:val="5E694C83"/>
    <w:rsid w:val="5E6A153A"/>
    <w:rsid w:val="5E6C3504"/>
    <w:rsid w:val="5E6F213A"/>
    <w:rsid w:val="5E710B1A"/>
    <w:rsid w:val="5E7128C8"/>
    <w:rsid w:val="5E7168E8"/>
    <w:rsid w:val="5E761C8C"/>
    <w:rsid w:val="5E7815DA"/>
    <w:rsid w:val="5E790AEB"/>
    <w:rsid w:val="5E7D126D"/>
    <w:rsid w:val="5E7E0D08"/>
    <w:rsid w:val="5E7E3CD9"/>
    <w:rsid w:val="5E7F0F91"/>
    <w:rsid w:val="5E7F5C28"/>
    <w:rsid w:val="5E8048B9"/>
    <w:rsid w:val="5E826883"/>
    <w:rsid w:val="5E841B1E"/>
    <w:rsid w:val="5E852ECB"/>
    <w:rsid w:val="5E8720EC"/>
    <w:rsid w:val="5E875C48"/>
    <w:rsid w:val="5E8B1BDC"/>
    <w:rsid w:val="5E8C3611"/>
    <w:rsid w:val="5E8C37C6"/>
    <w:rsid w:val="5E8C6417"/>
    <w:rsid w:val="5E8D2864"/>
    <w:rsid w:val="5E9020F1"/>
    <w:rsid w:val="5E9071F2"/>
    <w:rsid w:val="5E914D18"/>
    <w:rsid w:val="5E93283E"/>
    <w:rsid w:val="5E941380"/>
    <w:rsid w:val="5E97101A"/>
    <w:rsid w:val="5E980273"/>
    <w:rsid w:val="5E9839C6"/>
    <w:rsid w:val="5E9860A7"/>
    <w:rsid w:val="5E987B1D"/>
    <w:rsid w:val="5E99597B"/>
    <w:rsid w:val="5E997B62"/>
    <w:rsid w:val="5E9A1E1F"/>
    <w:rsid w:val="5E9B16F3"/>
    <w:rsid w:val="5E9B7945"/>
    <w:rsid w:val="5E9F1849"/>
    <w:rsid w:val="5EA04F5B"/>
    <w:rsid w:val="5EA22A81"/>
    <w:rsid w:val="5EA44A4C"/>
    <w:rsid w:val="5EA651D9"/>
    <w:rsid w:val="5EA70098"/>
    <w:rsid w:val="5EAC3900"/>
    <w:rsid w:val="5EAC7460"/>
    <w:rsid w:val="5EAE58CA"/>
    <w:rsid w:val="5EB01642"/>
    <w:rsid w:val="5EB10F16"/>
    <w:rsid w:val="5EB153BA"/>
    <w:rsid w:val="5EB331C8"/>
    <w:rsid w:val="5EB36A3D"/>
    <w:rsid w:val="5EBA601D"/>
    <w:rsid w:val="5EBB1D95"/>
    <w:rsid w:val="5EBC48AB"/>
    <w:rsid w:val="5EBD3D5F"/>
    <w:rsid w:val="5EBE5BF5"/>
    <w:rsid w:val="5EBF695C"/>
    <w:rsid w:val="5EC1773B"/>
    <w:rsid w:val="5EC40C4A"/>
    <w:rsid w:val="5EC46E9C"/>
    <w:rsid w:val="5EC549C2"/>
    <w:rsid w:val="5ECA1FD8"/>
    <w:rsid w:val="5ECA3D86"/>
    <w:rsid w:val="5ECC7AFE"/>
    <w:rsid w:val="5ED115B9"/>
    <w:rsid w:val="5ED13367"/>
    <w:rsid w:val="5ED27BE1"/>
    <w:rsid w:val="5ED52E57"/>
    <w:rsid w:val="5ED66BCF"/>
    <w:rsid w:val="5ED846F5"/>
    <w:rsid w:val="5EDB41E5"/>
    <w:rsid w:val="5EE07397"/>
    <w:rsid w:val="5EE44E48"/>
    <w:rsid w:val="5EE50BC0"/>
    <w:rsid w:val="5EE661D8"/>
    <w:rsid w:val="5EE906B0"/>
    <w:rsid w:val="5EE94B54"/>
    <w:rsid w:val="5EEC01A1"/>
    <w:rsid w:val="5EED47E9"/>
    <w:rsid w:val="5EF22D7B"/>
    <w:rsid w:val="5EF3152F"/>
    <w:rsid w:val="5EF332DD"/>
    <w:rsid w:val="5EF37781"/>
    <w:rsid w:val="5EF507BB"/>
    <w:rsid w:val="5EF60BE3"/>
    <w:rsid w:val="5EF62DCD"/>
    <w:rsid w:val="5EF64B7B"/>
    <w:rsid w:val="5EF73484"/>
    <w:rsid w:val="5EFA466C"/>
    <w:rsid w:val="5EFB03E4"/>
    <w:rsid w:val="5EFC24D5"/>
    <w:rsid w:val="5EFC6636"/>
    <w:rsid w:val="5EFD0600"/>
    <w:rsid w:val="5EFD23AE"/>
    <w:rsid w:val="5EFD42DE"/>
    <w:rsid w:val="5EFE5D09"/>
    <w:rsid w:val="5EFF1C82"/>
    <w:rsid w:val="5F00590C"/>
    <w:rsid w:val="5F011F2A"/>
    <w:rsid w:val="5F013C4C"/>
    <w:rsid w:val="5F02136C"/>
    <w:rsid w:val="5F042A70"/>
    <w:rsid w:val="5F085DA4"/>
    <w:rsid w:val="5F092B01"/>
    <w:rsid w:val="5F095B6E"/>
    <w:rsid w:val="5F0B26FD"/>
    <w:rsid w:val="5F0B4ACB"/>
    <w:rsid w:val="5F0B6879"/>
    <w:rsid w:val="5F0C1B75"/>
    <w:rsid w:val="5F0E0117"/>
    <w:rsid w:val="5F100C1A"/>
    <w:rsid w:val="5F116CFA"/>
    <w:rsid w:val="5F13572D"/>
    <w:rsid w:val="5F142564"/>
    <w:rsid w:val="5F1514A5"/>
    <w:rsid w:val="5F1576F7"/>
    <w:rsid w:val="5F1764CC"/>
    <w:rsid w:val="5F183AB6"/>
    <w:rsid w:val="5F1E2082"/>
    <w:rsid w:val="5F1F40D2"/>
    <w:rsid w:val="5F2126E7"/>
    <w:rsid w:val="5F217E4A"/>
    <w:rsid w:val="5F223BC2"/>
    <w:rsid w:val="5F236821"/>
    <w:rsid w:val="5F24793A"/>
    <w:rsid w:val="5F270668"/>
    <w:rsid w:val="5F2913F5"/>
    <w:rsid w:val="5F294A3B"/>
    <w:rsid w:val="5F296CFF"/>
    <w:rsid w:val="5F2D379B"/>
    <w:rsid w:val="5F2D37B6"/>
    <w:rsid w:val="5F3005FC"/>
    <w:rsid w:val="5F322057"/>
    <w:rsid w:val="5F347CF2"/>
    <w:rsid w:val="5F36141C"/>
    <w:rsid w:val="5F3764EB"/>
    <w:rsid w:val="5F392547"/>
    <w:rsid w:val="5F3A16C2"/>
    <w:rsid w:val="5F3E6C4E"/>
    <w:rsid w:val="5F3F4774"/>
    <w:rsid w:val="5F3F6522"/>
    <w:rsid w:val="5F41229A"/>
    <w:rsid w:val="5F420A6C"/>
    <w:rsid w:val="5F4223C4"/>
    <w:rsid w:val="5F4252CB"/>
    <w:rsid w:val="5F433EA1"/>
    <w:rsid w:val="5F447FDD"/>
    <w:rsid w:val="5F463D55"/>
    <w:rsid w:val="5F4678B1"/>
    <w:rsid w:val="5F473629"/>
    <w:rsid w:val="5F4973A1"/>
    <w:rsid w:val="5F4B3119"/>
    <w:rsid w:val="5F4E49B7"/>
    <w:rsid w:val="5F547D23"/>
    <w:rsid w:val="5F553840"/>
    <w:rsid w:val="5F553A67"/>
    <w:rsid w:val="5F553F98"/>
    <w:rsid w:val="5F571ABE"/>
    <w:rsid w:val="5F57386C"/>
    <w:rsid w:val="5F593A88"/>
    <w:rsid w:val="5F5941C5"/>
    <w:rsid w:val="5F5A0C98"/>
    <w:rsid w:val="5F5C6694"/>
    <w:rsid w:val="5F5D0FE7"/>
    <w:rsid w:val="5F5E2366"/>
    <w:rsid w:val="5F5E6BC8"/>
    <w:rsid w:val="5F5F0972"/>
    <w:rsid w:val="5F5F5FCD"/>
    <w:rsid w:val="5F61293D"/>
    <w:rsid w:val="5F64242D"/>
    <w:rsid w:val="5F6441DB"/>
    <w:rsid w:val="5F661EA2"/>
    <w:rsid w:val="5F667F53"/>
    <w:rsid w:val="5F6838A7"/>
    <w:rsid w:val="5F69359F"/>
    <w:rsid w:val="5F697A43"/>
    <w:rsid w:val="5F6D12E1"/>
    <w:rsid w:val="5F6E5B96"/>
    <w:rsid w:val="5F6E6E08"/>
    <w:rsid w:val="5F73441E"/>
    <w:rsid w:val="5F742670"/>
    <w:rsid w:val="5F750196"/>
    <w:rsid w:val="5F751F44"/>
    <w:rsid w:val="5F780C1B"/>
    <w:rsid w:val="5F784A0F"/>
    <w:rsid w:val="5F7A39FE"/>
    <w:rsid w:val="5F7A40D6"/>
    <w:rsid w:val="5F7A62E9"/>
    <w:rsid w:val="5F7A755A"/>
    <w:rsid w:val="5F7C32D2"/>
    <w:rsid w:val="5F7C7776"/>
    <w:rsid w:val="5F7D4E73"/>
    <w:rsid w:val="5F8108E9"/>
    <w:rsid w:val="5F812FDF"/>
    <w:rsid w:val="5F84662B"/>
    <w:rsid w:val="5F851089"/>
    <w:rsid w:val="5F8607FD"/>
    <w:rsid w:val="5F8623A3"/>
    <w:rsid w:val="5F8701FC"/>
    <w:rsid w:val="5F893C41"/>
    <w:rsid w:val="5F8959EF"/>
    <w:rsid w:val="5F8A1E93"/>
    <w:rsid w:val="5F8C568F"/>
    <w:rsid w:val="5F8F2A36"/>
    <w:rsid w:val="5F93686E"/>
    <w:rsid w:val="5F944AC0"/>
    <w:rsid w:val="5F9451DF"/>
    <w:rsid w:val="5F95084F"/>
    <w:rsid w:val="5F954394"/>
    <w:rsid w:val="5F97635E"/>
    <w:rsid w:val="5F9920D6"/>
    <w:rsid w:val="5F993E84"/>
    <w:rsid w:val="5F9B2924"/>
    <w:rsid w:val="5F9C1BC7"/>
    <w:rsid w:val="5F9C3975"/>
    <w:rsid w:val="5F9C4A81"/>
    <w:rsid w:val="5F9D62CA"/>
    <w:rsid w:val="5F9F3465"/>
    <w:rsid w:val="5F9F5213"/>
    <w:rsid w:val="5FA024CF"/>
    <w:rsid w:val="5FA03B5F"/>
    <w:rsid w:val="5FA079E7"/>
    <w:rsid w:val="5FA171DD"/>
    <w:rsid w:val="5FA41DAE"/>
    <w:rsid w:val="5FA42829"/>
    <w:rsid w:val="5FA97E40"/>
    <w:rsid w:val="5FAA42E4"/>
    <w:rsid w:val="5FAD16DE"/>
    <w:rsid w:val="5FAD5B82"/>
    <w:rsid w:val="5FAF18FA"/>
    <w:rsid w:val="5FAF34B1"/>
    <w:rsid w:val="5FAF36A8"/>
    <w:rsid w:val="5FB13212"/>
    <w:rsid w:val="5FB32A6C"/>
    <w:rsid w:val="5FB46F10"/>
    <w:rsid w:val="5FB962D5"/>
    <w:rsid w:val="5FBB029F"/>
    <w:rsid w:val="5FBC2A95"/>
    <w:rsid w:val="5FBD0B3C"/>
    <w:rsid w:val="5FBF1587"/>
    <w:rsid w:val="5FBF7663"/>
    <w:rsid w:val="5FC03B07"/>
    <w:rsid w:val="5FC1162D"/>
    <w:rsid w:val="5FC30F01"/>
    <w:rsid w:val="5FC44C79"/>
    <w:rsid w:val="5FC52ECB"/>
    <w:rsid w:val="5FC609F2"/>
    <w:rsid w:val="5FC765D8"/>
    <w:rsid w:val="5FC76BE6"/>
    <w:rsid w:val="5FC92290"/>
    <w:rsid w:val="5FCC5817"/>
    <w:rsid w:val="5FCD7FD2"/>
    <w:rsid w:val="5FCE7C70"/>
    <w:rsid w:val="5FCF3D4A"/>
    <w:rsid w:val="5FCF5AF8"/>
    <w:rsid w:val="5FD0032E"/>
    <w:rsid w:val="5FD0361E"/>
    <w:rsid w:val="5FD17AC2"/>
    <w:rsid w:val="5FD2383A"/>
    <w:rsid w:val="5FD26FC8"/>
    <w:rsid w:val="5FD41360"/>
    <w:rsid w:val="5FD4310E"/>
    <w:rsid w:val="5FD8371D"/>
    <w:rsid w:val="5FD846D0"/>
    <w:rsid w:val="5FD90725"/>
    <w:rsid w:val="5FDA3200"/>
    <w:rsid w:val="5FDA449D"/>
    <w:rsid w:val="5FDB01FD"/>
    <w:rsid w:val="5FDB1FDC"/>
    <w:rsid w:val="5FDB2A76"/>
    <w:rsid w:val="5FDC7E02"/>
    <w:rsid w:val="5FDE21DF"/>
    <w:rsid w:val="5FDE5D3B"/>
    <w:rsid w:val="5FE10EFE"/>
    <w:rsid w:val="5FE22FDD"/>
    <w:rsid w:val="5FE45CD5"/>
    <w:rsid w:val="5FE570CA"/>
    <w:rsid w:val="5FE904E2"/>
    <w:rsid w:val="5FE96F3E"/>
    <w:rsid w:val="5FEB0458"/>
    <w:rsid w:val="5FEE4977"/>
    <w:rsid w:val="5FEF619A"/>
    <w:rsid w:val="5FF3060B"/>
    <w:rsid w:val="5FF612D7"/>
    <w:rsid w:val="5FF76DFD"/>
    <w:rsid w:val="5FF97FD7"/>
    <w:rsid w:val="5FFB4B3F"/>
    <w:rsid w:val="5FFB7482"/>
    <w:rsid w:val="5FFE462F"/>
    <w:rsid w:val="5FFE63DD"/>
    <w:rsid w:val="60011A1B"/>
    <w:rsid w:val="600339F4"/>
    <w:rsid w:val="6005151A"/>
    <w:rsid w:val="60056797"/>
    <w:rsid w:val="6005776C"/>
    <w:rsid w:val="600734E4"/>
    <w:rsid w:val="60081657"/>
    <w:rsid w:val="60097209"/>
    <w:rsid w:val="600A2CB8"/>
    <w:rsid w:val="600A2FD4"/>
    <w:rsid w:val="600A6B30"/>
    <w:rsid w:val="600B12DB"/>
    <w:rsid w:val="600D03CE"/>
    <w:rsid w:val="600D2851"/>
    <w:rsid w:val="60101303"/>
    <w:rsid w:val="60114363"/>
    <w:rsid w:val="60121E89"/>
    <w:rsid w:val="60145C01"/>
    <w:rsid w:val="601648EE"/>
    <w:rsid w:val="60172FFB"/>
    <w:rsid w:val="60182240"/>
    <w:rsid w:val="60196D73"/>
    <w:rsid w:val="60197513"/>
    <w:rsid w:val="601A4BE3"/>
    <w:rsid w:val="601B0D3D"/>
    <w:rsid w:val="601C4AB5"/>
    <w:rsid w:val="601D2D07"/>
    <w:rsid w:val="602025AC"/>
    <w:rsid w:val="60206354"/>
    <w:rsid w:val="60210924"/>
    <w:rsid w:val="60234096"/>
    <w:rsid w:val="60236B25"/>
    <w:rsid w:val="60237BF2"/>
    <w:rsid w:val="60243CC7"/>
    <w:rsid w:val="60255718"/>
    <w:rsid w:val="60277F57"/>
    <w:rsid w:val="602816AC"/>
    <w:rsid w:val="602A2D54"/>
    <w:rsid w:val="602A71D2"/>
    <w:rsid w:val="602B63D2"/>
    <w:rsid w:val="602D0A71"/>
    <w:rsid w:val="602D6CC3"/>
    <w:rsid w:val="6031230F"/>
    <w:rsid w:val="60323AD2"/>
    <w:rsid w:val="603412FB"/>
    <w:rsid w:val="60341DFF"/>
    <w:rsid w:val="60343FB0"/>
    <w:rsid w:val="60363DC9"/>
    <w:rsid w:val="6036462A"/>
    <w:rsid w:val="6037369D"/>
    <w:rsid w:val="60377C4C"/>
    <w:rsid w:val="60395667"/>
    <w:rsid w:val="603B318E"/>
    <w:rsid w:val="603C0CB4"/>
    <w:rsid w:val="603D2C8D"/>
    <w:rsid w:val="603E2C7E"/>
    <w:rsid w:val="603F1A1C"/>
    <w:rsid w:val="604162CA"/>
    <w:rsid w:val="60453AA2"/>
    <w:rsid w:val="604638E0"/>
    <w:rsid w:val="604665DE"/>
    <w:rsid w:val="60486899"/>
    <w:rsid w:val="60490DB0"/>
    <w:rsid w:val="6049131A"/>
    <w:rsid w:val="604B7CD1"/>
    <w:rsid w:val="604C7149"/>
    <w:rsid w:val="604D2EC1"/>
    <w:rsid w:val="604D4C6F"/>
    <w:rsid w:val="6054424F"/>
    <w:rsid w:val="60550950"/>
    <w:rsid w:val="60554C43"/>
    <w:rsid w:val="60593614"/>
    <w:rsid w:val="605B3830"/>
    <w:rsid w:val="605B738C"/>
    <w:rsid w:val="605E0C2A"/>
    <w:rsid w:val="60602BF4"/>
    <w:rsid w:val="60624BBE"/>
    <w:rsid w:val="6065645C"/>
    <w:rsid w:val="60661CC7"/>
    <w:rsid w:val="60675D31"/>
    <w:rsid w:val="60680B6A"/>
    <w:rsid w:val="60681AA9"/>
    <w:rsid w:val="60696D8A"/>
    <w:rsid w:val="606B7E4D"/>
    <w:rsid w:val="6071095D"/>
    <w:rsid w:val="60712A30"/>
    <w:rsid w:val="607A0411"/>
    <w:rsid w:val="607B6D37"/>
    <w:rsid w:val="607C7302"/>
    <w:rsid w:val="607D37A6"/>
    <w:rsid w:val="607D4EB4"/>
    <w:rsid w:val="607E2BDE"/>
    <w:rsid w:val="607E751E"/>
    <w:rsid w:val="608016D2"/>
    <w:rsid w:val="60813C60"/>
    <w:rsid w:val="60820DBC"/>
    <w:rsid w:val="60830691"/>
    <w:rsid w:val="6089758B"/>
    <w:rsid w:val="608A19C8"/>
    <w:rsid w:val="608C5797"/>
    <w:rsid w:val="608D150F"/>
    <w:rsid w:val="608E59B3"/>
    <w:rsid w:val="608F36A3"/>
    <w:rsid w:val="608F7035"/>
    <w:rsid w:val="609113DF"/>
    <w:rsid w:val="60934D78"/>
    <w:rsid w:val="609603C4"/>
    <w:rsid w:val="60966616"/>
    <w:rsid w:val="609774DA"/>
    <w:rsid w:val="609B1E7E"/>
    <w:rsid w:val="609D5BF6"/>
    <w:rsid w:val="609D79A4"/>
    <w:rsid w:val="609E5A0A"/>
    <w:rsid w:val="609F196E"/>
    <w:rsid w:val="60A05B22"/>
    <w:rsid w:val="60A2320D"/>
    <w:rsid w:val="60A250DA"/>
    <w:rsid w:val="60A44B10"/>
    <w:rsid w:val="60A54AAB"/>
    <w:rsid w:val="60A56859"/>
    <w:rsid w:val="60A5795F"/>
    <w:rsid w:val="60A70823"/>
    <w:rsid w:val="60A9459B"/>
    <w:rsid w:val="60AC035C"/>
    <w:rsid w:val="60AF592A"/>
    <w:rsid w:val="60AF6002"/>
    <w:rsid w:val="60B30F76"/>
    <w:rsid w:val="60B45728"/>
    <w:rsid w:val="60B7783F"/>
    <w:rsid w:val="60B8658C"/>
    <w:rsid w:val="60B868FF"/>
    <w:rsid w:val="60B915E0"/>
    <w:rsid w:val="60B92304"/>
    <w:rsid w:val="60BD0047"/>
    <w:rsid w:val="60BD3BA3"/>
    <w:rsid w:val="60BE7B54"/>
    <w:rsid w:val="60C22E0C"/>
    <w:rsid w:val="60C34F31"/>
    <w:rsid w:val="60C43183"/>
    <w:rsid w:val="60C72C73"/>
    <w:rsid w:val="60CB2763"/>
    <w:rsid w:val="60CC028A"/>
    <w:rsid w:val="60CC075F"/>
    <w:rsid w:val="60CE4002"/>
    <w:rsid w:val="60CF38D6"/>
    <w:rsid w:val="60D12A29"/>
    <w:rsid w:val="60D22077"/>
    <w:rsid w:val="60D333C6"/>
    <w:rsid w:val="60D4713E"/>
    <w:rsid w:val="60D55E27"/>
    <w:rsid w:val="60D62EB6"/>
    <w:rsid w:val="60D63F79"/>
    <w:rsid w:val="60D96503"/>
    <w:rsid w:val="60DC0870"/>
    <w:rsid w:val="60DD2497"/>
    <w:rsid w:val="60DD5FF3"/>
    <w:rsid w:val="60E02CC9"/>
    <w:rsid w:val="60E07891"/>
    <w:rsid w:val="60E2185B"/>
    <w:rsid w:val="60E26EF2"/>
    <w:rsid w:val="60E27AAD"/>
    <w:rsid w:val="60E32176"/>
    <w:rsid w:val="60E34900"/>
    <w:rsid w:val="60E47381"/>
    <w:rsid w:val="60E6759D"/>
    <w:rsid w:val="60E750C3"/>
    <w:rsid w:val="60EB2416"/>
    <w:rsid w:val="60EC092C"/>
    <w:rsid w:val="60EC6236"/>
    <w:rsid w:val="60ED6C7F"/>
    <w:rsid w:val="60EE0200"/>
    <w:rsid w:val="60F21F2F"/>
    <w:rsid w:val="60F26A90"/>
    <w:rsid w:val="60F31CBA"/>
    <w:rsid w:val="60F375C4"/>
    <w:rsid w:val="60F5050C"/>
    <w:rsid w:val="60F63558"/>
    <w:rsid w:val="60F65306"/>
    <w:rsid w:val="60F82E2D"/>
    <w:rsid w:val="60FA0D27"/>
    <w:rsid w:val="60FD0443"/>
    <w:rsid w:val="60FF6129"/>
    <w:rsid w:val="61041734"/>
    <w:rsid w:val="61047A23"/>
    <w:rsid w:val="61052966"/>
    <w:rsid w:val="61073070"/>
    <w:rsid w:val="61077514"/>
    <w:rsid w:val="61080059"/>
    <w:rsid w:val="6109173E"/>
    <w:rsid w:val="6109503A"/>
    <w:rsid w:val="61096DE8"/>
    <w:rsid w:val="610B15E1"/>
    <w:rsid w:val="610C4B2A"/>
    <w:rsid w:val="61102019"/>
    <w:rsid w:val="6110461A"/>
    <w:rsid w:val="61115513"/>
    <w:rsid w:val="61125017"/>
    <w:rsid w:val="61131A15"/>
    <w:rsid w:val="611354D9"/>
    <w:rsid w:val="61135EB8"/>
    <w:rsid w:val="611438F2"/>
    <w:rsid w:val="611530DB"/>
    <w:rsid w:val="611539DF"/>
    <w:rsid w:val="61161505"/>
    <w:rsid w:val="61170177"/>
    <w:rsid w:val="611807AB"/>
    <w:rsid w:val="611B0E05"/>
    <w:rsid w:val="611D7264"/>
    <w:rsid w:val="611E024C"/>
    <w:rsid w:val="61204131"/>
    <w:rsid w:val="61212FCF"/>
    <w:rsid w:val="61265BEC"/>
    <w:rsid w:val="612A2D2D"/>
    <w:rsid w:val="612A47CD"/>
    <w:rsid w:val="612A7A11"/>
    <w:rsid w:val="612C0DA4"/>
    <w:rsid w:val="612E2F52"/>
    <w:rsid w:val="613051FA"/>
    <w:rsid w:val="613100ED"/>
    <w:rsid w:val="6131633F"/>
    <w:rsid w:val="61330309"/>
    <w:rsid w:val="613330E0"/>
    <w:rsid w:val="61355E2F"/>
    <w:rsid w:val="61357BDD"/>
    <w:rsid w:val="6138147B"/>
    <w:rsid w:val="613A6556"/>
    <w:rsid w:val="613D4CE3"/>
    <w:rsid w:val="613F280A"/>
    <w:rsid w:val="61406582"/>
    <w:rsid w:val="61447B7B"/>
    <w:rsid w:val="614539B9"/>
    <w:rsid w:val="6145501E"/>
    <w:rsid w:val="61455F93"/>
    <w:rsid w:val="614918DA"/>
    <w:rsid w:val="614D245F"/>
    <w:rsid w:val="614E5215"/>
    <w:rsid w:val="614E5B9F"/>
    <w:rsid w:val="614F0414"/>
    <w:rsid w:val="61504A17"/>
    <w:rsid w:val="615109B8"/>
    <w:rsid w:val="615269E1"/>
    <w:rsid w:val="61532759"/>
    <w:rsid w:val="615747AE"/>
    <w:rsid w:val="615C70E1"/>
    <w:rsid w:val="616033CB"/>
    <w:rsid w:val="616109D2"/>
    <w:rsid w:val="61614E76"/>
    <w:rsid w:val="6162474A"/>
    <w:rsid w:val="616404C2"/>
    <w:rsid w:val="61640A0C"/>
    <w:rsid w:val="61677FB2"/>
    <w:rsid w:val="616A2DCE"/>
    <w:rsid w:val="616C7377"/>
    <w:rsid w:val="616D1EA0"/>
    <w:rsid w:val="616D381B"/>
    <w:rsid w:val="616E30EF"/>
    <w:rsid w:val="616E7593"/>
    <w:rsid w:val="6170330B"/>
    <w:rsid w:val="617050B9"/>
    <w:rsid w:val="6175447D"/>
    <w:rsid w:val="617556F4"/>
    <w:rsid w:val="61763FFC"/>
    <w:rsid w:val="61777E0D"/>
    <w:rsid w:val="61783F6D"/>
    <w:rsid w:val="617C1CB0"/>
    <w:rsid w:val="617D1584"/>
    <w:rsid w:val="61811074"/>
    <w:rsid w:val="61826B9A"/>
    <w:rsid w:val="618530C5"/>
    <w:rsid w:val="61867B7A"/>
    <w:rsid w:val="61880654"/>
    <w:rsid w:val="61891CD7"/>
    <w:rsid w:val="618A333F"/>
    <w:rsid w:val="618A738C"/>
    <w:rsid w:val="618E5E31"/>
    <w:rsid w:val="618F19E3"/>
    <w:rsid w:val="618F1F91"/>
    <w:rsid w:val="619012B7"/>
    <w:rsid w:val="619265F3"/>
    <w:rsid w:val="61944033"/>
    <w:rsid w:val="619624C7"/>
    <w:rsid w:val="61964173"/>
    <w:rsid w:val="619863BE"/>
    <w:rsid w:val="61994676"/>
    <w:rsid w:val="619A3EE4"/>
    <w:rsid w:val="619C1A0A"/>
    <w:rsid w:val="619D48F5"/>
    <w:rsid w:val="619E1C26"/>
    <w:rsid w:val="61A01E71"/>
    <w:rsid w:val="61A22D98"/>
    <w:rsid w:val="61AB4343"/>
    <w:rsid w:val="61AC29D7"/>
    <w:rsid w:val="61AD00BB"/>
    <w:rsid w:val="61AD1E69"/>
    <w:rsid w:val="61AE5BE1"/>
    <w:rsid w:val="61AE798F"/>
    <w:rsid w:val="61B054B5"/>
    <w:rsid w:val="61B074CD"/>
    <w:rsid w:val="61B9586C"/>
    <w:rsid w:val="61B97136"/>
    <w:rsid w:val="61B97CCA"/>
    <w:rsid w:val="61BA27D8"/>
    <w:rsid w:val="61BC1174"/>
    <w:rsid w:val="61BC6860"/>
    <w:rsid w:val="61C3168D"/>
    <w:rsid w:val="61C40F61"/>
    <w:rsid w:val="61C44A09"/>
    <w:rsid w:val="61C44BD7"/>
    <w:rsid w:val="61CA6EC6"/>
    <w:rsid w:val="61CB22EF"/>
    <w:rsid w:val="61CD775E"/>
    <w:rsid w:val="61CE3B8D"/>
    <w:rsid w:val="61CF643B"/>
    <w:rsid w:val="61D27B22"/>
    <w:rsid w:val="61D41BE3"/>
    <w:rsid w:val="61D47012"/>
    <w:rsid w:val="61D50B1E"/>
    <w:rsid w:val="61D55198"/>
    <w:rsid w:val="61D61932"/>
    <w:rsid w:val="61D61D20"/>
    <w:rsid w:val="61DA6532"/>
    <w:rsid w:val="61DA69D6"/>
    <w:rsid w:val="61DB4C28"/>
    <w:rsid w:val="61DE0274"/>
    <w:rsid w:val="61DE2022"/>
    <w:rsid w:val="61DF3D69"/>
    <w:rsid w:val="61E053F4"/>
    <w:rsid w:val="61E12FCC"/>
    <w:rsid w:val="61E138C1"/>
    <w:rsid w:val="61E3588B"/>
    <w:rsid w:val="61E37639"/>
    <w:rsid w:val="61E433B1"/>
    <w:rsid w:val="61E53CBF"/>
    <w:rsid w:val="61E57855"/>
    <w:rsid w:val="61E810F3"/>
    <w:rsid w:val="61ED6709"/>
    <w:rsid w:val="61EE5FDE"/>
    <w:rsid w:val="61EF2482"/>
    <w:rsid w:val="61F10723"/>
    <w:rsid w:val="61F12394"/>
    <w:rsid w:val="61F23D20"/>
    <w:rsid w:val="61F555BE"/>
    <w:rsid w:val="61F55C43"/>
    <w:rsid w:val="61F8488C"/>
    <w:rsid w:val="61F84ACD"/>
    <w:rsid w:val="61FB7EC3"/>
    <w:rsid w:val="61FE0917"/>
    <w:rsid w:val="6200468F"/>
    <w:rsid w:val="6200602F"/>
    <w:rsid w:val="62007FA1"/>
    <w:rsid w:val="620109FF"/>
    <w:rsid w:val="62076CC2"/>
    <w:rsid w:val="62081602"/>
    <w:rsid w:val="620A1105"/>
    <w:rsid w:val="620A6C2D"/>
    <w:rsid w:val="620D2908"/>
    <w:rsid w:val="620F1AC2"/>
    <w:rsid w:val="621041A6"/>
    <w:rsid w:val="62127F1E"/>
    <w:rsid w:val="62133A99"/>
    <w:rsid w:val="621506D9"/>
    <w:rsid w:val="62162102"/>
    <w:rsid w:val="62165C60"/>
    <w:rsid w:val="621719D8"/>
    <w:rsid w:val="62195750"/>
    <w:rsid w:val="6219711B"/>
    <w:rsid w:val="621A6DD3"/>
    <w:rsid w:val="621B5063"/>
    <w:rsid w:val="621C0D9D"/>
    <w:rsid w:val="621C79EF"/>
    <w:rsid w:val="621D31BE"/>
    <w:rsid w:val="621E4B15"/>
    <w:rsid w:val="62202586"/>
    <w:rsid w:val="62210161"/>
    <w:rsid w:val="62212AAF"/>
    <w:rsid w:val="622247BC"/>
    <w:rsid w:val="62233AD9"/>
    <w:rsid w:val="62263EB0"/>
    <w:rsid w:val="622856C3"/>
    <w:rsid w:val="62285946"/>
    <w:rsid w:val="622A170C"/>
    <w:rsid w:val="622A34BA"/>
    <w:rsid w:val="622D2FAA"/>
    <w:rsid w:val="622D723D"/>
    <w:rsid w:val="6230300B"/>
    <w:rsid w:val="623065F6"/>
    <w:rsid w:val="62331D59"/>
    <w:rsid w:val="62361E5F"/>
    <w:rsid w:val="623915BD"/>
    <w:rsid w:val="623936FD"/>
    <w:rsid w:val="62394D2F"/>
    <w:rsid w:val="623B1938"/>
    <w:rsid w:val="623B2E54"/>
    <w:rsid w:val="623D71BE"/>
    <w:rsid w:val="623E51B7"/>
    <w:rsid w:val="623E6F65"/>
    <w:rsid w:val="623F0207"/>
    <w:rsid w:val="624131C5"/>
    <w:rsid w:val="62432E1B"/>
    <w:rsid w:val="6243457B"/>
    <w:rsid w:val="62444614"/>
    <w:rsid w:val="624502F4"/>
    <w:rsid w:val="62455750"/>
    <w:rsid w:val="62465E1A"/>
    <w:rsid w:val="62484622"/>
    <w:rsid w:val="624A3B1F"/>
    <w:rsid w:val="624B36A4"/>
    <w:rsid w:val="624B5592"/>
    <w:rsid w:val="624C31A5"/>
    <w:rsid w:val="624F376B"/>
    <w:rsid w:val="624F6F55"/>
    <w:rsid w:val="62506761"/>
    <w:rsid w:val="62511CF0"/>
    <w:rsid w:val="62516C98"/>
    <w:rsid w:val="62520664"/>
    <w:rsid w:val="625609F7"/>
    <w:rsid w:val="62571DD5"/>
    <w:rsid w:val="62593D9F"/>
    <w:rsid w:val="625A0152"/>
    <w:rsid w:val="625C563D"/>
    <w:rsid w:val="625D29E9"/>
    <w:rsid w:val="625E52A9"/>
    <w:rsid w:val="625E7607"/>
    <w:rsid w:val="625F5378"/>
    <w:rsid w:val="62600C89"/>
    <w:rsid w:val="62601E0B"/>
    <w:rsid w:val="62634C1E"/>
    <w:rsid w:val="6264635D"/>
    <w:rsid w:val="62683FE2"/>
    <w:rsid w:val="626A1B08"/>
    <w:rsid w:val="626A1BC2"/>
    <w:rsid w:val="626F711E"/>
    <w:rsid w:val="62710E5F"/>
    <w:rsid w:val="62714066"/>
    <w:rsid w:val="62740D28"/>
    <w:rsid w:val="6274388A"/>
    <w:rsid w:val="627666AC"/>
    <w:rsid w:val="62775959"/>
    <w:rsid w:val="62781D29"/>
    <w:rsid w:val="6279168D"/>
    <w:rsid w:val="627B3D15"/>
    <w:rsid w:val="627B5AC3"/>
    <w:rsid w:val="627C5FA8"/>
    <w:rsid w:val="627E4BA4"/>
    <w:rsid w:val="627F48F3"/>
    <w:rsid w:val="627F63C9"/>
    <w:rsid w:val="6280132C"/>
    <w:rsid w:val="6280757E"/>
    <w:rsid w:val="62830E1C"/>
    <w:rsid w:val="628506F0"/>
    <w:rsid w:val="62854301"/>
    <w:rsid w:val="628639A1"/>
    <w:rsid w:val="62864468"/>
    <w:rsid w:val="62886432"/>
    <w:rsid w:val="628A21AA"/>
    <w:rsid w:val="628A3F58"/>
    <w:rsid w:val="628B1C91"/>
    <w:rsid w:val="628D3A49"/>
    <w:rsid w:val="628D4421"/>
    <w:rsid w:val="628E066E"/>
    <w:rsid w:val="628F32BF"/>
    <w:rsid w:val="628F5A13"/>
    <w:rsid w:val="6291178B"/>
    <w:rsid w:val="62913539"/>
    <w:rsid w:val="62913D2E"/>
    <w:rsid w:val="629152E7"/>
    <w:rsid w:val="62917095"/>
    <w:rsid w:val="62922E0D"/>
    <w:rsid w:val="629253D6"/>
    <w:rsid w:val="629372B1"/>
    <w:rsid w:val="62946B85"/>
    <w:rsid w:val="629642BB"/>
    <w:rsid w:val="62966DA1"/>
    <w:rsid w:val="629679E7"/>
    <w:rsid w:val="629763F9"/>
    <w:rsid w:val="62976675"/>
    <w:rsid w:val="629848C7"/>
    <w:rsid w:val="629B0309"/>
    <w:rsid w:val="629B4B5F"/>
    <w:rsid w:val="629B6165"/>
    <w:rsid w:val="629E2A4D"/>
    <w:rsid w:val="62A0552A"/>
    <w:rsid w:val="62A212A2"/>
    <w:rsid w:val="62A30D63"/>
    <w:rsid w:val="62A3326C"/>
    <w:rsid w:val="62A50C52"/>
    <w:rsid w:val="62A50D92"/>
    <w:rsid w:val="62A56FE4"/>
    <w:rsid w:val="62A74B0A"/>
    <w:rsid w:val="62A82D70"/>
    <w:rsid w:val="62A85F07"/>
    <w:rsid w:val="62AA2731"/>
    <w:rsid w:val="62AB2E9F"/>
    <w:rsid w:val="62AD7C47"/>
    <w:rsid w:val="62AE2457"/>
    <w:rsid w:val="62AE5E99"/>
    <w:rsid w:val="62AF1C11"/>
    <w:rsid w:val="62B077DE"/>
    <w:rsid w:val="62B154A9"/>
    <w:rsid w:val="62B15989"/>
    <w:rsid w:val="62B16637"/>
    <w:rsid w:val="62B31701"/>
    <w:rsid w:val="62B40F6D"/>
    <w:rsid w:val="62B42BA3"/>
    <w:rsid w:val="62B62F9F"/>
    <w:rsid w:val="62B66AFB"/>
    <w:rsid w:val="62B7405C"/>
    <w:rsid w:val="62B861C5"/>
    <w:rsid w:val="62BB0009"/>
    <w:rsid w:val="62BB109C"/>
    <w:rsid w:val="62BB6808"/>
    <w:rsid w:val="62BC7E8A"/>
    <w:rsid w:val="62BE3971"/>
    <w:rsid w:val="62C05BCC"/>
    <w:rsid w:val="62C0797A"/>
    <w:rsid w:val="62C27B96"/>
    <w:rsid w:val="62C36E50"/>
    <w:rsid w:val="62C51434"/>
    <w:rsid w:val="62C6396E"/>
    <w:rsid w:val="62CA25A7"/>
    <w:rsid w:val="62CC5ACB"/>
    <w:rsid w:val="62CC631F"/>
    <w:rsid w:val="62CD6F5B"/>
    <w:rsid w:val="62CF4061"/>
    <w:rsid w:val="62D022B3"/>
    <w:rsid w:val="62D263B2"/>
    <w:rsid w:val="62D8406E"/>
    <w:rsid w:val="62DC55C0"/>
    <w:rsid w:val="62DD43B4"/>
    <w:rsid w:val="62DE42A4"/>
    <w:rsid w:val="62DE6052"/>
    <w:rsid w:val="62E02800"/>
    <w:rsid w:val="62E0626E"/>
    <w:rsid w:val="62E102DC"/>
    <w:rsid w:val="62E13C90"/>
    <w:rsid w:val="62E21FE6"/>
    <w:rsid w:val="62E33669"/>
    <w:rsid w:val="62E46D8B"/>
    <w:rsid w:val="62E81A95"/>
    <w:rsid w:val="62EA0E9B"/>
    <w:rsid w:val="62EA49F7"/>
    <w:rsid w:val="62EC717B"/>
    <w:rsid w:val="62EE44E7"/>
    <w:rsid w:val="62EF3490"/>
    <w:rsid w:val="62F04EC6"/>
    <w:rsid w:val="62F12229"/>
    <w:rsid w:val="62F15D85"/>
    <w:rsid w:val="62F35FA1"/>
    <w:rsid w:val="62F411D9"/>
    <w:rsid w:val="62F5549B"/>
    <w:rsid w:val="62FA7330"/>
    <w:rsid w:val="62FB0257"/>
    <w:rsid w:val="62FB6C04"/>
    <w:rsid w:val="62FD0BCE"/>
    <w:rsid w:val="62FD297C"/>
    <w:rsid w:val="62FF4946"/>
    <w:rsid w:val="630172C5"/>
    <w:rsid w:val="63040DEB"/>
    <w:rsid w:val="63057A83"/>
    <w:rsid w:val="63064B86"/>
    <w:rsid w:val="63065CD5"/>
    <w:rsid w:val="63076D84"/>
    <w:rsid w:val="63082383"/>
    <w:rsid w:val="630E76B6"/>
    <w:rsid w:val="631101D6"/>
    <w:rsid w:val="63112FA0"/>
    <w:rsid w:val="63130260"/>
    <w:rsid w:val="63133F4E"/>
    <w:rsid w:val="63144A9E"/>
    <w:rsid w:val="63147CC6"/>
    <w:rsid w:val="63161C90"/>
    <w:rsid w:val="63167F7D"/>
    <w:rsid w:val="63185A08"/>
    <w:rsid w:val="631B72A6"/>
    <w:rsid w:val="631D27A2"/>
    <w:rsid w:val="631D6B7A"/>
    <w:rsid w:val="631E3D17"/>
    <w:rsid w:val="631F181A"/>
    <w:rsid w:val="63212B0F"/>
    <w:rsid w:val="632254EA"/>
    <w:rsid w:val="63247F09"/>
    <w:rsid w:val="632B573B"/>
    <w:rsid w:val="632B7DE7"/>
    <w:rsid w:val="632C471A"/>
    <w:rsid w:val="632E494B"/>
    <w:rsid w:val="63302D52"/>
    <w:rsid w:val="63352116"/>
    <w:rsid w:val="633565CF"/>
    <w:rsid w:val="63367C3C"/>
    <w:rsid w:val="633839B4"/>
    <w:rsid w:val="633A597E"/>
    <w:rsid w:val="633B746C"/>
    <w:rsid w:val="633D0FCB"/>
    <w:rsid w:val="633D7A4B"/>
    <w:rsid w:val="633F4D43"/>
    <w:rsid w:val="63416D0D"/>
    <w:rsid w:val="63417FD0"/>
    <w:rsid w:val="6342464D"/>
    <w:rsid w:val="63435BFE"/>
    <w:rsid w:val="634405AB"/>
    <w:rsid w:val="634603C6"/>
    <w:rsid w:val="634A36E8"/>
    <w:rsid w:val="634B5CE0"/>
    <w:rsid w:val="634B7B8C"/>
    <w:rsid w:val="634C03F1"/>
    <w:rsid w:val="634C5CEC"/>
    <w:rsid w:val="634C72BA"/>
    <w:rsid w:val="634E31D8"/>
    <w:rsid w:val="634F7668"/>
    <w:rsid w:val="635332D0"/>
    <w:rsid w:val="63534C92"/>
    <w:rsid w:val="63543E6F"/>
    <w:rsid w:val="635602DE"/>
    <w:rsid w:val="63584057"/>
    <w:rsid w:val="63585E05"/>
    <w:rsid w:val="63597C1B"/>
    <w:rsid w:val="635A392B"/>
    <w:rsid w:val="635D166D"/>
    <w:rsid w:val="635D78BF"/>
    <w:rsid w:val="635F7193"/>
    <w:rsid w:val="63604CB9"/>
    <w:rsid w:val="63612F0B"/>
    <w:rsid w:val="63620A31"/>
    <w:rsid w:val="63626C83"/>
    <w:rsid w:val="636429FB"/>
    <w:rsid w:val="63657B08"/>
    <w:rsid w:val="6366413F"/>
    <w:rsid w:val="63691DC0"/>
    <w:rsid w:val="63694C27"/>
    <w:rsid w:val="636D1CC1"/>
    <w:rsid w:val="636E73D6"/>
    <w:rsid w:val="637013A0"/>
    <w:rsid w:val="6370314E"/>
    <w:rsid w:val="6371162A"/>
    <w:rsid w:val="63716EC6"/>
    <w:rsid w:val="637360E5"/>
    <w:rsid w:val="63750765"/>
    <w:rsid w:val="63780255"/>
    <w:rsid w:val="637846F9"/>
    <w:rsid w:val="63785940"/>
    <w:rsid w:val="637864A7"/>
    <w:rsid w:val="637A4B45"/>
    <w:rsid w:val="637B221A"/>
    <w:rsid w:val="637C5473"/>
    <w:rsid w:val="637D7935"/>
    <w:rsid w:val="63827325"/>
    <w:rsid w:val="63846BFA"/>
    <w:rsid w:val="63870498"/>
    <w:rsid w:val="63883BD7"/>
    <w:rsid w:val="6388493C"/>
    <w:rsid w:val="63895F0A"/>
    <w:rsid w:val="638B7F88"/>
    <w:rsid w:val="638E5CCA"/>
    <w:rsid w:val="638F117A"/>
    <w:rsid w:val="63901A42"/>
    <w:rsid w:val="63907A1F"/>
    <w:rsid w:val="639332E1"/>
    <w:rsid w:val="6393508F"/>
    <w:rsid w:val="63952BB5"/>
    <w:rsid w:val="63972DD1"/>
    <w:rsid w:val="63972DF0"/>
    <w:rsid w:val="6397692D"/>
    <w:rsid w:val="639B185C"/>
    <w:rsid w:val="639C0D70"/>
    <w:rsid w:val="639D536F"/>
    <w:rsid w:val="639D6C22"/>
    <w:rsid w:val="639E22E8"/>
    <w:rsid w:val="639F2EA3"/>
    <w:rsid w:val="639F3076"/>
    <w:rsid w:val="639F3A33"/>
    <w:rsid w:val="63A177AC"/>
    <w:rsid w:val="63A23524"/>
    <w:rsid w:val="63A252D2"/>
    <w:rsid w:val="63A259F2"/>
    <w:rsid w:val="63A414BC"/>
    <w:rsid w:val="63A454EE"/>
    <w:rsid w:val="63A70B3A"/>
    <w:rsid w:val="63A948B2"/>
    <w:rsid w:val="63A94DAB"/>
    <w:rsid w:val="63A96660"/>
    <w:rsid w:val="63AA7E44"/>
    <w:rsid w:val="63AC229C"/>
    <w:rsid w:val="63AC7EFE"/>
    <w:rsid w:val="63AF71CF"/>
    <w:rsid w:val="63B05C41"/>
    <w:rsid w:val="63B13877"/>
    <w:rsid w:val="63B1721D"/>
    <w:rsid w:val="63B35731"/>
    <w:rsid w:val="63B520BA"/>
    <w:rsid w:val="63B53257"/>
    <w:rsid w:val="63B5334E"/>
    <w:rsid w:val="63BA4952"/>
    <w:rsid w:val="63BB71C0"/>
    <w:rsid w:val="63C139AA"/>
    <w:rsid w:val="63C17E4E"/>
    <w:rsid w:val="63C35974"/>
    <w:rsid w:val="63C416EC"/>
    <w:rsid w:val="63C4630B"/>
    <w:rsid w:val="63C65464"/>
    <w:rsid w:val="63CA5FE3"/>
    <w:rsid w:val="63CB4828"/>
    <w:rsid w:val="63CB65D6"/>
    <w:rsid w:val="63CD05A1"/>
    <w:rsid w:val="63CE1D05"/>
    <w:rsid w:val="63D01E3F"/>
    <w:rsid w:val="63D1070D"/>
    <w:rsid w:val="63D12ED1"/>
    <w:rsid w:val="63D2399F"/>
    <w:rsid w:val="63D336DD"/>
    <w:rsid w:val="63D538F9"/>
    <w:rsid w:val="63D556A7"/>
    <w:rsid w:val="63D61FAD"/>
    <w:rsid w:val="63D6286E"/>
    <w:rsid w:val="63D63DC8"/>
    <w:rsid w:val="63D74F7B"/>
    <w:rsid w:val="63D92749"/>
    <w:rsid w:val="63DA0F0F"/>
    <w:rsid w:val="63DD630A"/>
    <w:rsid w:val="63DE16B9"/>
    <w:rsid w:val="63DF2082"/>
    <w:rsid w:val="63E02B09"/>
    <w:rsid w:val="63E1404C"/>
    <w:rsid w:val="63E15DFA"/>
    <w:rsid w:val="63E37DC4"/>
    <w:rsid w:val="63E43B3C"/>
    <w:rsid w:val="63E53F33"/>
    <w:rsid w:val="63E853DA"/>
    <w:rsid w:val="63EC3B7F"/>
    <w:rsid w:val="63ED0C43"/>
    <w:rsid w:val="63ED15ED"/>
    <w:rsid w:val="63ED4125"/>
    <w:rsid w:val="63EE0517"/>
    <w:rsid w:val="63F20007"/>
    <w:rsid w:val="63F31247"/>
    <w:rsid w:val="63F54866"/>
    <w:rsid w:val="63F7386F"/>
    <w:rsid w:val="63F73B91"/>
    <w:rsid w:val="63F75527"/>
    <w:rsid w:val="63FA1A82"/>
    <w:rsid w:val="63FA3360"/>
    <w:rsid w:val="63FA6EBC"/>
    <w:rsid w:val="63FC0E86"/>
    <w:rsid w:val="63FC2F4F"/>
    <w:rsid w:val="63FC5A7A"/>
    <w:rsid w:val="63FC658A"/>
    <w:rsid w:val="63FE3A99"/>
    <w:rsid w:val="63FF44D2"/>
    <w:rsid w:val="64026150"/>
    <w:rsid w:val="64032214"/>
    <w:rsid w:val="640857C7"/>
    <w:rsid w:val="640B1B8D"/>
    <w:rsid w:val="640B2E77"/>
    <w:rsid w:val="640B3137"/>
    <w:rsid w:val="640B731B"/>
    <w:rsid w:val="640F120C"/>
    <w:rsid w:val="640F6E0B"/>
    <w:rsid w:val="64103F57"/>
    <w:rsid w:val="641206A9"/>
    <w:rsid w:val="6412144A"/>
    <w:rsid w:val="64153CF6"/>
    <w:rsid w:val="64167B1A"/>
    <w:rsid w:val="64177A6E"/>
    <w:rsid w:val="641A130C"/>
    <w:rsid w:val="641C6E32"/>
    <w:rsid w:val="641F0E7D"/>
    <w:rsid w:val="64204F45"/>
    <w:rsid w:val="642144CB"/>
    <w:rsid w:val="64223903"/>
    <w:rsid w:val="642323F6"/>
    <w:rsid w:val="64237999"/>
    <w:rsid w:val="6424218B"/>
    <w:rsid w:val="64243F39"/>
    <w:rsid w:val="64244C2D"/>
    <w:rsid w:val="64246641"/>
    <w:rsid w:val="64265F03"/>
    <w:rsid w:val="64267CB1"/>
    <w:rsid w:val="642B3519"/>
    <w:rsid w:val="642D09F0"/>
    <w:rsid w:val="64303292"/>
    <w:rsid w:val="64331324"/>
    <w:rsid w:val="64354398"/>
    <w:rsid w:val="64393E88"/>
    <w:rsid w:val="6439544A"/>
    <w:rsid w:val="643A375C"/>
    <w:rsid w:val="643B7C00"/>
    <w:rsid w:val="643E022A"/>
    <w:rsid w:val="643E4FFA"/>
    <w:rsid w:val="64403609"/>
    <w:rsid w:val="64414AEB"/>
    <w:rsid w:val="64422457"/>
    <w:rsid w:val="64446389"/>
    <w:rsid w:val="644665A5"/>
    <w:rsid w:val="644840CB"/>
    <w:rsid w:val="64494D51"/>
    <w:rsid w:val="644A7E43"/>
    <w:rsid w:val="644C3BBB"/>
    <w:rsid w:val="644C5D0C"/>
    <w:rsid w:val="644E593C"/>
    <w:rsid w:val="644F13EC"/>
    <w:rsid w:val="644F46F3"/>
    <w:rsid w:val="64515953"/>
    <w:rsid w:val="64523FF6"/>
    <w:rsid w:val="64530AA3"/>
    <w:rsid w:val="64545F45"/>
    <w:rsid w:val="64553B1D"/>
    <w:rsid w:val="645726DD"/>
    <w:rsid w:val="645760BC"/>
    <w:rsid w:val="64582953"/>
    <w:rsid w:val="64583414"/>
    <w:rsid w:val="645C4B95"/>
    <w:rsid w:val="645E744B"/>
    <w:rsid w:val="646031C3"/>
    <w:rsid w:val="64610CE9"/>
    <w:rsid w:val="6461518D"/>
    <w:rsid w:val="64616F3B"/>
    <w:rsid w:val="6463123F"/>
    <w:rsid w:val="64654C7D"/>
    <w:rsid w:val="64680476"/>
    <w:rsid w:val="64680B03"/>
    <w:rsid w:val="64691F93"/>
    <w:rsid w:val="646A2451"/>
    <w:rsid w:val="646D1D84"/>
    <w:rsid w:val="646E3234"/>
    <w:rsid w:val="646F3406"/>
    <w:rsid w:val="646F6DC6"/>
    <w:rsid w:val="6470717E"/>
    <w:rsid w:val="64713622"/>
    <w:rsid w:val="64725738"/>
    <w:rsid w:val="64744152"/>
    <w:rsid w:val="64752A78"/>
    <w:rsid w:val="6477675E"/>
    <w:rsid w:val="647829F1"/>
    <w:rsid w:val="647924D6"/>
    <w:rsid w:val="647C4997"/>
    <w:rsid w:val="647F564A"/>
    <w:rsid w:val="64803865"/>
    <w:rsid w:val="64835103"/>
    <w:rsid w:val="64852C29"/>
    <w:rsid w:val="64864DA3"/>
    <w:rsid w:val="648A7F25"/>
    <w:rsid w:val="648C2BC2"/>
    <w:rsid w:val="648C4BF6"/>
    <w:rsid w:val="648D1FCA"/>
    <w:rsid w:val="648D7896"/>
    <w:rsid w:val="64931193"/>
    <w:rsid w:val="649317EA"/>
    <w:rsid w:val="64944E89"/>
    <w:rsid w:val="649966D5"/>
    <w:rsid w:val="649B41FB"/>
    <w:rsid w:val="649C451E"/>
    <w:rsid w:val="649C61C5"/>
    <w:rsid w:val="649C7F73"/>
    <w:rsid w:val="649E1F3D"/>
    <w:rsid w:val="64A01811"/>
    <w:rsid w:val="64A271B2"/>
    <w:rsid w:val="64A357A5"/>
    <w:rsid w:val="64A36185"/>
    <w:rsid w:val="64A42263"/>
    <w:rsid w:val="64A55079"/>
    <w:rsid w:val="64A76148"/>
    <w:rsid w:val="64A84B6A"/>
    <w:rsid w:val="64A85D79"/>
    <w:rsid w:val="64AA08E2"/>
    <w:rsid w:val="64AB4917"/>
    <w:rsid w:val="64AC2B78"/>
    <w:rsid w:val="64AC465A"/>
    <w:rsid w:val="64AD03D2"/>
    <w:rsid w:val="64AD2180"/>
    <w:rsid w:val="64AF5EF8"/>
    <w:rsid w:val="64AF7CA6"/>
    <w:rsid w:val="64B21544"/>
    <w:rsid w:val="64B4185A"/>
    <w:rsid w:val="64B50B87"/>
    <w:rsid w:val="64B67287"/>
    <w:rsid w:val="64B70CC9"/>
    <w:rsid w:val="64B96D77"/>
    <w:rsid w:val="64BC415B"/>
    <w:rsid w:val="64BD21CB"/>
    <w:rsid w:val="64BE2D8D"/>
    <w:rsid w:val="64C00105"/>
    <w:rsid w:val="64C33752"/>
    <w:rsid w:val="64C3582E"/>
    <w:rsid w:val="64C5396E"/>
    <w:rsid w:val="64C5571C"/>
    <w:rsid w:val="64C73242"/>
    <w:rsid w:val="64C86FBA"/>
    <w:rsid w:val="64CA4AE0"/>
    <w:rsid w:val="64CB7B8C"/>
    <w:rsid w:val="64CD45D0"/>
    <w:rsid w:val="64CF659A"/>
    <w:rsid w:val="64D13A7A"/>
    <w:rsid w:val="64D21BE7"/>
    <w:rsid w:val="64D4770D"/>
    <w:rsid w:val="64D608B5"/>
    <w:rsid w:val="64D63485"/>
    <w:rsid w:val="64D75934"/>
    <w:rsid w:val="64D836A1"/>
    <w:rsid w:val="64DB6CED"/>
    <w:rsid w:val="64E02555"/>
    <w:rsid w:val="64E078AA"/>
    <w:rsid w:val="64E41ED7"/>
    <w:rsid w:val="64E43C68"/>
    <w:rsid w:val="64E536A9"/>
    <w:rsid w:val="64E625FE"/>
    <w:rsid w:val="64E63914"/>
    <w:rsid w:val="64E9765C"/>
    <w:rsid w:val="64EB57DF"/>
    <w:rsid w:val="64EC0EFA"/>
    <w:rsid w:val="64EE6A20"/>
    <w:rsid w:val="64F102BF"/>
    <w:rsid w:val="64F1206D"/>
    <w:rsid w:val="64F20CD0"/>
    <w:rsid w:val="64F34037"/>
    <w:rsid w:val="64F41B5D"/>
    <w:rsid w:val="64F63B27"/>
    <w:rsid w:val="64F7034C"/>
    <w:rsid w:val="64F733FB"/>
    <w:rsid w:val="64F909E0"/>
    <w:rsid w:val="64F953C5"/>
    <w:rsid w:val="64FA583D"/>
    <w:rsid w:val="64FB2EEB"/>
    <w:rsid w:val="64FD4EB5"/>
    <w:rsid w:val="64FF1BD5"/>
    <w:rsid w:val="65002574"/>
    <w:rsid w:val="65006754"/>
    <w:rsid w:val="65011C14"/>
    <w:rsid w:val="6502427A"/>
    <w:rsid w:val="65031979"/>
    <w:rsid w:val="65034879"/>
    <w:rsid w:val="650414C0"/>
    <w:rsid w:val="65046244"/>
    <w:rsid w:val="65053D6A"/>
    <w:rsid w:val="650820A5"/>
    <w:rsid w:val="65085608"/>
    <w:rsid w:val="6509385A"/>
    <w:rsid w:val="650B7202"/>
    <w:rsid w:val="650C334B"/>
    <w:rsid w:val="650C6EA7"/>
    <w:rsid w:val="650E0E71"/>
    <w:rsid w:val="6513594B"/>
    <w:rsid w:val="65142FE7"/>
    <w:rsid w:val="651641C9"/>
    <w:rsid w:val="65165F77"/>
    <w:rsid w:val="65167D25"/>
    <w:rsid w:val="65183A9D"/>
    <w:rsid w:val="6518497C"/>
    <w:rsid w:val="651A5A67"/>
    <w:rsid w:val="651B4B76"/>
    <w:rsid w:val="651D10B4"/>
    <w:rsid w:val="652201F3"/>
    <w:rsid w:val="652341F0"/>
    <w:rsid w:val="65240694"/>
    <w:rsid w:val="65242442"/>
    <w:rsid w:val="65257F68"/>
    <w:rsid w:val="652626E5"/>
    <w:rsid w:val="6526485A"/>
    <w:rsid w:val="65293EFC"/>
    <w:rsid w:val="652E758D"/>
    <w:rsid w:val="652F5BBD"/>
    <w:rsid w:val="652F6884"/>
    <w:rsid w:val="652F7039"/>
    <w:rsid w:val="653246A1"/>
    <w:rsid w:val="65332685"/>
    <w:rsid w:val="653502EE"/>
    <w:rsid w:val="653528A1"/>
    <w:rsid w:val="6535464F"/>
    <w:rsid w:val="653554AD"/>
    <w:rsid w:val="6536177E"/>
    <w:rsid w:val="65362175"/>
    <w:rsid w:val="653A2DB6"/>
    <w:rsid w:val="653A76A0"/>
    <w:rsid w:val="653C55F0"/>
    <w:rsid w:val="653E7A06"/>
    <w:rsid w:val="65400043"/>
    <w:rsid w:val="65422AAA"/>
    <w:rsid w:val="65424FBE"/>
    <w:rsid w:val="65443D69"/>
    <w:rsid w:val="6545060B"/>
    <w:rsid w:val="6546685C"/>
    <w:rsid w:val="65466B67"/>
    <w:rsid w:val="654725D5"/>
    <w:rsid w:val="65476131"/>
    <w:rsid w:val="654900FB"/>
    <w:rsid w:val="6549634D"/>
    <w:rsid w:val="654D096B"/>
    <w:rsid w:val="654E0E46"/>
    <w:rsid w:val="654E74BF"/>
    <w:rsid w:val="654F4FE5"/>
    <w:rsid w:val="65511E0E"/>
    <w:rsid w:val="655230FA"/>
    <w:rsid w:val="65524D5E"/>
    <w:rsid w:val="655820EC"/>
    <w:rsid w:val="65584B18"/>
    <w:rsid w:val="65595867"/>
    <w:rsid w:val="655D2ECE"/>
    <w:rsid w:val="655D4E8B"/>
    <w:rsid w:val="655D7702"/>
    <w:rsid w:val="655E4832"/>
    <w:rsid w:val="655F791E"/>
    <w:rsid w:val="65605444"/>
    <w:rsid w:val="65616E4A"/>
    <w:rsid w:val="65617CEE"/>
    <w:rsid w:val="65640A91"/>
    <w:rsid w:val="65644F35"/>
    <w:rsid w:val="656767D3"/>
    <w:rsid w:val="65680ABF"/>
    <w:rsid w:val="6569254B"/>
    <w:rsid w:val="656C3DE9"/>
    <w:rsid w:val="656C4713"/>
    <w:rsid w:val="656C52F5"/>
    <w:rsid w:val="656C5B97"/>
    <w:rsid w:val="656F19FF"/>
    <w:rsid w:val="65711400"/>
    <w:rsid w:val="65717652"/>
    <w:rsid w:val="65744A4C"/>
    <w:rsid w:val="65764C68"/>
    <w:rsid w:val="6577439A"/>
    <w:rsid w:val="65774CFF"/>
    <w:rsid w:val="657809E0"/>
    <w:rsid w:val="657A0163"/>
    <w:rsid w:val="657A0385"/>
    <w:rsid w:val="657A4508"/>
    <w:rsid w:val="657D7DA4"/>
    <w:rsid w:val="657E1FD5"/>
    <w:rsid w:val="657F1D6E"/>
    <w:rsid w:val="65827169"/>
    <w:rsid w:val="65836819"/>
    <w:rsid w:val="65844433"/>
    <w:rsid w:val="65856C59"/>
    <w:rsid w:val="658669F4"/>
    <w:rsid w:val="65876E75"/>
    <w:rsid w:val="65877F6A"/>
    <w:rsid w:val="65883BF7"/>
    <w:rsid w:val="658B24C1"/>
    <w:rsid w:val="658D65D9"/>
    <w:rsid w:val="658F24E8"/>
    <w:rsid w:val="658F73AE"/>
    <w:rsid w:val="65913850"/>
    <w:rsid w:val="659550EE"/>
    <w:rsid w:val="65964ABA"/>
    <w:rsid w:val="65970B1B"/>
    <w:rsid w:val="65982E30"/>
    <w:rsid w:val="6598698C"/>
    <w:rsid w:val="659A0956"/>
    <w:rsid w:val="659C19B4"/>
    <w:rsid w:val="65A05841"/>
    <w:rsid w:val="65A2780B"/>
    <w:rsid w:val="65A32FEC"/>
    <w:rsid w:val="65A60E34"/>
    <w:rsid w:val="65A672FB"/>
    <w:rsid w:val="65A7768C"/>
    <w:rsid w:val="65A84BC1"/>
    <w:rsid w:val="65AB2B63"/>
    <w:rsid w:val="65AB66C0"/>
    <w:rsid w:val="65AC068A"/>
    <w:rsid w:val="65AE4402"/>
    <w:rsid w:val="65AE7F5E"/>
    <w:rsid w:val="65AF1BBE"/>
    <w:rsid w:val="65B17A4E"/>
    <w:rsid w:val="65B307AB"/>
    <w:rsid w:val="65B37C6A"/>
    <w:rsid w:val="65B56E22"/>
    <w:rsid w:val="65B6346B"/>
    <w:rsid w:val="65B63AF5"/>
    <w:rsid w:val="65BA2DA7"/>
    <w:rsid w:val="65BA4B55"/>
    <w:rsid w:val="65BD4645"/>
    <w:rsid w:val="65BF1C47"/>
    <w:rsid w:val="65BF216B"/>
    <w:rsid w:val="65C23B42"/>
    <w:rsid w:val="65C72A7B"/>
    <w:rsid w:val="65C82528"/>
    <w:rsid w:val="65C854C3"/>
    <w:rsid w:val="65C874F7"/>
    <w:rsid w:val="65C92FEA"/>
    <w:rsid w:val="65CA39AA"/>
    <w:rsid w:val="65CC4888"/>
    <w:rsid w:val="65CD13D8"/>
    <w:rsid w:val="65CE0600"/>
    <w:rsid w:val="65D0133C"/>
    <w:rsid w:val="65D11E9E"/>
    <w:rsid w:val="65D34490"/>
    <w:rsid w:val="65DB7F6A"/>
    <w:rsid w:val="65DF5E81"/>
    <w:rsid w:val="65E04199"/>
    <w:rsid w:val="65E16585"/>
    <w:rsid w:val="65E322FD"/>
    <w:rsid w:val="65E70F67"/>
    <w:rsid w:val="65E76E3D"/>
    <w:rsid w:val="65E816C2"/>
    <w:rsid w:val="65E847F7"/>
    <w:rsid w:val="65E87914"/>
    <w:rsid w:val="65E9543A"/>
    <w:rsid w:val="65E961EC"/>
    <w:rsid w:val="65EC0485"/>
    <w:rsid w:val="65EC1E02"/>
    <w:rsid w:val="65EE47FE"/>
    <w:rsid w:val="65EF1956"/>
    <w:rsid w:val="65F154AE"/>
    <w:rsid w:val="65F659AF"/>
    <w:rsid w:val="65F729C7"/>
    <w:rsid w:val="65F91B21"/>
    <w:rsid w:val="65FA7647"/>
    <w:rsid w:val="65FB00E6"/>
    <w:rsid w:val="65FC33BF"/>
    <w:rsid w:val="65FE7137"/>
    <w:rsid w:val="66012783"/>
    <w:rsid w:val="66014531"/>
    <w:rsid w:val="660202AA"/>
    <w:rsid w:val="66021084"/>
    <w:rsid w:val="66023AC3"/>
    <w:rsid w:val="6603474E"/>
    <w:rsid w:val="660409AD"/>
    <w:rsid w:val="66070380"/>
    <w:rsid w:val="660758C0"/>
    <w:rsid w:val="660D1128"/>
    <w:rsid w:val="660E238F"/>
    <w:rsid w:val="660E4EA0"/>
    <w:rsid w:val="660F4DA3"/>
    <w:rsid w:val="661648CC"/>
    <w:rsid w:val="6618187B"/>
    <w:rsid w:val="661A1A97"/>
    <w:rsid w:val="661A3845"/>
    <w:rsid w:val="661C336D"/>
    <w:rsid w:val="661E50E3"/>
    <w:rsid w:val="661E5B72"/>
    <w:rsid w:val="66220CB5"/>
    <w:rsid w:val="66226F6C"/>
    <w:rsid w:val="66236B9E"/>
    <w:rsid w:val="6624022C"/>
    <w:rsid w:val="66265D31"/>
    <w:rsid w:val="66285A3B"/>
    <w:rsid w:val="662D17CA"/>
    <w:rsid w:val="662D24A3"/>
    <w:rsid w:val="662F5543"/>
    <w:rsid w:val="66304E17"/>
    <w:rsid w:val="6632091E"/>
    <w:rsid w:val="66324980"/>
    <w:rsid w:val="66341457"/>
    <w:rsid w:val="66346C0F"/>
    <w:rsid w:val="6635242D"/>
    <w:rsid w:val="66364528"/>
    <w:rsid w:val="663743F7"/>
    <w:rsid w:val="6639087E"/>
    <w:rsid w:val="663A3EE7"/>
    <w:rsid w:val="663B6E2C"/>
    <w:rsid w:val="663C1A0D"/>
    <w:rsid w:val="663C37BC"/>
    <w:rsid w:val="663E515C"/>
    <w:rsid w:val="663F32AC"/>
    <w:rsid w:val="66427B3E"/>
    <w:rsid w:val="66430633"/>
    <w:rsid w:val="66460B4F"/>
    <w:rsid w:val="664A237C"/>
    <w:rsid w:val="664B7EA3"/>
    <w:rsid w:val="664D17C5"/>
    <w:rsid w:val="664D3C1B"/>
    <w:rsid w:val="664E60E1"/>
    <w:rsid w:val="664F7571"/>
    <w:rsid w:val="66524D8D"/>
    <w:rsid w:val="66540B05"/>
    <w:rsid w:val="66560D21"/>
    <w:rsid w:val="665723A3"/>
    <w:rsid w:val="665A1E94"/>
    <w:rsid w:val="665B3AE5"/>
    <w:rsid w:val="665C3E5E"/>
    <w:rsid w:val="665C5C0C"/>
    <w:rsid w:val="665C68CF"/>
    <w:rsid w:val="665E3732"/>
    <w:rsid w:val="665E72B8"/>
    <w:rsid w:val="665F56FC"/>
    <w:rsid w:val="665F74AA"/>
    <w:rsid w:val="6663687B"/>
    <w:rsid w:val="66660838"/>
    <w:rsid w:val="66664368"/>
    <w:rsid w:val="666A2EE1"/>
    <w:rsid w:val="666A4039"/>
    <w:rsid w:val="666A657B"/>
    <w:rsid w:val="666B5609"/>
    <w:rsid w:val="666B5E4F"/>
    <w:rsid w:val="666C2CE2"/>
    <w:rsid w:val="666D2917"/>
    <w:rsid w:val="66703465"/>
    <w:rsid w:val="667167B1"/>
    <w:rsid w:val="6672542F"/>
    <w:rsid w:val="667411A7"/>
    <w:rsid w:val="66742F55"/>
    <w:rsid w:val="667473F9"/>
    <w:rsid w:val="66761278"/>
    <w:rsid w:val="66772A46"/>
    <w:rsid w:val="6679056C"/>
    <w:rsid w:val="667B0788"/>
    <w:rsid w:val="667C4500"/>
    <w:rsid w:val="667C58A4"/>
    <w:rsid w:val="667F4F0E"/>
    <w:rsid w:val="667F7BFC"/>
    <w:rsid w:val="66807B4C"/>
    <w:rsid w:val="66851A02"/>
    <w:rsid w:val="6686712D"/>
    <w:rsid w:val="66882EA5"/>
    <w:rsid w:val="66886271"/>
    <w:rsid w:val="668A09CB"/>
    <w:rsid w:val="668A0DFC"/>
    <w:rsid w:val="668E3BC7"/>
    <w:rsid w:val="6694729E"/>
    <w:rsid w:val="6695111E"/>
    <w:rsid w:val="669730E8"/>
    <w:rsid w:val="669D1DE5"/>
    <w:rsid w:val="669E3068"/>
    <w:rsid w:val="669E6224"/>
    <w:rsid w:val="669E6427"/>
    <w:rsid w:val="66A15D14"/>
    <w:rsid w:val="66A202A8"/>
    <w:rsid w:val="66A6332B"/>
    <w:rsid w:val="66A7157D"/>
    <w:rsid w:val="66A82BFF"/>
    <w:rsid w:val="66AB0941"/>
    <w:rsid w:val="66AB741B"/>
    <w:rsid w:val="66AC7169"/>
    <w:rsid w:val="66AD6727"/>
    <w:rsid w:val="66AD68DD"/>
    <w:rsid w:val="66AF0431"/>
    <w:rsid w:val="66AF4584"/>
    <w:rsid w:val="66B23A7E"/>
    <w:rsid w:val="66B912B0"/>
    <w:rsid w:val="66B9305E"/>
    <w:rsid w:val="66B94E0C"/>
    <w:rsid w:val="66B95879"/>
    <w:rsid w:val="66BA1100"/>
    <w:rsid w:val="66BA1EE1"/>
    <w:rsid w:val="66BE0674"/>
    <w:rsid w:val="66C20165"/>
    <w:rsid w:val="66C31709"/>
    <w:rsid w:val="66C51A03"/>
    <w:rsid w:val="66C618D3"/>
    <w:rsid w:val="66CA0DC7"/>
    <w:rsid w:val="66CA6024"/>
    <w:rsid w:val="66CA7019"/>
    <w:rsid w:val="66CB0F6B"/>
    <w:rsid w:val="66CC0FE3"/>
    <w:rsid w:val="66CD279E"/>
    <w:rsid w:val="66CD4D5B"/>
    <w:rsid w:val="66CF2882"/>
    <w:rsid w:val="66CF4630"/>
    <w:rsid w:val="66CF4C69"/>
    <w:rsid w:val="66D1515F"/>
    <w:rsid w:val="66D15B2A"/>
    <w:rsid w:val="66D4362D"/>
    <w:rsid w:val="66D47FB9"/>
    <w:rsid w:val="66D51044"/>
    <w:rsid w:val="66D51E65"/>
    <w:rsid w:val="66D659BE"/>
    <w:rsid w:val="66D734E4"/>
    <w:rsid w:val="66D87988"/>
    <w:rsid w:val="66D95820"/>
    <w:rsid w:val="66DA2297"/>
    <w:rsid w:val="66DB4742"/>
    <w:rsid w:val="66DC6450"/>
    <w:rsid w:val="66E005EB"/>
    <w:rsid w:val="66E01E43"/>
    <w:rsid w:val="66E0683D"/>
    <w:rsid w:val="66E159EC"/>
    <w:rsid w:val="66E1692D"/>
    <w:rsid w:val="66E225B5"/>
    <w:rsid w:val="66E300DB"/>
    <w:rsid w:val="66E32002"/>
    <w:rsid w:val="66E55C01"/>
    <w:rsid w:val="66E74612"/>
    <w:rsid w:val="66E76888"/>
    <w:rsid w:val="66E83943"/>
    <w:rsid w:val="66E856F1"/>
    <w:rsid w:val="66EA1469"/>
    <w:rsid w:val="66EA3218"/>
    <w:rsid w:val="66EA6A9E"/>
    <w:rsid w:val="66EA76BB"/>
    <w:rsid w:val="66ED2D08"/>
    <w:rsid w:val="66ED4AB6"/>
    <w:rsid w:val="66F038E4"/>
    <w:rsid w:val="66F0766F"/>
    <w:rsid w:val="66F32F5D"/>
    <w:rsid w:val="66F43399"/>
    <w:rsid w:val="66F44096"/>
    <w:rsid w:val="66F66782"/>
    <w:rsid w:val="66F67E0E"/>
    <w:rsid w:val="66F877A3"/>
    <w:rsid w:val="66FB2CB1"/>
    <w:rsid w:val="66FB3677"/>
    <w:rsid w:val="66FB71D3"/>
    <w:rsid w:val="66FD73EF"/>
    <w:rsid w:val="66FE4F14"/>
    <w:rsid w:val="66FE6CC3"/>
    <w:rsid w:val="67006EDF"/>
    <w:rsid w:val="67010561"/>
    <w:rsid w:val="670342D9"/>
    <w:rsid w:val="67042216"/>
    <w:rsid w:val="670562A3"/>
    <w:rsid w:val="67073DC9"/>
    <w:rsid w:val="67095D94"/>
    <w:rsid w:val="67096FBE"/>
    <w:rsid w:val="670A08C9"/>
    <w:rsid w:val="670B4947"/>
    <w:rsid w:val="670C5884"/>
    <w:rsid w:val="670D6F06"/>
    <w:rsid w:val="670F2C7E"/>
    <w:rsid w:val="670F6AFA"/>
    <w:rsid w:val="670F7122"/>
    <w:rsid w:val="67100146"/>
    <w:rsid w:val="6710744D"/>
    <w:rsid w:val="67117F8B"/>
    <w:rsid w:val="671209C5"/>
    <w:rsid w:val="6712451C"/>
    <w:rsid w:val="671309C0"/>
    <w:rsid w:val="67157476"/>
    <w:rsid w:val="671604B0"/>
    <w:rsid w:val="67177D85"/>
    <w:rsid w:val="67185FD7"/>
    <w:rsid w:val="671A1C51"/>
    <w:rsid w:val="671F424D"/>
    <w:rsid w:val="671F55B7"/>
    <w:rsid w:val="672030DD"/>
    <w:rsid w:val="67204E8B"/>
    <w:rsid w:val="67222BCE"/>
    <w:rsid w:val="672506F4"/>
    <w:rsid w:val="6727621A"/>
    <w:rsid w:val="67281F92"/>
    <w:rsid w:val="67287B93"/>
    <w:rsid w:val="672A5D0A"/>
    <w:rsid w:val="672A7AB8"/>
    <w:rsid w:val="672C743A"/>
    <w:rsid w:val="672C7CD4"/>
    <w:rsid w:val="672D4F56"/>
    <w:rsid w:val="672D7755"/>
    <w:rsid w:val="672F1572"/>
    <w:rsid w:val="672F50CE"/>
    <w:rsid w:val="6732696D"/>
    <w:rsid w:val="67340937"/>
    <w:rsid w:val="67346B89"/>
    <w:rsid w:val="67351587"/>
    <w:rsid w:val="6736645D"/>
    <w:rsid w:val="67386679"/>
    <w:rsid w:val="67392596"/>
    <w:rsid w:val="673954E5"/>
    <w:rsid w:val="673C1C95"/>
    <w:rsid w:val="673E1485"/>
    <w:rsid w:val="6740552D"/>
    <w:rsid w:val="674072DB"/>
    <w:rsid w:val="67423054"/>
    <w:rsid w:val="67430E90"/>
    <w:rsid w:val="67450B39"/>
    <w:rsid w:val="67452B44"/>
    <w:rsid w:val="67455F68"/>
    <w:rsid w:val="674566A0"/>
    <w:rsid w:val="67472418"/>
    <w:rsid w:val="674758CC"/>
    <w:rsid w:val="67486190"/>
    <w:rsid w:val="67492634"/>
    <w:rsid w:val="674A015A"/>
    <w:rsid w:val="674C0FFA"/>
    <w:rsid w:val="674C3ED2"/>
    <w:rsid w:val="674E19F8"/>
    <w:rsid w:val="6751773B"/>
    <w:rsid w:val="67525382"/>
    <w:rsid w:val="675445CD"/>
    <w:rsid w:val="67564D51"/>
    <w:rsid w:val="6759039D"/>
    <w:rsid w:val="675A65EF"/>
    <w:rsid w:val="675B2171"/>
    <w:rsid w:val="675D1568"/>
    <w:rsid w:val="675D1C3B"/>
    <w:rsid w:val="675F3C06"/>
    <w:rsid w:val="676034DA"/>
    <w:rsid w:val="6760797E"/>
    <w:rsid w:val="67642FCA"/>
    <w:rsid w:val="67650AF0"/>
    <w:rsid w:val="67656D42"/>
    <w:rsid w:val="6768033F"/>
    <w:rsid w:val="676820D2"/>
    <w:rsid w:val="676B07FC"/>
    <w:rsid w:val="676B24BF"/>
    <w:rsid w:val="676C1E7F"/>
    <w:rsid w:val="676D2C1E"/>
    <w:rsid w:val="676F196F"/>
    <w:rsid w:val="677376B1"/>
    <w:rsid w:val="677451B8"/>
    <w:rsid w:val="6776238C"/>
    <w:rsid w:val="67786A75"/>
    <w:rsid w:val="67794E58"/>
    <w:rsid w:val="67796717"/>
    <w:rsid w:val="67796FA3"/>
    <w:rsid w:val="677B12E0"/>
    <w:rsid w:val="677B4656"/>
    <w:rsid w:val="677B6565"/>
    <w:rsid w:val="677D3F37"/>
    <w:rsid w:val="677D408C"/>
    <w:rsid w:val="678216A2"/>
    <w:rsid w:val="678243B9"/>
    <w:rsid w:val="67851192"/>
    <w:rsid w:val="67860861"/>
    <w:rsid w:val="67876CB8"/>
    <w:rsid w:val="67890C82"/>
    <w:rsid w:val="67897A87"/>
    <w:rsid w:val="678A4ED6"/>
    <w:rsid w:val="678D0812"/>
    <w:rsid w:val="678E364A"/>
    <w:rsid w:val="678E6299"/>
    <w:rsid w:val="678F3DBF"/>
    <w:rsid w:val="67900263"/>
    <w:rsid w:val="67902011"/>
    <w:rsid w:val="6791456F"/>
    <w:rsid w:val="67931B01"/>
    <w:rsid w:val="6796514D"/>
    <w:rsid w:val="679A69EC"/>
    <w:rsid w:val="679D38CF"/>
    <w:rsid w:val="679D64DC"/>
    <w:rsid w:val="679F2254"/>
    <w:rsid w:val="67A1421E"/>
    <w:rsid w:val="67A252D2"/>
    <w:rsid w:val="67A27F96"/>
    <w:rsid w:val="67A6044B"/>
    <w:rsid w:val="67A66AB2"/>
    <w:rsid w:val="67A75305"/>
    <w:rsid w:val="67A755AC"/>
    <w:rsid w:val="67A76C4F"/>
    <w:rsid w:val="67A7735B"/>
    <w:rsid w:val="67A91325"/>
    <w:rsid w:val="67A94E81"/>
    <w:rsid w:val="67AA29A7"/>
    <w:rsid w:val="67AA6371"/>
    <w:rsid w:val="67AB412F"/>
    <w:rsid w:val="67AE2497"/>
    <w:rsid w:val="67AE693B"/>
    <w:rsid w:val="67B00EF8"/>
    <w:rsid w:val="67B04461"/>
    <w:rsid w:val="67B11F87"/>
    <w:rsid w:val="67B15885"/>
    <w:rsid w:val="67B37AAD"/>
    <w:rsid w:val="67B46E9D"/>
    <w:rsid w:val="67B51A77"/>
    <w:rsid w:val="67B53825"/>
    <w:rsid w:val="67B54F54"/>
    <w:rsid w:val="67B60D73"/>
    <w:rsid w:val="67B6134C"/>
    <w:rsid w:val="67B80C1A"/>
    <w:rsid w:val="67B95BF1"/>
    <w:rsid w:val="67BA0E3C"/>
    <w:rsid w:val="67BC1058"/>
    <w:rsid w:val="67BD0384"/>
    <w:rsid w:val="67BD092C"/>
    <w:rsid w:val="67BD6B7E"/>
    <w:rsid w:val="67BF6452"/>
    <w:rsid w:val="67C036F4"/>
    <w:rsid w:val="67C20404"/>
    <w:rsid w:val="67C25449"/>
    <w:rsid w:val="67C41CBB"/>
    <w:rsid w:val="67C43179"/>
    <w:rsid w:val="67C47F0C"/>
    <w:rsid w:val="67C73559"/>
    <w:rsid w:val="67C779FD"/>
    <w:rsid w:val="67C9107F"/>
    <w:rsid w:val="67C938CC"/>
    <w:rsid w:val="67C93CEF"/>
    <w:rsid w:val="67C94DD4"/>
    <w:rsid w:val="67CB02D7"/>
    <w:rsid w:val="67CC0B6F"/>
    <w:rsid w:val="67CD5013"/>
    <w:rsid w:val="67CE2B39"/>
    <w:rsid w:val="67CE48E7"/>
    <w:rsid w:val="67CF550E"/>
    <w:rsid w:val="67D0240D"/>
    <w:rsid w:val="67D245D3"/>
    <w:rsid w:val="67D5211A"/>
    <w:rsid w:val="67D55C76"/>
    <w:rsid w:val="67D56AC9"/>
    <w:rsid w:val="67D8638F"/>
    <w:rsid w:val="67DA14DE"/>
    <w:rsid w:val="67DD5D33"/>
    <w:rsid w:val="67DE6058"/>
    <w:rsid w:val="67DF4D46"/>
    <w:rsid w:val="67DF6F78"/>
    <w:rsid w:val="67E00D0D"/>
    <w:rsid w:val="67E4235D"/>
    <w:rsid w:val="67E4410B"/>
    <w:rsid w:val="67E66902"/>
    <w:rsid w:val="67E73BFB"/>
    <w:rsid w:val="67E759A9"/>
    <w:rsid w:val="67EE31DB"/>
    <w:rsid w:val="67EE3FDC"/>
    <w:rsid w:val="67F146F6"/>
    <w:rsid w:val="67F31B12"/>
    <w:rsid w:val="67F325A0"/>
    <w:rsid w:val="67F521C9"/>
    <w:rsid w:val="67F60955"/>
    <w:rsid w:val="67F80B6B"/>
    <w:rsid w:val="67F81964"/>
    <w:rsid w:val="67FA0350"/>
    <w:rsid w:val="67FA69AA"/>
    <w:rsid w:val="67FB3202"/>
    <w:rsid w:val="67FC62FD"/>
    <w:rsid w:val="67FE2A02"/>
    <w:rsid w:val="67FF0DF8"/>
    <w:rsid w:val="68000819"/>
    <w:rsid w:val="68016A6B"/>
    <w:rsid w:val="680227E3"/>
    <w:rsid w:val="68025E35"/>
    <w:rsid w:val="6802614C"/>
    <w:rsid w:val="68060525"/>
    <w:rsid w:val="68091DC3"/>
    <w:rsid w:val="68092C9C"/>
    <w:rsid w:val="680A2BF4"/>
    <w:rsid w:val="680B1697"/>
    <w:rsid w:val="68104F00"/>
    <w:rsid w:val="68120C78"/>
    <w:rsid w:val="681349F0"/>
    <w:rsid w:val="68150768"/>
    <w:rsid w:val="68152516"/>
    <w:rsid w:val="6817003C"/>
    <w:rsid w:val="681A18DB"/>
    <w:rsid w:val="681A3FD0"/>
    <w:rsid w:val="681A7B2C"/>
    <w:rsid w:val="681C1AF7"/>
    <w:rsid w:val="681D2542"/>
    <w:rsid w:val="681D761D"/>
    <w:rsid w:val="681F15E7"/>
    <w:rsid w:val="681F3270"/>
    <w:rsid w:val="681F5143"/>
    <w:rsid w:val="68212C69"/>
    <w:rsid w:val="68232E85"/>
    <w:rsid w:val="68262975"/>
    <w:rsid w:val="682734AE"/>
    <w:rsid w:val="6828102F"/>
    <w:rsid w:val="6828275E"/>
    <w:rsid w:val="6829511B"/>
    <w:rsid w:val="68297D70"/>
    <w:rsid w:val="682B7F8C"/>
    <w:rsid w:val="682C160E"/>
    <w:rsid w:val="682D3D04"/>
    <w:rsid w:val="682D5AB2"/>
    <w:rsid w:val="682D7860"/>
    <w:rsid w:val="682E35D8"/>
    <w:rsid w:val="683055A2"/>
    <w:rsid w:val="68307350"/>
    <w:rsid w:val="68311133"/>
    <w:rsid w:val="6832131A"/>
    <w:rsid w:val="68325F68"/>
    <w:rsid w:val="68330BEE"/>
    <w:rsid w:val="68332DC5"/>
    <w:rsid w:val="683706DE"/>
    <w:rsid w:val="68376930"/>
    <w:rsid w:val="6838243B"/>
    <w:rsid w:val="68390640"/>
    <w:rsid w:val="683926A8"/>
    <w:rsid w:val="683C3F47"/>
    <w:rsid w:val="683E7CBF"/>
    <w:rsid w:val="68420E31"/>
    <w:rsid w:val="68460921"/>
    <w:rsid w:val="68466B73"/>
    <w:rsid w:val="68486C2D"/>
    <w:rsid w:val="684921C0"/>
    <w:rsid w:val="684A0885"/>
    <w:rsid w:val="684B23DC"/>
    <w:rsid w:val="684D3A5E"/>
    <w:rsid w:val="684E77D6"/>
    <w:rsid w:val="684F3BC9"/>
    <w:rsid w:val="68515464"/>
    <w:rsid w:val="685272C6"/>
    <w:rsid w:val="685968A7"/>
    <w:rsid w:val="685C7BC6"/>
    <w:rsid w:val="68601EC9"/>
    <w:rsid w:val="6864130D"/>
    <w:rsid w:val="68646FFA"/>
    <w:rsid w:val="68660FC4"/>
    <w:rsid w:val="68664B20"/>
    <w:rsid w:val="68680898"/>
    <w:rsid w:val="68684D3C"/>
    <w:rsid w:val="6868662B"/>
    <w:rsid w:val="68694610"/>
    <w:rsid w:val="686B0388"/>
    <w:rsid w:val="686B65DA"/>
    <w:rsid w:val="686D2EEC"/>
    <w:rsid w:val="686E1C26"/>
    <w:rsid w:val="686F7E78"/>
    <w:rsid w:val="6870599E"/>
    <w:rsid w:val="68712662"/>
    <w:rsid w:val="687129E8"/>
    <w:rsid w:val="68726545"/>
    <w:rsid w:val="68735EB7"/>
    <w:rsid w:val="6874548F"/>
    <w:rsid w:val="687471AE"/>
    <w:rsid w:val="68751CD5"/>
    <w:rsid w:val="68785E71"/>
    <w:rsid w:val="68785EE4"/>
    <w:rsid w:val="687C00FB"/>
    <w:rsid w:val="687C07E7"/>
    <w:rsid w:val="687C0A7F"/>
    <w:rsid w:val="687E00BB"/>
    <w:rsid w:val="687E6932"/>
    <w:rsid w:val="687F3E33"/>
    <w:rsid w:val="687F5BE1"/>
    <w:rsid w:val="68817BAC"/>
    <w:rsid w:val="6882401D"/>
    <w:rsid w:val="68830403"/>
    <w:rsid w:val="68850AC9"/>
    <w:rsid w:val="688558EE"/>
    <w:rsid w:val="6887419E"/>
    <w:rsid w:val="68880F3A"/>
    <w:rsid w:val="68884BF7"/>
    <w:rsid w:val="688B086D"/>
    <w:rsid w:val="688B0A2A"/>
    <w:rsid w:val="689123B6"/>
    <w:rsid w:val="68941B38"/>
    <w:rsid w:val="68946CAB"/>
    <w:rsid w:val="6897117D"/>
    <w:rsid w:val="689720E1"/>
    <w:rsid w:val="68972832"/>
    <w:rsid w:val="689773CF"/>
    <w:rsid w:val="689871CF"/>
    <w:rsid w:val="68987FD9"/>
    <w:rsid w:val="68994EF5"/>
    <w:rsid w:val="689B6EBF"/>
    <w:rsid w:val="689C2C37"/>
    <w:rsid w:val="689C49E5"/>
    <w:rsid w:val="689E42BA"/>
    <w:rsid w:val="68A0524E"/>
    <w:rsid w:val="68A13DAA"/>
    <w:rsid w:val="68A5389A"/>
    <w:rsid w:val="68A54626"/>
    <w:rsid w:val="68A54E1F"/>
    <w:rsid w:val="68A67612"/>
    <w:rsid w:val="68A75121"/>
    <w:rsid w:val="68A85138"/>
    <w:rsid w:val="68AA6EC2"/>
    <w:rsid w:val="68AA7102"/>
    <w:rsid w:val="68AC18D5"/>
    <w:rsid w:val="68AD274F"/>
    <w:rsid w:val="68B00491"/>
    <w:rsid w:val="68B0223F"/>
    <w:rsid w:val="68B135A2"/>
    <w:rsid w:val="68B20DEF"/>
    <w:rsid w:val="68B24209"/>
    <w:rsid w:val="68B44B54"/>
    <w:rsid w:val="68B63CF9"/>
    <w:rsid w:val="68B7537B"/>
    <w:rsid w:val="68B93C81"/>
    <w:rsid w:val="68B97345"/>
    <w:rsid w:val="68BF2482"/>
    <w:rsid w:val="68C007D3"/>
    <w:rsid w:val="68C0149A"/>
    <w:rsid w:val="68C0759A"/>
    <w:rsid w:val="68C1444C"/>
    <w:rsid w:val="68C22A13"/>
    <w:rsid w:val="68C24BA3"/>
    <w:rsid w:val="68C262ED"/>
    <w:rsid w:val="68C335B2"/>
    <w:rsid w:val="68C36416"/>
    <w:rsid w:val="68C44649"/>
    <w:rsid w:val="68C47A98"/>
    <w:rsid w:val="68C63810"/>
    <w:rsid w:val="68C879F0"/>
    <w:rsid w:val="68CA4226"/>
    <w:rsid w:val="68CB1093"/>
    <w:rsid w:val="68CB1CCD"/>
    <w:rsid w:val="68CB7079"/>
    <w:rsid w:val="68CF0917"/>
    <w:rsid w:val="68D0468F"/>
    <w:rsid w:val="68D0643D"/>
    <w:rsid w:val="68D20407"/>
    <w:rsid w:val="68D35393"/>
    <w:rsid w:val="68D51FA4"/>
    <w:rsid w:val="68D616BB"/>
    <w:rsid w:val="68D67EF7"/>
    <w:rsid w:val="68D73C6F"/>
    <w:rsid w:val="68D81FCE"/>
    <w:rsid w:val="68D844B1"/>
    <w:rsid w:val="68D91796"/>
    <w:rsid w:val="68DB3760"/>
    <w:rsid w:val="68DC3034"/>
    <w:rsid w:val="68DE4FFE"/>
    <w:rsid w:val="68DE5298"/>
    <w:rsid w:val="68E048D2"/>
    <w:rsid w:val="68E32614"/>
    <w:rsid w:val="68E424F2"/>
    <w:rsid w:val="68E5013A"/>
    <w:rsid w:val="68E677E7"/>
    <w:rsid w:val="68E819D9"/>
    <w:rsid w:val="68E85E7D"/>
    <w:rsid w:val="68E862E0"/>
    <w:rsid w:val="68EA39A3"/>
    <w:rsid w:val="68EA5751"/>
    <w:rsid w:val="68EA6364"/>
    <w:rsid w:val="68ED3855"/>
    <w:rsid w:val="68EF0FB9"/>
    <w:rsid w:val="68EF2D67"/>
    <w:rsid w:val="68EF7BE3"/>
    <w:rsid w:val="68F10E9E"/>
    <w:rsid w:val="68F14D31"/>
    <w:rsid w:val="68F44821"/>
    <w:rsid w:val="68F465CF"/>
    <w:rsid w:val="68F55EA4"/>
    <w:rsid w:val="68F6059A"/>
    <w:rsid w:val="68F77E6E"/>
    <w:rsid w:val="68FA3C57"/>
    <w:rsid w:val="68FB170C"/>
    <w:rsid w:val="68FF35B5"/>
    <w:rsid w:val="69012A9A"/>
    <w:rsid w:val="69036813"/>
    <w:rsid w:val="6905074E"/>
    <w:rsid w:val="6905258B"/>
    <w:rsid w:val="69054339"/>
    <w:rsid w:val="69074555"/>
    <w:rsid w:val="69085BD7"/>
    <w:rsid w:val="69097CDB"/>
    <w:rsid w:val="690A194F"/>
    <w:rsid w:val="690E1EA1"/>
    <w:rsid w:val="69132EFA"/>
    <w:rsid w:val="69145CC4"/>
    <w:rsid w:val="69172000"/>
    <w:rsid w:val="6919251C"/>
    <w:rsid w:val="691C47A5"/>
    <w:rsid w:val="691C7D63"/>
    <w:rsid w:val="691E189E"/>
    <w:rsid w:val="691E364C"/>
    <w:rsid w:val="69205616"/>
    <w:rsid w:val="69224EEB"/>
    <w:rsid w:val="69252C2D"/>
    <w:rsid w:val="69275168"/>
    <w:rsid w:val="69280027"/>
    <w:rsid w:val="69286279"/>
    <w:rsid w:val="692A0243"/>
    <w:rsid w:val="692C6C66"/>
    <w:rsid w:val="692D388F"/>
    <w:rsid w:val="692E3608"/>
    <w:rsid w:val="692F2F5C"/>
    <w:rsid w:val="693115D2"/>
    <w:rsid w:val="6933226E"/>
    <w:rsid w:val="69362744"/>
    <w:rsid w:val="6937496B"/>
    <w:rsid w:val="693A7F09"/>
    <w:rsid w:val="693E5A9D"/>
    <w:rsid w:val="694035C3"/>
    <w:rsid w:val="69447E29"/>
    <w:rsid w:val="69456CBE"/>
    <w:rsid w:val="69456E2B"/>
    <w:rsid w:val="69472BA3"/>
    <w:rsid w:val="694A2693"/>
    <w:rsid w:val="694A61EF"/>
    <w:rsid w:val="694C640B"/>
    <w:rsid w:val="694D6B91"/>
    <w:rsid w:val="694D7A8E"/>
    <w:rsid w:val="694F7CAA"/>
    <w:rsid w:val="695014D6"/>
    <w:rsid w:val="69503271"/>
    <w:rsid w:val="695054C7"/>
    <w:rsid w:val="6951561E"/>
    <w:rsid w:val="695157D0"/>
    <w:rsid w:val="695169A2"/>
    <w:rsid w:val="695462C9"/>
    <w:rsid w:val="69561038"/>
    <w:rsid w:val="69584DB0"/>
    <w:rsid w:val="69586B5E"/>
    <w:rsid w:val="695B664F"/>
    <w:rsid w:val="695D4175"/>
    <w:rsid w:val="695D5F23"/>
    <w:rsid w:val="69601EB7"/>
    <w:rsid w:val="69611C14"/>
    <w:rsid w:val="6965127B"/>
    <w:rsid w:val="69653029"/>
    <w:rsid w:val="696848C8"/>
    <w:rsid w:val="696A0640"/>
    <w:rsid w:val="696A4AE4"/>
    <w:rsid w:val="696C085C"/>
    <w:rsid w:val="696D5485"/>
    <w:rsid w:val="696F5C56"/>
    <w:rsid w:val="697119CE"/>
    <w:rsid w:val="697320E8"/>
    <w:rsid w:val="69733998"/>
    <w:rsid w:val="697414BE"/>
    <w:rsid w:val="69766FE4"/>
    <w:rsid w:val="69780FAF"/>
    <w:rsid w:val="69782D5D"/>
    <w:rsid w:val="697B1894"/>
    <w:rsid w:val="697C5A9F"/>
    <w:rsid w:val="697D0373"/>
    <w:rsid w:val="697F058F"/>
    <w:rsid w:val="697F368C"/>
    <w:rsid w:val="697F745A"/>
    <w:rsid w:val="69820CDA"/>
    <w:rsid w:val="69821E2D"/>
    <w:rsid w:val="69845BC0"/>
    <w:rsid w:val="6986199D"/>
    <w:rsid w:val="69867649"/>
    <w:rsid w:val="698701B1"/>
    <w:rsid w:val="698777DE"/>
    <w:rsid w:val="698C01F4"/>
    <w:rsid w:val="698C2CAC"/>
    <w:rsid w:val="698D4023"/>
    <w:rsid w:val="698F00A6"/>
    <w:rsid w:val="69921DB3"/>
    <w:rsid w:val="69953C45"/>
    <w:rsid w:val="69960B13"/>
    <w:rsid w:val="69967687"/>
    <w:rsid w:val="69975429"/>
    <w:rsid w:val="699833FF"/>
    <w:rsid w:val="69992CD3"/>
    <w:rsid w:val="699A504F"/>
    <w:rsid w:val="699D0A15"/>
    <w:rsid w:val="699D6C67"/>
    <w:rsid w:val="699F5234"/>
    <w:rsid w:val="69A0462D"/>
    <w:rsid w:val="69A25F9B"/>
    <w:rsid w:val="69A26482"/>
    <w:rsid w:val="69A27DD9"/>
    <w:rsid w:val="69A71894"/>
    <w:rsid w:val="69A973BA"/>
    <w:rsid w:val="69AB1384"/>
    <w:rsid w:val="69AC0C58"/>
    <w:rsid w:val="69AC6EAA"/>
    <w:rsid w:val="69AE49D0"/>
    <w:rsid w:val="69AF0748"/>
    <w:rsid w:val="69B06DEE"/>
    <w:rsid w:val="69B5087E"/>
    <w:rsid w:val="69B55092"/>
    <w:rsid w:val="69B61AD7"/>
    <w:rsid w:val="69B95123"/>
    <w:rsid w:val="69B978CF"/>
    <w:rsid w:val="69BA15C7"/>
    <w:rsid w:val="69BB70ED"/>
    <w:rsid w:val="69BF2078"/>
    <w:rsid w:val="69C02956"/>
    <w:rsid w:val="69C04704"/>
    <w:rsid w:val="69C062CF"/>
    <w:rsid w:val="69C42446"/>
    <w:rsid w:val="69C515DF"/>
    <w:rsid w:val="69C757A1"/>
    <w:rsid w:val="69C9112D"/>
    <w:rsid w:val="69C935B8"/>
    <w:rsid w:val="69CC12FA"/>
    <w:rsid w:val="69CC30A8"/>
    <w:rsid w:val="69D106BF"/>
    <w:rsid w:val="69D34437"/>
    <w:rsid w:val="69D41F5D"/>
    <w:rsid w:val="69D63F27"/>
    <w:rsid w:val="69D81A4D"/>
    <w:rsid w:val="69DA0EE9"/>
    <w:rsid w:val="69DA1A2F"/>
    <w:rsid w:val="69DA57C5"/>
    <w:rsid w:val="69DD3507"/>
    <w:rsid w:val="69DE76D2"/>
    <w:rsid w:val="69DF2DDC"/>
    <w:rsid w:val="69DF4B8A"/>
    <w:rsid w:val="69E14DA6"/>
    <w:rsid w:val="69E20CC7"/>
    <w:rsid w:val="69E44896"/>
    <w:rsid w:val="69E46644"/>
    <w:rsid w:val="69E55F18"/>
    <w:rsid w:val="69E63E4A"/>
    <w:rsid w:val="69E7596B"/>
    <w:rsid w:val="69E82BD0"/>
    <w:rsid w:val="69E878EE"/>
    <w:rsid w:val="69EA09DE"/>
    <w:rsid w:val="69EB462C"/>
    <w:rsid w:val="69EC72A7"/>
    <w:rsid w:val="69EE030A"/>
    <w:rsid w:val="69EF46E2"/>
    <w:rsid w:val="69F0323B"/>
    <w:rsid w:val="69F04850"/>
    <w:rsid w:val="69F07EE7"/>
    <w:rsid w:val="69F12B0F"/>
    <w:rsid w:val="69F34AD9"/>
    <w:rsid w:val="69F36887"/>
    <w:rsid w:val="69FA19C4"/>
    <w:rsid w:val="69FE2EB5"/>
    <w:rsid w:val="6A002D52"/>
    <w:rsid w:val="6A0171F6"/>
    <w:rsid w:val="6A061647"/>
    <w:rsid w:val="6A06480C"/>
    <w:rsid w:val="6A0665BA"/>
    <w:rsid w:val="6A0B3BD1"/>
    <w:rsid w:val="6A0C16F7"/>
    <w:rsid w:val="6A0D2E83"/>
    <w:rsid w:val="6A0E1913"/>
    <w:rsid w:val="6A0E36C1"/>
    <w:rsid w:val="6A0F7894"/>
    <w:rsid w:val="6A1011E7"/>
    <w:rsid w:val="6A114F5F"/>
    <w:rsid w:val="6A144021"/>
    <w:rsid w:val="6A152CA1"/>
    <w:rsid w:val="6A154A4F"/>
    <w:rsid w:val="6A162576"/>
    <w:rsid w:val="6A1707C7"/>
    <w:rsid w:val="6A1B7B8C"/>
    <w:rsid w:val="6A1C3809"/>
    <w:rsid w:val="6A1C5DDE"/>
    <w:rsid w:val="6A1D3904"/>
    <w:rsid w:val="6A1D56B2"/>
    <w:rsid w:val="6A1E618D"/>
    <w:rsid w:val="6A1F767C"/>
    <w:rsid w:val="6A222CC8"/>
    <w:rsid w:val="6A223CAF"/>
    <w:rsid w:val="6A2353BE"/>
    <w:rsid w:val="6A266996"/>
    <w:rsid w:val="6A276531"/>
    <w:rsid w:val="6A2808AB"/>
    <w:rsid w:val="6A2922A9"/>
    <w:rsid w:val="6A2B1ED2"/>
    <w:rsid w:val="6A2B4D5A"/>
    <w:rsid w:val="6A2B7DCF"/>
    <w:rsid w:val="6A2E3D63"/>
    <w:rsid w:val="6A2E78BF"/>
    <w:rsid w:val="6A2F0853"/>
    <w:rsid w:val="6A3067E9"/>
    <w:rsid w:val="6A330664"/>
    <w:rsid w:val="6A383E72"/>
    <w:rsid w:val="6A3A44B6"/>
    <w:rsid w:val="6A3B3D8A"/>
    <w:rsid w:val="6A3C1FDC"/>
    <w:rsid w:val="6A3D7B02"/>
    <w:rsid w:val="6A3F17D2"/>
    <w:rsid w:val="6A3F1ACC"/>
    <w:rsid w:val="6A41743A"/>
    <w:rsid w:val="6A440E91"/>
    <w:rsid w:val="6A456C04"/>
    <w:rsid w:val="6A462E5B"/>
    <w:rsid w:val="6A486790"/>
    <w:rsid w:val="6A49294B"/>
    <w:rsid w:val="6A4B4E73"/>
    <w:rsid w:val="6A4D1399"/>
    <w:rsid w:val="6A4E61B3"/>
    <w:rsid w:val="6A507835"/>
    <w:rsid w:val="6A5135AE"/>
    <w:rsid w:val="6A582B8E"/>
    <w:rsid w:val="6A5C0D00"/>
    <w:rsid w:val="6A5C10A7"/>
    <w:rsid w:val="6A5F64D5"/>
    <w:rsid w:val="6A617C95"/>
    <w:rsid w:val="6A6652AB"/>
    <w:rsid w:val="6A6774EB"/>
    <w:rsid w:val="6A681023"/>
    <w:rsid w:val="6A681BC4"/>
    <w:rsid w:val="6A694D9B"/>
    <w:rsid w:val="6A6D6639"/>
    <w:rsid w:val="6A6E182A"/>
    <w:rsid w:val="6A793230"/>
    <w:rsid w:val="6A794FDE"/>
    <w:rsid w:val="6A7A48B2"/>
    <w:rsid w:val="6A7C4ACE"/>
    <w:rsid w:val="6A7D6AB5"/>
    <w:rsid w:val="6A7F636D"/>
    <w:rsid w:val="6A815C41"/>
    <w:rsid w:val="6A876FCF"/>
    <w:rsid w:val="6A890F99"/>
    <w:rsid w:val="6A90057A"/>
    <w:rsid w:val="6A9242F2"/>
    <w:rsid w:val="6A933BC6"/>
    <w:rsid w:val="6A941E18"/>
    <w:rsid w:val="6A964DAE"/>
    <w:rsid w:val="6A9661EC"/>
    <w:rsid w:val="6A9811DC"/>
    <w:rsid w:val="6A9D590B"/>
    <w:rsid w:val="6A9F271C"/>
    <w:rsid w:val="6AA302AD"/>
    <w:rsid w:val="6AA67D9D"/>
    <w:rsid w:val="6AA858C3"/>
    <w:rsid w:val="6AAB0F10"/>
    <w:rsid w:val="6AAB7162"/>
    <w:rsid w:val="6AAC3883"/>
    <w:rsid w:val="6AAD4970"/>
    <w:rsid w:val="6AAE27AE"/>
    <w:rsid w:val="6AB029CA"/>
    <w:rsid w:val="6AB204F0"/>
    <w:rsid w:val="6AB208B2"/>
    <w:rsid w:val="6AB24270"/>
    <w:rsid w:val="6AB302C8"/>
    <w:rsid w:val="6AB57FE0"/>
    <w:rsid w:val="6AB82075"/>
    <w:rsid w:val="6AB84307"/>
    <w:rsid w:val="6AB853DB"/>
    <w:rsid w:val="6AB9187F"/>
    <w:rsid w:val="6AB9362D"/>
    <w:rsid w:val="6ABA1A49"/>
    <w:rsid w:val="6ABA2612"/>
    <w:rsid w:val="6ABA55F7"/>
    <w:rsid w:val="6ABA6B4B"/>
    <w:rsid w:val="6ABD6C0D"/>
    <w:rsid w:val="6ABE0C43"/>
    <w:rsid w:val="6ABF487A"/>
    <w:rsid w:val="6AC1283E"/>
    <w:rsid w:val="6AC16985"/>
    <w:rsid w:val="6AC269FC"/>
    <w:rsid w:val="6AC32A7F"/>
    <w:rsid w:val="6AC43F0F"/>
    <w:rsid w:val="6AC65D4A"/>
    <w:rsid w:val="6ACB0C44"/>
    <w:rsid w:val="6ACB7804"/>
    <w:rsid w:val="6ACD70D8"/>
    <w:rsid w:val="6AD14E1A"/>
    <w:rsid w:val="6AD16513"/>
    <w:rsid w:val="6AD205CF"/>
    <w:rsid w:val="6AD62431"/>
    <w:rsid w:val="6AD71D05"/>
    <w:rsid w:val="6AD72F8B"/>
    <w:rsid w:val="6AD863D4"/>
    <w:rsid w:val="6ADC37BF"/>
    <w:rsid w:val="6ADF73D5"/>
    <w:rsid w:val="6AE01FA6"/>
    <w:rsid w:val="6AE14931"/>
    <w:rsid w:val="6AE174DC"/>
    <w:rsid w:val="6AE306AA"/>
    <w:rsid w:val="6AE368FC"/>
    <w:rsid w:val="6AE4490D"/>
    <w:rsid w:val="6AE95080"/>
    <w:rsid w:val="6AEA0D00"/>
    <w:rsid w:val="6AEA1A38"/>
    <w:rsid w:val="6AEB0211"/>
    <w:rsid w:val="6AEB57B0"/>
    <w:rsid w:val="6AEC0A36"/>
    <w:rsid w:val="6AEC0AB1"/>
    <w:rsid w:val="6AED54CF"/>
    <w:rsid w:val="6AEF704E"/>
    <w:rsid w:val="6AF208ED"/>
    <w:rsid w:val="6AF26B3F"/>
    <w:rsid w:val="6AF27F47"/>
    <w:rsid w:val="6AF43226"/>
    <w:rsid w:val="6AF44665"/>
    <w:rsid w:val="6AF52D3C"/>
    <w:rsid w:val="6AF97ECD"/>
    <w:rsid w:val="6AFC38FA"/>
    <w:rsid w:val="6AFE295E"/>
    <w:rsid w:val="6AFE3735"/>
    <w:rsid w:val="6AFE46DF"/>
    <w:rsid w:val="6AFE54E3"/>
    <w:rsid w:val="6AFF2398"/>
    <w:rsid w:val="6AFF59E8"/>
    <w:rsid w:val="6B011DD2"/>
    <w:rsid w:val="6B023FA4"/>
    <w:rsid w:val="6B032AFA"/>
    <w:rsid w:val="6B037462"/>
    <w:rsid w:val="6B044934"/>
    <w:rsid w:val="6B046820"/>
    <w:rsid w:val="6B054057"/>
    <w:rsid w:val="6B054AC4"/>
    <w:rsid w:val="6B064398"/>
    <w:rsid w:val="6B0706DF"/>
    <w:rsid w:val="6B07083C"/>
    <w:rsid w:val="6B080C30"/>
    <w:rsid w:val="6B09652B"/>
    <w:rsid w:val="6B0A0CB8"/>
    <w:rsid w:val="6B0A20DA"/>
    <w:rsid w:val="6B0B19AE"/>
    <w:rsid w:val="6B0B3C2C"/>
    <w:rsid w:val="6B0B4F62"/>
    <w:rsid w:val="6B0B5410"/>
    <w:rsid w:val="6B0C5E52"/>
    <w:rsid w:val="6B0D1BCA"/>
    <w:rsid w:val="6B0D3978"/>
    <w:rsid w:val="6B0E2C67"/>
    <w:rsid w:val="6B0F76F1"/>
    <w:rsid w:val="6B105217"/>
    <w:rsid w:val="6B107ABF"/>
    <w:rsid w:val="6B150BE5"/>
    <w:rsid w:val="6B166CD1"/>
    <w:rsid w:val="6B16793E"/>
    <w:rsid w:val="6B1747F7"/>
    <w:rsid w:val="6B1765A5"/>
    <w:rsid w:val="6B19231D"/>
    <w:rsid w:val="6B196838"/>
    <w:rsid w:val="6B1B7E43"/>
    <w:rsid w:val="6B1B7EDC"/>
    <w:rsid w:val="6B1C3BBC"/>
    <w:rsid w:val="6B1F7EEB"/>
    <w:rsid w:val="6B2018FE"/>
    <w:rsid w:val="6B206150"/>
    <w:rsid w:val="6B207675"/>
    <w:rsid w:val="6B2111D2"/>
    <w:rsid w:val="6B230371"/>
    <w:rsid w:val="6B252A70"/>
    <w:rsid w:val="6B264A3A"/>
    <w:rsid w:val="6B2A277C"/>
    <w:rsid w:val="6B2B5D79"/>
    <w:rsid w:val="6B2D401B"/>
    <w:rsid w:val="6B2F1B41"/>
    <w:rsid w:val="6B31764E"/>
    <w:rsid w:val="6B347157"/>
    <w:rsid w:val="6B364C7D"/>
    <w:rsid w:val="6B3B04E6"/>
    <w:rsid w:val="6B3C21FD"/>
    <w:rsid w:val="6B3C600C"/>
    <w:rsid w:val="6B3D425E"/>
    <w:rsid w:val="6B3E31FF"/>
    <w:rsid w:val="6B3E3B32"/>
    <w:rsid w:val="6B3E7FD6"/>
    <w:rsid w:val="6B412FD7"/>
    <w:rsid w:val="6B460C38"/>
    <w:rsid w:val="6B472CBA"/>
    <w:rsid w:val="6B473FA4"/>
    <w:rsid w:val="6B4849B1"/>
    <w:rsid w:val="6B4C26F3"/>
    <w:rsid w:val="6B4D0219"/>
    <w:rsid w:val="6B4F5D3F"/>
    <w:rsid w:val="6B513865"/>
    <w:rsid w:val="6B5244D3"/>
    <w:rsid w:val="6B52582F"/>
    <w:rsid w:val="6B531E22"/>
    <w:rsid w:val="6B5415A7"/>
    <w:rsid w:val="6B56531F"/>
    <w:rsid w:val="6B5670CE"/>
    <w:rsid w:val="6B596BBE"/>
    <w:rsid w:val="6B5975CA"/>
    <w:rsid w:val="6B5C045C"/>
    <w:rsid w:val="6B5D480A"/>
    <w:rsid w:val="6B5E2426"/>
    <w:rsid w:val="6B607F4C"/>
    <w:rsid w:val="6B621F16"/>
    <w:rsid w:val="6B637A3C"/>
    <w:rsid w:val="6B6712DB"/>
    <w:rsid w:val="6B681CEB"/>
    <w:rsid w:val="6B6932A5"/>
    <w:rsid w:val="6B6C68F1"/>
    <w:rsid w:val="6B6E08BB"/>
    <w:rsid w:val="6B7134A6"/>
    <w:rsid w:val="6B732505"/>
    <w:rsid w:val="6B767770"/>
    <w:rsid w:val="6B773E9A"/>
    <w:rsid w:val="6B7774AE"/>
    <w:rsid w:val="6B791A36"/>
    <w:rsid w:val="6B797260"/>
    <w:rsid w:val="6B7A4468"/>
    <w:rsid w:val="6B7C465A"/>
    <w:rsid w:val="6B7E4876"/>
    <w:rsid w:val="6B7E6624"/>
    <w:rsid w:val="6B8175B6"/>
    <w:rsid w:val="6B827EC3"/>
    <w:rsid w:val="6B8579B3"/>
    <w:rsid w:val="6B8757AA"/>
    <w:rsid w:val="6B8A4FC9"/>
    <w:rsid w:val="6B8C2AEF"/>
    <w:rsid w:val="6B8C6F93"/>
    <w:rsid w:val="6B8D3713"/>
    <w:rsid w:val="6B8D6867"/>
    <w:rsid w:val="6B8E2D0B"/>
    <w:rsid w:val="6B8F25DF"/>
    <w:rsid w:val="6B93461B"/>
    <w:rsid w:val="6B947BF6"/>
    <w:rsid w:val="6B95409A"/>
    <w:rsid w:val="6B961BC0"/>
    <w:rsid w:val="6B965F59"/>
    <w:rsid w:val="6B971C7B"/>
    <w:rsid w:val="6B983A2D"/>
    <w:rsid w:val="6B9B0F84"/>
    <w:rsid w:val="6B9B71D6"/>
    <w:rsid w:val="6B9F6CC6"/>
    <w:rsid w:val="6BA07497"/>
    <w:rsid w:val="6BA3608B"/>
    <w:rsid w:val="6BA37879"/>
    <w:rsid w:val="6BA442DD"/>
    <w:rsid w:val="6BA66029"/>
    <w:rsid w:val="6BA85163"/>
    <w:rsid w:val="6BAF0C88"/>
    <w:rsid w:val="6BAF1222"/>
    <w:rsid w:val="6BAF6C83"/>
    <w:rsid w:val="6BB02BD1"/>
    <w:rsid w:val="6BB0448F"/>
    <w:rsid w:val="6BB40298"/>
    <w:rsid w:val="6BB46A94"/>
    <w:rsid w:val="6BB54574"/>
    <w:rsid w:val="6BB64010"/>
    <w:rsid w:val="6BB9765C"/>
    <w:rsid w:val="6BB97D35"/>
    <w:rsid w:val="6BBA3B00"/>
    <w:rsid w:val="6BBA6E91"/>
    <w:rsid w:val="6BBB1626"/>
    <w:rsid w:val="6BBD3D7B"/>
    <w:rsid w:val="6BBE765B"/>
    <w:rsid w:val="6BBF49A3"/>
    <w:rsid w:val="6BC16754"/>
    <w:rsid w:val="6BC26511"/>
    <w:rsid w:val="6BC27E90"/>
    <w:rsid w:val="6BC30AF3"/>
    <w:rsid w:val="6BC73B27"/>
    <w:rsid w:val="6BC95AF1"/>
    <w:rsid w:val="6BCA3618"/>
    <w:rsid w:val="6BCC3834"/>
    <w:rsid w:val="6BCE3108"/>
    <w:rsid w:val="6BD149A6"/>
    <w:rsid w:val="6BD271C2"/>
    <w:rsid w:val="6BD34BC2"/>
    <w:rsid w:val="6BD36970"/>
    <w:rsid w:val="6BD51B53"/>
    <w:rsid w:val="6BD526E8"/>
    <w:rsid w:val="6BD821D8"/>
    <w:rsid w:val="6BDB3A77"/>
    <w:rsid w:val="6BDB75D3"/>
    <w:rsid w:val="6BDD6E46"/>
    <w:rsid w:val="6BDD77EF"/>
    <w:rsid w:val="6BDE3408"/>
    <w:rsid w:val="6BE04A01"/>
    <w:rsid w:val="6BE05AB1"/>
    <w:rsid w:val="6BE20961"/>
    <w:rsid w:val="6BE26E62"/>
    <w:rsid w:val="6BE32011"/>
    <w:rsid w:val="6BE4357C"/>
    <w:rsid w:val="6BE47F84"/>
    <w:rsid w:val="6BE50451"/>
    <w:rsid w:val="6BE96194"/>
    <w:rsid w:val="6BE96E14"/>
    <w:rsid w:val="6BE97F42"/>
    <w:rsid w:val="6BEC17E0"/>
    <w:rsid w:val="6BEE14A6"/>
    <w:rsid w:val="6BEE7306"/>
    <w:rsid w:val="6BEF01BE"/>
    <w:rsid w:val="6BF07522"/>
    <w:rsid w:val="6BF1329A"/>
    <w:rsid w:val="6BF15048"/>
    <w:rsid w:val="6BF36748"/>
    <w:rsid w:val="6BF568E6"/>
    <w:rsid w:val="6BF56A9C"/>
    <w:rsid w:val="6BF6265F"/>
    <w:rsid w:val="6BF6440D"/>
    <w:rsid w:val="6BF80185"/>
    <w:rsid w:val="6BF863D7"/>
    <w:rsid w:val="6BFA3EFD"/>
    <w:rsid w:val="6BFB5EC7"/>
    <w:rsid w:val="6BFB7C75"/>
    <w:rsid w:val="6BFD60B0"/>
    <w:rsid w:val="6BFF1513"/>
    <w:rsid w:val="6C0377CD"/>
    <w:rsid w:val="6C061F3A"/>
    <w:rsid w:val="6C066D46"/>
    <w:rsid w:val="6C0905E4"/>
    <w:rsid w:val="6C0B1A84"/>
    <w:rsid w:val="6C0B435C"/>
    <w:rsid w:val="6C0C1E82"/>
    <w:rsid w:val="6C0D3D49"/>
    <w:rsid w:val="6C0F54CE"/>
    <w:rsid w:val="6C1256EA"/>
    <w:rsid w:val="6C16685D"/>
    <w:rsid w:val="6C166CAD"/>
    <w:rsid w:val="6C180827"/>
    <w:rsid w:val="6C184383"/>
    <w:rsid w:val="6C1C0579"/>
    <w:rsid w:val="6C1C3CA3"/>
    <w:rsid w:val="6C1F1BB5"/>
    <w:rsid w:val="6C214122"/>
    <w:rsid w:val="6C223454"/>
    <w:rsid w:val="6C227D7B"/>
    <w:rsid w:val="6C270A6A"/>
    <w:rsid w:val="6C292A34"/>
    <w:rsid w:val="6C296590"/>
    <w:rsid w:val="6C2B67AC"/>
    <w:rsid w:val="6C2C469A"/>
    <w:rsid w:val="6C2C7E2E"/>
    <w:rsid w:val="6C2D5982"/>
    <w:rsid w:val="6C2E2FD4"/>
    <w:rsid w:val="6C305B70"/>
    <w:rsid w:val="6C3118E9"/>
    <w:rsid w:val="6C311DD7"/>
    <w:rsid w:val="6C313697"/>
    <w:rsid w:val="6C327292"/>
    <w:rsid w:val="6C3452FF"/>
    <w:rsid w:val="6C360CAD"/>
    <w:rsid w:val="6C3A079D"/>
    <w:rsid w:val="6C3A69EF"/>
    <w:rsid w:val="6C3C2767"/>
    <w:rsid w:val="6C3C4515"/>
    <w:rsid w:val="6C3F7B62"/>
    <w:rsid w:val="6C411B2C"/>
    <w:rsid w:val="6C435545"/>
    <w:rsid w:val="6C44161C"/>
    <w:rsid w:val="6C442097"/>
    <w:rsid w:val="6C4433CA"/>
    <w:rsid w:val="6C455E95"/>
    <w:rsid w:val="6C467142"/>
    <w:rsid w:val="6C4B6506"/>
    <w:rsid w:val="6C4C227F"/>
    <w:rsid w:val="6C4C5660"/>
    <w:rsid w:val="6C4E4249"/>
    <w:rsid w:val="6C4E5FF7"/>
    <w:rsid w:val="6C507FC1"/>
    <w:rsid w:val="6C542736"/>
    <w:rsid w:val="6C580290"/>
    <w:rsid w:val="6C580C23"/>
    <w:rsid w:val="6C582B9A"/>
    <w:rsid w:val="6C5A499B"/>
    <w:rsid w:val="6C5B7F63"/>
    <w:rsid w:val="6C5C3CA6"/>
    <w:rsid w:val="6C5C6966"/>
    <w:rsid w:val="6C5E0930"/>
    <w:rsid w:val="6C5E441F"/>
    <w:rsid w:val="6C5F2507"/>
    <w:rsid w:val="6C6003D6"/>
    <w:rsid w:val="6C600CDA"/>
    <w:rsid w:val="6C6069D5"/>
    <w:rsid w:val="6C6121CE"/>
    <w:rsid w:val="6C621AA2"/>
    <w:rsid w:val="6C630AE2"/>
    <w:rsid w:val="6C650EAE"/>
    <w:rsid w:val="6C6540D7"/>
    <w:rsid w:val="6C662BE4"/>
    <w:rsid w:val="6C67530A"/>
    <w:rsid w:val="6C6770B8"/>
    <w:rsid w:val="6C68355C"/>
    <w:rsid w:val="6C691082"/>
    <w:rsid w:val="6C6976E6"/>
    <w:rsid w:val="6C6B6BA9"/>
    <w:rsid w:val="6C6C00BA"/>
    <w:rsid w:val="6C6C7D24"/>
    <w:rsid w:val="6C6E48EB"/>
    <w:rsid w:val="6C6F13C2"/>
    <w:rsid w:val="6C705F6D"/>
    <w:rsid w:val="6C733CAF"/>
    <w:rsid w:val="6C735BB2"/>
    <w:rsid w:val="6C7517D5"/>
    <w:rsid w:val="6C777F17"/>
    <w:rsid w:val="6C7812C6"/>
    <w:rsid w:val="6C787517"/>
    <w:rsid w:val="6C7A7069"/>
    <w:rsid w:val="6C7C2B64"/>
    <w:rsid w:val="6C7D068A"/>
    <w:rsid w:val="6C7F4402"/>
    <w:rsid w:val="6C7F4DC4"/>
    <w:rsid w:val="6C8142F3"/>
    <w:rsid w:val="6C8253AF"/>
    <w:rsid w:val="6C841A18"/>
    <w:rsid w:val="6C847C6A"/>
    <w:rsid w:val="6C850266"/>
    <w:rsid w:val="6C88775B"/>
    <w:rsid w:val="6C8A01C0"/>
    <w:rsid w:val="6C8B04A8"/>
    <w:rsid w:val="6C8B2FA3"/>
    <w:rsid w:val="6C8D2FC3"/>
    <w:rsid w:val="6C8D73F3"/>
    <w:rsid w:val="6C904861"/>
    <w:rsid w:val="6C911D56"/>
    <w:rsid w:val="6C9205D9"/>
    <w:rsid w:val="6C922387"/>
    <w:rsid w:val="6C9500C9"/>
    <w:rsid w:val="6C976CDA"/>
    <w:rsid w:val="6C986068"/>
    <w:rsid w:val="6C9A748E"/>
    <w:rsid w:val="6C9C1458"/>
    <w:rsid w:val="6C9C4460"/>
    <w:rsid w:val="6C9E625D"/>
    <w:rsid w:val="6CA05869"/>
    <w:rsid w:val="6CA218CA"/>
    <w:rsid w:val="6CA36342"/>
    <w:rsid w:val="6CA43E69"/>
    <w:rsid w:val="6CAB51F7"/>
    <w:rsid w:val="6CAB79E3"/>
    <w:rsid w:val="6CAE2F39"/>
    <w:rsid w:val="6CAE6A95"/>
    <w:rsid w:val="6CB0280D"/>
    <w:rsid w:val="6CB03BB7"/>
    <w:rsid w:val="6CB0535E"/>
    <w:rsid w:val="6CB06CB1"/>
    <w:rsid w:val="6CB239D6"/>
    <w:rsid w:val="6CB26586"/>
    <w:rsid w:val="6CB34254"/>
    <w:rsid w:val="6CB37A8E"/>
    <w:rsid w:val="6CB37B03"/>
    <w:rsid w:val="6CB5309F"/>
    <w:rsid w:val="6CB70040"/>
    <w:rsid w:val="6CB70F1F"/>
    <w:rsid w:val="6CB95B66"/>
    <w:rsid w:val="6CBC13F4"/>
    <w:rsid w:val="6CBF5FD5"/>
    <w:rsid w:val="6CBF640D"/>
    <w:rsid w:val="6CBF6EF4"/>
    <w:rsid w:val="6CC12C6C"/>
    <w:rsid w:val="6CC22541"/>
    <w:rsid w:val="6CC22925"/>
    <w:rsid w:val="6CC369E5"/>
    <w:rsid w:val="6CC45EA3"/>
    <w:rsid w:val="6CC60283"/>
    <w:rsid w:val="6CC664D5"/>
    <w:rsid w:val="6CCA1FCF"/>
    <w:rsid w:val="6CCA6848"/>
    <w:rsid w:val="6CCA7D73"/>
    <w:rsid w:val="6CCB3AEB"/>
    <w:rsid w:val="6CCC0825"/>
    <w:rsid w:val="6CCC4204"/>
    <w:rsid w:val="6CCD33BF"/>
    <w:rsid w:val="6CCF7BB2"/>
    <w:rsid w:val="6CD01D77"/>
    <w:rsid w:val="6CD04C5E"/>
    <w:rsid w:val="6CD07034"/>
    <w:rsid w:val="6CD176D0"/>
    <w:rsid w:val="6CD40BF2"/>
    <w:rsid w:val="6CD504C6"/>
    <w:rsid w:val="6CD62F24"/>
    <w:rsid w:val="6CD97FB6"/>
    <w:rsid w:val="6CDB1F80"/>
    <w:rsid w:val="6CDC1854"/>
    <w:rsid w:val="6CDE737B"/>
    <w:rsid w:val="6CDF2011"/>
    <w:rsid w:val="6CE16E6B"/>
    <w:rsid w:val="6CE25DB1"/>
    <w:rsid w:val="6CE30E35"/>
    <w:rsid w:val="6CE32BE3"/>
    <w:rsid w:val="6CE34991"/>
    <w:rsid w:val="6CE3616B"/>
    <w:rsid w:val="6CE60925"/>
    <w:rsid w:val="6CEB7CE9"/>
    <w:rsid w:val="6CEC1AEA"/>
    <w:rsid w:val="6CED3A62"/>
    <w:rsid w:val="6CEE3336"/>
    <w:rsid w:val="6CF22E26"/>
    <w:rsid w:val="6CF3094C"/>
    <w:rsid w:val="6CF45001"/>
    <w:rsid w:val="6CF46B9E"/>
    <w:rsid w:val="6CF52916"/>
    <w:rsid w:val="6CF81C82"/>
    <w:rsid w:val="6CF90658"/>
    <w:rsid w:val="6CFA7F2C"/>
    <w:rsid w:val="6CFE7690"/>
    <w:rsid w:val="6CFE7A1D"/>
    <w:rsid w:val="6CFF5543"/>
    <w:rsid w:val="6D042B59"/>
    <w:rsid w:val="6D064B23"/>
    <w:rsid w:val="6D06567B"/>
    <w:rsid w:val="6D0A4613"/>
    <w:rsid w:val="6D0A63C2"/>
    <w:rsid w:val="6D0D4104"/>
    <w:rsid w:val="6D0D5EB2"/>
    <w:rsid w:val="6D0D7C60"/>
    <w:rsid w:val="6D1014FE"/>
    <w:rsid w:val="6D125279"/>
    <w:rsid w:val="6D140FEE"/>
    <w:rsid w:val="6D1859BB"/>
    <w:rsid w:val="6D186A93"/>
    <w:rsid w:val="6D1C4347"/>
    <w:rsid w:val="6D1C6E8F"/>
    <w:rsid w:val="6D1E38D6"/>
    <w:rsid w:val="6D1E39E7"/>
    <w:rsid w:val="6D1E3C1B"/>
    <w:rsid w:val="6D1F1741"/>
    <w:rsid w:val="6D1F7993"/>
    <w:rsid w:val="6D205BE5"/>
    <w:rsid w:val="6D213709"/>
    <w:rsid w:val="6D2154B9"/>
    <w:rsid w:val="6D231231"/>
    <w:rsid w:val="6D2A0812"/>
    <w:rsid w:val="6D2B458A"/>
    <w:rsid w:val="6D2D2BB1"/>
    <w:rsid w:val="6D2F4866"/>
    <w:rsid w:val="6D2F7BD6"/>
    <w:rsid w:val="6D30394E"/>
    <w:rsid w:val="6D317DF2"/>
    <w:rsid w:val="6D323B6A"/>
    <w:rsid w:val="6D341690"/>
    <w:rsid w:val="6D3451EC"/>
    <w:rsid w:val="6D351FAA"/>
    <w:rsid w:val="6D365409"/>
    <w:rsid w:val="6D3660D8"/>
    <w:rsid w:val="6D3671B7"/>
    <w:rsid w:val="6D371181"/>
    <w:rsid w:val="6D392803"/>
    <w:rsid w:val="6D3A657B"/>
    <w:rsid w:val="6D3B7B1B"/>
    <w:rsid w:val="6D3C3485"/>
    <w:rsid w:val="6D3D275F"/>
    <w:rsid w:val="6D3E42BD"/>
    <w:rsid w:val="6D3E606B"/>
    <w:rsid w:val="6D3F2670"/>
    <w:rsid w:val="6D42517E"/>
    <w:rsid w:val="6D4318D3"/>
    <w:rsid w:val="6D460A1A"/>
    <w:rsid w:val="6D475F5F"/>
    <w:rsid w:val="6D4C69DA"/>
    <w:rsid w:val="6D4D2752"/>
    <w:rsid w:val="6D4D4500"/>
    <w:rsid w:val="6D505D9E"/>
    <w:rsid w:val="6D513FF0"/>
    <w:rsid w:val="6D521B17"/>
    <w:rsid w:val="6D544E73"/>
    <w:rsid w:val="6D5533B5"/>
    <w:rsid w:val="6D56428A"/>
    <w:rsid w:val="6D5729CA"/>
    <w:rsid w:val="6D582B5E"/>
    <w:rsid w:val="6D594C53"/>
    <w:rsid w:val="6D5B0FA1"/>
    <w:rsid w:val="6D5B6C1D"/>
    <w:rsid w:val="6D5C4743"/>
    <w:rsid w:val="6D5D0BE7"/>
    <w:rsid w:val="6D5D5560"/>
    <w:rsid w:val="6D5D56FA"/>
    <w:rsid w:val="6D5E0131"/>
    <w:rsid w:val="6D65184A"/>
    <w:rsid w:val="6D65421E"/>
    <w:rsid w:val="6D6723C1"/>
    <w:rsid w:val="6D68133A"/>
    <w:rsid w:val="6D68758C"/>
    <w:rsid w:val="6D6B4986"/>
    <w:rsid w:val="6D6E1218"/>
    <w:rsid w:val="6D6F4477"/>
    <w:rsid w:val="6D723F67"/>
    <w:rsid w:val="6D747CDF"/>
    <w:rsid w:val="6D764E76"/>
    <w:rsid w:val="6D7C6B9B"/>
    <w:rsid w:val="6D7D3FA5"/>
    <w:rsid w:val="6D7F48DE"/>
    <w:rsid w:val="6D8223FC"/>
    <w:rsid w:val="6D823EBE"/>
    <w:rsid w:val="6D8343C6"/>
    <w:rsid w:val="6D836174"/>
    <w:rsid w:val="6D843218"/>
    <w:rsid w:val="6D851EEC"/>
    <w:rsid w:val="6D853C9A"/>
    <w:rsid w:val="6D86069C"/>
    <w:rsid w:val="6D8B0067"/>
    <w:rsid w:val="6D910891"/>
    <w:rsid w:val="6D9317B2"/>
    <w:rsid w:val="6D935DD7"/>
    <w:rsid w:val="6D981C1F"/>
    <w:rsid w:val="6D9B1F6E"/>
    <w:rsid w:val="6D9B51DF"/>
    <w:rsid w:val="6D9C0FE4"/>
    <w:rsid w:val="6D9E4D5C"/>
    <w:rsid w:val="6DA305C4"/>
    <w:rsid w:val="6DA46816"/>
    <w:rsid w:val="6DA528C6"/>
    <w:rsid w:val="6DA57E98"/>
    <w:rsid w:val="6DA93E2C"/>
    <w:rsid w:val="6DAA54AF"/>
    <w:rsid w:val="6DAA5BBD"/>
    <w:rsid w:val="6DAA7DCA"/>
    <w:rsid w:val="6DAC1227"/>
    <w:rsid w:val="6DAF47DB"/>
    <w:rsid w:val="6DAF5865"/>
    <w:rsid w:val="6DB14A8F"/>
    <w:rsid w:val="6DB175E8"/>
    <w:rsid w:val="6DB23B85"/>
    <w:rsid w:val="6DB42229"/>
    <w:rsid w:val="6DB4323D"/>
    <w:rsid w:val="6DB4632D"/>
    <w:rsid w:val="6DB66549"/>
    <w:rsid w:val="6DB91B96"/>
    <w:rsid w:val="6DB93944"/>
    <w:rsid w:val="6DBA228F"/>
    <w:rsid w:val="6DBB590E"/>
    <w:rsid w:val="6DBD78B0"/>
    <w:rsid w:val="6DBE30B6"/>
    <w:rsid w:val="6DC000E9"/>
    <w:rsid w:val="6DC1095E"/>
    <w:rsid w:val="6DC34FC7"/>
    <w:rsid w:val="6DC35E4F"/>
    <w:rsid w:val="6DC36570"/>
    <w:rsid w:val="6DC5678C"/>
    <w:rsid w:val="6DC72505"/>
    <w:rsid w:val="6DC742B3"/>
    <w:rsid w:val="6DC94A10"/>
    <w:rsid w:val="6DCC3677"/>
    <w:rsid w:val="6DD113F9"/>
    <w:rsid w:val="6DD32C57"/>
    <w:rsid w:val="6DD33073"/>
    <w:rsid w:val="6DD56E3A"/>
    <w:rsid w:val="6DD832A9"/>
    <w:rsid w:val="6DD83F20"/>
    <w:rsid w:val="6DD93FE6"/>
    <w:rsid w:val="6DD95D94"/>
    <w:rsid w:val="6DDD3AD6"/>
    <w:rsid w:val="6DDE0E98"/>
    <w:rsid w:val="6DDE39AF"/>
    <w:rsid w:val="6DE02450"/>
    <w:rsid w:val="6DE2612B"/>
    <w:rsid w:val="6DE71ADA"/>
    <w:rsid w:val="6DE72678"/>
    <w:rsid w:val="6DE76703"/>
    <w:rsid w:val="6DE94229"/>
    <w:rsid w:val="6DED64EA"/>
    <w:rsid w:val="6DEF3809"/>
    <w:rsid w:val="6DEF7365"/>
    <w:rsid w:val="6DF1132F"/>
    <w:rsid w:val="6DF207DA"/>
    <w:rsid w:val="6DF350A8"/>
    <w:rsid w:val="6DF35C43"/>
    <w:rsid w:val="6DF826BE"/>
    <w:rsid w:val="6DF901E4"/>
    <w:rsid w:val="6DFA4688"/>
    <w:rsid w:val="6DFA6436"/>
    <w:rsid w:val="6DFB20F9"/>
    <w:rsid w:val="6DFB3F5C"/>
    <w:rsid w:val="6DFE08FF"/>
    <w:rsid w:val="6E02353D"/>
    <w:rsid w:val="6E075F35"/>
    <w:rsid w:val="6E0A7D76"/>
    <w:rsid w:val="6E0C43BB"/>
    <w:rsid w:val="6E0C6798"/>
    <w:rsid w:val="6E0D5256"/>
    <w:rsid w:val="6E0F7A08"/>
    <w:rsid w:val="6E113780"/>
    <w:rsid w:val="6E12020E"/>
    <w:rsid w:val="6E1312A6"/>
    <w:rsid w:val="6E15001C"/>
    <w:rsid w:val="6E153270"/>
    <w:rsid w:val="6E154246"/>
    <w:rsid w:val="6E157921"/>
    <w:rsid w:val="6E172BE7"/>
    <w:rsid w:val="6E182D60"/>
    <w:rsid w:val="6E186332"/>
    <w:rsid w:val="6E1A6221"/>
    <w:rsid w:val="6E1A6AD8"/>
    <w:rsid w:val="6E1B63AC"/>
    <w:rsid w:val="6E1D2124"/>
    <w:rsid w:val="6E1F7C4B"/>
    <w:rsid w:val="6E220599"/>
    <w:rsid w:val="6E22773B"/>
    <w:rsid w:val="6E25637F"/>
    <w:rsid w:val="6E267CCB"/>
    <w:rsid w:val="6E293CFC"/>
    <w:rsid w:val="6E2A2897"/>
    <w:rsid w:val="6E2A4841"/>
    <w:rsid w:val="6E2A65EF"/>
    <w:rsid w:val="6E2C680B"/>
    <w:rsid w:val="6E2D397D"/>
    <w:rsid w:val="6E2E4332"/>
    <w:rsid w:val="6E2E60E0"/>
    <w:rsid w:val="6E2F369C"/>
    <w:rsid w:val="6E313E22"/>
    <w:rsid w:val="6E327302"/>
    <w:rsid w:val="6E337B9A"/>
    <w:rsid w:val="6E360B17"/>
    <w:rsid w:val="6E366170"/>
    <w:rsid w:val="6E370014"/>
    <w:rsid w:val="6E370089"/>
    <w:rsid w:val="6E380D0C"/>
    <w:rsid w:val="6E3B07FD"/>
    <w:rsid w:val="6E3B6A4F"/>
    <w:rsid w:val="6E3C08A1"/>
    <w:rsid w:val="6E3C6AFD"/>
    <w:rsid w:val="6E3D27C7"/>
    <w:rsid w:val="6E3D3EF4"/>
    <w:rsid w:val="6E3D6323"/>
    <w:rsid w:val="6E3F209B"/>
    <w:rsid w:val="6E421B8B"/>
    <w:rsid w:val="6E437F76"/>
    <w:rsid w:val="6E445903"/>
    <w:rsid w:val="6E4504C3"/>
    <w:rsid w:val="6E4A0A40"/>
    <w:rsid w:val="6E4B6C92"/>
    <w:rsid w:val="6E4C47B8"/>
    <w:rsid w:val="6E4E22DE"/>
    <w:rsid w:val="6E522A14"/>
    <w:rsid w:val="6E545DED"/>
    <w:rsid w:val="6E563076"/>
    <w:rsid w:val="6E5748C4"/>
    <w:rsid w:val="6E577502"/>
    <w:rsid w:val="6E583132"/>
    <w:rsid w:val="6E584EDB"/>
    <w:rsid w:val="6E5A15AF"/>
    <w:rsid w:val="6E5A5287"/>
    <w:rsid w:val="6E5C0E9F"/>
    <w:rsid w:val="6E5C7F3F"/>
    <w:rsid w:val="6E5D4B14"/>
    <w:rsid w:val="6E62222D"/>
    <w:rsid w:val="6E641B01"/>
    <w:rsid w:val="6E657628"/>
    <w:rsid w:val="6E674762"/>
    <w:rsid w:val="6E677844"/>
    <w:rsid w:val="6E6B10E2"/>
    <w:rsid w:val="6E6B2E90"/>
    <w:rsid w:val="6E6C6C08"/>
    <w:rsid w:val="6E70325B"/>
    <w:rsid w:val="6E7066F8"/>
    <w:rsid w:val="6E712470"/>
    <w:rsid w:val="6E71421E"/>
    <w:rsid w:val="6E7206C2"/>
    <w:rsid w:val="6E7361E8"/>
    <w:rsid w:val="6E751F61"/>
    <w:rsid w:val="6E753D0F"/>
    <w:rsid w:val="6E777A87"/>
    <w:rsid w:val="6E7A040C"/>
    <w:rsid w:val="6E7B2237"/>
    <w:rsid w:val="6E7B6E4B"/>
    <w:rsid w:val="6E7E1055"/>
    <w:rsid w:val="6E7F4B8D"/>
    <w:rsid w:val="6E7F693B"/>
    <w:rsid w:val="6E8126B3"/>
    <w:rsid w:val="6E82642B"/>
    <w:rsid w:val="6E8421A4"/>
    <w:rsid w:val="6E8E6B7E"/>
    <w:rsid w:val="6E9028F6"/>
    <w:rsid w:val="6E906D9A"/>
    <w:rsid w:val="6E9128A6"/>
    <w:rsid w:val="6E930639"/>
    <w:rsid w:val="6E942FF8"/>
    <w:rsid w:val="6E9543B1"/>
    <w:rsid w:val="6E95544B"/>
    <w:rsid w:val="6E963DAE"/>
    <w:rsid w:val="6E9817AB"/>
    <w:rsid w:val="6E997E2D"/>
    <w:rsid w:val="6E9A19C7"/>
    <w:rsid w:val="6E9B3DF5"/>
    <w:rsid w:val="6E9C3964"/>
    <w:rsid w:val="6E9C531E"/>
    <w:rsid w:val="6E9D5013"/>
    <w:rsid w:val="6E9E7099"/>
    <w:rsid w:val="6E9F0D8B"/>
    <w:rsid w:val="6E9F6FDD"/>
    <w:rsid w:val="6EA14B04"/>
    <w:rsid w:val="6EA24FCD"/>
    <w:rsid w:val="6EA34C39"/>
    <w:rsid w:val="6EA445F4"/>
    <w:rsid w:val="6EA7666A"/>
    <w:rsid w:val="6EA81D9B"/>
    <w:rsid w:val="6EA91C0A"/>
    <w:rsid w:val="6EA91D42"/>
    <w:rsid w:val="6EAB14DE"/>
    <w:rsid w:val="6EAC488C"/>
    <w:rsid w:val="6EAD0896"/>
    <w:rsid w:val="6EAD34A8"/>
    <w:rsid w:val="6EAE33CA"/>
    <w:rsid w:val="6EAE5472"/>
    <w:rsid w:val="6EB04D47"/>
    <w:rsid w:val="6EB20ABF"/>
    <w:rsid w:val="6EB505AF"/>
    <w:rsid w:val="6EB72579"/>
    <w:rsid w:val="6EB760D5"/>
    <w:rsid w:val="6EBB1F97"/>
    <w:rsid w:val="6EBC193D"/>
    <w:rsid w:val="6EBC729F"/>
    <w:rsid w:val="6EBD1212"/>
    <w:rsid w:val="6EBF31DC"/>
    <w:rsid w:val="6EBF4F8A"/>
    <w:rsid w:val="6EC01157"/>
    <w:rsid w:val="6EC0729E"/>
    <w:rsid w:val="6EC10D02"/>
    <w:rsid w:val="6EC24A7A"/>
    <w:rsid w:val="6EC52DF7"/>
    <w:rsid w:val="6EC66318"/>
    <w:rsid w:val="6EC707D9"/>
    <w:rsid w:val="6EC802E2"/>
    <w:rsid w:val="6EC96B55"/>
    <w:rsid w:val="6ECB1B80"/>
    <w:rsid w:val="6ECB4141"/>
    <w:rsid w:val="6ECC157B"/>
    <w:rsid w:val="6ECD3B4B"/>
    <w:rsid w:val="6ED02ACD"/>
    <w:rsid w:val="6ED4144E"/>
    <w:rsid w:val="6ED8125F"/>
    <w:rsid w:val="6ED83CBA"/>
    <w:rsid w:val="6ED8429D"/>
    <w:rsid w:val="6ED8604B"/>
    <w:rsid w:val="6EDA6267"/>
    <w:rsid w:val="6EDB5809"/>
    <w:rsid w:val="6EDD567B"/>
    <w:rsid w:val="6EDD64CB"/>
    <w:rsid w:val="6EDF387E"/>
    <w:rsid w:val="6EDF562C"/>
    <w:rsid w:val="6EDF7E10"/>
    <w:rsid w:val="6EE169B6"/>
    <w:rsid w:val="6EE64C0C"/>
    <w:rsid w:val="6EE669BA"/>
    <w:rsid w:val="6EE80984"/>
    <w:rsid w:val="6EE82732"/>
    <w:rsid w:val="6EE875C4"/>
    <w:rsid w:val="6EE92007"/>
    <w:rsid w:val="6EE95058"/>
    <w:rsid w:val="6EEA564F"/>
    <w:rsid w:val="6EEA7ECC"/>
    <w:rsid w:val="6EEB2223"/>
    <w:rsid w:val="6EED1AF7"/>
    <w:rsid w:val="6EF015E7"/>
    <w:rsid w:val="6EF03395"/>
    <w:rsid w:val="6EF26D37"/>
    <w:rsid w:val="6EF472F7"/>
    <w:rsid w:val="6EF530A1"/>
    <w:rsid w:val="6EF56BFD"/>
    <w:rsid w:val="6EF72976"/>
    <w:rsid w:val="6EF8049C"/>
    <w:rsid w:val="6EF94940"/>
    <w:rsid w:val="6EFA06B8"/>
    <w:rsid w:val="6EFA797D"/>
    <w:rsid w:val="6EFC4430"/>
    <w:rsid w:val="6EFD04AE"/>
    <w:rsid w:val="6EFD20B0"/>
    <w:rsid w:val="6EFD4D18"/>
    <w:rsid w:val="6EFE1F56"/>
    <w:rsid w:val="6EFE7231"/>
    <w:rsid w:val="6F04382D"/>
    <w:rsid w:val="6F0532E4"/>
    <w:rsid w:val="6F06705D"/>
    <w:rsid w:val="6F07077D"/>
    <w:rsid w:val="6F084B83"/>
    <w:rsid w:val="6F0B6421"/>
    <w:rsid w:val="6F0D7E9E"/>
    <w:rsid w:val="6F0E4977"/>
    <w:rsid w:val="6F0E4D43"/>
    <w:rsid w:val="6F0E7CBF"/>
    <w:rsid w:val="6F124517"/>
    <w:rsid w:val="6F1352D6"/>
    <w:rsid w:val="6F137EEE"/>
    <w:rsid w:val="6F15211F"/>
    <w:rsid w:val="6F1572A0"/>
    <w:rsid w:val="6F166C83"/>
    <w:rsid w:val="6F174C60"/>
    <w:rsid w:val="6F17502C"/>
    <w:rsid w:val="6F1962A9"/>
    <w:rsid w:val="6F1B05FE"/>
    <w:rsid w:val="6F2179F2"/>
    <w:rsid w:val="6F241291"/>
    <w:rsid w:val="6F25667C"/>
    <w:rsid w:val="6F262186"/>
    <w:rsid w:val="6F265A93"/>
    <w:rsid w:val="6F282B2F"/>
    <w:rsid w:val="6F283BC4"/>
    <w:rsid w:val="6F285225"/>
    <w:rsid w:val="6F286FD3"/>
    <w:rsid w:val="6F2A4AF9"/>
    <w:rsid w:val="6F2B0871"/>
    <w:rsid w:val="6F2B6AC3"/>
    <w:rsid w:val="6F2D7488"/>
    <w:rsid w:val="6F3239AE"/>
    <w:rsid w:val="6F324CA2"/>
    <w:rsid w:val="6F35349E"/>
    <w:rsid w:val="6F363D0E"/>
    <w:rsid w:val="6F393739"/>
    <w:rsid w:val="6F3A69AC"/>
    <w:rsid w:val="6F3C2F1C"/>
    <w:rsid w:val="6F44174D"/>
    <w:rsid w:val="6F4656AB"/>
    <w:rsid w:val="6F4B0F13"/>
    <w:rsid w:val="6F4B4A6F"/>
    <w:rsid w:val="6F4D6A39"/>
    <w:rsid w:val="6F4F7B98"/>
    <w:rsid w:val="6F5222A2"/>
    <w:rsid w:val="6F525DFE"/>
    <w:rsid w:val="6F541B76"/>
    <w:rsid w:val="6F563B40"/>
    <w:rsid w:val="6F571666"/>
    <w:rsid w:val="6F573414"/>
    <w:rsid w:val="6F5B1156"/>
    <w:rsid w:val="6F5B6091"/>
    <w:rsid w:val="6F5B773E"/>
    <w:rsid w:val="6F5C0A2B"/>
    <w:rsid w:val="6F5C4ECE"/>
    <w:rsid w:val="6F5E0C47"/>
    <w:rsid w:val="6F60051B"/>
    <w:rsid w:val="6F6079A0"/>
    <w:rsid w:val="6F614293"/>
    <w:rsid w:val="6F647735"/>
    <w:rsid w:val="6F653D83"/>
    <w:rsid w:val="6F6618A9"/>
    <w:rsid w:val="6F662488"/>
    <w:rsid w:val="6F667AFB"/>
    <w:rsid w:val="6F667FF9"/>
    <w:rsid w:val="6F680D32"/>
    <w:rsid w:val="6F685621"/>
    <w:rsid w:val="6F690481"/>
    <w:rsid w:val="6F6A1399"/>
    <w:rsid w:val="6F6B5112"/>
    <w:rsid w:val="6F6C47E7"/>
    <w:rsid w:val="6F6F075E"/>
    <w:rsid w:val="6F712728"/>
    <w:rsid w:val="6F7246F2"/>
    <w:rsid w:val="6F7530AC"/>
    <w:rsid w:val="6F7915DC"/>
    <w:rsid w:val="6F7B5A75"/>
    <w:rsid w:val="6F7C10CD"/>
    <w:rsid w:val="6F7C63CD"/>
    <w:rsid w:val="6F7E4E45"/>
    <w:rsid w:val="6F80296B"/>
    <w:rsid w:val="6F820F36"/>
    <w:rsid w:val="6F83245B"/>
    <w:rsid w:val="6F845F53"/>
    <w:rsid w:val="6F885CC3"/>
    <w:rsid w:val="6F8C5FF4"/>
    <w:rsid w:val="6F8D5088"/>
    <w:rsid w:val="6F8F2BAE"/>
    <w:rsid w:val="6F900316"/>
    <w:rsid w:val="6F90311B"/>
    <w:rsid w:val="6F9401C4"/>
    <w:rsid w:val="6F9603E0"/>
    <w:rsid w:val="6F963F3C"/>
    <w:rsid w:val="6F977CB5"/>
    <w:rsid w:val="6F977D0A"/>
    <w:rsid w:val="6F984159"/>
    <w:rsid w:val="6F9957DB"/>
    <w:rsid w:val="6F9A5078"/>
    <w:rsid w:val="6F9B77A5"/>
    <w:rsid w:val="6F9D1383"/>
    <w:rsid w:val="6F9F3D74"/>
    <w:rsid w:val="6FA10B33"/>
    <w:rsid w:val="6FA32AFD"/>
    <w:rsid w:val="6FA475BA"/>
    <w:rsid w:val="6FA50623"/>
    <w:rsid w:val="6FA568B9"/>
    <w:rsid w:val="6FA64291"/>
    <w:rsid w:val="6FA64AAB"/>
    <w:rsid w:val="6FA84C02"/>
    <w:rsid w:val="6FAB550E"/>
    <w:rsid w:val="6FAC5D4C"/>
    <w:rsid w:val="6FAD3E9B"/>
    <w:rsid w:val="6FAD74D8"/>
    <w:rsid w:val="6FAE0778"/>
    <w:rsid w:val="6FB537C8"/>
    <w:rsid w:val="6FB57B39"/>
    <w:rsid w:val="6FB62831"/>
    <w:rsid w:val="6FBB1BF5"/>
    <w:rsid w:val="6FBB39A3"/>
    <w:rsid w:val="6FBB626C"/>
    <w:rsid w:val="6FC0720B"/>
    <w:rsid w:val="6FC203E7"/>
    <w:rsid w:val="6FC30AAA"/>
    <w:rsid w:val="6FC50CC6"/>
    <w:rsid w:val="6FC54822"/>
    <w:rsid w:val="6FC6556D"/>
    <w:rsid w:val="6FC7059A"/>
    <w:rsid w:val="6FCA3518"/>
    <w:rsid w:val="6FCC3E02"/>
    <w:rsid w:val="6FCD1928"/>
    <w:rsid w:val="6FCF216E"/>
    <w:rsid w:val="6FCF35D4"/>
    <w:rsid w:val="6FCF744E"/>
    <w:rsid w:val="6FD26F3F"/>
    <w:rsid w:val="6FD33CC2"/>
    <w:rsid w:val="6FD44A65"/>
    <w:rsid w:val="6FD7038D"/>
    <w:rsid w:val="6FD74555"/>
    <w:rsid w:val="6FD902CD"/>
    <w:rsid w:val="6FD9207B"/>
    <w:rsid w:val="6FD9651F"/>
    <w:rsid w:val="6FDA2CCF"/>
    <w:rsid w:val="6FDA5BE6"/>
    <w:rsid w:val="6FDB2297"/>
    <w:rsid w:val="6FDB399B"/>
    <w:rsid w:val="6FDD600F"/>
    <w:rsid w:val="6FDE4557"/>
    <w:rsid w:val="6FE0165C"/>
    <w:rsid w:val="6FE21015"/>
    <w:rsid w:val="6FE23626"/>
    <w:rsid w:val="6FE26578"/>
    <w:rsid w:val="6FE45913"/>
    <w:rsid w:val="6FE4739E"/>
    <w:rsid w:val="6FE54EC4"/>
    <w:rsid w:val="6FE733CE"/>
    <w:rsid w:val="6FE8485E"/>
    <w:rsid w:val="6FEA24DA"/>
    <w:rsid w:val="6FEA5D29"/>
    <w:rsid w:val="6FED3D79"/>
    <w:rsid w:val="6FEF5D43"/>
    <w:rsid w:val="6FEF7AF1"/>
    <w:rsid w:val="6FF11ABB"/>
    <w:rsid w:val="6FF31FBC"/>
    <w:rsid w:val="6FF356A3"/>
    <w:rsid w:val="6FF43359"/>
    <w:rsid w:val="6FF5428D"/>
    <w:rsid w:val="6FF745B0"/>
    <w:rsid w:val="6FF9271D"/>
    <w:rsid w:val="6FFA5DFC"/>
    <w:rsid w:val="6FFD3FBC"/>
    <w:rsid w:val="6FFD4A7E"/>
    <w:rsid w:val="6FFF201B"/>
    <w:rsid w:val="700215D2"/>
    <w:rsid w:val="700370F8"/>
    <w:rsid w:val="7004359C"/>
    <w:rsid w:val="700510C2"/>
    <w:rsid w:val="70090BB2"/>
    <w:rsid w:val="70091E06"/>
    <w:rsid w:val="70096E04"/>
    <w:rsid w:val="700A66D9"/>
    <w:rsid w:val="700B7BF8"/>
    <w:rsid w:val="700D682A"/>
    <w:rsid w:val="700E61C9"/>
    <w:rsid w:val="701234E2"/>
    <w:rsid w:val="7012558D"/>
    <w:rsid w:val="70130F5B"/>
    <w:rsid w:val="70136A29"/>
    <w:rsid w:val="701423F0"/>
    <w:rsid w:val="7014496E"/>
    <w:rsid w:val="70153D32"/>
    <w:rsid w:val="701557A9"/>
    <w:rsid w:val="70182BA3"/>
    <w:rsid w:val="70187047"/>
    <w:rsid w:val="70194DCD"/>
    <w:rsid w:val="701D01BA"/>
    <w:rsid w:val="70227EC6"/>
    <w:rsid w:val="70235DBB"/>
    <w:rsid w:val="70244C09"/>
    <w:rsid w:val="7024730F"/>
    <w:rsid w:val="702A28D7"/>
    <w:rsid w:val="702E23C7"/>
    <w:rsid w:val="702E2B49"/>
    <w:rsid w:val="702F613F"/>
    <w:rsid w:val="703025E3"/>
    <w:rsid w:val="70333E81"/>
    <w:rsid w:val="70335C2F"/>
    <w:rsid w:val="703379DD"/>
    <w:rsid w:val="70350F5B"/>
    <w:rsid w:val="70355FEC"/>
    <w:rsid w:val="70383246"/>
    <w:rsid w:val="70386E63"/>
    <w:rsid w:val="703B2D36"/>
    <w:rsid w:val="703C0E34"/>
    <w:rsid w:val="703F45D4"/>
    <w:rsid w:val="70433998"/>
    <w:rsid w:val="7044709E"/>
    <w:rsid w:val="70455C08"/>
    <w:rsid w:val="7047792D"/>
    <w:rsid w:val="70483BF2"/>
    <w:rsid w:val="70495453"/>
    <w:rsid w:val="704B11CB"/>
    <w:rsid w:val="704C7282"/>
    <w:rsid w:val="704E2A69"/>
    <w:rsid w:val="704E728C"/>
    <w:rsid w:val="704F16D7"/>
    <w:rsid w:val="705067E1"/>
    <w:rsid w:val="70507A6D"/>
    <w:rsid w:val="705160B5"/>
    <w:rsid w:val="7054244E"/>
    <w:rsid w:val="70550D0E"/>
    <w:rsid w:val="70596188"/>
    <w:rsid w:val="705A36F0"/>
    <w:rsid w:val="705D4A5A"/>
    <w:rsid w:val="705F3769"/>
    <w:rsid w:val="7060454A"/>
    <w:rsid w:val="706109EE"/>
    <w:rsid w:val="70651B61"/>
    <w:rsid w:val="70662F56"/>
    <w:rsid w:val="706758D9"/>
    <w:rsid w:val="7069114B"/>
    <w:rsid w:val="70691651"/>
    <w:rsid w:val="706933FF"/>
    <w:rsid w:val="706B1F69"/>
    <w:rsid w:val="706C109B"/>
    <w:rsid w:val="706C2EEF"/>
    <w:rsid w:val="706F4BFF"/>
    <w:rsid w:val="70700C31"/>
    <w:rsid w:val="70710506"/>
    <w:rsid w:val="707149AA"/>
    <w:rsid w:val="707324D0"/>
    <w:rsid w:val="70757FF6"/>
    <w:rsid w:val="707A560C"/>
    <w:rsid w:val="707D334E"/>
    <w:rsid w:val="707E4A0D"/>
    <w:rsid w:val="70800C89"/>
    <w:rsid w:val="70822713"/>
    <w:rsid w:val="708741CD"/>
    <w:rsid w:val="708832EA"/>
    <w:rsid w:val="70891C60"/>
    <w:rsid w:val="708C5243"/>
    <w:rsid w:val="708C533F"/>
    <w:rsid w:val="708E2F2E"/>
    <w:rsid w:val="708F38BB"/>
    <w:rsid w:val="709062E4"/>
    <w:rsid w:val="70910BA8"/>
    <w:rsid w:val="70926DFA"/>
    <w:rsid w:val="70934920"/>
    <w:rsid w:val="70950698"/>
    <w:rsid w:val="709609C5"/>
    <w:rsid w:val="70960D72"/>
    <w:rsid w:val="70967F6C"/>
    <w:rsid w:val="7097427D"/>
    <w:rsid w:val="70974410"/>
    <w:rsid w:val="709820F5"/>
    <w:rsid w:val="709B37D5"/>
    <w:rsid w:val="709C6E5E"/>
    <w:rsid w:val="709D579F"/>
    <w:rsid w:val="709F32C5"/>
    <w:rsid w:val="709F506E"/>
    <w:rsid w:val="70A23856"/>
    <w:rsid w:val="70A61CA4"/>
    <w:rsid w:val="70A703CB"/>
    <w:rsid w:val="70AA13DC"/>
    <w:rsid w:val="70AC59E2"/>
    <w:rsid w:val="70AD3C34"/>
    <w:rsid w:val="70AE3508"/>
    <w:rsid w:val="70B00E1A"/>
    <w:rsid w:val="70B14DA6"/>
    <w:rsid w:val="70B15EE2"/>
    <w:rsid w:val="70B21E1D"/>
    <w:rsid w:val="70B3674C"/>
    <w:rsid w:val="70B7090B"/>
    <w:rsid w:val="70B84386"/>
    <w:rsid w:val="70BC3E77"/>
    <w:rsid w:val="70C20D61"/>
    <w:rsid w:val="70C25205"/>
    <w:rsid w:val="70C42D2B"/>
    <w:rsid w:val="70C600C6"/>
    <w:rsid w:val="70C64CF5"/>
    <w:rsid w:val="70CB230C"/>
    <w:rsid w:val="70CD54A7"/>
    <w:rsid w:val="70CE3BAA"/>
    <w:rsid w:val="70CE461E"/>
    <w:rsid w:val="70CE5958"/>
    <w:rsid w:val="70CF114D"/>
    <w:rsid w:val="70D00CF3"/>
    <w:rsid w:val="70D05244"/>
    <w:rsid w:val="70D07922"/>
    <w:rsid w:val="70D176B9"/>
    <w:rsid w:val="70D32F6E"/>
    <w:rsid w:val="70D72A5F"/>
    <w:rsid w:val="70D84923"/>
    <w:rsid w:val="70D9104F"/>
    <w:rsid w:val="70D94A29"/>
    <w:rsid w:val="70DA42FD"/>
    <w:rsid w:val="70DB521B"/>
    <w:rsid w:val="70DD3DED"/>
    <w:rsid w:val="70DE35A6"/>
    <w:rsid w:val="70DE6306"/>
    <w:rsid w:val="70DF36C1"/>
    <w:rsid w:val="70DF63E1"/>
    <w:rsid w:val="70DF7B9E"/>
    <w:rsid w:val="70E138DD"/>
    <w:rsid w:val="70E30808"/>
    <w:rsid w:val="70E433CD"/>
    <w:rsid w:val="70E55978"/>
    <w:rsid w:val="70E57AB0"/>
    <w:rsid w:val="70E77189"/>
    <w:rsid w:val="70E84C6C"/>
    <w:rsid w:val="70E9690B"/>
    <w:rsid w:val="70EB02B8"/>
    <w:rsid w:val="70EC442A"/>
    <w:rsid w:val="70EE7DA8"/>
    <w:rsid w:val="70F133F4"/>
    <w:rsid w:val="70F25AEA"/>
    <w:rsid w:val="70F52EE5"/>
    <w:rsid w:val="70F73101"/>
    <w:rsid w:val="70F742B6"/>
    <w:rsid w:val="70F829D5"/>
    <w:rsid w:val="70FA443C"/>
    <w:rsid w:val="70FA674D"/>
    <w:rsid w:val="70FC0717"/>
    <w:rsid w:val="70FC4273"/>
    <w:rsid w:val="70FD7FEB"/>
    <w:rsid w:val="70FE165F"/>
    <w:rsid w:val="70FE448F"/>
    <w:rsid w:val="70FF386F"/>
    <w:rsid w:val="71003DE3"/>
    <w:rsid w:val="71025602"/>
    <w:rsid w:val="71026465"/>
    <w:rsid w:val="710345CB"/>
    <w:rsid w:val="71057F8D"/>
    <w:rsid w:val="71092E34"/>
    <w:rsid w:val="710A0DE2"/>
    <w:rsid w:val="710B1F90"/>
    <w:rsid w:val="710B2708"/>
    <w:rsid w:val="710C022E"/>
    <w:rsid w:val="710D454A"/>
    <w:rsid w:val="710E3FA6"/>
    <w:rsid w:val="710F68F1"/>
    <w:rsid w:val="7110295E"/>
    <w:rsid w:val="7111153C"/>
    <w:rsid w:val="71121CE9"/>
    <w:rsid w:val="71145A08"/>
    <w:rsid w:val="71155606"/>
    <w:rsid w:val="71186BD3"/>
    <w:rsid w:val="711A294B"/>
    <w:rsid w:val="711C2B67"/>
    <w:rsid w:val="711C5DC8"/>
    <w:rsid w:val="711E068D"/>
    <w:rsid w:val="711E68DF"/>
    <w:rsid w:val="711E76A8"/>
    <w:rsid w:val="711F7F62"/>
    <w:rsid w:val="712107AA"/>
    <w:rsid w:val="71211F2C"/>
    <w:rsid w:val="71213CDA"/>
    <w:rsid w:val="71224684"/>
    <w:rsid w:val="71227F13"/>
    <w:rsid w:val="71237A52"/>
    <w:rsid w:val="71245578"/>
    <w:rsid w:val="7128128D"/>
    <w:rsid w:val="7128150C"/>
    <w:rsid w:val="71287D44"/>
    <w:rsid w:val="71290DE0"/>
    <w:rsid w:val="712B2DAA"/>
    <w:rsid w:val="712C1A6A"/>
    <w:rsid w:val="712D1827"/>
    <w:rsid w:val="712E63F7"/>
    <w:rsid w:val="71316B5E"/>
    <w:rsid w:val="71341C5F"/>
    <w:rsid w:val="71357785"/>
    <w:rsid w:val="713734FD"/>
    <w:rsid w:val="713779A1"/>
    <w:rsid w:val="71383D40"/>
    <w:rsid w:val="713E1A91"/>
    <w:rsid w:val="713F0604"/>
    <w:rsid w:val="714125CE"/>
    <w:rsid w:val="71463740"/>
    <w:rsid w:val="71472FD1"/>
    <w:rsid w:val="714772BE"/>
    <w:rsid w:val="714A76D4"/>
    <w:rsid w:val="714C27C0"/>
    <w:rsid w:val="714D0F73"/>
    <w:rsid w:val="714E0603"/>
    <w:rsid w:val="714E3814"/>
    <w:rsid w:val="714E77C7"/>
    <w:rsid w:val="715045BF"/>
    <w:rsid w:val="71542301"/>
    <w:rsid w:val="71584194"/>
    <w:rsid w:val="71597917"/>
    <w:rsid w:val="715A4137"/>
    <w:rsid w:val="715C6C86"/>
    <w:rsid w:val="715E074C"/>
    <w:rsid w:val="715F4802"/>
    <w:rsid w:val="71600CA6"/>
    <w:rsid w:val="716167CC"/>
    <w:rsid w:val="71617FF1"/>
    <w:rsid w:val="716215BE"/>
    <w:rsid w:val="71623F0F"/>
    <w:rsid w:val="716270CD"/>
    <w:rsid w:val="71632544"/>
    <w:rsid w:val="7164006A"/>
    <w:rsid w:val="71642F7A"/>
    <w:rsid w:val="71662034"/>
    <w:rsid w:val="716635B2"/>
    <w:rsid w:val="716B13F9"/>
    <w:rsid w:val="716B26E6"/>
    <w:rsid w:val="716B270E"/>
    <w:rsid w:val="716E0241"/>
    <w:rsid w:val="717007BD"/>
    <w:rsid w:val="71725911"/>
    <w:rsid w:val="71754026"/>
    <w:rsid w:val="71755543"/>
    <w:rsid w:val="71755DD4"/>
    <w:rsid w:val="71773312"/>
    <w:rsid w:val="71776A6E"/>
    <w:rsid w:val="717812F3"/>
    <w:rsid w:val="71782BF5"/>
    <w:rsid w:val="71790EBA"/>
    <w:rsid w:val="717B5AE0"/>
    <w:rsid w:val="718030F6"/>
    <w:rsid w:val="71816E6E"/>
    <w:rsid w:val="7185070D"/>
    <w:rsid w:val="71866233"/>
    <w:rsid w:val="71877260"/>
    <w:rsid w:val="718829D9"/>
    <w:rsid w:val="71883D59"/>
    <w:rsid w:val="718A2ADC"/>
    <w:rsid w:val="718A3708"/>
    <w:rsid w:val="718C60A0"/>
    <w:rsid w:val="718E3CA5"/>
    <w:rsid w:val="718F3339"/>
    <w:rsid w:val="71900E5F"/>
    <w:rsid w:val="719170B1"/>
    <w:rsid w:val="71922E29"/>
    <w:rsid w:val="71926B20"/>
    <w:rsid w:val="71940C37"/>
    <w:rsid w:val="7196291D"/>
    <w:rsid w:val="71971F53"/>
    <w:rsid w:val="719C15B2"/>
    <w:rsid w:val="719C7804"/>
    <w:rsid w:val="719D2A2A"/>
    <w:rsid w:val="719E532A"/>
    <w:rsid w:val="719F04F7"/>
    <w:rsid w:val="719F5BDF"/>
    <w:rsid w:val="71A010A2"/>
    <w:rsid w:val="71A072F4"/>
    <w:rsid w:val="71A1119D"/>
    <w:rsid w:val="71A1198F"/>
    <w:rsid w:val="71A1306D"/>
    <w:rsid w:val="71A175F8"/>
    <w:rsid w:val="71A25353"/>
    <w:rsid w:val="71A339C3"/>
    <w:rsid w:val="71A62431"/>
    <w:rsid w:val="71A62C42"/>
    <w:rsid w:val="71A76679"/>
    <w:rsid w:val="71A768D5"/>
    <w:rsid w:val="71A815DD"/>
    <w:rsid w:val="71A843FB"/>
    <w:rsid w:val="71AB44E3"/>
    <w:rsid w:val="71AF12E6"/>
    <w:rsid w:val="71AF56C7"/>
    <w:rsid w:val="71B11502"/>
    <w:rsid w:val="71B12CD7"/>
    <w:rsid w:val="71B52674"/>
    <w:rsid w:val="71B72655"/>
    <w:rsid w:val="71B92164"/>
    <w:rsid w:val="71BB219B"/>
    <w:rsid w:val="71BB412E"/>
    <w:rsid w:val="71BB5EDC"/>
    <w:rsid w:val="71BC3A02"/>
    <w:rsid w:val="71BD199D"/>
    <w:rsid w:val="71C07997"/>
    <w:rsid w:val="71C11019"/>
    <w:rsid w:val="71C13CE9"/>
    <w:rsid w:val="71C1726B"/>
    <w:rsid w:val="71C31235"/>
    <w:rsid w:val="71C50B09"/>
    <w:rsid w:val="71C62868"/>
    <w:rsid w:val="71C72AD3"/>
    <w:rsid w:val="71CA4371"/>
    <w:rsid w:val="71CC6BF0"/>
    <w:rsid w:val="71CD79BE"/>
    <w:rsid w:val="71CF5DF0"/>
    <w:rsid w:val="71D04977"/>
    <w:rsid w:val="71D13952"/>
    <w:rsid w:val="71D23226"/>
    <w:rsid w:val="71D340B8"/>
    <w:rsid w:val="71D4019F"/>
    <w:rsid w:val="71D434A0"/>
    <w:rsid w:val="71D4481E"/>
    <w:rsid w:val="71D4673D"/>
    <w:rsid w:val="71D60F68"/>
    <w:rsid w:val="71D76A8E"/>
    <w:rsid w:val="71D84CE0"/>
    <w:rsid w:val="71D945B4"/>
    <w:rsid w:val="71DB20DB"/>
    <w:rsid w:val="71DB657E"/>
    <w:rsid w:val="71DE1BCB"/>
    <w:rsid w:val="71DE7E1D"/>
    <w:rsid w:val="71E00B95"/>
    <w:rsid w:val="71E03B95"/>
    <w:rsid w:val="71E13469"/>
    <w:rsid w:val="71E1793A"/>
    <w:rsid w:val="71E216E7"/>
    <w:rsid w:val="71E323B9"/>
    <w:rsid w:val="71E357C9"/>
    <w:rsid w:val="71E371E1"/>
    <w:rsid w:val="71E65E9F"/>
    <w:rsid w:val="71E76CD1"/>
    <w:rsid w:val="71E82A49"/>
    <w:rsid w:val="71E96CF5"/>
    <w:rsid w:val="71EA4A14"/>
    <w:rsid w:val="71EC0AA9"/>
    <w:rsid w:val="71EC253A"/>
    <w:rsid w:val="71EC5676"/>
    <w:rsid w:val="71ED62B2"/>
    <w:rsid w:val="71F1067C"/>
    <w:rsid w:val="71F118FE"/>
    <w:rsid w:val="71F17B50"/>
    <w:rsid w:val="71F25676"/>
    <w:rsid w:val="71FA376F"/>
    <w:rsid w:val="71FA5587"/>
    <w:rsid w:val="71FB09CF"/>
    <w:rsid w:val="71FB3FB6"/>
    <w:rsid w:val="71FC4104"/>
    <w:rsid w:val="71FD4901"/>
    <w:rsid w:val="71FF7992"/>
    <w:rsid w:val="72001B41"/>
    <w:rsid w:val="72037883"/>
    <w:rsid w:val="72064D9E"/>
    <w:rsid w:val="72084E9A"/>
    <w:rsid w:val="72097843"/>
    <w:rsid w:val="720A29C0"/>
    <w:rsid w:val="720B3109"/>
    <w:rsid w:val="720D425E"/>
    <w:rsid w:val="720E5A2E"/>
    <w:rsid w:val="720F4A00"/>
    <w:rsid w:val="72100F31"/>
    <w:rsid w:val="72113D4E"/>
    <w:rsid w:val="72127AC6"/>
    <w:rsid w:val="721750DD"/>
    <w:rsid w:val="7218259B"/>
    <w:rsid w:val="7218633D"/>
    <w:rsid w:val="72190311"/>
    <w:rsid w:val="72190E55"/>
    <w:rsid w:val="72192C03"/>
    <w:rsid w:val="72225F5B"/>
    <w:rsid w:val="72247F25"/>
    <w:rsid w:val="72255807"/>
    <w:rsid w:val="72271C09"/>
    <w:rsid w:val="72275320"/>
    <w:rsid w:val="722A12B4"/>
    <w:rsid w:val="722D6AAC"/>
    <w:rsid w:val="722E2B52"/>
    <w:rsid w:val="722E547D"/>
    <w:rsid w:val="72312642"/>
    <w:rsid w:val="723B7A2C"/>
    <w:rsid w:val="723E077B"/>
    <w:rsid w:val="723F4D5F"/>
    <w:rsid w:val="72422E5F"/>
    <w:rsid w:val="724425B9"/>
    <w:rsid w:val="72444A55"/>
    <w:rsid w:val="7246546B"/>
    <w:rsid w:val="72473C14"/>
    <w:rsid w:val="72477770"/>
    <w:rsid w:val="724834E8"/>
    <w:rsid w:val="724E4FA2"/>
    <w:rsid w:val="724F0D1A"/>
    <w:rsid w:val="7251239D"/>
    <w:rsid w:val="72514A93"/>
    <w:rsid w:val="72536115"/>
    <w:rsid w:val="72563E57"/>
    <w:rsid w:val="72565C05"/>
    <w:rsid w:val="7258372B"/>
    <w:rsid w:val="725F31C3"/>
    <w:rsid w:val="725F590E"/>
    <w:rsid w:val="72600373"/>
    <w:rsid w:val="726227FC"/>
    <w:rsid w:val="72636EBC"/>
    <w:rsid w:val="72646574"/>
    <w:rsid w:val="72655E48"/>
    <w:rsid w:val="72683E78"/>
    <w:rsid w:val="72693B8A"/>
    <w:rsid w:val="726A4227"/>
    <w:rsid w:val="726A7902"/>
    <w:rsid w:val="726B35D0"/>
    <w:rsid w:val="726C367A"/>
    <w:rsid w:val="726C646D"/>
    <w:rsid w:val="726F6CC7"/>
    <w:rsid w:val="72712A3F"/>
    <w:rsid w:val="727147ED"/>
    <w:rsid w:val="727331D4"/>
    <w:rsid w:val="72750781"/>
    <w:rsid w:val="72760055"/>
    <w:rsid w:val="727662A7"/>
    <w:rsid w:val="72783DCD"/>
    <w:rsid w:val="727A2B5F"/>
    <w:rsid w:val="727A5D97"/>
    <w:rsid w:val="727B1B10"/>
    <w:rsid w:val="727B38BE"/>
    <w:rsid w:val="727B7850"/>
    <w:rsid w:val="727D007F"/>
    <w:rsid w:val="727D13E4"/>
    <w:rsid w:val="727D7636"/>
    <w:rsid w:val="727E0C6F"/>
    <w:rsid w:val="72820AD0"/>
    <w:rsid w:val="72833651"/>
    <w:rsid w:val="728625D7"/>
    <w:rsid w:val="72871302"/>
    <w:rsid w:val="728863C7"/>
    <w:rsid w:val="728B1480"/>
    <w:rsid w:val="728E0764"/>
    <w:rsid w:val="728F1117"/>
    <w:rsid w:val="729055BB"/>
    <w:rsid w:val="72906C7D"/>
    <w:rsid w:val="72907369"/>
    <w:rsid w:val="72916C3D"/>
    <w:rsid w:val="729276BA"/>
    <w:rsid w:val="7294672D"/>
    <w:rsid w:val="72955527"/>
    <w:rsid w:val="72980F92"/>
    <w:rsid w:val="729A01E8"/>
    <w:rsid w:val="729A5C62"/>
    <w:rsid w:val="729A7263"/>
    <w:rsid w:val="729C463F"/>
    <w:rsid w:val="729D55E2"/>
    <w:rsid w:val="72A252EE"/>
    <w:rsid w:val="72A4298A"/>
    <w:rsid w:val="72A4497B"/>
    <w:rsid w:val="72A5093A"/>
    <w:rsid w:val="72A51F3E"/>
    <w:rsid w:val="72A526E9"/>
    <w:rsid w:val="72A9042B"/>
    <w:rsid w:val="72A92700"/>
    <w:rsid w:val="72A93F87"/>
    <w:rsid w:val="72AB41A3"/>
    <w:rsid w:val="72AB74A5"/>
    <w:rsid w:val="72AC7F1B"/>
    <w:rsid w:val="72B077B6"/>
    <w:rsid w:val="72B1108D"/>
    <w:rsid w:val="72B23A0C"/>
    <w:rsid w:val="72B34A59"/>
    <w:rsid w:val="72B43BC0"/>
    <w:rsid w:val="72B556A2"/>
    <w:rsid w:val="72B81BE1"/>
    <w:rsid w:val="72B87DB7"/>
    <w:rsid w:val="72BC63B0"/>
    <w:rsid w:val="72BF7C4E"/>
    <w:rsid w:val="72C14A6A"/>
    <w:rsid w:val="72C2329A"/>
    <w:rsid w:val="72C24C2B"/>
    <w:rsid w:val="72C34636"/>
    <w:rsid w:val="72C35F13"/>
    <w:rsid w:val="72C40DC1"/>
    <w:rsid w:val="72C62D8B"/>
    <w:rsid w:val="72CC1ABA"/>
    <w:rsid w:val="72CC236B"/>
    <w:rsid w:val="72CC5EC7"/>
    <w:rsid w:val="72CD6E1F"/>
    <w:rsid w:val="72D1172F"/>
    <w:rsid w:val="72D26780"/>
    <w:rsid w:val="72D336FA"/>
    <w:rsid w:val="72D36E98"/>
    <w:rsid w:val="72D64389"/>
    <w:rsid w:val="72DA05E4"/>
    <w:rsid w:val="72DD0001"/>
    <w:rsid w:val="72E26D08"/>
    <w:rsid w:val="72E41463"/>
    <w:rsid w:val="72E66F89"/>
    <w:rsid w:val="72E73919"/>
    <w:rsid w:val="72E871A5"/>
    <w:rsid w:val="72EC0317"/>
    <w:rsid w:val="72EC15BC"/>
    <w:rsid w:val="72EF087A"/>
    <w:rsid w:val="72F133AB"/>
    <w:rsid w:val="72F316A6"/>
    <w:rsid w:val="72F36482"/>
    <w:rsid w:val="72F51BB8"/>
    <w:rsid w:val="72F571CC"/>
    <w:rsid w:val="72F74268"/>
    <w:rsid w:val="72F81F40"/>
    <w:rsid w:val="72F83160"/>
    <w:rsid w:val="72F91637"/>
    <w:rsid w:val="72FF629D"/>
    <w:rsid w:val="73013662"/>
    <w:rsid w:val="73013DC3"/>
    <w:rsid w:val="73023107"/>
    <w:rsid w:val="73025D8D"/>
    <w:rsid w:val="73045661"/>
    <w:rsid w:val="730613D9"/>
    <w:rsid w:val="7306762B"/>
    <w:rsid w:val="730702D4"/>
    <w:rsid w:val="730731B7"/>
    <w:rsid w:val="73076EFF"/>
    <w:rsid w:val="730A4576"/>
    <w:rsid w:val="730A5F92"/>
    <w:rsid w:val="730B69EF"/>
    <w:rsid w:val="730C2768"/>
    <w:rsid w:val="730E203D"/>
    <w:rsid w:val="73117D7E"/>
    <w:rsid w:val="73125FD0"/>
    <w:rsid w:val="73131D48"/>
    <w:rsid w:val="7315556E"/>
    <w:rsid w:val="73155AC0"/>
    <w:rsid w:val="73171838"/>
    <w:rsid w:val="731735E6"/>
    <w:rsid w:val="7318735E"/>
    <w:rsid w:val="7319019D"/>
    <w:rsid w:val="731955B0"/>
    <w:rsid w:val="731A2A07"/>
    <w:rsid w:val="731A30D6"/>
    <w:rsid w:val="731A4E85"/>
    <w:rsid w:val="731B027F"/>
    <w:rsid w:val="731C3493"/>
    <w:rsid w:val="731D6723"/>
    <w:rsid w:val="731E46F0"/>
    <w:rsid w:val="73201B9F"/>
    <w:rsid w:val="73211647"/>
    <w:rsid w:val="73214465"/>
    <w:rsid w:val="73242BFE"/>
    <w:rsid w:val="73243F55"/>
    <w:rsid w:val="73254F95"/>
    <w:rsid w:val="732857F3"/>
    <w:rsid w:val="7329156C"/>
    <w:rsid w:val="7329331A"/>
    <w:rsid w:val="732A040F"/>
    <w:rsid w:val="732A0917"/>
    <w:rsid w:val="732C6966"/>
    <w:rsid w:val="732D3CFC"/>
    <w:rsid w:val="732D4BB8"/>
    <w:rsid w:val="732E03E7"/>
    <w:rsid w:val="732E6B82"/>
    <w:rsid w:val="732F7BF7"/>
    <w:rsid w:val="73320420"/>
    <w:rsid w:val="73334198"/>
    <w:rsid w:val="73335C49"/>
    <w:rsid w:val="73353A6C"/>
    <w:rsid w:val="73357F10"/>
    <w:rsid w:val="733A5527"/>
    <w:rsid w:val="733D0B73"/>
    <w:rsid w:val="733E6DC5"/>
    <w:rsid w:val="733F6699"/>
    <w:rsid w:val="73412411"/>
    <w:rsid w:val="73426189"/>
    <w:rsid w:val="734306C2"/>
    <w:rsid w:val="73491A49"/>
    <w:rsid w:val="734939BC"/>
    <w:rsid w:val="7349576A"/>
    <w:rsid w:val="73497518"/>
    <w:rsid w:val="734B380D"/>
    <w:rsid w:val="734C0DB6"/>
    <w:rsid w:val="734C62F5"/>
    <w:rsid w:val="734F0FD2"/>
    <w:rsid w:val="735008A6"/>
    <w:rsid w:val="73504D4A"/>
    <w:rsid w:val="73522870"/>
    <w:rsid w:val="73523919"/>
    <w:rsid w:val="73530396"/>
    <w:rsid w:val="735417BE"/>
    <w:rsid w:val="7355410F"/>
    <w:rsid w:val="73555EBD"/>
    <w:rsid w:val="73571C35"/>
    <w:rsid w:val="73572D10"/>
    <w:rsid w:val="73575B21"/>
    <w:rsid w:val="735760D9"/>
    <w:rsid w:val="735C36EF"/>
    <w:rsid w:val="735D2FC3"/>
    <w:rsid w:val="735F70AD"/>
    <w:rsid w:val="73610D05"/>
    <w:rsid w:val="736175D9"/>
    <w:rsid w:val="7363682B"/>
    <w:rsid w:val="73653BD3"/>
    <w:rsid w:val="73657AE5"/>
    <w:rsid w:val="73683E42"/>
    <w:rsid w:val="736A39E4"/>
    <w:rsid w:val="736B3932"/>
    <w:rsid w:val="736B62F7"/>
    <w:rsid w:val="736D1458"/>
    <w:rsid w:val="736F63C6"/>
    <w:rsid w:val="73712FE4"/>
    <w:rsid w:val="7372081D"/>
    <w:rsid w:val="73781BAB"/>
    <w:rsid w:val="73784396"/>
    <w:rsid w:val="737A5923"/>
    <w:rsid w:val="737C169B"/>
    <w:rsid w:val="737C1FA5"/>
    <w:rsid w:val="737F118B"/>
    <w:rsid w:val="737F73DD"/>
    <w:rsid w:val="73802893"/>
    <w:rsid w:val="73813156"/>
    <w:rsid w:val="73836ECE"/>
    <w:rsid w:val="738430F5"/>
    <w:rsid w:val="7384322E"/>
    <w:rsid w:val="7384715C"/>
    <w:rsid w:val="73852348"/>
    <w:rsid w:val="738B0ABC"/>
    <w:rsid w:val="738B1B6C"/>
    <w:rsid w:val="738D1AFA"/>
    <w:rsid w:val="738E13CF"/>
    <w:rsid w:val="73920EBF"/>
    <w:rsid w:val="73922C6D"/>
    <w:rsid w:val="73927111"/>
    <w:rsid w:val="73956B76"/>
    <w:rsid w:val="73974727"/>
    <w:rsid w:val="7399049F"/>
    <w:rsid w:val="7399224D"/>
    <w:rsid w:val="7399292E"/>
    <w:rsid w:val="739A54A6"/>
    <w:rsid w:val="739A5FC5"/>
    <w:rsid w:val="739B4217"/>
    <w:rsid w:val="739E015D"/>
    <w:rsid w:val="739E7864"/>
    <w:rsid w:val="739F538A"/>
    <w:rsid w:val="739F67DB"/>
    <w:rsid w:val="73A155A6"/>
    <w:rsid w:val="73A40BF2"/>
    <w:rsid w:val="73A429A0"/>
    <w:rsid w:val="73A56E44"/>
    <w:rsid w:val="73A83C80"/>
    <w:rsid w:val="73AA6208"/>
    <w:rsid w:val="73AA66C4"/>
    <w:rsid w:val="73AB1F81"/>
    <w:rsid w:val="73AB4ED8"/>
    <w:rsid w:val="73AC0938"/>
    <w:rsid w:val="73AE39A4"/>
    <w:rsid w:val="73AF7191"/>
    <w:rsid w:val="73B00889"/>
    <w:rsid w:val="73B057E9"/>
    <w:rsid w:val="73B07597"/>
    <w:rsid w:val="73B11254"/>
    <w:rsid w:val="73B2330F"/>
    <w:rsid w:val="73B33669"/>
    <w:rsid w:val="73B3503A"/>
    <w:rsid w:val="73B47087"/>
    <w:rsid w:val="73B54BAD"/>
    <w:rsid w:val="73B71D9F"/>
    <w:rsid w:val="73B726D3"/>
    <w:rsid w:val="73BC1A88"/>
    <w:rsid w:val="73BC418E"/>
    <w:rsid w:val="73BD701B"/>
    <w:rsid w:val="73BF77DA"/>
    <w:rsid w:val="73C13552"/>
    <w:rsid w:val="73C179F6"/>
    <w:rsid w:val="73C51294"/>
    <w:rsid w:val="73C82B32"/>
    <w:rsid w:val="73C843FF"/>
    <w:rsid w:val="73C90572"/>
    <w:rsid w:val="73CC2623"/>
    <w:rsid w:val="73CE17DA"/>
    <w:rsid w:val="73CF2113"/>
    <w:rsid w:val="73CF2DDF"/>
    <w:rsid w:val="73D01E03"/>
    <w:rsid w:val="73D03795"/>
    <w:rsid w:val="73D239B1"/>
    <w:rsid w:val="73D2575F"/>
    <w:rsid w:val="73D61F49"/>
    <w:rsid w:val="73D70FC8"/>
    <w:rsid w:val="73D74B24"/>
    <w:rsid w:val="73DB0AB8"/>
    <w:rsid w:val="73DC038C"/>
    <w:rsid w:val="73DC09EB"/>
    <w:rsid w:val="73DC6F23"/>
    <w:rsid w:val="73DE4104"/>
    <w:rsid w:val="73E00784"/>
    <w:rsid w:val="73E060CE"/>
    <w:rsid w:val="73E13BF4"/>
    <w:rsid w:val="73E246D0"/>
    <w:rsid w:val="73E36DD4"/>
    <w:rsid w:val="73E3796C"/>
    <w:rsid w:val="73E52ABE"/>
    <w:rsid w:val="73E55492"/>
    <w:rsid w:val="73E57241"/>
    <w:rsid w:val="73E60CDB"/>
    <w:rsid w:val="73E6120B"/>
    <w:rsid w:val="73E76412"/>
    <w:rsid w:val="73E7793A"/>
    <w:rsid w:val="73ED2599"/>
    <w:rsid w:val="73EE6281"/>
    <w:rsid w:val="73EF4563"/>
    <w:rsid w:val="73F05BE5"/>
    <w:rsid w:val="73F41B79"/>
    <w:rsid w:val="73F43927"/>
    <w:rsid w:val="73F52E75"/>
    <w:rsid w:val="73F567FB"/>
    <w:rsid w:val="73F834DE"/>
    <w:rsid w:val="73F90F3E"/>
    <w:rsid w:val="73F957F0"/>
    <w:rsid w:val="73F97190"/>
    <w:rsid w:val="73FB119D"/>
    <w:rsid w:val="73FC0A2E"/>
    <w:rsid w:val="73FC27DC"/>
    <w:rsid w:val="73FC4B22"/>
    <w:rsid w:val="73FC64C6"/>
    <w:rsid w:val="740116E1"/>
    <w:rsid w:val="74031DBD"/>
    <w:rsid w:val="74051691"/>
    <w:rsid w:val="74055AE2"/>
    <w:rsid w:val="7407365B"/>
    <w:rsid w:val="740978BA"/>
    <w:rsid w:val="740C0C09"/>
    <w:rsid w:val="740C0C71"/>
    <w:rsid w:val="740C6EC3"/>
    <w:rsid w:val="740D49E9"/>
    <w:rsid w:val="740E2F75"/>
    <w:rsid w:val="740F250F"/>
    <w:rsid w:val="74106750"/>
    <w:rsid w:val="74123E52"/>
    <w:rsid w:val="74155497"/>
    <w:rsid w:val="741713C4"/>
    <w:rsid w:val="741839F1"/>
    <w:rsid w:val="74185868"/>
    <w:rsid w:val="741B5358"/>
    <w:rsid w:val="741C68AB"/>
    <w:rsid w:val="741E6BF6"/>
    <w:rsid w:val="74213FF1"/>
    <w:rsid w:val="74235FBB"/>
    <w:rsid w:val="74237D69"/>
    <w:rsid w:val="74253798"/>
    <w:rsid w:val="7426729A"/>
    <w:rsid w:val="74275AAB"/>
    <w:rsid w:val="742A7349"/>
    <w:rsid w:val="742C1313"/>
    <w:rsid w:val="742D1BD6"/>
    <w:rsid w:val="742F024D"/>
    <w:rsid w:val="74312486"/>
    <w:rsid w:val="74324450"/>
    <w:rsid w:val="743401C8"/>
    <w:rsid w:val="7434296E"/>
    <w:rsid w:val="74367A9C"/>
    <w:rsid w:val="74393A30"/>
    <w:rsid w:val="7439758C"/>
    <w:rsid w:val="743B1556"/>
    <w:rsid w:val="743D707D"/>
    <w:rsid w:val="743E1047"/>
    <w:rsid w:val="743E2DF5"/>
    <w:rsid w:val="743E47E3"/>
    <w:rsid w:val="74406B6D"/>
    <w:rsid w:val="7443040B"/>
    <w:rsid w:val="74436F43"/>
    <w:rsid w:val="74471CA9"/>
    <w:rsid w:val="74480A90"/>
    <w:rsid w:val="744877CF"/>
    <w:rsid w:val="74487C53"/>
    <w:rsid w:val="74493B74"/>
    <w:rsid w:val="744A3547"/>
    <w:rsid w:val="744D3038"/>
    <w:rsid w:val="744F6DB0"/>
    <w:rsid w:val="74564523"/>
    <w:rsid w:val="745B1F4E"/>
    <w:rsid w:val="745D7787"/>
    <w:rsid w:val="745F3497"/>
    <w:rsid w:val="746045F4"/>
    <w:rsid w:val="74610EAD"/>
    <w:rsid w:val="74655F1A"/>
    <w:rsid w:val="7465798E"/>
    <w:rsid w:val="74675EA7"/>
    <w:rsid w:val="74687E72"/>
    <w:rsid w:val="746A0C2F"/>
    <w:rsid w:val="746A4C00"/>
    <w:rsid w:val="746C0AE1"/>
    <w:rsid w:val="746C5BB4"/>
    <w:rsid w:val="746E338C"/>
    <w:rsid w:val="74714F78"/>
    <w:rsid w:val="7473071B"/>
    <w:rsid w:val="74732A9E"/>
    <w:rsid w:val="74736F42"/>
    <w:rsid w:val="747913EA"/>
    <w:rsid w:val="7479207F"/>
    <w:rsid w:val="7479518F"/>
    <w:rsid w:val="747C5C15"/>
    <w:rsid w:val="747E2D2B"/>
    <w:rsid w:val="747E49B4"/>
    <w:rsid w:val="747F7B53"/>
    <w:rsid w:val="74806F69"/>
    <w:rsid w:val="7481508C"/>
    <w:rsid w:val="74843900"/>
    <w:rsid w:val="74844C08"/>
    <w:rsid w:val="74844CAB"/>
    <w:rsid w:val="748527D2"/>
    <w:rsid w:val="74857906"/>
    <w:rsid w:val="74866CC7"/>
    <w:rsid w:val="748719CF"/>
    <w:rsid w:val="74890514"/>
    <w:rsid w:val="748C590E"/>
    <w:rsid w:val="748D0C82"/>
    <w:rsid w:val="748E2078"/>
    <w:rsid w:val="74913239"/>
    <w:rsid w:val="749169AB"/>
    <w:rsid w:val="74917F85"/>
    <w:rsid w:val="74934EEE"/>
    <w:rsid w:val="74935681"/>
    <w:rsid w:val="74942A15"/>
    <w:rsid w:val="749649DF"/>
    <w:rsid w:val="74973049"/>
    <w:rsid w:val="749869A9"/>
    <w:rsid w:val="749B3DA3"/>
    <w:rsid w:val="749D3FBF"/>
    <w:rsid w:val="749E3121"/>
    <w:rsid w:val="74A40EAA"/>
    <w:rsid w:val="74A52E74"/>
    <w:rsid w:val="74A5312C"/>
    <w:rsid w:val="74A65239"/>
    <w:rsid w:val="74A708D0"/>
    <w:rsid w:val="74A71093"/>
    <w:rsid w:val="74A72748"/>
    <w:rsid w:val="74A84087"/>
    <w:rsid w:val="74A94712"/>
    <w:rsid w:val="74A964C0"/>
    <w:rsid w:val="74AA1D1C"/>
    <w:rsid w:val="74AB66DC"/>
    <w:rsid w:val="74AC4202"/>
    <w:rsid w:val="74AF3AE6"/>
    <w:rsid w:val="74B03CF2"/>
    <w:rsid w:val="74B17A6A"/>
    <w:rsid w:val="74B27FFC"/>
    <w:rsid w:val="74B35591"/>
    <w:rsid w:val="74B562A2"/>
    <w:rsid w:val="74B80DF9"/>
    <w:rsid w:val="74B84955"/>
    <w:rsid w:val="74BB2697"/>
    <w:rsid w:val="74BB61F3"/>
    <w:rsid w:val="74BC1E14"/>
    <w:rsid w:val="74BE7A92"/>
    <w:rsid w:val="74C07CAE"/>
    <w:rsid w:val="74C23A26"/>
    <w:rsid w:val="74C46F90"/>
    <w:rsid w:val="74C557E0"/>
    <w:rsid w:val="74C60A34"/>
    <w:rsid w:val="74C66EA0"/>
    <w:rsid w:val="74C7103C"/>
    <w:rsid w:val="74C74B98"/>
    <w:rsid w:val="74C90910"/>
    <w:rsid w:val="74C92F9C"/>
    <w:rsid w:val="74CA4688"/>
    <w:rsid w:val="74CB28DA"/>
    <w:rsid w:val="74CB535E"/>
    <w:rsid w:val="74CD3DC4"/>
    <w:rsid w:val="74CF7F59"/>
    <w:rsid w:val="74D07EF1"/>
    <w:rsid w:val="74D15A17"/>
    <w:rsid w:val="74D3178F"/>
    <w:rsid w:val="74D379E1"/>
    <w:rsid w:val="74D44EAE"/>
    <w:rsid w:val="74D53759"/>
    <w:rsid w:val="74D6302D"/>
    <w:rsid w:val="74D66820"/>
    <w:rsid w:val="74D97E42"/>
    <w:rsid w:val="74DC681A"/>
    <w:rsid w:val="74DD552E"/>
    <w:rsid w:val="74DD616A"/>
    <w:rsid w:val="74E120FE"/>
    <w:rsid w:val="74E171C5"/>
    <w:rsid w:val="74E37836"/>
    <w:rsid w:val="74E4574A"/>
    <w:rsid w:val="74E53270"/>
    <w:rsid w:val="74E76FE8"/>
    <w:rsid w:val="74E77C8D"/>
    <w:rsid w:val="74EB6AD9"/>
    <w:rsid w:val="74EC44A4"/>
    <w:rsid w:val="74ED7305"/>
    <w:rsid w:val="74EE0377"/>
    <w:rsid w:val="74F11C15"/>
    <w:rsid w:val="74F13608"/>
    <w:rsid w:val="74F160B9"/>
    <w:rsid w:val="74F17E67"/>
    <w:rsid w:val="74F30CCA"/>
    <w:rsid w:val="74F3598D"/>
    <w:rsid w:val="74F43AA6"/>
    <w:rsid w:val="74F51705"/>
    <w:rsid w:val="74F71921"/>
    <w:rsid w:val="74F86FE9"/>
    <w:rsid w:val="74FA10D8"/>
    <w:rsid w:val="74FD05BA"/>
    <w:rsid w:val="74FD680C"/>
    <w:rsid w:val="74FF2584"/>
    <w:rsid w:val="74FF3B82"/>
    <w:rsid w:val="74FF4332"/>
    <w:rsid w:val="75041948"/>
    <w:rsid w:val="75045DEC"/>
    <w:rsid w:val="75061B64"/>
    <w:rsid w:val="75071439"/>
    <w:rsid w:val="7507768A"/>
    <w:rsid w:val="750951B1"/>
    <w:rsid w:val="75096F5F"/>
    <w:rsid w:val="750B0F29"/>
    <w:rsid w:val="750B4F95"/>
    <w:rsid w:val="750C6460"/>
    <w:rsid w:val="750D0AF6"/>
    <w:rsid w:val="750D1D1B"/>
    <w:rsid w:val="750E0C64"/>
    <w:rsid w:val="751002ED"/>
    <w:rsid w:val="751173AA"/>
    <w:rsid w:val="7512069E"/>
    <w:rsid w:val="7513602F"/>
    <w:rsid w:val="75137DDD"/>
    <w:rsid w:val="751600B4"/>
    <w:rsid w:val="75164E1E"/>
    <w:rsid w:val="75175B20"/>
    <w:rsid w:val="751A69B4"/>
    <w:rsid w:val="751D0C5C"/>
    <w:rsid w:val="751D6EAE"/>
    <w:rsid w:val="751F2C26"/>
    <w:rsid w:val="751F49D4"/>
    <w:rsid w:val="7521074C"/>
    <w:rsid w:val="7521699E"/>
    <w:rsid w:val="7522263A"/>
    <w:rsid w:val="752913AF"/>
    <w:rsid w:val="752C0E9F"/>
    <w:rsid w:val="752D0F1D"/>
    <w:rsid w:val="752D33CD"/>
    <w:rsid w:val="752D5343"/>
    <w:rsid w:val="752E10BB"/>
    <w:rsid w:val="752E4C17"/>
    <w:rsid w:val="75313EE2"/>
    <w:rsid w:val="75362CC5"/>
    <w:rsid w:val="75371D1E"/>
    <w:rsid w:val="75385A96"/>
    <w:rsid w:val="75390DD0"/>
    <w:rsid w:val="7539590B"/>
    <w:rsid w:val="753A35BC"/>
    <w:rsid w:val="753A7352"/>
    <w:rsid w:val="753A7A21"/>
    <w:rsid w:val="753D30AC"/>
    <w:rsid w:val="753D7DE4"/>
    <w:rsid w:val="753E00F9"/>
    <w:rsid w:val="75410DEE"/>
    <w:rsid w:val="75412B9C"/>
    <w:rsid w:val="754141EB"/>
    <w:rsid w:val="75425D78"/>
    <w:rsid w:val="75436915"/>
    <w:rsid w:val="75460D22"/>
    <w:rsid w:val="75475CD9"/>
    <w:rsid w:val="75481873"/>
    <w:rsid w:val="75491A51"/>
    <w:rsid w:val="754B4CE1"/>
    <w:rsid w:val="754C278E"/>
    <w:rsid w:val="754E3D34"/>
    <w:rsid w:val="754E6641"/>
    <w:rsid w:val="754F5A15"/>
    <w:rsid w:val="7553467E"/>
    <w:rsid w:val="7557416E"/>
    <w:rsid w:val="7558758D"/>
    <w:rsid w:val="755A5A0C"/>
    <w:rsid w:val="755B34B9"/>
    <w:rsid w:val="755B7815"/>
    <w:rsid w:val="755C0D08"/>
    <w:rsid w:val="755C3532"/>
    <w:rsid w:val="755C3876"/>
    <w:rsid w:val="755D78B0"/>
    <w:rsid w:val="7562469E"/>
    <w:rsid w:val="75630B78"/>
    <w:rsid w:val="75642008"/>
    <w:rsid w:val="756643B1"/>
    <w:rsid w:val="75680129"/>
    <w:rsid w:val="756920F3"/>
    <w:rsid w:val="756A6673"/>
    <w:rsid w:val="756B19C7"/>
    <w:rsid w:val="756F085C"/>
    <w:rsid w:val="75703482"/>
    <w:rsid w:val="75720FA8"/>
    <w:rsid w:val="75722D56"/>
    <w:rsid w:val="757271FA"/>
    <w:rsid w:val="757310EA"/>
    <w:rsid w:val="75792336"/>
    <w:rsid w:val="757944DF"/>
    <w:rsid w:val="757A4300"/>
    <w:rsid w:val="757C1E26"/>
    <w:rsid w:val="757C3BD5"/>
    <w:rsid w:val="757D16FB"/>
    <w:rsid w:val="757E5780"/>
    <w:rsid w:val="757F36C5"/>
    <w:rsid w:val="757F6C10"/>
    <w:rsid w:val="758000A0"/>
    <w:rsid w:val="758272E8"/>
    <w:rsid w:val="75842A89"/>
    <w:rsid w:val="75867598"/>
    <w:rsid w:val="75874658"/>
    <w:rsid w:val="758807CB"/>
    <w:rsid w:val="75882579"/>
    <w:rsid w:val="75895103"/>
    <w:rsid w:val="758B11E8"/>
    <w:rsid w:val="758B206A"/>
    <w:rsid w:val="758B51B3"/>
    <w:rsid w:val="758C3ABE"/>
    <w:rsid w:val="758D0857"/>
    <w:rsid w:val="758D5DE2"/>
    <w:rsid w:val="758E5B22"/>
    <w:rsid w:val="758F7174"/>
    <w:rsid w:val="75932CCC"/>
    <w:rsid w:val="75952EE8"/>
    <w:rsid w:val="75984ABB"/>
    <w:rsid w:val="75994771"/>
    <w:rsid w:val="75994786"/>
    <w:rsid w:val="759E1500"/>
    <w:rsid w:val="759E7FD7"/>
    <w:rsid w:val="759E7FEF"/>
    <w:rsid w:val="759F1BC9"/>
    <w:rsid w:val="75A13FB4"/>
    <w:rsid w:val="75A4241A"/>
    <w:rsid w:val="75A44ED9"/>
    <w:rsid w:val="75A60C51"/>
    <w:rsid w:val="75A62DBC"/>
    <w:rsid w:val="75A70BDD"/>
    <w:rsid w:val="75AE5B5F"/>
    <w:rsid w:val="75AE6841"/>
    <w:rsid w:val="75AE7B06"/>
    <w:rsid w:val="75B01AD0"/>
    <w:rsid w:val="75B0387E"/>
    <w:rsid w:val="75B166C0"/>
    <w:rsid w:val="75B25848"/>
    <w:rsid w:val="75B326FD"/>
    <w:rsid w:val="75B46F90"/>
    <w:rsid w:val="75B53949"/>
    <w:rsid w:val="75B710B1"/>
    <w:rsid w:val="75B72E5F"/>
    <w:rsid w:val="75BB43EF"/>
    <w:rsid w:val="75BB689A"/>
    <w:rsid w:val="75BC2223"/>
    <w:rsid w:val="75BE06EF"/>
    <w:rsid w:val="75BE41ED"/>
    <w:rsid w:val="75C15774"/>
    <w:rsid w:val="75C32134"/>
    <w:rsid w:val="75C335B1"/>
    <w:rsid w:val="75C34BED"/>
    <w:rsid w:val="75C46A85"/>
    <w:rsid w:val="75C5557C"/>
    <w:rsid w:val="75C612F4"/>
    <w:rsid w:val="75C818D6"/>
    <w:rsid w:val="75C86E1A"/>
    <w:rsid w:val="75CB690A"/>
    <w:rsid w:val="75D03F20"/>
    <w:rsid w:val="75D11DE7"/>
    <w:rsid w:val="75D41E07"/>
    <w:rsid w:val="75D4705E"/>
    <w:rsid w:val="75D4756D"/>
    <w:rsid w:val="75D532E5"/>
    <w:rsid w:val="75D75508"/>
    <w:rsid w:val="75D92DD5"/>
    <w:rsid w:val="75DE03EB"/>
    <w:rsid w:val="75DE663D"/>
    <w:rsid w:val="75E033DC"/>
    <w:rsid w:val="75E11C8A"/>
    <w:rsid w:val="75E1612D"/>
    <w:rsid w:val="75E3358F"/>
    <w:rsid w:val="75E55C1E"/>
    <w:rsid w:val="75E6098F"/>
    <w:rsid w:val="75E6724E"/>
    <w:rsid w:val="75E726FF"/>
    <w:rsid w:val="75EB0D97"/>
    <w:rsid w:val="75EB2B08"/>
    <w:rsid w:val="75EC52FE"/>
    <w:rsid w:val="75ED1197"/>
    <w:rsid w:val="75ED44F4"/>
    <w:rsid w:val="75ED4AD2"/>
    <w:rsid w:val="75EE6384"/>
    <w:rsid w:val="75EF25F8"/>
    <w:rsid w:val="75F00F0C"/>
    <w:rsid w:val="75F06371"/>
    <w:rsid w:val="75F55735"/>
    <w:rsid w:val="75F702BC"/>
    <w:rsid w:val="75F776FF"/>
    <w:rsid w:val="75F95225"/>
    <w:rsid w:val="75F97DAA"/>
    <w:rsid w:val="75FA1B12"/>
    <w:rsid w:val="75FA2D4B"/>
    <w:rsid w:val="75FA7AA0"/>
    <w:rsid w:val="75FC656A"/>
    <w:rsid w:val="75FD44B1"/>
    <w:rsid w:val="75FE45EA"/>
    <w:rsid w:val="75FE54D5"/>
    <w:rsid w:val="75FE62CD"/>
    <w:rsid w:val="76004806"/>
    <w:rsid w:val="7601232C"/>
    <w:rsid w:val="760140DA"/>
    <w:rsid w:val="76025069"/>
    <w:rsid w:val="760252E6"/>
    <w:rsid w:val="760275C0"/>
    <w:rsid w:val="760342F6"/>
    <w:rsid w:val="76037E52"/>
    <w:rsid w:val="76045642"/>
    <w:rsid w:val="760B1D0D"/>
    <w:rsid w:val="760B6D06"/>
    <w:rsid w:val="760F2C9B"/>
    <w:rsid w:val="760F4A49"/>
    <w:rsid w:val="76120095"/>
    <w:rsid w:val="76136A98"/>
    <w:rsid w:val="76164BEC"/>
    <w:rsid w:val="7617607C"/>
    <w:rsid w:val="761B5774"/>
    <w:rsid w:val="761C357B"/>
    <w:rsid w:val="761D53B8"/>
    <w:rsid w:val="761E4C8C"/>
    <w:rsid w:val="761E6A3A"/>
    <w:rsid w:val="762027B2"/>
    <w:rsid w:val="76250680"/>
    <w:rsid w:val="76261D92"/>
    <w:rsid w:val="762A3062"/>
    <w:rsid w:val="762A3974"/>
    <w:rsid w:val="762B73A9"/>
    <w:rsid w:val="762F0C47"/>
    <w:rsid w:val="76317661"/>
    <w:rsid w:val="76320737"/>
    <w:rsid w:val="763243C5"/>
    <w:rsid w:val="76342701"/>
    <w:rsid w:val="7634625D"/>
    <w:rsid w:val="76361FD5"/>
    <w:rsid w:val="76382509"/>
    <w:rsid w:val="763B583E"/>
    <w:rsid w:val="763D4C6C"/>
    <w:rsid w:val="763E26CA"/>
    <w:rsid w:val="764010A6"/>
    <w:rsid w:val="76435907"/>
    <w:rsid w:val="76441B02"/>
    <w:rsid w:val="7644531F"/>
    <w:rsid w:val="7645046A"/>
    <w:rsid w:val="76452218"/>
    <w:rsid w:val="764672A8"/>
    <w:rsid w:val="764741E2"/>
    <w:rsid w:val="764A3CD3"/>
    <w:rsid w:val="764A782F"/>
    <w:rsid w:val="764B35A7"/>
    <w:rsid w:val="764C17F9"/>
    <w:rsid w:val="764D1B7C"/>
    <w:rsid w:val="764E185D"/>
    <w:rsid w:val="764F3097"/>
    <w:rsid w:val="765379C9"/>
    <w:rsid w:val="76544B51"/>
    <w:rsid w:val="76551A22"/>
    <w:rsid w:val="765C5EF1"/>
    <w:rsid w:val="765E0811"/>
    <w:rsid w:val="765E777E"/>
    <w:rsid w:val="765F6D64"/>
    <w:rsid w:val="76607F98"/>
    <w:rsid w:val="76610CFB"/>
    <w:rsid w:val="76630B44"/>
    <w:rsid w:val="76634D94"/>
    <w:rsid w:val="76644914"/>
    <w:rsid w:val="766641C7"/>
    <w:rsid w:val="766823AB"/>
    <w:rsid w:val="76685F07"/>
    <w:rsid w:val="766A1985"/>
    <w:rsid w:val="766D176F"/>
    <w:rsid w:val="766D6C00"/>
    <w:rsid w:val="766E697B"/>
    <w:rsid w:val="766F54E7"/>
    <w:rsid w:val="76722EB4"/>
    <w:rsid w:val="76742AFE"/>
    <w:rsid w:val="76760624"/>
    <w:rsid w:val="76780840"/>
    <w:rsid w:val="76790114"/>
    <w:rsid w:val="767E1BCE"/>
    <w:rsid w:val="767F6340"/>
    <w:rsid w:val="76801238"/>
    <w:rsid w:val="76816FC9"/>
    <w:rsid w:val="768327DD"/>
    <w:rsid w:val="7687265B"/>
    <w:rsid w:val="76872831"/>
    <w:rsid w:val="7687606F"/>
    <w:rsid w:val="76892689"/>
    <w:rsid w:val="768B1C6C"/>
    <w:rsid w:val="768D6460"/>
    <w:rsid w:val="768F5B89"/>
    <w:rsid w:val="769027A6"/>
    <w:rsid w:val="76922A9F"/>
    <w:rsid w:val="76944F4E"/>
    <w:rsid w:val="76960CC6"/>
    <w:rsid w:val="769720E3"/>
    <w:rsid w:val="7699426F"/>
    <w:rsid w:val="769A5B22"/>
    <w:rsid w:val="769B34C2"/>
    <w:rsid w:val="769C48A8"/>
    <w:rsid w:val="769E5DCD"/>
    <w:rsid w:val="76A01B45"/>
    <w:rsid w:val="76A15219"/>
    <w:rsid w:val="76A333E3"/>
    <w:rsid w:val="76A50F09"/>
    <w:rsid w:val="76AC04E9"/>
    <w:rsid w:val="76AD7DBE"/>
    <w:rsid w:val="76AE69DC"/>
    <w:rsid w:val="76AF1D88"/>
    <w:rsid w:val="76B03549"/>
    <w:rsid w:val="76B40495"/>
    <w:rsid w:val="76B75667"/>
    <w:rsid w:val="76B850E0"/>
    <w:rsid w:val="76BA0E58"/>
    <w:rsid w:val="76BE1FCB"/>
    <w:rsid w:val="76BE7A46"/>
    <w:rsid w:val="76BF021D"/>
    <w:rsid w:val="76BF24DE"/>
    <w:rsid w:val="76BF7680"/>
    <w:rsid w:val="76C1103D"/>
    <w:rsid w:val="76C410FF"/>
    <w:rsid w:val="76C43A85"/>
    <w:rsid w:val="76C457AC"/>
    <w:rsid w:val="76CD2FBD"/>
    <w:rsid w:val="76D214FF"/>
    <w:rsid w:val="76D31F1A"/>
    <w:rsid w:val="76D57A40"/>
    <w:rsid w:val="76D65566"/>
    <w:rsid w:val="76D76D84"/>
    <w:rsid w:val="76D91E95"/>
    <w:rsid w:val="76D966AC"/>
    <w:rsid w:val="76DB0DCF"/>
    <w:rsid w:val="76DD68F5"/>
    <w:rsid w:val="76DF14BC"/>
    <w:rsid w:val="76DF3444"/>
    <w:rsid w:val="76E00193"/>
    <w:rsid w:val="76E21799"/>
    <w:rsid w:val="76E2215D"/>
    <w:rsid w:val="76E62CF0"/>
    <w:rsid w:val="76E71522"/>
    <w:rsid w:val="76E732D0"/>
    <w:rsid w:val="76E77774"/>
    <w:rsid w:val="76E80045"/>
    <w:rsid w:val="76EA1012"/>
    <w:rsid w:val="76F123A0"/>
    <w:rsid w:val="76F61765"/>
    <w:rsid w:val="76F913BE"/>
    <w:rsid w:val="76FA1255"/>
    <w:rsid w:val="76FA74A7"/>
    <w:rsid w:val="76FB6D7B"/>
    <w:rsid w:val="76FC4E0F"/>
    <w:rsid w:val="76FE5508"/>
    <w:rsid w:val="76FF686B"/>
    <w:rsid w:val="770056C4"/>
    <w:rsid w:val="77020109"/>
    <w:rsid w:val="770245AD"/>
    <w:rsid w:val="7702635B"/>
    <w:rsid w:val="77040325"/>
    <w:rsid w:val="770538FD"/>
    <w:rsid w:val="77054353"/>
    <w:rsid w:val="77076A60"/>
    <w:rsid w:val="770B62CA"/>
    <w:rsid w:val="770C0F88"/>
    <w:rsid w:val="770C2D36"/>
    <w:rsid w:val="770D4C9F"/>
    <w:rsid w:val="770D5995"/>
    <w:rsid w:val="770F36A5"/>
    <w:rsid w:val="771127B9"/>
    <w:rsid w:val="77130EFF"/>
    <w:rsid w:val="771340C5"/>
    <w:rsid w:val="77163BB5"/>
    <w:rsid w:val="77166414"/>
    <w:rsid w:val="771816DB"/>
    <w:rsid w:val="7718792D"/>
    <w:rsid w:val="77192A3C"/>
    <w:rsid w:val="771A36A5"/>
    <w:rsid w:val="771C03C8"/>
    <w:rsid w:val="771C566F"/>
    <w:rsid w:val="771D13E7"/>
    <w:rsid w:val="771D3195"/>
    <w:rsid w:val="77216056"/>
    <w:rsid w:val="772269FE"/>
    <w:rsid w:val="7725204A"/>
    <w:rsid w:val="77277B70"/>
    <w:rsid w:val="77280BC9"/>
    <w:rsid w:val="772956DC"/>
    <w:rsid w:val="772B3B04"/>
    <w:rsid w:val="772B58B2"/>
    <w:rsid w:val="772E0EFE"/>
    <w:rsid w:val="772E53A2"/>
    <w:rsid w:val="772F58BC"/>
    <w:rsid w:val="7730111A"/>
    <w:rsid w:val="773109EF"/>
    <w:rsid w:val="77324E93"/>
    <w:rsid w:val="77327CA2"/>
    <w:rsid w:val="77383B2B"/>
    <w:rsid w:val="773979D1"/>
    <w:rsid w:val="773A3D47"/>
    <w:rsid w:val="773A78A3"/>
    <w:rsid w:val="773C74FD"/>
    <w:rsid w:val="773D2DAD"/>
    <w:rsid w:val="773F40BA"/>
    <w:rsid w:val="774006E0"/>
    <w:rsid w:val="77403EE7"/>
    <w:rsid w:val="77416E84"/>
    <w:rsid w:val="774347F0"/>
    <w:rsid w:val="77443590"/>
    <w:rsid w:val="77470212"/>
    <w:rsid w:val="77476464"/>
    <w:rsid w:val="774C7428"/>
    <w:rsid w:val="775070C7"/>
    <w:rsid w:val="77530965"/>
    <w:rsid w:val="77550B81"/>
    <w:rsid w:val="775748F9"/>
    <w:rsid w:val="77575D2B"/>
    <w:rsid w:val="775766A7"/>
    <w:rsid w:val="7758241F"/>
    <w:rsid w:val="775A6197"/>
    <w:rsid w:val="775B1EE9"/>
    <w:rsid w:val="77613082"/>
    <w:rsid w:val="77617526"/>
    <w:rsid w:val="77617AE9"/>
    <w:rsid w:val="7762504C"/>
    <w:rsid w:val="77640DC4"/>
    <w:rsid w:val="776534F2"/>
    <w:rsid w:val="77672662"/>
    <w:rsid w:val="77674410"/>
    <w:rsid w:val="776B2153"/>
    <w:rsid w:val="776C177B"/>
    <w:rsid w:val="776C7C79"/>
    <w:rsid w:val="776E579F"/>
    <w:rsid w:val="776F56D5"/>
    <w:rsid w:val="77731007"/>
    <w:rsid w:val="77732DB5"/>
    <w:rsid w:val="77737259"/>
    <w:rsid w:val="77752FD1"/>
    <w:rsid w:val="77764653"/>
    <w:rsid w:val="777A2396"/>
    <w:rsid w:val="777A4144"/>
    <w:rsid w:val="777D1E86"/>
    <w:rsid w:val="777E2AB0"/>
    <w:rsid w:val="77811976"/>
    <w:rsid w:val="77822FF8"/>
    <w:rsid w:val="7783749C"/>
    <w:rsid w:val="77843214"/>
    <w:rsid w:val="77846D70"/>
    <w:rsid w:val="77853D64"/>
    <w:rsid w:val="77876861"/>
    <w:rsid w:val="77877839"/>
    <w:rsid w:val="77884AB3"/>
    <w:rsid w:val="778925D9"/>
    <w:rsid w:val="77894387"/>
    <w:rsid w:val="778B4487"/>
    <w:rsid w:val="778D20C9"/>
    <w:rsid w:val="778E4093"/>
    <w:rsid w:val="778F5FCB"/>
    <w:rsid w:val="77902D81"/>
    <w:rsid w:val="77903967"/>
    <w:rsid w:val="7791148D"/>
    <w:rsid w:val="77935D3A"/>
    <w:rsid w:val="77935DDC"/>
    <w:rsid w:val="779416A9"/>
    <w:rsid w:val="77985A45"/>
    <w:rsid w:val="779A0F51"/>
    <w:rsid w:val="779A47E6"/>
    <w:rsid w:val="779C055E"/>
    <w:rsid w:val="779D132A"/>
    <w:rsid w:val="779E031E"/>
    <w:rsid w:val="77A04190"/>
    <w:rsid w:val="77A21FA1"/>
    <w:rsid w:val="77A25449"/>
    <w:rsid w:val="77A45665"/>
    <w:rsid w:val="77A47413"/>
    <w:rsid w:val="77A60B95"/>
    <w:rsid w:val="77A6318B"/>
    <w:rsid w:val="77A64F39"/>
    <w:rsid w:val="77A80CB1"/>
    <w:rsid w:val="77A85155"/>
    <w:rsid w:val="77A954AE"/>
    <w:rsid w:val="77AB7772"/>
    <w:rsid w:val="77AD276B"/>
    <w:rsid w:val="77B07ED5"/>
    <w:rsid w:val="77B16634"/>
    <w:rsid w:val="77B37656"/>
    <w:rsid w:val="77B51620"/>
    <w:rsid w:val="77B52DB7"/>
    <w:rsid w:val="77B92EBE"/>
    <w:rsid w:val="77BA67F0"/>
    <w:rsid w:val="77BD564A"/>
    <w:rsid w:val="77BF249E"/>
    <w:rsid w:val="77C01EF2"/>
    <w:rsid w:val="77C35AEB"/>
    <w:rsid w:val="77C47AB5"/>
    <w:rsid w:val="77C51155"/>
    <w:rsid w:val="77C655DB"/>
    <w:rsid w:val="77C90C27"/>
    <w:rsid w:val="77C96E79"/>
    <w:rsid w:val="77CA50CB"/>
    <w:rsid w:val="77CB499F"/>
    <w:rsid w:val="77CB68C8"/>
    <w:rsid w:val="77CD4BBB"/>
    <w:rsid w:val="77CE4490"/>
    <w:rsid w:val="77CF26E1"/>
    <w:rsid w:val="77D01994"/>
    <w:rsid w:val="77D221D2"/>
    <w:rsid w:val="77D23F80"/>
    <w:rsid w:val="77D73CB9"/>
    <w:rsid w:val="77DD3330"/>
    <w:rsid w:val="77DE145E"/>
    <w:rsid w:val="77DF044B"/>
    <w:rsid w:val="77E3618D"/>
    <w:rsid w:val="77E37F3B"/>
    <w:rsid w:val="77E43CB3"/>
    <w:rsid w:val="77E51F05"/>
    <w:rsid w:val="77E93077"/>
    <w:rsid w:val="77EB5041"/>
    <w:rsid w:val="77EE6BAB"/>
    <w:rsid w:val="77F160D3"/>
    <w:rsid w:val="77F263D0"/>
    <w:rsid w:val="77F4039A"/>
    <w:rsid w:val="77F71C38"/>
    <w:rsid w:val="77FA7033"/>
    <w:rsid w:val="77FC0FFD"/>
    <w:rsid w:val="77FC2DAB"/>
    <w:rsid w:val="77FC56E9"/>
    <w:rsid w:val="77FD0288"/>
    <w:rsid w:val="77FE4ADA"/>
    <w:rsid w:val="78000AED"/>
    <w:rsid w:val="78001F28"/>
    <w:rsid w:val="78036F50"/>
    <w:rsid w:val="780600CD"/>
    <w:rsid w:val="7808174F"/>
    <w:rsid w:val="78085BF3"/>
    <w:rsid w:val="780A11FC"/>
    <w:rsid w:val="780A196C"/>
    <w:rsid w:val="780A47CE"/>
    <w:rsid w:val="780A4BEB"/>
    <w:rsid w:val="780B1240"/>
    <w:rsid w:val="780B3511"/>
    <w:rsid w:val="78124286"/>
    <w:rsid w:val="781400F4"/>
    <w:rsid w:val="78146346"/>
    <w:rsid w:val="781520BE"/>
    <w:rsid w:val="78160310"/>
    <w:rsid w:val="78191BAF"/>
    <w:rsid w:val="78195381"/>
    <w:rsid w:val="781A5A03"/>
    <w:rsid w:val="781C169F"/>
    <w:rsid w:val="781E71C5"/>
    <w:rsid w:val="7820017F"/>
    <w:rsid w:val="7820118F"/>
    <w:rsid w:val="78236589"/>
    <w:rsid w:val="782557C0"/>
    <w:rsid w:val="78267E28"/>
    <w:rsid w:val="78270DFC"/>
    <w:rsid w:val="782D565A"/>
    <w:rsid w:val="78326FD3"/>
    <w:rsid w:val="7833691D"/>
    <w:rsid w:val="783562BD"/>
    <w:rsid w:val="78362761"/>
    <w:rsid w:val="78362EE1"/>
    <w:rsid w:val="78370287"/>
    <w:rsid w:val="783764D9"/>
    <w:rsid w:val="78393BDC"/>
    <w:rsid w:val="783A0CDB"/>
    <w:rsid w:val="783B6DE7"/>
    <w:rsid w:val="783C790D"/>
    <w:rsid w:val="783E1615"/>
    <w:rsid w:val="78405FDD"/>
    <w:rsid w:val="78434E7D"/>
    <w:rsid w:val="78436C2C"/>
    <w:rsid w:val="78450BF6"/>
    <w:rsid w:val="7847671C"/>
    <w:rsid w:val="78485FF0"/>
    <w:rsid w:val="78491A2F"/>
    <w:rsid w:val="784C5CC1"/>
    <w:rsid w:val="784D3606"/>
    <w:rsid w:val="784D7AAA"/>
    <w:rsid w:val="784E6EFD"/>
    <w:rsid w:val="78510E8D"/>
    <w:rsid w:val="785250C1"/>
    <w:rsid w:val="78526E6F"/>
    <w:rsid w:val="78540E39"/>
    <w:rsid w:val="785902C5"/>
    <w:rsid w:val="785D77CA"/>
    <w:rsid w:val="785E5813"/>
    <w:rsid w:val="78614AD8"/>
    <w:rsid w:val="78656868"/>
    <w:rsid w:val="78656BA2"/>
    <w:rsid w:val="78656BB1"/>
    <w:rsid w:val="78661915"/>
    <w:rsid w:val="786820DE"/>
    <w:rsid w:val="7869418C"/>
    <w:rsid w:val="786B1CDE"/>
    <w:rsid w:val="786B76DE"/>
    <w:rsid w:val="786C7F30"/>
    <w:rsid w:val="786F24EB"/>
    <w:rsid w:val="787050BC"/>
    <w:rsid w:val="787212BF"/>
    <w:rsid w:val="78727511"/>
    <w:rsid w:val="78743289"/>
    <w:rsid w:val="787462ED"/>
    <w:rsid w:val="78746DE5"/>
    <w:rsid w:val="7875635D"/>
    <w:rsid w:val="78760460"/>
    <w:rsid w:val="78762B5D"/>
    <w:rsid w:val="78771160"/>
    <w:rsid w:val="78772E25"/>
    <w:rsid w:val="78777150"/>
    <w:rsid w:val="78794CDE"/>
    <w:rsid w:val="78796F1E"/>
    <w:rsid w:val="787B21CF"/>
    <w:rsid w:val="787B63C5"/>
    <w:rsid w:val="787C3EEC"/>
    <w:rsid w:val="787E1A12"/>
    <w:rsid w:val="787E7162"/>
    <w:rsid w:val="787E7C64"/>
    <w:rsid w:val="788039DC"/>
    <w:rsid w:val="78827754"/>
    <w:rsid w:val="78852DA0"/>
    <w:rsid w:val="78857244"/>
    <w:rsid w:val="78880AE2"/>
    <w:rsid w:val="78886D34"/>
    <w:rsid w:val="788C5655"/>
    <w:rsid w:val="788D60F9"/>
    <w:rsid w:val="788E1AC3"/>
    <w:rsid w:val="788E7256"/>
    <w:rsid w:val="78915BE9"/>
    <w:rsid w:val="78925D57"/>
    <w:rsid w:val="789316AC"/>
    <w:rsid w:val="789366E3"/>
    <w:rsid w:val="78941235"/>
    <w:rsid w:val="789422F9"/>
    <w:rsid w:val="78961451"/>
    <w:rsid w:val="789631FF"/>
    <w:rsid w:val="789719A8"/>
    <w:rsid w:val="78974A45"/>
    <w:rsid w:val="78977B66"/>
    <w:rsid w:val="78981D74"/>
    <w:rsid w:val="78994A9D"/>
    <w:rsid w:val="789D27E0"/>
    <w:rsid w:val="789E0306"/>
    <w:rsid w:val="789E5149"/>
    <w:rsid w:val="78A05E2C"/>
    <w:rsid w:val="78A4286B"/>
    <w:rsid w:val="78A43B6E"/>
    <w:rsid w:val="78A60180"/>
    <w:rsid w:val="78A618F7"/>
    <w:rsid w:val="78A70F68"/>
    <w:rsid w:val="78A91184"/>
    <w:rsid w:val="78A9524D"/>
    <w:rsid w:val="78AC2A23"/>
    <w:rsid w:val="78AC657F"/>
    <w:rsid w:val="78AD0549"/>
    <w:rsid w:val="78AE226E"/>
    <w:rsid w:val="78AF2513"/>
    <w:rsid w:val="78AF778B"/>
    <w:rsid w:val="78B10039"/>
    <w:rsid w:val="78B11DE7"/>
    <w:rsid w:val="78B37A40"/>
    <w:rsid w:val="78B50729"/>
    <w:rsid w:val="78B611AB"/>
    <w:rsid w:val="78B83176"/>
    <w:rsid w:val="78BC253A"/>
    <w:rsid w:val="78BD078C"/>
    <w:rsid w:val="78BD247C"/>
    <w:rsid w:val="78BE2756"/>
    <w:rsid w:val="78BE62B2"/>
    <w:rsid w:val="78C23FF4"/>
    <w:rsid w:val="78C338C8"/>
    <w:rsid w:val="78C37D6C"/>
    <w:rsid w:val="78C41B16"/>
    <w:rsid w:val="78C608AA"/>
    <w:rsid w:val="78C655F6"/>
    <w:rsid w:val="78C733B9"/>
    <w:rsid w:val="78CC6D3B"/>
    <w:rsid w:val="78CE1884"/>
    <w:rsid w:val="78CE1A49"/>
    <w:rsid w:val="78CF4963"/>
    <w:rsid w:val="78D15FE5"/>
    <w:rsid w:val="78D21D5D"/>
    <w:rsid w:val="78D41F79"/>
    <w:rsid w:val="78D43D28"/>
    <w:rsid w:val="78D635FC"/>
    <w:rsid w:val="78D67AA0"/>
    <w:rsid w:val="78D855C6"/>
    <w:rsid w:val="78DD0E2E"/>
    <w:rsid w:val="78DD2BDC"/>
    <w:rsid w:val="78DF4BA6"/>
    <w:rsid w:val="78E20B9D"/>
    <w:rsid w:val="78E26444"/>
    <w:rsid w:val="78E33F6B"/>
    <w:rsid w:val="78E4360C"/>
    <w:rsid w:val="78E528CF"/>
    <w:rsid w:val="78E55F35"/>
    <w:rsid w:val="78E6261E"/>
    <w:rsid w:val="78E71CAD"/>
    <w:rsid w:val="78E7208E"/>
    <w:rsid w:val="78E80BE6"/>
    <w:rsid w:val="78E80CDC"/>
    <w:rsid w:val="78E8332F"/>
    <w:rsid w:val="78EA52F9"/>
    <w:rsid w:val="78EA730D"/>
    <w:rsid w:val="78EC3FDB"/>
    <w:rsid w:val="78ED1061"/>
    <w:rsid w:val="78EE2AED"/>
    <w:rsid w:val="78EE4DE9"/>
    <w:rsid w:val="78EF290F"/>
    <w:rsid w:val="78F60058"/>
    <w:rsid w:val="78F63C9E"/>
    <w:rsid w:val="78F82DB7"/>
    <w:rsid w:val="78F855D3"/>
    <w:rsid w:val="78F87A16"/>
    <w:rsid w:val="78F9553C"/>
    <w:rsid w:val="78F97432"/>
    <w:rsid w:val="78FA3665"/>
    <w:rsid w:val="78FC4D92"/>
    <w:rsid w:val="78FD150D"/>
    <w:rsid w:val="78FF0DA4"/>
    <w:rsid w:val="79005C26"/>
    <w:rsid w:val="790068A3"/>
    <w:rsid w:val="79022643"/>
    <w:rsid w:val="79052133"/>
    <w:rsid w:val="79053EE1"/>
    <w:rsid w:val="790740FD"/>
    <w:rsid w:val="790939D1"/>
    <w:rsid w:val="790A315A"/>
    <w:rsid w:val="790A599B"/>
    <w:rsid w:val="790A7EA5"/>
    <w:rsid w:val="790C1713"/>
    <w:rsid w:val="790E0FE8"/>
    <w:rsid w:val="790E7239"/>
    <w:rsid w:val="790F19B7"/>
    <w:rsid w:val="790F6B0E"/>
    <w:rsid w:val="79144124"/>
    <w:rsid w:val="79151E55"/>
    <w:rsid w:val="79164340"/>
    <w:rsid w:val="79166062"/>
    <w:rsid w:val="79186900"/>
    <w:rsid w:val="7919798C"/>
    <w:rsid w:val="791A6609"/>
    <w:rsid w:val="791B54B2"/>
    <w:rsid w:val="791D747D"/>
    <w:rsid w:val="791E4FA3"/>
    <w:rsid w:val="791F1447"/>
    <w:rsid w:val="791F31F5"/>
    <w:rsid w:val="79224A93"/>
    <w:rsid w:val="79226841"/>
    <w:rsid w:val="79232452"/>
    <w:rsid w:val="79264FE9"/>
    <w:rsid w:val="792702FB"/>
    <w:rsid w:val="792763C8"/>
    <w:rsid w:val="792866E3"/>
    <w:rsid w:val="7929511A"/>
    <w:rsid w:val="79297A45"/>
    <w:rsid w:val="79297BCF"/>
    <w:rsid w:val="792A1B99"/>
    <w:rsid w:val="792C4F2B"/>
    <w:rsid w:val="792C5912"/>
    <w:rsid w:val="792D3141"/>
    <w:rsid w:val="792F0F5E"/>
    <w:rsid w:val="79326B07"/>
    <w:rsid w:val="79334EF2"/>
    <w:rsid w:val="793460BB"/>
    <w:rsid w:val="79346574"/>
    <w:rsid w:val="79353545"/>
    <w:rsid w:val="7937287A"/>
    <w:rsid w:val="79384396"/>
    <w:rsid w:val="793B4BA1"/>
    <w:rsid w:val="793D367B"/>
    <w:rsid w:val="793D7B1F"/>
    <w:rsid w:val="794013BD"/>
    <w:rsid w:val="79422511"/>
    <w:rsid w:val="79444A09"/>
    <w:rsid w:val="7948233B"/>
    <w:rsid w:val="794C1B10"/>
    <w:rsid w:val="794E3ADA"/>
    <w:rsid w:val="794F7346"/>
    <w:rsid w:val="79501600"/>
    <w:rsid w:val="79507314"/>
    <w:rsid w:val="79507852"/>
    <w:rsid w:val="795135CA"/>
    <w:rsid w:val="7951619A"/>
    <w:rsid w:val="79517126"/>
    <w:rsid w:val="79532E9E"/>
    <w:rsid w:val="795409C4"/>
    <w:rsid w:val="79556C16"/>
    <w:rsid w:val="79563A97"/>
    <w:rsid w:val="79566AD8"/>
    <w:rsid w:val="79570421"/>
    <w:rsid w:val="795A25D1"/>
    <w:rsid w:val="795A422D"/>
    <w:rsid w:val="795A5FDB"/>
    <w:rsid w:val="795D3D1D"/>
    <w:rsid w:val="795F14E6"/>
    <w:rsid w:val="795F169C"/>
    <w:rsid w:val="79607C42"/>
    <w:rsid w:val="7961380D"/>
    <w:rsid w:val="79646E59"/>
    <w:rsid w:val="79647A53"/>
    <w:rsid w:val="79654980"/>
    <w:rsid w:val="79667075"/>
    <w:rsid w:val="7967201E"/>
    <w:rsid w:val="7967694A"/>
    <w:rsid w:val="796C5D0E"/>
    <w:rsid w:val="796C6C45"/>
    <w:rsid w:val="796E0B9B"/>
    <w:rsid w:val="79725A1A"/>
    <w:rsid w:val="797505CD"/>
    <w:rsid w:val="79754594"/>
    <w:rsid w:val="797572B9"/>
    <w:rsid w:val="79764DDF"/>
    <w:rsid w:val="79780B57"/>
    <w:rsid w:val="79786DA9"/>
    <w:rsid w:val="797C0647"/>
    <w:rsid w:val="797C1DC4"/>
    <w:rsid w:val="797C23F5"/>
    <w:rsid w:val="797D7F1B"/>
    <w:rsid w:val="797E2594"/>
    <w:rsid w:val="7980203B"/>
    <w:rsid w:val="79806766"/>
    <w:rsid w:val="798069F7"/>
    <w:rsid w:val="798147DF"/>
    <w:rsid w:val="79825532"/>
    <w:rsid w:val="79835508"/>
    <w:rsid w:val="79863274"/>
    <w:rsid w:val="7989202C"/>
    <w:rsid w:val="79892D64"/>
    <w:rsid w:val="798A63ED"/>
    <w:rsid w:val="798B088A"/>
    <w:rsid w:val="798B2638"/>
    <w:rsid w:val="798C2147"/>
    <w:rsid w:val="798C24C3"/>
    <w:rsid w:val="798D338A"/>
    <w:rsid w:val="798D4CF3"/>
    <w:rsid w:val="798E3ED6"/>
    <w:rsid w:val="798F01A7"/>
    <w:rsid w:val="7994669E"/>
    <w:rsid w:val="79957FC1"/>
    <w:rsid w:val="799C7C78"/>
    <w:rsid w:val="799F60E4"/>
    <w:rsid w:val="799F7E92"/>
    <w:rsid w:val="79A33E26"/>
    <w:rsid w:val="79A436FA"/>
    <w:rsid w:val="79A454A8"/>
    <w:rsid w:val="79A6790A"/>
    <w:rsid w:val="79AA0D57"/>
    <w:rsid w:val="79AE27CB"/>
    <w:rsid w:val="79B06543"/>
    <w:rsid w:val="79B256A9"/>
    <w:rsid w:val="79B37DE1"/>
    <w:rsid w:val="79B628C7"/>
    <w:rsid w:val="79B871A5"/>
    <w:rsid w:val="79BC5D3D"/>
    <w:rsid w:val="79BD5347"/>
    <w:rsid w:val="79BD6A5B"/>
    <w:rsid w:val="79BE0C60"/>
    <w:rsid w:val="79BE2849"/>
    <w:rsid w:val="79BF6786"/>
    <w:rsid w:val="79C142AC"/>
    <w:rsid w:val="79C21BAF"/>
    <w:rsid w:val="79C332C8"/>
    <w:rsid w:val="79C36276"/>
    <w:rsid w:val="79C43D9C"/>
    <w:rsid w:val="79C45B4A"/>
    <w:rsid w:val="79C618C2"/>
    <w:rsid w:val="79C67B14"/>
    <w:rsid w:val="79C760B1"/>
    <w:rsid w:val="79CB512B"/>
    <w:rsid w:val="79CB6ED9"/>
    <w:rsid w:val="79D00993"/>
    <w:rsid w:val="79D04AB4"/>
    <w:rsid w:val="79D1701F"/>
    <w:rsid w:val="79D25452"/>
    <w:rsid w:val="79D42231"/>
    <w:rsid w:val="79D55FA9"/>
    <w:rsid w:val="79D57D57"/>
    <w:rsid w:val="79D61043"/>
    <w:rsid w:val="79D659A9"/>
    <w:rsid w:val="79D826C1"/>
    <w:rsid w:val="79DA536E"/>
    <w:rsid w:val="79DC10E6"/>
    <w:rsid w:val="79DC2E94"/>
    <w:rsid w:val="79DC7338"/>
    <w:rsid w:val="79DD09BA"/>
    <w:rsid w:val="79DE4E5E"/>
    <w:rsid w:val="79E165C8"/>
    <w:rsid w:val="79E175C7"/>
    <w:rsid w:val="79E24222"/>
    <w:rsid w:val="79E32474"/>
    <w:rsid w:val="79E535AD"/>
    <w:rsid w:val="79E53808"/>
    <w:rsid w:val="79E60B0D"/>
    <w:rsid w:val="79E63D12"/>
    <w:rsid w:val="79E65AC0"/>
    <w:rsid w:val="79E72E14"/>
    <w:rsid w:val="79E81839"/>
    <w:rsid w:val="79E93803"/>
    <w:rsid w:val="79E955B1"/>
    <w:rsid w:val="79EB1329"/>
    <w:rsid w:val="79ED50A1"/>
    <w:rsid w:val="79EE0E19"/>
    <w:rsid w:val="79EE222B"/>
    <w:rsid w:val="79F01948"/>
    <w:rsid w:val="79F20909"/>
    <w:rsid w:val="79F301DD"/>
    <w:rsid w:val="79F6478D"/>
    <w:rsid w:val="79FA5A10"/>
    <w:rsid w:val="79FC4BE4"/>
    <w:rsid w:val="79FC52E4"/>
    <w:rsid w:val="79FD2E0A"/>
    <w:rsid w:val="79FD78B8"/>
    <w:rsid w:val="79FF3026"/>
    <w:rsid w:val="7A00792E"/>
    <w:rsid w:val="7A020420"/>
    <w:rsid w:val="7A067F11"/>
    <w:rsid w:val="7A083C89"/>
    <w:rsid w:val="7A0D129F"/>
    <w:rsid w:val="7A0E5017"/>
    <w:rsid w:val="7A101646"/>
    <w:rsid w:val="7A1062A7"/>
    <w:rsid w:val="7A122D59"/>
    <w:rsid w:val="7A1545F8"/>
    <w:rsid w:val="7A170370"/>
    <w:rsid w:val="7A173ECC"/>
    <w:rsid w:val="7A187C44"/>
    <w:rsid w:val="7A1932EE"/>
    <w:rsid w:val="7A195E96"/>
    <w:rsid w:val="7A1C5986"/>
    <w:rsid w:val="7A1E50DA"/>
    <w:rsid w:val="7A1E699D"/>
    <w:rsid w:val="7A1E7209"/>
    <w:rsid w:val="7A214D4A"/>
    <w:rsid w:val="7A217FB1"/>
    <w:rsid w:val="7A221DB1"/>
    <w:rsid w:val="7A266805"/>
    <w:rsid w:val="7A26699F"/>
    <w:rsid w:val="7A283B9E"/>
    <w:rsid w:val="7A290C7B"/>
    <w:rsid w:val="7A291E51"/>
    <w:rsid w:val="7A2923AF"/>
    <w:rsid w:val="7A2B55F9"/>
    <w:rsid w:val="7A2C59FE"/>
    <w:rsid w:val="7A2D1941"/>
    <w:rsid w:val="7A2D7B93"/>
    <w:rsid w:val="7A2F56B9"/>
    <w:rsid w:val="7A2F7467"/>
    <w:rsid w:val="7A301431"/>
    <w:rsid w:val="7A304F8E"/>
    <w:rsid w:val="7A340EE3"/>
    <w:rsid w:val="7A363361"/>
    <w:rsid w:val="7A3727C0"/>
    <w:rsid w:val="7A3A5313"/>
    <w:rsid w:val="7A3A5E0C"/>
    <w:rsid w:val="7A3B6C2B"/>
    <w:rsid w:val="7A3C24AC"/>
    <w:rsid w:val="7A3C57ED"/>
    <w:rsid w:val="7A3D73C1"/>
    <w:rsid w:val="7A3F4413"/>
    <w:rsid w:val="7A3F64D3"/>
    <w:rsid w:val="7A401675"/>
    <w:rsid w:val="7A4058A3"/>
    <w:rsid w:val="7A431165"/>
    <w:rsid w:val="7A434CC1"/>
    <w:rsid w:val="7A4430A5"/>
    <w:rsid w:val="7A4642E6"/>
    <w:rsid w:val="7A475DD3"/>
    <w:rsid w:val="7A480529"/>
    <w:rsid w:val="7A497268"/>
    <w:rsid w:val="7A4B1DC7"/>
    <w:rsid w:val="7A4C1C0F"/>
    <w:rsid w:val="7A545120"/>
    <w:rsid w:val="7A555C3E"/>
    <w:rsid w:val="7A560E98"/>
    <w:rsid w:val="7A570843"/>
    <w:rsid w:val="7A574C10"/>
    <w:rsid w:val="7A5769BE"/>
    <w:rsid w:val="7A592736"/>
    <w:rsid w:val="7A5A200A"/>
    <w:rsid w:val="7A5B3BEC"/>
    <w:rsid w:val="7A5C6674"/>
    <w:rsid w:val="7A5D68F9"/>
    <w:rsid w:val="7A65786F"/>
    <w:rsid w:val="7A682979"/>
    <w:rsid w:val="7A6861FA"/>
    <w:rsid w:val="7A6956BF"/>
    <w:rsid w:val="7A6A66F1"/>
    <w:rsid w:val="7A6E7713"/>
    <w:rsid w:val="7A70182E"/>
    <w:rsid w:val="7A7237F8"/>
    <w:rsid w:val="7A72681F"/>
    <w:rsid w:val="7A73790A"/>
    <w:rsid w:val="7A7404A9"/>
    <w:rsid w:val="7A74131E"/>
    <w:rsid w:val="7A7607F4"/>
    <w:rsid w:val="7A782F9B"/>
    <w:rsid w:val="7A792DD8"/>
    <w:rsid w:val="7A7C01D3"/>
    <w:rsid w:val="7A7F26C3"/>
    <w:rsid w:val="7A7F588F"/>
    <w:rsid w:val="7A81159F"/>
    <w:rsid w:val="7A8157E9"/>
    <w:rsid w:val="7A8377B3"/>
    <w:rsid w:val="7A846C6F"/>
    <w:rsid w:val="7A85177D"/>
    <w:rsid w:val="7A886B78"/>
    <w:rsid w:val="7A8959B5"/>
    <w:rsid w:val="7A8A0B42"/>
    <w:rsid w:val="7A8D0632"/>
    <w:rsid w:val="7A8F43AA"/>
    <w:rsid w:val="7A8F7F06"/>
    <w:rsid w:val="7A925C48"/>
    <w:rsid w:val="7A9811F5"/>
    <w:rsid w:val="7A990D85"/>
    <w:rsid w:val="7A995229"/>
    <w:rsid w:val="7A9A4854"/>
    <w:rsid w:val="7A9B41E0"/>
    <w:rsid w:val="7A9E45ED"/>
    <w:rsid w:val="7AA00365"/>
    <w:rsid w:val="7AA02113"/>
    <w:rsid w:val="7AA03EC1"/>
    <w:rsid w:val="7AA1258E"/>
    <w:rsid w:val="7AA15E8B"/>
    <w:rsid w:val="7AA65250"/>
    <w:rsid w:val="7AA8721A"/>
    <w:rsid w:val="7AAA2F92"/>
    <w:rsid w:val="7AAB4C6C"/>
    <w:rsid w:val="7AAC6D0A"/>
    <w:rsid w:val="7AAD1D53"/>
    <w:rsid w:val="7AAD65DE"/>
    <w:rsid w:val="7AAF67FA"/>
    <w:rsid w:val="7AB001D5"/>
    <w:rsid w:val="7AB14320"/>
    <w:rsid w:val="7AB160CE"/>
    <w:rsid w:val="7AB21E46"/>
    <w:rsid w:val="7AB4796D"/>
    <w:rsid w:val="7AB67B89"/>
    <w:rsid w:val="7AB91427"/>
    <w:rsid w:val="7ABB0CFB"/>
    <w:rsid w:val="7ABB519F"/>
    <w:rsid w:val="7ABC3654"/>
    <w:rsid w:val="7ABD0F17"/>
    <w:rsid w:val="7ABD2CC5"/>
    <w:rsid w:val="7ABE07EB"/>
    <w:rsid w:val="7ABE6A3D"/>
    <w:rsid w:val="7AC2652D"/>
    <w:rsid w:val="7AC322A6"/>
    <w:rsid w:val="7AC55619"/>
    <w:rsid w:val="7AC77DFB"/>
    <w:rsid w:val="7AC83418"/>
    <w:rsid w:val="7AC929BC"/>
    <w:rsid w:val="7AC92ECB"/>
    <w:rsid w:val="7AC93CB7"/>
    <w:rsid w:val="7AC95903"/>
    <w:rsid w:val="7ACA3E4C"/>
    <w:rsid w:val="7ACA4480"/>
    <w:rsid w:val="7ACA7190"/>
    <w:rsid w:val="7ACB734E"/>
    <w:rsid w:val="7ACC115A"/>
    <w:rsid w:val="7ACC47C7"/>
    <w:rsid w:val="7ACC69C4"/>
    <w:rsid w:val="7ACE3CC5"/>
    <w:rsid w:val="7ACF0C4A"/>
    <w:rsid w:val="7AD02F7B"/>
    <w:rsid w:val="7AD225DE"/>
    <w:rsid w:val="7AD46261"/>
    <w:rsid w:val="7ADC6261"/>
    <w:rsid w:val="7ADE2C3C"/>
    <w:rsid w:val="7ADE49EA"/>
    <w:rsid w:val="7AE54A55"/>
    <w:rsid w:val="7AE857DB"/>
    <w:rsid w:val="7AEA3FFE"/>
    <w:rsid w:val="7AEA7832"/>
    <w:rsid w:val="7AEB3E1D"/>
    <w:rsid w:val="7AEB4B95"/>
    <w:rsid w:val="7AEC35AA"/>
    <w:rsid w:val="7AEC7106"/>
    <w:rsid w:val="7AF406B1"/>
    <w:rsid w:val="7AF4420D"/>
    <w:rsid w:val="7AF55C68"/>
    <w:rsid w:val="7AF83CFD"/>
    <w:rsid w:val="7AFB1A3F"/>
    <w:rsid w:val="7AFB559C"/>
    <w:rsid w:val="7AFB5A05"/>
    <w:rsid w:val="7AFB6C7D"/>
    <w:rsid w:val="7AFD57B8"/>
    <w:rsid w:val="7AFE3A77"/>
    <w:rsid w:val="7AFE508C"/>
    <w:rsid w:val="7B041159"/>
    <w:rsid w:val="7B054332"/>
    <w:rsid w:val="7B05466C"/>
    <w:rsid w:val="7B06227C"/>
    <w:rsid w:val="7B07552E"/>
    <w:rsid w:val="7B0756FC"/>
    <w:rsid w:val="7B0A1C83"/>
    <w:rsid w:val="7B0A57DF"/>
    <w:rsid w:val="7B0D7956"/>
    <w:rsid w:val="7B0F54EB"/>
    <w:rsid w:val="7B100EDE"/>
    <w:rsid w:val="7B116B6D"/>
    <w:rsid w:val="7B1228E5"/>
    <w:rsid w:val="7B130B37"/>
    <w:rsid w:val="7B1448AF"/>
    <w:rsid w:val="7B160627"/>
    <w:rsid w:val="7B187EFC"/>
    <w:rsid w:val="7B191EC6"/>
    <w:rsid w:val="7B192606"/>
    <w:rsid w:val="7B1C4A1F"/>
    <w:rsid w:val="7B1F37B5"/>
    <w:rsid w:val="7B1F5096"/>
    <w:rsid w:val="7B1F572E"/>
    <w:rsid w:val="7B203254"/>
    <w:rsid w:val="7B241E85"/>
    <w:rsid w:val="7B256ABC"/>
    <w:rsid w:val="7B263617"/>
    <w:rsid w:val="7B2678E9"/>
    <w:rsid w:val="7B272A17"/>
    <w:rsid w:val="7B2D68A5"/>
    <w:rsid w:val="7B2E06D9"/>
    <w:rsid w:val="7B2F3497"/>
    <w:rsid w:val="7B315461"/>
    <w:rsid w:val="7B31720F"/>
    <w:rsid w:val="7B334D35"/>
    <w:rsid w:val="7B38355A"/>
    <w:rsid w:val="7B3963FF"/>
    <w:rsid w:val="7B3A2568"/>
    <w:rsid w:val="7B3D416D"/>
    <w:rsid w:val="7B3E01CE"/>
    <w:rsid w:val="7B3F066D"/>
    <w:rsid w:val="7B3F415D"/>
    <w:rsid w:val="7B424F78"/>
    <w:rsid w:val="7B42766E"/>
    <w:rsid w:val="7B430CF1"/>
    <w:rsid w:val="7B446F42"/>
    <w:rsid w:val="7B474C85"/>
    <w:rsid w:val="7B4869C9"/>
    <w:rsid w:val="7B4927AB"/>
    <w:rsid w:val="7B495AF2"/>
    <w:rsid w:val="7B4B2BBF"/>
    <w:rsid w:val="7B4C1D99"/>
    <w:rsid w:val="7B4C229B"/>
    <w:rsid w:val="7B5178B1"/>
    <w:rsid w:val="7B5208EF"/>
    <w:rsid w:val="7B532331"/>
    <w:rsid w:val="7B533629"/>
    <w:rsid w:val="7B537186"/>
    <w:rsid w:val="7B556765"/>
    <w:rsid w:val="7B566C76"/>
    <w:rsid w:val="7B5761A4"/>
    <w:rsid w:val="7B580C40"/>
    <w:rsid w:val="7B594339"/>
    <w:rsid w:val="7B5B24DE"/>
    <w:rsid w:val="7B5C2A1C"/>
    <w:rsid w:val="7B5D0004"/>
    <w:rsid w:val="7B5D1DB2"/>
    <w:rsid w:val="7B5D7F9E"/>
    <w:rsid w:val="7B5F5B2A"/>
    <w:rsid w:val="7B62386D"/>
    <w:rsid w:val="7B6569E8"/>
    <w:rsid w:val="7B656EB9"/>
    <w:rsid w:val="7B694075"/>
    <w:rsid w:val="7B6969A9"/>
    <w:rsid w:val="7B6B0973"/>
    <w:rsid w:val="7B6B5AAA"/>
    <w:rsid w:val="7B6B623C"/>
    <w:rsid w:val="7B6C6499"/>
    <w:rsid w:val="7B6F6FFC"/>
    <w:rsid w:val="7B704E36"/>
    <w:rsid w:val="7B707D38"/>
    <w:rsid w:val="7B711D02"/>
    <w:rsid w:val="7B71585E"/>
    <w:rsid w:val="7B730265"/>
    <w:rsid w:val="7B7315D6"/>
    <w:rsid w:val="7B73597D"/>
    <w:rsid w:val="7B737812"/>
    <w:rsid w:val="7B7B1F7A"/>
    <w:rsid w:val="7B7D1600"/>
    <w:rsid w:val="7B7D4202"/>
    <w:rsid w:val="7B7F61CD"/>
    <w:rsid w:val="7B803CF3"/>
    <w:rsid w:val="7B8437E3"/>
    <w:rsid w:val="7B855E28"/>
    <w:rsid w:val="7B876E2F"/>
    <w:rsid w:val="7B881C93"/>
    <w:rsid w:val="7B886F98"/>
    <w:rsid w:val="7B8C08E9"/>
    <w:rsid w:val="7B8D3D72"/>
    <w:rsid w:val="7B8E6410"/>
    <w:rsid w:val="7B8F030B"/>
    <w:rsid w:val="7B9003DA"/>
    <w:rsid w:val="7B914152"/>
    <w:rsid w:val="7B917CAE"/>
    <w:rsid w:val="7B931C78"/>
    <w:rsid w:val="7B933A26"/>
    <w:rsid w:val="7B937ECA"/>
    <w:rsid w:val="7B947DC8"/>
    <w:rsid w:val="7B95779E"/>
    <w:rsid w:val="7B971768"/>
    <w:rsid w:val="7B984849"/>
    <w:rsid w:val="7B992EAE"/>
    <w:rsid w:val="7B9A4DB4"/>
    <w:rsid w:val="7B9A6B62"/>
    <w:rsid w:val="7B9B0391"/>
    <w:rsid w:val="7B9C6D7F"/>
    <w:rsid w:val="7B9D3BE0"/>
    <w:rsid w:val="7B9E603F"/>
    <w:rsid w:val="7BA07EF1"/>
    <w:rsid w:val="7BA14395"/>
    <w:rsid w:val="7BA21EBB"/>
    <w:rsid w:val="7BA45C33"/>
    <w:rsid w:val="7BA479E1"/>
    <w:rsid w:val="7BA51335"/>
    <w:rsid w:val="7BA619AB"/>
    <w:rsid w:val="7BA774D1"/>
    <w:rsid w:val="7BA9149B"/>
    <w:rsid w:val="7BB00E61"/>
    <w:rsid w:val="7BB06386"/>
    <w:rsid w:val="7BB37C24"/>
    <w:rsid w:val="7BB5399C"/>
    <w:rsid w:val="7BB67714"/>
    <w:rsid w:val="7BB75966"/>
    <w:rsid w:val="7BB80294"/>
    <w:rsid w:val="7BB87930"/>
    <w:rsid w:val="7BBA5457"/>
    <w:rsid w:val="7BBA7205"/>
    <w:rsid w:val="7BBD4F47"/>
    <w:rsid w:val="7BBF0CBF"/>
    <w:rsid w:val="7BBF1091"/>
    <w:rsid w:val="7BBF387C"/>
    <w:rsid w:val="7BC00658"/>
    <w:rsid w:val="7BC16896"/>
    <w:rsid w:val="7BC2255D"/>
    <w:rsid w:val="7BC462D5"/>
    <w:rsid w:val="7BC51266"/>
    <w:rsid w:val="7BC57958"/>
    <w:rsid w:val="7BC65BA9"/>
    <w:rsid w:val="7BC70502"/>
    <w:rsid w:val="7BC71922"/>
    <w:rsid w:val="7BC9706A"/>
    <w:rsid w:val="7BCC6F38"/>
    <w:rsid w:val="7BD04C7A"/>
    <w:rsid w:val="7BD1454E"/>
    <w:rsid w:val="7BD27870"/>
    <w:rsid w:val="7BD427EF"/>
    <w:rsid w:val="7BDB7CC3"/>
    <w:rsid w:val="7BDC361F"/>
    <w:rsid w:val="7BDE2E46"/>
    <w:rsid w:val="7BDF0A19"/>
    <w:rsid w:val="7BDF6C6B"/>
    <w:rsid w:val="7BE129E3"/>
    <w:rsid w:val="7BE14907"/>
    <w:rsid w:val="7BE20509"/>
    <w:rsid w:val="7BE40725"/>
    <w:rsid w:val="7BE47026"/>
    <w:rsid w:val="7BE61DA8"/>
    <w:rsid w:val="7BE91898"/>
    <w:rsid w:val="7BED6023"/>
    <w:rsid w:val="7BEF6D51"/>
    <w:rsid w:val="7BF56302"/>
    <w:rsid w:val="7BF5648F"/>
    <w:rsid w:val="7BF727A4"/>
    <w:rsid w:val="7BF85B9E"/>
    <w:rsid w:val="7BFA6EF3"/>
    <w:rsid w:val="7BFE15C5"/>
    <w:rsid w:val="7BFF10BB"/>
    <w:rsid w:val="7BFF3F2C"/>
    <w:rsid w:val="7C000468"/>
    <w:rsid w:val="7C00712F"/>
    <w:rsid w:val="7C013085"/>
    <w:rsid w:val="7C014E34"/>
    <w:rsid w:val="7C021500"/>
    <w:rsid w:val="7C030BAC"/>
    <w:rsid w:val="7C035604"/>
    <w:rsid w:val="7C044924"/>
    <w:rsid w:val="7C093CE8"/>
    <w:rsid w:val="7C0B180E"/>
    <w:rsid w:val="7C0B3F04"/>
    <w:rsid w:val="7C0C417E"/>
    <w:rsid w:val="7C0D1A2A"/>
    <w:rsid w:val="7C0E4EAB"/>
    <w:rsid w:val="7C0F4857"/>
    <w:rsid w:val="7C0F6E34"/>
    <w:rsid w:val="7C142DB9"/>
    <w:rsid w:val="7C14589E"/>
    <w:rsid w:val="7C1508DF"/>
    <w:rsid w:val="7C156EF2"/>
    <w:rsid w:val="7C175F5D"/>
    <w:rsid w:val="7C176FE6"/>
    <w:rsid w:val="7C1A5EF5"/>
    <w:rsid w:val="7C1A7CA3"/>
    <w:rsid w:val="7C1A7FDC"/>
    <w:rsid w:val="7C1C1C6D"/>
    <w:rsid w:val="7C1C5D6E"/>
    <w:rsid w:val="7C1C74BD"/>
    <w:rsid w:val="7C1D1021"/>
    <w:rsid w:val="7C1D1542"/>
    <w:rsid w:val="7C1E3C37"/>
    <w:rsid w:val="7C1F5208"/>
    <w:rsid w:val="7C1F568B"/>
    <w:rsid w:val="7C235415"/>
    <w:rsid w:val="7C240B22"/>
    <w:rsid w:val="7C262AEC"/>
    <w:rsid w:val="7C266648"/>
    <w:rsid w:val="7C291AB3"/>
    <w:rsid w:val="7C2A25DC"/>
    <w:rsid w:val="7C2B0102"/>
    <w:rsid w:val="7C2C7A84"/>
    <w:rsid w:val="7C2D3E7B"/>
    <w:rsid w:val="7C2D79D7"/>
    <w:rsid w:val="7C2E38A5"/>
    <w:rsid w:val="7C2F7BF3"/>
    <w:rsid w:val="7C30137E"/>
    <w:rsid w:val="7C305719"/>
    <w:rsid w:val="7C350F81"/>
    <w:rsid w:val="7C352A83"/>
    <w:rsid w:val="7C3536A2"/>
    <w:rsid w:val="7C3639F5"/>
    <w:rsid w:val="7C39281F"/>
    <w:rsid w:val="7C3A4B70"/>
    <w:rsid w:val="7C405169"/>
    <w:rsid w:val="7C4055DE"/>
    <w:rsid w:val="7C4A67DB"/>
    <w:rsid w:val="7C4D1E27"/>
    <w:rsid w:val="7C4F2411"/>
    <w:rsid w:val="7C520362"/>
    <w:rsid w:val="7C552D96"/>
    <w:rsid w:val="7C55517F"/>
    <w:rsid w:val="7C564BDE"/>
    <w:rsid w:val="7C574A54"/>
    <w:rsid w:val="7C5807CC"/>
    <w:rsid w:val="7C596A1E"/>
    <w:rsid w:val="7C5A0E1C"/>
    <w:rsid w:val="7C5B0C23"/>
    <w:rsid w:val="7C5E05B6"/>
    <w:rsid w:val="7C5E2D85"/>
    <w:rsid w:val="7C5E4034"/>
    <w:rsid w:val="7C5E742B"/>
    <w:rsid w:val="7C60077C"/>
    <w:rsid w:val="7C617B9C"/>
    <w:rsid w:val="7C635AEE"/>
    <w:rsid w:val="7C647170"/>
    <w:rsid w:val="7C6647B7"/>
    <w:rsid w:val="7C686C61"/>
    <w:rsid w:val="7C6A03D6"/>
    <w:rsid w:val="7C6A5909"/>
    <w:rsid w:val="7C6C3745"/>
    <w:rsid w:val="7C6C58C7"/>
    <w:rsid w:val="7C6D071B"/>
    <w:rsid w:val="7C6E0A6A"/>
    <w:rsid w:val="7C6F7FEF"/>
    <w:rsid w:val="7C700F5A"/>
    <w:rsid w:val="7C705B15"/>
    <w:rsid w:val="7C72188D"/>
    <w:rsid w:val="7C765821"/>
    <w:rsid w:val="7C792C1C"/>
    <w:rsid w:val="7C794503"/>
    <w:rsid w:val="7C7B27EB"/>
    <w:rsid w:val="7C8141C6"/>
    <w:rsid w:val="7C831CEC"/>
    <w:rsid w:val="7C843B4D"/>
    <w:rsid w:val="7C8608D1"/>
    <w:rsid w:val="7C861095"/>
    <w:rsid w:val="7C873370"/>
    <w:rsid w:val="7C887303"/>
    <w:rsid w:val="7C8A307B"/>
    <w:rsid w:val="7C8A4E29"/>
    <w:rsid w:val="7C8B770E"/>
    <w:rsid w:val="7C8E06CE"/>
    <w:rsid w:val="7C8E4220"/>
    <w:rsid w:val="7C8E77D0"/>
    <w:rsid w:val="7C9061B7"/>
    <w:rsid w:val="7C914409"/>
    <w:rsid w:val="7C927A54"/>
    <w:rsid w:val="7C930B1C"/>
    <w:rsid w:val="7C945CA8"/>
    <w:rsid w:val="7C9570F1"/>
    <w:rsid w:val="7C99506C"/>
    <w:rsid w:val="7C9D7FDE"/>
    <w:rsid w:val="7C9E78D8"/>
    <w:rsid w:val="7CA17CF6"/>
    <w:rsid w:val="7CA270D6"/>
    <w:rsid w:val="7CA3770C"/>
    <w:rsid w:val="7CA4395F"/>
    <w:rsid w:val="7CA44918"/>
    <w:rsid w:val="7CA53A11"/>
    <w:rsid w:val="7CA81753"/>
    <w:rsid w:val="7CA85F9B"/>
    <w:rsid w:val="7CA966AC"/>
    <w:rsid w:val="7CAD67AD"/>
    <w:rsid w:val="7CAE417D"/>
    <w:rsid w:val="7CB02B6A"/>
    <w:rsid w:val="7CB0583A"/>
    <w:rsid w:val="7CB15751"/>
    <w:rsid w:val="7CB63E70"/>
    <w:rsid w:val="7CB669DC"/>
    <w:rsid w:val="7CB83DD0"/>
    <w:rsid w:val="7CB84A3C"/>
    <w:rsid w:val="7CB93960"/>
    <w:rsid w:val="7CB94D91"/>
    <w:rsid w:val="7CBC2834"/>
    <w:rsid w:val="7CBF3C51"/>
    <w:rsid w:val="7CC0265F"/>
    <w:rsid w:val="7CC04CEF"/>
    <w:rsid w:val="7CC06A9D"/>
    <w:rsid w:val="7CC145C3"/>
    <w:rsid w:val="7CC3033B"/>
    <w:rsid w:val="7CC361FE"/>
    <w:rsid w:val="7CC42596"/>
    <w:rsid w:val="7CC52305"/>
    <w:rsid w:val="7CC85951"/>
    <w:rsid w:val="7CC876FF"/>
    <w:rsid w:val="7CCA16C9"/>
    <w:rsid w:val="7CCC223C"/>
    <w:rsid w:val="7CCC5441"/>
    <w:rsid w:val="7CCD2F68"/>
    <w:rsid w:val="7CCD6D24"/>
    <w:rsid w:val="7CCD740C"/>
    <w:rsid w:val="7CCE35F1"/>
    <w:rsid w:val="7CD04806"/>
    <w:rsid w:val="7CD24A22"/>
    <w:rsid w:val="7CD267D0"/>
    <w:rsid w:val="7CD33333"/>
    <w:rsid w:val="7CD35F87"/>
    <w:rsid w:val="7CD51CB7"/>
    <w:rsid w:val="7CD6006E"/>
    <w:rsid w:val="7CD658F3"/>
    <w:rsid w:val="7CD662C0"/>
    <w:rsid w:val="7CD75B94"/>
    <w:rsid w:val="7CD82117"/>
    <w:rsid w:val="7CD91551"/>
    <w:rsid w:val="7CD97B5E"/>
    <w:rsid w:val="7CDA6C98"/>
    <w:rsid w:val="7CDD6FB6"/>
    <w:rsid w:val="7CDE3017"/>
    <w:rsid w:val="7CDE5175"/>
    <w:rsid w:val="7CE0713F"/>
    <w:rsid w:val="7CE22E28"/>
    <w:rsid w:val="7CE24C65"/>
    <w:rsid w:val="7CE54755"/>
    <w:rsid w:val="7CE611A1"/>
    <w:rsid w:val="7CE66493"/>
    <w:rsid w:val="7CE840C9"/>
    <w:rsid w:val="7CEC5AE4"/>
    <w:rsid w:val="7CED360A"/>
    <w:rsid w:val="7CED7166"/>
    <w:rsid w:val="7CED7B6F"/>
    <w:rsid w:val="7CEF1130"/>
    <w:rsid w:val="7CEF4308"/>
    <w:rsid w:val="7CF0430B"/>
    <w:rsid w:val="7CF16C56"/>
    <w:rsid w:val="7CF22D0E"/>
    <w:rsid w:val="7CF44998"/>
    <w:rsid w:val="7CF7556B"/>
    <w:rsid w:val="7CF76237"/>
    <w:rsid w:val="7CF83380"/>
    <w:rsid w:val="7CF83C2F"/>
    <w:rsid w:val="7CF91FAF"/>
    <w:rsid w:val="7CFB1883"/>
    <w:rsid w:val="7CFB5D27"/>
    <w:rsid w:val="7CFC2F96"/>
    <w:rsid w:val="7CFC55FB"/>
    <w:rsid w:val="7CFD7E55"/>
    <w:rsid w:val="7CFE1373"/>
    <w:rsid w:val="7CFE5817"/>
    <w:rsid w:val="7CFE75C5"/>
    <w:rsid w:val="7CFF5D25"/>
    <w:rsid w:val="7D00333D"/>
    <w:rsid w:val="7D007C35"/>
    <w:rsid w:val="7D023EAD"/>
    <w:rsid w:val="7D052701"/>
    <w:rsid w:val="7D054F48"/>
    <w:rsid w:val="7D060228"/>
    <w:rsid w:val="7D0821F2"/>
    <w:rsid w:val="7D0A5583"/>
    <w:rsid w:val="7D0A6F1E"/>
    <w:rsid w:val="7D0B1159"/>
    <w:rsid w:val="7D0B583E"/>
    <w:rsid w:val="7D0C1CE2"/>
    <w:rsid w:val="7D0D15B6"/>
    <w:rsid w:val="7D0F3586"/>
    <w:rsid w:val="7D11554A"/>
    <w:rsid w:val="7D1172F8"/>
    <w:rsid w:val="7D124E1E"/>
    <w:rsid w:val="7D1312C2"/>
    <w:rsid w:val="7D140B97"/>
    <w:rsid w:val="7D180687"/>
    <w:rsid w:val="7D187127"/>
    <w:rsid w:val="7D1B3CD3"/>
    <w:rsid w:val="7D1D782A"/>
    <w:rsid w:val="7D1E37C3"/>
    <w:rsid w:val="7D2012E9"/>
    <w:rsid w:val="7D22159F"/>
    <w:rsid w:val="7D23702C"/>
    <w:rsid w:val="7D2439C3"/>
    <w:rsid w:val="7D24527D"/>
    <w:rsid w:val="7D250FF6"/>
    <w:rsid w:val="7D256900"/>
    <w:rsid w:val="7D266C3C"/>
    <w:rsid w:val="7D2708CA"/>
    <w:rsid w:val="7D286DC5"/>
    <w:rsid w:val="7D2A2168"/>
    <w:rsid w:val="7D2A660C"/>
    <w:rsid w:val="7D2C4132"/>
    <w:rsid w:val="7D2C6836"/>
    <w:rsid w:val="7D2D1C58"/>
    <w:rsid w:val="7D31427A"/>
    <w:rsid w:val="7D3354C1"/>
    <w:rsid w:val="7D34239D"/>
    <w:rsid w:val="7D360B0D"/>
    <w:rsid w:val="7D37263C"/>
    <w:rsid w:val="7D376633"/>
    <w:rsid w:val="7D380D29"/>
    <w:rsid w:val="7D381051"/>
    <w:rsid w:val="7D384885"/>
    <w:rsid w:val="7D3B25C7"/>
    <w:rsid w:val="7D3D0E64"/>
    <w:rsid w:val="7D3D665B"/>
    <w:rsid w:val="7D3E79C1"/>
    <w:rsid w:val="7D4122AB"/>
    <w:rsid w:val="7D423956"/>
    <w:rsid w:val="7D430D35"/>
    <w:rsid w:val="7D44147C"/>
    <w:rsid w:val="7D472D1A"/>
    <w:rsid w:val="7D4800BE"/>
    <w:rsid w:val="7D4C0330"/>
    <w:rsid w:val="7D4C6582"/>
    <w:rsid w:val="7D4F7E21"/>
    <w:rsid w:val="7D5176F5"/>
    <w:rsid w:val="7D537911"/>
    <w:rsid w:val="7D545437"/>
    <w:rsid w:val="7D54596F"/>
    <w:rsid w:val="7D553689"/>
    <w:rsid w:val="7D592F5B"/>
    <w:rsid w:val="7D5C61AE"/>
    <w:rsid w:val="7D5D5736"/>
    <w:rsid w:val="7D5E04CB"/>
    <w:rsid w:val="7D641B1E"/>
    <w:rsid w:val="7D6455EB"/>
    <w:rsid w:val="7D6513F2"/>
    <w:rsid w:val="7D652C3F"/>
    <w:rsid w:val="7D657644"/>
    <w:rsid w:val="7D673D8B"/>
    <w:rsid w:val="7D676F18"/>
    <w:rsid w:val="7D690EE2"/>
    <w:rsid w:val="7D69168C"/>
    <w:rsid w:val="7D692C90"/>
    <w:rsid w:val="7D6C09D3"/>
    <w:rsid w:val="7D6D57F4"/>
    <w:rsid w:val="7D6E02A7"/>
    <w:rsid w:val="7D6E4856"/>
    <w:rsid w:val="7D6E49FE"/>
    <w:rsid w:val="7D715FE9"/>
    <w:rsid w:val="7D720F17"/>
    <w:rsid w:val="7D72380F"/>
    <w:rsid w:val="7D7358BD"/>
    <w:rsid w:val="7D755AD9"/>
    <w:rsid w:val="7D7654E6"/>
    <w:rsid w:val="7D781125"/>
    <w:rsid w:val="7D7B5859"/>
    <w:rsid w:val="7D7F40AB"/>
    <w:rsid w:val="7D80447E"/>
    <w:rsid w:val="7D807847"/>
    <w:rsid w:val="7D81624E"/>
    <w:rsid w:val="7D833821"/>
    <w:rsid w:val="7D834ED8"/>
    <w:rsid w:val="7D83764E"/>
    <w:rsid w:val="7D853842"/>
    <w:rsid w:val="7D871368"/>
    <w:rsid w:val="7D8775BA"/>
    <w:rsid w:val="7D891584"/>
    <w:rsid w:val="7D8A0E59"/>
    <w:rsid w:val="7D8B70AB"/>
    <w:rsid w:val="7D8C6B08"/>
    <w:rsid w:val="7D902913"/>
    <w:rsid w:val="7D940F85"/>
    <w:rsid w:val="7D943A85"/>
    <w:rsid w:val="7D946282"/>
    <w:rsid w:val="7D951CD7"/>
    <w:rsid w:val="7D9615AC"/>
    <w:rsid w:val="7D985324"/>
    <w:rsid w:val="7D9F55DA"/>
    <w:rsid w:val="7DA04E8D"/>
    <w:rsid w:val="7DA45E76"/>
    <w:rsid w:val="7DA46C42"/>
    <w:rsid w:val="7DA71A0B"/>
    <w:rsid w:val="7DA93E9F"/>
    <w:rsid w:val="7DAA32A9"/>
    <w:rsid w:val="7DAB14FB"/>
    <w:rsid w:val="7DAB2803"/>
    <w:rsid w:val="7DAB5587"/>
    <w:rsid w:val="7DAD28DB"/>
    <w:rsid w:val="7DAF3557"/>
    <w:rsid w:val="7DB008BF"/>
    <w:rsid w:val="7DB303AF"/>
    <w:rsid w:val="7DB3377D"/>
    <w:rsid w:val="7DB46BB7"/>
    <w:rsid w:val="7DB87774"/>
    <w:rsid w:val="7DBA173E"/>
    <w:rsid w:val="7DBA34EC"/>
    <w:rsid w:val="7DBC3708"/>
    <w:rsid w:val="7DBD122E"/>
    <w:rsid w:val="7DBD2FDC"/>
    <w:rsid w:val="7DBF0B02"/>
    <w:rsid w:val="7DC12C43"/>
    <w:rsid w:val="7DC478C2"/>
    <w:rsid w:val="7DC5348D"/>
    <w:rsid w:val="7DC731F7"/>
    <w:rsid w:val="7DC75C09"/>
    <w:rsid w:val="7DC87267"/>
    <w:rsid w:val="7DC97BD3"/>
    <w:rsid w:val="7DCA617E"/>
    <w:rsid w:val="7DCA74A7"/>
    <w:rsid w:val="7DCB00AF"/>
    <w:rsid w:val="7DCB56F9"/>
    <w:rsid w:val="7DCC1471"/>
    <w:rsid w:val="7DCC76C3"/>
    <w:rsid w:val="7DCD5A40"/>
    <w:rsid w:val="7DCE6F97"/>
    <w:rsid w:val="7DD00F61"/>
    <w:rsid w:val="7DD24CD9"/>
    <w:rsid w:val="7DD259C8"/>
    <w:rsid w:val="7DD32800"/>
    <w:rsid w:val="7DD50326"/>
    <w:rsid w:val="7DD547CA"/>
    <w:rsid w:val="7DD6409E"/>
    <w:rsid w:val="7DD65E4C"/>
    <w:rsid w:val="7DD81BC4"/>
    <w:rsid w:val="7DD828A8"/>
    <w:rsid w:val="7DD87E16"/>
    <w:rsid w:val="7DDA1DE0"/>
    <w:rsid w:val="7DDB1D8C"/>
    <w:rsid w:val="7DDC2D72"/>
    <w:rsid w:val="7DDD71DA"/>
    <w:rsid w:val="7DDE5C08"/>
    <w:rsid w:val="7DDF16F3"/>
    <w:rsid w:val="7DDF73F6"/>
    <w:rsid w:val="7DE1306A"/>
    <w:rsid w:val="7DE247F1"/>
    <w:rsid w:val="7DE53484"/>
    <w:rsid w:val="7DE62533"/>
    <w:rsid w:val="7DE762AB"/>
    <w:rsid w:val="7DE83EE6"/>
    <w:rsid w:val="7DEA02BE"/>
    <w:rsid w:val="7DEC38FB"/>
    <w:rsid w:val="7DEC566F"/>
    <w:rsid w:val="7DF033B2"/>
    <w:rsid w:val="7DF24F98"/>
    <w:rsid w:val="7DF52776"/>
    <w:rsid w:val="7DF6090D"/>
    <w:rsid w:val="7DFA391C"/>
    <w:rsid w:val="7DFA77F7"/>
    <w:rsid w:val="7DFD3F5F"/>
    <w:rsid w:val="7DFD5ACF"/>
    <w:rsid w:val="7DFF1847"/>
    <w:rsid w:val="7E00216C"/>
    <w:rsid w:val="7E024777"/>
    <w:rsid w:val="7E024E93"/>
    <w:rsid w:val="7E0425A5"/>
    <w:rsid w:val="7E0429B9"/>
    <w:rsid w:val="7E0806FB"/>
    <w:rsid w:val="7E081C1E"/>
    <w:rsid w:val="7E094DDC"/>
    <w:rsid w:val="7E097FCF"/>
    <w:rsid w:val="7E0D3F64"/>
    <w:rsid w:val="7E0D5EFC"/>
    <w:rsid w:val="7E0E4B82"/>
    <w:rsid w:val="7E0F44BF"/>
    <w:rsid w:val="7E0F5530"/>
    <w:rsid w:val="7E123B0F"/>
    <w:rsid w:val="7E1626EC"/>
    <w:rsid w:val="7E17093E"/>
    <w:rsid w:val="7E192908"/>
    <w:rsid w:val="7E1A3F8B"/>
    <w:rsid w:val="7E1C41A7"/>
    <w:rsid w:val="7E1F3C97"/>
    <w:rsid w:val="7E1F77F3"/>
    <w:rsid w:val="7E212856"/>
    <w:rsid w:val="7E232311"/>
    <w:rsid w:val="7E2862C7"/>
    <w:rsid w:val="7E2B00A1"/>
    <w:rsid w:val="7E2B6C1F"/>
    <w:rsid w:val="7E2C1C7F"/>
    <w:rsid w:val="7E2D63B4"/>
    <w:rsid w:val="7E2F3422"/>
    <w:rsid w:val="7E316EBB"/>
    <w:rsid w:val="7E3314F0"/>
    <w:rsid w:val="7E3421C2"/>
    <w:rsid w:val="7E380736"/>
    <w:rsid w:val="7E387C8B"/>
    <w:rsid w:val="7E3C65F7"/>
    <w:rsid w:val="7E3D5ECB"/>
    <w:rsid w:val="7E3F60E7"/>
    <w:rsid w:val="7E3F7E95"/>
    <w:rsid w:val="7E4046DE"/>
    <w:rsid w:val="7E413C0D"/>
    <w:rsid w:val="7E437985"/>
    <w:rsid w:val="7E4436FD"/>
    <w:rsid w:val="7E4454AB"/>
    <w:rsid w:val="7E46233B"/>
    <w:rsid w:val="7E462FD2"/>
    <w:rsid w:val="7E486D4A"/>
    <w:rsid w:val="7E4B177D"/>
    <w:rsid w:val="7E4D4360"/>
    <w:rsid w:val="7E4E1E86"/>
    <w:rsid w:val="7E4E5754"/>
    <w:rsid w:val="7E5016E0"/>
    <w:rsid w:val="7E506AC0"/>
    <w:rsid w:val="7E5356EF"/>
    <w:rsid w:val="7E53749D"/>
    <w:rsid w:val="7E543940"/>
    <w:rsid w:val="7E553215"/>
    <w:rsid w:val="7E596DD4"/>
    <w:rsid w:val="7E5A082B"/>
    <w:rsid w:val="7E5B46F0"/>
    <w:rsid w:val="7E5C27F5"/>
    <w:rsid w:val="7E5F4093"/>
    <w:rsid w:val="7E616938"/>
    <w:rsid w:val="7E623535"/>
    <w:rsid w:val="7E635932"/>
    <w:rsid w:val="7E63750A"/>
    <w:rsid w:val="7E650FCA"/>
    <w:rsid w:val="7E665422"/>
    <w:rsid w:val="7E682F48"/>
    <w:rsid w:val="7E694F12"/>
    <w:rsid w:val="7E6D6D84"/>
    <w:rsid w:val="7E7044F2"/>
    <w:rsid w:val="7E722019"/>
    <w:rsid w:val="7E7318ED"/>
    <w:rsid w:val="7E751B09"/>
    <w:rsid w:val="7E7A163E"/>
    <w:rsid w:val="7E7A403C"/>
    <w:rsid w:val="7E7A711F"/>
    <w:rsid w:val="7E7B2A15"/>
    <w:rsid w:val="7E7C4C45"/>
    <w:rsid w:val="7E802674"/>
    <w:rsid w:val="7E810224"/>
    <w:rsid w:val="7E841CD2"/>
    <w:rsid w:val="7E88183C"/>
    <w:rsid w:val="7E883E11"/>
    <w:rsid w:val="7E891110"/>
    <w:rsid w:val="7E8B286F"/>
    <w:rsid w:val="7E8F2BCB"/>
    <w:rsid w:val="7E8F5C1E"/>
    <w:rsid w:val="7E9006F1"/>
    <w:rsid w:val="7E90249F"/>
    <w:rsid w:val="7E925D64"/>
    <w:rsid w:val="7E9470C8"/>
    <w:rsid w:val="7E971A7F"/>
    <w:rsid w:val="7E9755DB"/>
    <w:rsid w:val="7E9957F7"/>
    <w:rsid w:val="7E9975A5"/>
    <w:rsid w:val="7E997AC0"/>
    <w:rsid w:val="7E9A50CB"/>
    <w:rsid w:val="7E9C66D1"/>
    <w:rsid w:val="7E9D5786"/>
    <w:rsid w:val="7E9E7F46"/>
    <w:rsid w:val="7E9F2B6C"/>
    <w:rsid w:val="7E9F3DE3"/>
    <w:rsid w:val="7EA07D6A"/>
    <w:rsid w:val="7EA321D2"/>
    <w:rsid w:val="7EA45F4A"/>
    <w:rsid w:val="7EA61CC2"/>
    <w:rsid w:val="7EA6304A"/>
    <w:rsid w:val="7EA63A70"/>
    <w:rsid w:val="7EA72E9E"/>
    <w:rsid w:val="7EAA067F"/>
    <w:rsid w:val="7EAA3560"/>
    <w:rsid w:val="7EAB72D9"/>
    <w:rsid w:val="7EAE4B89"/>
    <w:rsid w:val="7EAE7C10"/>
    <w:rsid w:val="7EAF0B77"/>
    <w:rsid w:val="7EAF501B"/>
    <w:rsid w:val="7EB268B9"/>
    <w:rsid w:val="7EB4618D"/>
    <w:rsid w:val="7EB87481"/>
    <w:rsid w:val="7EBA7409"/>
    <w:rsid w:val="7EBB39C0"/>
    <w:rsid w:val="7EBB5B86"/>
    <w:rsid w:val="7EBC14E6"/>
    <w:rsid w:val="7EBC3294"/>
    <w:rsid w:val="7EBE0DBA"/>
    <w:rsid w:val="7EBE700C"/>
    <w:rsid w:val="7EC00FD6"/>
    <w:rsid w:val="7EC16AFC"/>
    <w:rsid w:val="7EC37AF9"/>
    <w:rsid w:val="7EC46813"/>
    <w:rsid w:val="7EC52587"/>
    <w:rsid w:val="7EC565EC"/>
    <w:rsid w:val="7EC64656"/>
    <w:rsid w:val="7EC83086"/>
    <w:rsid w:val="7EC838FC"/>
    <w:rsid w:val="7EC861C8"/>
    <w:rsid w:val="7EC9775F"/>
    <w:rsid w:val="7ECA14C8"/>
    <w:rsid w:val="7ECA3C03"/>
    <w:rsid w:val="7ECA59B1"/>
    <w:rsid w:val="7ECD36F3"/>
    <w:rsid w:val="7ECF1219"/>
    <w:rsid w:val="7ECF2FC7"/>
    <w:rsid w:val="7ECF59B9"/>
    <w:rsid w:val="7ECF746B"/>
    <w:rsid w:val="7ED00AED"/>
    <w:rsid w:val="7ED405DD"/>
    <w:rsid w:val="7ED4682F"/>
    <w:rsid w:val="7ED56142"/>
    <w:rsid w:val="7ED76320"/>
    <w:rsid w:val="7EDC1B88"/>
    <w:rsid w:val="7EDE320A"/>
    <w:rsid w:val="7EE1125E"/>
    <w:rsid w:val="7EE12CFA"/>
    <w:rsid w:val="7EE337B5"/>
    <w:rsid w:val="7EE409F9"/>
    <w:rsid w:val="7EE66563"/>
    <w:rsid w:val="7EE71CFF"/>
    <w:rsid w:val="7EE84089"/>
    <w:rsid w:val="7EE97967"/>
    <w:rsid w:val="7EEA2CAD"/>
    <w:rsid w:val="7EEC1DCB"/>
    <w:rsid w:val="7EEC204E"/>
    <w:rsid w:val="7EEE5FCC"/>
    <w:rsid w:val="7EEF5417"/>
    <w:rsid w:val="7EF0118F"/>
    <w:rsid w:val="7EF23159"/>
    <w:rsid w:val="7EF46ED2"/>
    <w:rsid w:val="7EF50554"/>
    <w:rsid w:val="7EF96296"/>
    <w:rsid w:val="7EFB0260"/>
    <w:rsid w:val="7EFB200E"/>
    <w:rsid w:val="7F031A27"/>
    <w:rsid w:val="7F037456"/>
    <w:rsid w:val="7F037914"/>
    <w:rsid w:val="7F052570"/>
    <w:rsid w:val="7F054C3B"/>
    <w:rsid w:val="7F06772C"/>
    <w:rsid w:val="7F072F79"/>
    <w:rsid w:val="7F08018A"/>
    <w:rsid w:val="7F0B6859"/>
    <w:rsid w:val="7F0D3AEF"/>
    <w:rsid w:val="7F0D7F93"/>
    <w:rsid w:val="7F0E4495"/>
    <w:rsid w:val="7F0E750D"/>
    <w:rsid w:val="7F101EAE"/>
    <w:rsid w:val="7F104AC7"/>
    <w:rsid w:val="7F1135E0"/>
    <w:rsid w:val="7F121106"/>
    <w:rsid w:val="7F1440ED"/>
    <w:rsid w:val="7F144E7E"/>
    <w:rsid w:val="7F157767"/>
    <w:rsid w:val="7F196534"/>
    <w:rsid w:val="7F196C16"/>
    <w:rsid w:val="7F1C287F"/>
    <w:rsid w:val="7F1C400B"/>
    <w:rsid w:val="7F1D26B2"/>
    <w:rsid w:val="7F1E7AAB"/>
    <w:rsid w:val="7F201A75"/>
    <w:rsid w:val="7F2350C1"/>
    <w:rsid w:val="7F271055"/>
    <w:rsid w:val="7F27577D"/>
    <w:rsid w:val="7F280840"/>
    <w:rsid w:val="7F2A28F3"/>
    <w:rsid w:val="7F2A644F"/>
    <w:rsid w:val="7F2B605D"/>
    <w:rsid w:val="7F314A7F"/>
    <w:rsid w:val="7F323556"/>
    <w:rsid w:val="7F327676"/>
    <w:rsid w:val="7F343772"/>
    <w:rsid w:val="7F345520"/>
    <w:rsid w:val="7F373E42"/>
    <w:rsid w:val="7F3815E6"/>
    <w:rsid w:val="7F390F10"/>
    <w:rsid w:val="7F3A1C7D"/>
    <w:rsid w:val="7F3B065C"/>
    <w:rsid w:val="7F3B240A"/>
    <w:rsid w:val="7F3B655B"/>
    <w:rsid w:val="7F3D192F"/>
    <w:rsid w:val="7F407B93"/>
    <w:rsid w:val="7F414219"/>
    <w:rsid w:val="7F437511"/>
    <w:rsid w:val="7F437894"/>
    <w:rsid w:val="7F482940"/>
    <w:rsid w:val="7F482A1B"/>
    <w:rsid w:val="7F4A08A0"/>
    <w:rsid w:val="7F4C286A"/>
    <w:rsid w:val="7F4E65E2"/>
    <w:rsid w:val="7F5006A0"/>
    <w:rsid w:val="7F523A6E"/>
    <w:rsid w:val="7F525799"/>
    <w:rsid w:val="7F526214"/>
    <w:rsid w:val="7F531E4A"/>
    <w:rsid w:val="7F5703FC"/>
    <w:rsid w:val="7F572FBC"/>
    <w:rsid w:val="7F5931D8"/>
    <w:rsid w:val="7F596D35"/>
    <w:rsid w:val="7F5B0CFF"/>
    <w:rsid w:val="7F5B5141"/>
    <w:rsid w:val="7F5B7AA5"/>
    <w:rsid w:val="7F5F071A"/>
    <w:rsid w:val="7F601E71"/>
    <w:rsid w:val="7F62208D"/>
    <w:rsid w:val="7F631961"/>
    <w:rsid w:val="7F65392B"/>
    <w:rsid w:val="7F663D79"/>
    <w:rsid w:val="7F69341C"/>
    <w:rsid w:val="7F6A0F42"/>
    <w:rsid w:val="7F6B740A"/>
    <w:rsid w:val="7F6E239C"/>
    <w:rsid w:val="7F70785B"/>
    <w:rsid w:val="7F741DC0"/>
    <w:rsid w:val="7F751FA3"/>
    <w:rsid w:val="7F75412D"/>
    <w:rsid w:val="7F794CE1"/>
    <w:rsid w:val="7F8042C1"/>
    <w:rsid w:val="7F82628B"/>
    <w:rsid w:val="7F833DB1"/>
    <w:rsid w:val="7F83497B"/>
    <w:rsid w:val="7F840255"/>
    <w:rsid w:val="7F842003"/>
    <w:rsid w:val="7F875650"/>
    <w:rsid w:val="7F8813C8"/>
    <w:rsid w:val="7F884DC6"/>
    <w:rsid w:val="7F8918FF"/>
    <w:rsid w:val="7F8D0AFF"/>
    <w:rsid w:val="7F8E4AA5"/>
    <w:rsid w:val="7F8F6BFA"/>
    <w:rsid w:val="7F914720"/>
    <w:rsid w:val="7F932247"/>
    <w:rsid w:val="7F9363B3"/>
    <w:rsid w:val="7F956373"/>
    <w:rsid w:val="7F967F89"/>
    <w:rsid w:val="7F98785D"/>
    <w:rsid w:val="7F9A1827"/>
    <w:rsid w:val="7F9B2EB0"/>
    <w:rsid w:val="7F9B6AC5"/>
    <w:rsid w:val="7F9C64FC"/>
    <w:rsid w:val="7F9D2EA8"/>
    <w:rsid w:val="7F9F508F"/>
    <w:rsid w:val="7FA47961"/>
    <w:rsid w:val="7FA51F7A"/>
    <w:rsid w:val="7FA53D28"/>
    <w:rsid w:val="7FA73F44"/>
    <w:rsid w:val="7FAC3308"/>
    <w:rsid w:val="7FAE2D7E"/>
    <w:rsid w:val="7FAF2567"/>
    <w:rsid w:val="7FAF4BA7"/>
    <w:rsid w:val="7FB0581F"/>
    <w:rsid w:val="7FB16B71"/>
    <w:rsid w:val="7FB358C9"/>
    <w:rsid w:val="7FB421BD"/>
    <w:rsid w:val="7FB565BE"/>
    <w:rsid w:val="7FB65F35"/>
    <w:rsid w:val="7FB704A7"/>
    <w:rsid w:val="7FB801B1"/>
    <w:rsid w:val="7FB87EFF"/>
    <w:rsid w:val="7FBA3C77"/>
    <w:rsid w:val="7FBB354B"/>
    <w:rsid w:val="7FBD3767"/>
    <w:rsid w:val="7FBD72C3"/>
    <w:rsid w:val="7FC260F0"/>
    <w:rsid w:val="7FC40652"/>
    <w:rsid w:val="7FC44AF6"/>
    <w:rsid w:val="7FC84B6D"/>
    <w:rsid w:val="7FC91006"/>
    <w:rsid w:val="7FCA19E0"/>
    <w:rsid w:val="7FCB5E84"/>
    <w:rsid w:val="7FCC2B42"/>
    <w:rsid w:val="7FCC5758"/>
    <w:rsid w:val="7FCE55D6"/>
    <w:rsid w:val="7FCF6FF7"/>
    <w:rsid w:val="7FD16110"/>
    <w:rsid w:val="7FD5285F"/>
    <w:rsid w:val="7FD613EF"/>
    <w:rsid w:val="7FD9370E"/>
    <w:rsid w:val="7FDA60C7"/>
    <w:rsid w:val="7FDA65D6"/>
    <w:rsid w:val="7FDB3BED"/>
    <w:rsid w:val="7FDD5BB8"/>
    <w:rsid w:val="7FDF2447"/>
    <w:rsid w:val="7FDF36DE"/>
    <w:rsid w:val="7FE44850"/>
    <w:rsid w:val="7FE45B22"/>
    <w:rsid w:val="7FE64A6C"/>
    <w:rsid w:val="7FE72592"/>
    <w:rsid w:val="7FE74340"/>
    <w:rsid w:val="7FE9630A"/>
    <w:rsid w:val="7FEA6CCE"/>
    <w:rsid w:val="7FEF14FE"/>
    <w:rsid w:val="7FEF5592"/>
    <w:rsid w:val="7FF002B5"/>
    <w:rsid w:val="7FF058EB"/>
    <w:rsid w:val="7FF07699"/>
    <w:rsid w:val="7FF079C1"/>
    <w:rsid w:val="7FF13411"/>
    <w:rsid w:val="7FF16F6D"/>
    <w:rsid w:val="7FF20268"/>
    <w:rsid w:val="7FF2742E"/>
    <w:rsid w:val="7FF34CA3"/>
    <w:rsid w:val="7FF37189"/>
    <w:rsid w:val="7FF41395"/>
    <w:rsid w:val="7FF52F01"/>
    <w:rsid w:val="7FF94730"/>
    <w:rsid w:val="7FFA5B45"/>
    <w:rsid w:val="7FFB7DEC"/>
    <w:rsid w:val="7FFC4290"/>
    <w:rsid w:val="7FFD1970"/>
    <w:rsid w:val="7FFF16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semiHidden="0" w:name="heading 2"/>
    <w:lsdException w:qFormat="1" w:uiPriority="0" w:semiHidden="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qFormat="1" w:unhideWhenUsed="0"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35" w:semiHidden="0" w:name="caption"/>
    <w:lsdException w:qFormat="1" w:unhideWhenUsed="0" w:uiPriority="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qFormat="1" w:uiPriority="99"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9"/>
    <w:pPr>
      <w:keepNext/>
      <w:keepLines/>
      <w:spacing w:before="340" w:after="330" w:line="576" w:lineRule="auto"/>
      <w:outlineLvl w:val="0"/>
    </w:pPr>
    <w:rPr>
      <w:b/>
      <w:kern w:val="44"/>
      <w:sz w:val="44"/>
    </w:rPr>
  </w:style>
  <w:style w:type="paragraph" w:styleId="3">
    <w:name w:val="heading 2"/>
    <w:basedOn w:val="1"/>
    <w:next w:val="1"/>
    <w:link w:val="91"/>
    <w:unhideWhenUsed/>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after="260" w:line="413" w:lineRule="auto"/>
      <w:outlineLvl w:val="2"/>
    </w:pPr>
    <w:rPr>
      <w:b/>
      <w:sz w:val="32"/>
    </w:rPr>
  </w:style>
  <w:style w:type="character" w:default="1" w:styleId="36">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5">
    <w:name w:val="List 3"/>
    <w:basedOn w:val="1"/>
    <w:next w:val="1"/>
    <w:qFormat/>
    <w:uiPriority w:val="0"/>
    <w:pPr>
      <w:ind w:left="100" w:leftChars="400" w:hanging="200" w:hangingChars="200"/>
    </w:pPr>
    <w:rPr>
      <w:rFonts w:ascii="Times New Roman" w:hAnsi="Times New Roman"/>
      <w:szCs w:val="20"/>
    </w:rPr>
  </w:style>
  <w:style w:type="paragraph" w:styleId="6">
    <w:name w:val="E-mail Signature"/>
    <w:basedOn w:val="1"/>
    <w:next w:val="7"/>
    <w:unhideWhenUsed/>
    <w:qFormat/>
    <w:uiPriority w:val="99"/>
    <w:pPr>
      <w:widowControl w:val="0"/>
      <w:spacing w:line="460" w:lineRule="exact"/>
      <w:ind w:firstLine="200"/>
      <w:jc w:val="both"/>
    </w:pPr>
    <w:rPr>
      <w:rFonts w:ascii="Calibri" w:hAnsi="Calibri" w:eastAsia="宋体" w:cs="Times New Roman"/>
      <w:kern w:val="2"/>
      <w:sz w:val="21"/>
      <w:szCs w:val="22"/>
      <w:lang w:val="en-US" w:eastAsia="zh-CN" w:bidi="ar-SA"/>
    </w:rPr>
  </w:style>
  <w:style w:type="paragraph" w:customStyle="1" w:styleId="7">
    <w:name w:val="文章"/>
    <w:next w:val="8"/>
    <w:qFormat/>
    <w:uiPriority w:val="0"/>
    <w:pPr>
      <w:ind w:firstLine="480"/>
      <w:jc w:val="center"/>
    </w:pPr>
    <w:rPr>
      <w:rFonts w:ascii="Times New Roman" w:hAnsi="Times New Roman" w:eastAsia="宋体" w:cs="Times New Roman"/>
      <w:kern w:val="2"/>
      <w:sz w:val="26"/>
      <w:szCs w:val="22"/>
      <w:lang w:val="en-US" w:eastAsia="zh-CN" w:bidi="ar-SA"/>
    </w:rPr>
  </w:style>
  <w:style w:type="paragraph" w:styleId="8">
    <w:name w:val="List"/>
    <w:basedOn w:val="1"/>
    <w:next w:val="9"/>
    <w:qFormat/>
    <w:uiPriority w:val="0"/>
    <w:pPr>
      <w:ind w:left="200" w:hanging="200" w:hangingChars="200"/>
    </w:pPr>
    <w:rPr>
      <w:szCs w:val="21"/>
    </w:rPr>
  </w:style>
  <w:style w:type="paragraph" w:styleId="9">
    <w:name w:val="List Bullet 2"/>
    <w:basedOn w:val="1"/>
    <w:next w:val="10"/>
    <w:qFormat/>
    <w:uiPriority w:val="0"/>
    <w:pPr>
      <w:numPr>
        <w:ilvl w:val="0"/>
        <w:numId w:val="1"/>
      </w:numPr>
    </w:pPr>
  </w:style>
  <w:style w:type="paragraph" w:customStyle="1" w:styleId="10">
    <w:name w:val="xl70"/>
    <w:next w:val="11"/>
    <w:qFormat/>
    <w:uiPriority w:val="0"/>
    <w:pPr>
      <w:spacing w:before="280" w:after="280"/>
      <w:jc w:val="both"/>
    </w:pPr>
    <w:rPr>
      <w:rFonts w:ascii="宋体" w:hAnsi="Calibri" w:eastAsia="宋体" w:cs="Times New Roman"/>
      <w:kern w:val="2"/>
      <w:sz w:val="21"/>
      <w:szCs w:val="21"/>
      <w:lang w:val="en-US" w:eastAsia="zh-CN" w:bidi="ar-SA"/>
    </w:rPr>
  </w:style>
  <w:style w:type="paragraph" w:customStyle="1" w:styleId="11">
    <w:name w:val="正文缩进1"/>
    <w:next w:val="12"/>
    <w:qFormat/>
    <w:uiPriority w:val="0"/>
    <w:pPr>
      <w:widowControl w:val="0"/>
      <w:ind w:firstLine="420"/>
      <w:jc w:val="both"/>
    </w:pPr>
    <w:rPr>
      <w:rFonts w:ascii="Calibri" w:hAnsi="Calibri" w:eastAsia="宋体" w:cs="Times New Roman"/>
      <w:kern w:val="2"/>
      <w:sz w:val="28"/>
      <w:lang w:val="en-US" w:eastAsia="zh-CN" w:bidi="ar-SA"/>
    </w:rPr>
  </w:style>
  <w:style w:type="paragraph" w:customStyle="1" w:styleId="12">
    <w:name w:val="td1"/>
    <w:next w:val="1"/>
    <w:qFormat/>
    <w:uiPriority w:val="0"/>
    <w:pPr>
      <w:spacing w:before="280" w:after="280" w:line="300" w:lineRule="atLeast"/>
      <w:ind w:firstLine="200"/>
      <w:jc w:val="both"/>
    </w:pPr>
    <w:rPr>
      <w:rFonts w:ascii="Calibri" w:hAnsi="Calibri" w:eastAsia="宋体" w:cs="Times New Roman"/>
      <w:color w:val="000000"/>
      <w:kern w:val="2"/>
      <w:sz w:val="18"/>
      <w:szCs w:val="21"/>
      <w:lang w:val="en-US" w:eastAsia="zh-CN" w:bidi="ar-SA"/>
    </w:rPr>
  </w:style>
  <w:style w:type="paragraph" w:styleId="13">
    <w:name w:val="Normal Indent"/>
    <w:basedOn w:val="1"/>
    <w:next w:val="1"/>
    <w:qFormat/>
    <w:uiPriority w:val="99"/>
    <w:pPr>
      <w:tabs>
        <w:tab w:val="left" w:pos="945"/>
        <w:tab w:val="right" w:leader="dot" w:pos="1155"/>
        <w:tab w:val="left" w:pos="8715"/>
      </w:tabs>
      <w:adjustRightInd w:val="0"/>
      <w:snapToGrid w:val="0"/>
      <w:spacing w:line="360" w:lineRule="auto"/>
      <w:ind w:firstLine="200" w:firstLineChars="200"/>
    </w:pPr>
    <w:rPr>
      <w:snapToGrid w:val="0"/>
      <w:kern w:val="0"/>
    </w:rPr>
  </w:style>
  <w:style w:type="paragraph" w:styleId="14">
    <w:name w:val="caption"/>
    <w:basedOn w:val="1"/>
    <w:next w:val="1"/>
    <w:qFormat/>
    <w:uiPriority w:val="35"/>
    <w:rPr>
      <w:b/>
      <w:bCs/>
    </w:rPr>
  </w:style>
  <w:style w:type="paragraph" w:styleId="15">
    <w:name w:val="annotation text"/>
    <w:basedOn w:val="1"/>
    <w:link w:val="84"/>
    <w:semiHidden/>
    <w:qFormat/>
    <w:uiPriority w:val="0"/>
    <w:pPr>
      <w:jc w:val="left"/>
    </w:pPr>
    <w:rPr>
      <w:kern w:val="0"/>
      <w:sz w:val="24"/>
      <w:szCs w:val="20"/>
    </w:rPr>
  </w:style>
  <w:style w:type="paragraph" w:styleId="16">
    <w:name w:val="Body Text"/>
    <w:basedOn w:val="1"/>
    <w:qFormat/>
    <w:uiPriority w:val="0"/>
    <w:pPr>
      <w:widowControl/>
      <w:snapToGrid w:val="0"/>
      <w:spacing w:before="60" w:after="160" w:line="259" w:lineRule="auto"/>
      <w:ind w:right="113"/>
    </w:pPr>
    <w:rPr>
      <w:kern w:val="0"/>
      <w:sz w:val="18"/>
      <w:szCs w:val="20"/>
    </w:rPr>
  </w:style>
  <w:style w:type="paragraph" w:styleId="17">
    <w:name w:val="Body Text Indent"/>
    <w:basedOn w:val="1"/>
    <w:next w:val="18"/>
    <w:qFormat/>
    <w:uiPriority w:val="0"/>
    <w:pPr>
      <w:spacing w:after="120"/>
      <w:ind w:left="420" w:leftChars="200"/>
    </w:pPr>
    <w:rPr>
      <w:kern w:val="0"/>
      <w:sz w:val="24"/>
      <w:szCs w:val="20"/>
    </w:rPr>
  </w:style>
  <w:style w:type="paragraph" w:styleId="18">
    <w:name w:val="Body Text Indent 2"/>
    <w:basedOn w:val="1"/>
    <w:qFormat/>
    <w:uiPriority w:val="0"/>
    <w:pPr>
      <w:widowControl/>
      <w:spacing w:after="120" w:line="480" w:lineRule="auto"/>
      <w:ind w:left="420" w:leftChars="200"/>
      <w:jc w:val="left"/>
    </w:pPr>
    <w:rPr>
      <w:rFonts w:ascii="Calibri" w:hAnsi="Calibri"/>
    </w:rPr>
  </w:style>
  <w:style w:type="paragraph" w:styleId="19">
    <w:name w:val="toc 5"/>
    <w:basedOn w:val="1"/>
    <w:next w:val="1"/>
    <w:qFormat/>
    <w:uiPriority w:val="39"/>
    <w:pPr>
      <w:ind w:left="960"/>
      <w:jc w:val="left"/>
    </w:pPr>
    <w:rPr>
      <w:rFonts w:ascii="Calibri" w:hAnsi="Calibri"/>
      <w:sz w:val="18"/>
      <w:szCs w:val="18"/>
    </w:rPr>
  </w:style>
  <w:style w:type="paragraph" w:styleId="20">
    <w:name w:val="Plain Text"/>
    <w:basedOn w:val="1"/>
    <w:next w:val="1"/>
    <w:qFormat/>
    <w:uiPriority w:val="0"/>
    <w:rPr>
      <w:rFonts w:ascii="宋体" w:hAnsi="Courier New"/>
    </w:rPr>
  </w:style>
  <w:style w:type="paragraph" w:styleId="21">
    <w:name w:val="Balloon Text"/>
    <w:basedOn w:val="1"/>
    <w:link w:val="86"/>
    <w:qFormat/>
    <w:uiPriority w:val="0"/>
    <w:rPr>
      <w:sz w:val="18"/>
      <w:szCs w:val="18"/>
    </w:rPr>
  </w:style>
  <w:style w:type="paragraph" w:styleId="22">
    <w:name w:val="footer"/>
    <w:basedOn w:val="1"/>
    <w:link w:val="59"/>
    <w:qFormat/>
    <w:uiPriority w:val="0"/>
    <w:pPr>
      <w:tabs>
        <w:tab w:val="center" w:pos="4153"/>
        <w:tab w:val="right" w:pos="8306"/>
      </w:tabs>
      <w:snapToGrid w:val="0"/>
      <w:jc w:val="left"/>
    </w:pPr>
    <w:rPr>
      <w:sz w:val="18"/>
      <w:szCs w:val="18"/>
    </w:rPr>
  </w:style>
  <w:style w:type="paragraph" w:styleId="23">
    <w:name w:val="header"/>
    <w:basedOn w:val="1"/>
    <w:link w:val="58"/>
    <w:qFormat/>
    <w:uiPriority w:val="0"/>
    <w:pPr>
      <w:pBdr>
        <w:bottom w:val="single" w:color="auto" w:sz="6" w:space="1"/>
      </w:pBdr>
      <w:tabs>
        <w:tab w:val="center" w:pos="4153"/>
        <w:tab w:val="right" w:pos="8306"/>
      </w:tabs>
      <w:snapToGrid w:val="0"/>
      <w:jc w:val="center"/>
    </w:pPr>
    <w:rPr>
      <w:sz w:val="18"/>
      <w:szCs w:val="18"/>
    </w:rPr>
  </w:style>
  <w:style w:type="paragraph" w:styleId="24">
    <w:name w:val="toc 1"/>
    <w:basedOn w:val="1"/>
    <w:next w:val="1"/>
    <w:qFormat/>
    <w:uiPriority w:val="0"/>
  </w:style>
  <w:style w:type="paragraph" w:styleId="25">
    <w:name w:val="Body Text Indent 3"/>
    <w:basedOn w:val="1"/>
    <w:qFormat/>
    <w:uiPriority w:val="0"/>
    <w:pPr>
      <w:spacing w:after="120"/>
      <w:ind w:left="420" w:leftChars="200"/>
    </w:pPr>
    <w:rPr>
      <w:sz w:val="16"/>
      <w:szCs w:val="16"/>
    </w:rPr>
  </w:style>
  <w:style w:type="paragraph" w:styleId="26">
    <w:name w:val="table of figures"/>
    <w:basedOn w:val="1"/>
    <w:next w:val="1"/>
    <w:semiHidden/>
    <w:qFormat/>
    <w:uiPriority w:val="0"/>
    <w:pPr>
      <w:ind w:left="200" w:leftChars="200" w:hanging="200" w:hangingChars="200"/>
    </w:pPr>
  </w:style>
  <w:style w:type="paragraph" w:styleId="27">
    <w:name w:val="toc 2"/>
    <w:basedOn w:val="1"/>
    <w:next w:val="1"/>
    <w:qFormat/>
    <w:uiPriority w:val="0"/>
    <w:pPr>
      <w:tabs>
        <w:tab w:val="right" w:leader="dot" w:pos="9060"/>
      </w:tabs>
      <w:ind w:left="420" w:leftChars="200" w:firstLine="425"/>
    </w:pPr>
    <w:rPr>
      <w:rFonts w:ascii="Calibri" w:hAnsi="Calibri" w:eastAsia="宋体" w:cs="Times New Roman"/>
      <w:szCs w:val="21"/>
    </w:rPr>
  </w:style>
  <w:style w:type="paragraph" w:styleId="28">
    <w:name w:val="Body Text 2"/>
    <w:basedOn w:val="1"/>
    <w:qFormat/>
    <w:uiPriority w:val="0"/>
    <w:pPr>
      <w:adjustRightInd w:val="0"/>
      <w:snapToGrid w:val="0"/>
      <w:spacing w:after="120" w:line="480" w:lineRule="auto"/>
      <w:ind w:firstLine="200" w:firstLineChars="200"/>
    </w:pPr>
    <w:rPr>
      <w:rFonts w:ascii="Times New Roman" w:hAnsi="Times New Roman" w:eastAsia="宋体" w:cs="Times New Roman"/>
      <w:sz w:val="24"/>
    </w:rPr>
  </w:style>
  <w:style w:type="paragraph" w:styleId="29">
    <w:name w:val="Normal (Web)"/>
    <w:basedOn w:val="1"/>
    <w:qFormat/>
    <w:uiPriority w:val="0"/>
    <w:pPr>
      <w:widowControl/>
      <w:spacing w:before="100" w:beforeAutospacing="1" w:after="100" w:afterAutospacing="1"/>
      <w:jc w:val="left"/>
    </w:pPr>
    <w:rPr>
      <w:rFonts w:ascii="宋体" w:hAnsi="宋体"/>
      <w:kern w:val="0"/>
      <w:sz w:val="24"/>
      <w:szCs w:val="20"/>
    </w:rPr>
  </w:style>
  <w:style w:type="paragraph" w:styleId="30">
    <w:name w:val="Title"/>
    <w:basedOn w:val="1"/>
    <w:next w:val="1"/>
    <w:qFormat/>
    <w:uiPriority w:val="0"/>
    <w:pPr>
      <w:ind w:left="100" w:leftChars="100" w:right="100" w:rightChars="100"/>
      <w:jc w:val="center"/>
      <w:outlineLvl w:val="0"/>
    </w:pPr>
    <w:rPr>
      <w:rFonts w:ascii="等线 Light" w:hAnsi="等线 Light" w:eastAsia="宋体" w:cs="Times New Roman"/>
      <w:b/>
      <w:bCs/>
      <w:sz w:val="28"/>
      <w:szCs w:val="32"/>
    </w:rPr>
  </w:style>
  <w:style w:type="paragraph" w:styleId="31">
    <w:name w:val="annotation subject"/>
    <w:basedOn w:val="15"/>
    <w:next w:val="15"/>
    <w:link w:val="85"/>
    <w:qFormat/>
    <w:uiPriority w:val="0"/>
    <w:rPr>
      <w:b/>
      <w:bCs/>
      <w:kern w:val="2"/>
      <w:sz w:val="21"/>
      <w:szCs w:val="24"/>
    </w:rPr>
  </w:style>
  <w:style w:type="paragraph" w:styleId="32">
    <w:name w:val="Body Text First Indent"/>
    <w:basedOn w:val="16"/>
    <w:qFormat/>
    <w:uiPriority w:val="99"/>
    <w:pPr>
      <w:ind w:firstLine="420" w:firstLineChars="100"/>
    </w:pPr>
  </w:style>
  <w:style w:type="paragraph" w:styleId="33">
    <w:name w:val="Body Text First Indent 2"/>
    <w:basedOn w:val="17"/>
    <w:next w:val="32"/>
    <w:qFormat/>
    <w:uiPriority w:val="99"/>
    <w:pPr>
      <w:ind w:firstLine="420" w:firstLineChars="200"/>
    </w:pPr>
    <w:rPr>
      <w:sz w:val="21"/>
    </w:rPr>
  </w:style>
  <w:style w:type="table" w:styleId="35">
    <w:name w:val="Table Grid"/>
    <w:basedOn w:val="3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tcBorders>
        <w:top w:val="single" w:color="auto" w:sz="4" w:space="0"/>
        <w:left w:val="single" w:color="auto" w:sz="4" w:space="0"/>
        <w:bottom w:val="single" w:color="auto" w:sz="4" w:space="0"/>
        <w:right w:val="single" w:color="auto" w:sz="4" w:space="0"/>
      </w:tcBorders>
    </w:tcPr>
  </w:style>
  <w:style w:type="character" w:styleId="37">
    <w:name w:val="Strong"/>
    <w:qFormat/>
    <w:uiPriority w:val="0"/>
    <w:rPr>
      <w:b/>
      <w:bCs/>
    </w:rPr>
  </w:style>
  <w:style w:type="character" w:styleId="38">
    <w:name w:val="page number"/>
    <w:basedOn w:val="36"/>
    <w:qFormat/>
    <w:uiPriority w:val="0"/>
  </w:style>
  <w:style w:type="character" w:styleId="39">
    <w:name w:val="FollowedHyperlink"/>
    <w:basedOn w:val="36"/>
    <w:qFormat/>
    <w:uiPriority w:val="0"/>
    <w:rPr>
      <w:color w:val="800080"/>
      <w:u w:val="single"/>
    </w:rPr>
  </w:style>
  <w:style w:type="character" w:styleId="40">
    <w:name w:val="Emphasis"/>
    <w:basedOn w:val="36"/>
    <w:qFormat/>
    <w:uiPriority w:val="0"/>
    <w:rPr>
      <w:i/>
    </w:rPr>
  </w:style>
  <w:style w:type="character" w:styleId="41">
    <w:name w:val="Hyperlink"/>
    <w:basedOn w:val="36"/>
    <w:qFormat/>
    <w:uiPriority w:val="0"/>
    <w:rPr>
      <w:color w:val="0000FF"/>
      <w:u w:val="single"/>
    </w:rPr>
  </w:style>
  <w:style w:type="character" w:styleId="42">
    <w:name w:val="annotation reference"/>
    <w:semiHidden/>
    <w:qFormat/>
    <w:uiPriority w:val="0"/>
    <w:rPr>
      <w:sz w:val="21"/>
    </w:rPr>
  </w:style>
  <w:style w:type="paragraph" w:customStyle="1" w:styleId="43">
    <w:name w:val="Default"/>
    <w:basedOn w:val="44"/>
    <w:next w:val="5"/>
    <w:qFormat/>
    <w:uiPriority w:val="0"/>
    <w:pPr>
      <w:autoSpaceDE w:val="0"/>
      <w:autoSpaceDN w:val="0"/>
      <w:jc w:val="left"/>
    </w:pPr>
    <w:rPr>
      <w:rFonts w:hint="eastAsia" w:hAnsi="Times New Roman" w:eastAsia="宋体" w:cs="Times New Roman"/>
      <w:color w:val="000000"/>
      <w:kern w:val="0"/>
      <w:sz w:val="24"/>
      <w:szCs w:val="20"/>
    </w:rPr>
  </w:style>
  <w:style w:type="paragraph" w:customStyle="1" w:styleId="44">
    <w:name w:val="纯文本1"/>
    <w:basedOn w:val="1"/>
    <w:qFormat/>
    <w:uiPriority w:val="0"/>
    <w:pPr>
      <w:adjustRightInd w:val="0"/>
      <w:textAlignment w:val="baseline"/>
    </w:pPr>
    <w:rPr>
      <w:rFonts w:ascii="宋体" w:hAnsi="Courier New"/>
    </w:rPr>
  </w:style>
  <w:style w:type="paragraph" w:customStyle="1" w:styleId="45">
    <w:name w:val="样式35"/>
    <w:basedOn w:val="46"/>
    <w:next w:val="47"/>
    <w:qFormat/>
    <w:uiPriority w:val="0"/>
    <w:pPr>
      <w:spacing w:line="312" w:lineRule="auto"/>
      <w:ind w:firstLine="567"/>
      <w:jc w:val="both"/>
    </w:pPr>
    <w:rPr>
      <w:rFonts w:ascii="宋体" w:hAnsi="Times New Roman" w:eastAsia="宋体" w:cs="Times New Roman"/>
      <w:kern w:val="2"/>
      <w:sz w:val="21"/>
      <w:szCs w:val="22"/>
    </w:rPr>
  </w:style>
  <w:style w:type="paragraph" w:customStyle="1" w:styleId="46">
    <w:name w:val="表 内容"/>
    <w:basedOn w:val="1"/>
    <w:qFormat/>
    <w:uiPriority w:val="0"/>
    <w:pPr>
      <w:adjustRightInd w:val="0"/>
      <w:snapToGrid w:val="0"/>
      <w:spacing w:beforeLines="15"/>
      <w:jc w:val="center"/>
    </w:pPr>
    <w:rPr>
      <w:kern w:val="0"/>
      <w:sz w:val="20"/>
      <w:szCs w:val="21"/>
    </w:rPr>
  </w:style>
  <w:style w:type="paragraph" w:customStyle="1" w:styleId="47">
    <w:name w:val="font6"/>
    <w:next w:val="27"/>
    <w:qFormat/>
    <w:uiPriority w:val="0"/>
    <w:pPr>
      <w:spacing w:before="280" w:after="280"/>
      <w:jc w:val="both"/>
    </w:pPr>
    <w:rPr>
      <w:rFonts w:ascii="Times New Roman" w:hAnsi="Times New Roman" w:eastAsia="宋体" w:cs="Times New Roman"/>
      <w:kern w:val="2"/>
      <w:sz w:val="21"/>
      <w:szCs w:val="22"/>
      <w:lang w:val="en-US" w:eastAsia="zh-CN" w:bidi="ar-SA"/>
    </w:rPr>
  </w:style>
  <w:style w:type="paragraph" w:customStyle="1" w:styleId="48">
    <w:name w:val="环评正文"/>
    <w:basedOn w:val="1"/>
    <w:link w:val="52"/>
    <w:qFormat/>
    <w:uiPriority w:val="0"/>
    <w:pPr>
      <w:widowControl/>
      <w:spacing w:line="360" w:lineRule="auto"/>
      <w:ind w:firstLine="1440" w:firstLineChars="200"/>
    </w:pPr>
    <w:rPr>
      <w:rFonts w:hint="eastAsia" w:ascii="Times New Roman" w:hAnsi="Times New Roman" w:eastAsia="宋体" w:cs="Times New Roman"/>
      <w:color w:val="000000"/>
      <w:kern w:val="44"/>
      <w:sz w:val="24"/>
      <w:szCs w:val="44"/>
    </w:rPr>
  </w:style>
  <w:style w:type="paragraph" w:customStyle="1" w:styleId="49">
    <w:name w:val="表标题"/>
    <w:next w:val="50"/>
    <w:link w:val="60"/>
    <w:qFormat/>
    <w:uiPriority w:val="0"/>
    <w:pPr>
      <w:jc w:val="center"/>
    </w:pPr>
    <w:rPr>
      <w:rFonts w:ascii="Times New Roman" w:hAnsi="Times New Roman" w:eastAsia="宋体" w:cs="Times New Roman"/>
      <w:b/>
      <w:color w:val="000000"/>
      <w:kern w:val="44"/>
      <w:szCs w:val="44"/>
      <w:lang w:val="en-US" w:eastAsia="zh-CN" w:bidi="ar-SA"/>
    </w:rPr>
  </w:style>
  <w:style w:type="paragraph" w:customStyle="1" w:styleId="50">
    <w:name w:val="正文内容"/>
    <w:qFormat/>
    <w:uiPriority w:val="0"/>
    <w:pPr>
      <w:widowControl w:val="0"/>
      <w:spacing w:line="360" w:lineRule="auto"/>
      <w:ind w:firstLine="200" w:firstLineChars="200"/>
    </w:pPr>
    <w:rPr>
      <w:rFonts w:ascii="Calibri" w:hAnsi="Calibri" w:eastAsia="宋体" w:cs="Times New Roman"/>
      <w:kern w:val="2"/>
      <w:sz w:val="24"/>
      <w:szCs w:val="24"/>
      <w:lang w:val="en-US" w:eastAsia="zh-CN" w:bidi="ar-SA"/>
    </w:rPr>
  </w:style>
  <w:style w:type="paragraph" w:customStyle="1" w:styleId="51">
    <w:name w:val="正文表"/>
    <w:basedOn w:val="1"/>
    <w:qFormat/>
    <w:uiPriority w:val="0"/>
    <w:pPr>
      <w:jc w:val="center"/>
    </w:pPr>
    <w:rPr>
      <w:rFonts w:ascii="Times New Roman" w:hAnsi="Times New Roman" w:eastAsia="宋体" w:cs="Times New Roman"/>
      <w:color w:val="000000"/>
      <w:kern w:val="44"/>
      <w:szCs w:val="44"/>
    </w:rPr>
  </w:style>
  <w:style w:type="character" w:customStyle="1" w:styleId="52">
    <w:name w:val="环评正文 Char"/>
    <w:link w:val="48"/>
    <w:qFormat/>
    <w:uiPriority w:val="0"/>
    <w:rPr>
      <w:rFonts w:hint="eastAsia" w:ascii="Times New Roman" w:hAnsi="Times New Roman" w:eastAsia="宋体" w:cs="宋体"/>
      <w:color w:val="000000"/>
      <w:kern w:val="44"/>
      <w:sz w:val="24"/>
      <w:szCs w:val="44"/>
      <w:lang w:bidi="ar"/>
    </w:rPr>
  </w:style>
  <w:style w:type="paragraph" w:customStyle="1" w:styleId="53">
    <w:name w:val="粗正文"/>
    <w:basedOn w:val="1"/>
    <w:next w:val="48"/>
    <w:link w:val="56"/>
    <w:qFormat/>
    <w:uiPriority w:val="0"/>
    <w:pPr>
      <w:widowControl/>
      <w:spacing w:line="360" w:lineRule="auto"/>
      <w:ind w:firstLine="1440" w:firstLineChars="200"/>
    </w:pPr>
    <w:rPr>
      <w:rFonts w:hint="eastAsia" w:ascii="Times New Roman" w:hAnsi="Times New Roman" w:eastAsia="宋体" w:cs="Times New Roman"/>
      <w:b/>
      <w:color w:val="000000"/>
      <w:kern w:val="44"/>
      <w:sz w:val="24"/>
      <w:szCs w:val="44"/>
    </w:rPr>
  </w:style>
  <w:style w:type="paragraph" w:customStyle="1" w:styleId="54">
    <w:name w:val="环评表格内容"/>
    <w:basedOn w:val="1"/>
    <w:link w:val="55"/>
    <w:qFormat/>
    <w:uiPriority w:val="0"/>
    <w:pPr>
      <w:jc w:val="center"/>
    </w:pPr>
    <w:rPr>
      <w:rFonts w:ascii="Times New Roman" w:hAnsi="Times New Roman" w:eastAsia="宋体" w:cs="Times New Roman"/>
      <w:color w:val="000000"/>
      <w:kern w:val="44"/>
      <w:sz w:val="24"/>
      <w:szCs w:val="44"/>
    </w:rPr>
  </w:style>
  <w:style w:type="character" w:customStyle="1" w:styleId="55">
    <w:name w:val="环评表格内容 字符"/>
    <w:basedOn w:val="36"/>
    <w:link w:val="54"/>
    <w:qFormat/>
    <w:uiPriority w:val="0"/>
    <w:rPr>
      <w:rFonts w:hint="default" w:ascii="Times New Roman" w:hAnsi="Times New Roman" w:eastAsia="宋体" w:cs="Times New Roman"/>
      <w:bCs/>
      <w:sz w:val="24"/>
    </w:rPr>
  </w:style>
  <w:style w:type="character" w:customStyle="1" w:styleId="56">
    <w:name w:val="粗正文 Char"/>
    <w:link w:val="53"/>
    <w:qFormat/>
    <w:uiPriority w:val="0"/>
    <w:rPr>
      <w:rFonts w:hint="eastAsia" w:ascii="Times New Roman" w:hAnsi="Times New Roman" w:eastAsia="宋体" w:cs="宋体"/>
      <w:b/>
      <w:color w:val="000000"/>
      <w:kern w:val="44"/>
      <w:sz w:val="24"/>
      <w:szCs w:val="44"/>
      <w:lang w:bidi="ar"/>
    </w:rPr>
  </w:style>
  <w:style w:type="paragraph" w:customStyle="1" w:styleId="57">
    <w:name w:val="环评标题1"/>
    <w:basedOn w:val="1"/>
    <w:next w:val="1"/>
    <w:qFormat/>
    <w:uiPriority w:val="0"/>
    <w:pPr>
      <w:jc w:val="center"/>
    </w:pPr>
    <w:rPr>
      <w:rFonts w:ascii="Times New Roman" w:hAnsi="Times New Roman" w:eastAsia="黑体"/>
      <w:b/>
      <w:sz w:val="30"/>
    </w:rPr>
  </w:style>
  <w:style w:type="character" w:customStyle="1" w:styleId="58">
    <w:name w:val="页眉 字符"/>
    <w:basedOn w:val="36"/>
    <w:link w:val="23"/>
    <w:qFormat/>
    <w:uiPriority w:val="0"/>
    <w:rPr>
      <w:rFonts w:asciiTheme="minorHAnsi" w:hAnsiTheme="minorHAnsi" w:eastAsiaTheme="minorEastAsia" w:cstheme="minorBidi"/>
      <w:kern w:val="2"/>
      <w:sz w:val="18"/>
      <w:szCs w:val="18"/>
    </w:rPr>
  </w:style>
  <w:style w:type="character" w:customStyle="1" w:styleId="59">
    <w:name w:val="页脚 字符"/>
    <w:basedOn w:val="36"/>
    <w:link w:val="22"/>
    <w:qFormat/>
    <w:uiPriority w:val="0"/>
    <w:rPr>
      <w:rFonts w:asciiTheme="minorHAnsi" w:hAnsiTheme="minorHAnsi" w:eastAsiaTheme="minorEastAsia" w:cstheme="minorBidi"/>
      <w:kern w:val="2"/>
      <w:sz w:val="18"/>
      <w:szCs w:val="18"/>
    </w:rPr>
  </w:style>
  <w:style w:type="character" w:customStyle="1" w:styleId="60">
    <w:name w:val="表标题 Char"/>
    <w:link w:val="49"/>
    <w:qFormat/>
    <w:uiPriority w:val="0"/>
    <w:rPr>
      <w:rFonts w:ascii="Times New Roman" w:hAnsi="Times New Roman" w:eastAsia="宋体" w:cs="Times New Roman"/>
      <w:b/>
      <w:color w:val="000000"/>
      <w:kern w:val="44"/>
      <w:szCs w:val="44"/>
    </w:rPr>
  </w:style>
  <w:style w:type="paragraph" w:customStyle="1" w:styleId="61">
    <w:name w:val="Table Paragraph"/>
    <w:basedOn w:val="1"/>
    <w:qFormat/>
    <w:uiPriority w:val="1"/>
    <w:pPr>
      <w:autoSpaceDE w:val="0"/>
      <w:autoSpaceDN w:val="0"/>
      <w:spacing w:before="69"/>
      <w:ind w:left="35"/>
      <w:jc w:val="left"/>
    </w:pPr>
    <w:rPr>
      <w:rFonts w:ascii="Arial Unicode MS" w:hAnsi="Arial Unicode MS" w:eastAsia="Arial Unicode MS" w:cs="Arial Unicode MS"/>
      <w:kern w:val="0"/>
      <w:sz w:val="22"/>
      <w:lang w:eastAsia="en-US"/>
    </w:rPr>
  </w:style>
  <w:style w:type="paragraph" w:customStyle="1" w:styleId="62">
    <w:name w:val="Other|1"/>
    <w:basedOn w:val="1"/>
    <w:qFormat/>
    <w:uiPriority w:val="0"/>
    <w:pPr>
      <w:spacing w:after="520" w:line="425" w:lineRule="auto"/>
      <w:ind w:firstLine="400"/>
    </w:pPr>
    <w:rPr>
      <w:rFonts w:ascii="宋体" w:hAnsi="宋体" w:eastAsia="宋体" w:cs="宋体"/>
      <w:sz w:val="28"/>
      <w:szCs w:val="28"/>
      <w:lang w:val="zh-TW" w:eastAsia="zh-TW" w:bidi="zh-TW"/>
    </w:rPr>
  </w:style>
  <w:style w:type="paragraph" w:customStyle="1" w:styleId="63">
    <w:name w:val="图标标题"/>
    <w:basedOn w:val="1"/>
    <w:qFormat/>
    <w:uiPriority w:val="0"/>
    <w:pPr>
      <w:ind w:firstLine="200" w:firstLineChars="200"/>
      <w:jc w:val="center"/>
    </w:pPr>
    <w:rPr>
      <w:rFonts w:cs="黑体"/>
      <w:b/>
    </w:rPr>
  </w:style>
  <w:style w:type="paragraph" w:customStyle="1" w:styleId="64">
    <w:name w:val="Lux 正文"/>
    <w:basedOn w:val="1"/>
    <w:qFormat/>
    <w:uiPriority w:val="0"/>
    <w:pPr>
      <w:spacing w:before="80" w:after="80" w:line="360" w:lineRule="auto"/>
      <w:ind w:firstLine="200" w:firstLineChars="200"/>
    </w:pPr>
    <w:rPr>
      <w:rFonts w:ascii="Times New Roman" w:hAnsi="Times New Roman"/>
      <w:kern w:val="0"/>
      <w:sz w:val="24"/>
      <w:szCs w:val="20"/>
    </w:rPr>
  </w:style>
  <w:style w:type="paragraph" w:customStyle="1" w:styleId="65">
    <w:name w:val="报告表  段"/>
    <w:basedOn w:val="1"/>
    <w:qFormat/>
    <w:uiPriority w:val="0"/>
    <w:pPr>
      <w:adjustRightInd w:val="0"/>
      <w:spacing w:line="360" w:lineRule="auto"/>
      <w:ind w:firstLine="505" w:firstLineChars="200"/>
      <w:textAlignment w:val="baseline"/>
    </w:pPr>
    <w:rPr>
      <w:rFonts w:ascii="宋体"/>
    </w:rPr>
  </w:style>
  <w:style w:type="paragraph" w:customStyle="1" w:styleId="66">
    <w:name w:val="ENFI正文"/>
    <w:basedOn w:val="1"/>
    <w:qFormat/>
    <w:uiPriority w:val="0"/>
    <w:pPr>
      <w:spacing w:line="500" w:lineRule="exact"/>
      <w:ind w:firstLine="482"/>
    </w:pPr>
    <w:rPr>
      <w:color w:val="000000"/>
      <w:kern w:val="0"/>
      <w:sz w:val="28"/>
    </w:rPr>
  </w:style>
  <w:style w:type="paragraph" w:styleId="67">
    <w:name w:val="No Spacing"/>
    <w:qFormat/>
    <w:uiPriority w:val="99"/>
    <w:pPr>
      <w:widowControl w:val="0"/>
      <w:spacing w:line="312" w:lineRule="auto"/>
      <w:jc w:val="center"/>
    </w:pPr>
    <w:rPr>
      <w:rFonts w:ascii="Times New Roman" w:hAnsi="Times New Roman" w:eastAsia="宋体" w:cs="Times New Roman"/>
      <w:color w:val="000000"/>
      <w:kern w:val="2"/>
      <w:sz w:val="21"/>
      <w:szCs w:val="24"/>
      <w:lang w:val="en-US" w:eastAsia="zh-CN" w:bidi="ar-SA"/>
    </w:rPr>
  </w:style>
  <w:style w:type="paragraph" w:customStyle="1" w:styleId="68">
    <w:name w:val="正文-k"/>
    <w:basedOn w:val="1"/>
    <w:qFormat/>
    <w:uiPriority w:val="0"/>
    <w:pPr>
      <w:spacing w:line="360" w:lineRule="auto"/>
      <w:ind w:firstLine="1040" w:firstLineChars="200"/>
    </w:pPr>
    <w:rPr>
      <w:kern w:val="0"/>
      <w:sz w:val="24"/>
      <w:szCs w:val="20"/>
    </w:rPr>
  </w:style>
  <w:style w:type="paragraph" w:customStyle="1" w:styleId="69">
    <w:name w:val="表格内容"/>
    <w:qFormat/>
    <w:uiPriority w:val="0"/>
    <w:pPr>
      <w:spacing w:line="340" w:lineRule="exact"/>
      <w:jc w:val="center"/>
    </w:pPr>
    <w:rPr>
      <w:rFonts w:ascii="Times New Roman" w:hAnsi="Times New Roman" w:eastAsia="宋体" w:cs="Times New Roman"/>
      <w:sz w:val="21"/>
      <w:lang w:val="en-US" w:eastAsia="zh-CN" w:bidi="ar-SA"/>
    </w:rPr>
  </w:style>
  <w:style w:type="paragraph" w:customStyle="1" w:styleId="70">
    <w:name w:val="表格内文字"/>
    <w:basedOn w:val="1"/>
    <w:qFormat/>
    <w:uiPriority w:val="0"/>
    <w:pPr>
      <w:tabs>
        <w:tab w:val="left" w:pos="0"/>
      </w:tabs>
      <w:adjustRightInd w:val="0"/>
      <w:snapToGrid w:val="0"/>
      <w:ind w:left="-113" w:right="-113"/>
      <w:jc w:val="center"/>
    </w:pPr>
    <w:rPr>
      <w:rFonts w:ascii="Times New Roman" w:hAnsi="Times New Roman" w:eastAsia="宋体" w:cs="Times New Roman"/>
      <w:kern w:val="21"/>
      <w:szCs w:val="20"/>
    </w:rPr>
  </w:style>
  <w:style w:type="paragraph" w:customStyle="1" w:styleId="71">
    <w:name w:val="样式 样式 (中文) 仿宋_GB2312 居中1 + 小四"/>
    <w:basedOn w:val="1"/>
    <w:qFormat/>
    <w:uiPriority w:val="0"/>
    <w:pPr>
      <w:jc w:val="center"/>
    </w:pPr>
    <w:rPr>
      <w:rFonts w:hAnsi="宋体" w:cs="宋体"/>
      <w:color w:val="000000"/>
      <w:szCs w:val="21"/>
    </w:rPr>
  </w:style>
  <w:style w:type="character" w:customStyle="1" w:styleId="72">
    <w:name w:val="font31"/>
    <w:basedOn w:val="36"/>
    <w:qFormat/>
    <w:uiPriority w:val="0"/>
    <w:rPr>
      <w:rFonts w:hint="eastAsia" w:ascii="宋体" w:hAnsi="宋体" w:eastAsia="宋体" w:cs="宋体"/>
      <w:color w:val="FF0000"/>
      <w:sz w:val="21"/>
      <w:szCs w:val="21"/>
      <w:u w:val="none"/>
    </w:rPr>
  </w:style>
  <w:style w:type="character" w:customStyle="1" w:styleId="73">
    <w:name w:val="font51"/>
    <w:basedOn w:val="36"/>
    <w:qFormat/>
    <w:uiPriority w:val="0"/>
    <w:rPr>
      <w:rFonts w:hint="default" w:ascii="Times New Roman" w:hAnsi="Times New Roman" w:cs="Times New Roman"/>
      <w:color w:val="FF0000"/>
      <w:sz w:val="21"/>
      <w:szCs w:val="21"/>
      <w:u w:val="none"/>
    </w:rPr>
  </w:style>
  <w:style w:type="paragraph" w:customStyle="1" w:styleId="74">
    <w:name w:val="表头"/>
    <w:basedOn w:val="1"/>
    <w:qFormat/>
    <w:uiPriority w:val="0"/>
    <w:pPr>
      <w:adjustRightInd w:val="0"/>
      <w:snapToGrid w:val="0"/>
      <w:spacing w:before="50" w:beforeLines="50"/>
      <w:jc w:val="center"/>
    </w:pPr>
    <w:rPr>
      <w:rFonts w:ascii="Times New Roman" w:hAnsi="Times New Roman" w:eastAsia="宋体" w:cs="Times New Roman"/>
      <w:b/>
      <w:sz w:val="24"/>
      <w:szCs w:val="22"/>
    </w:rPr>
  </w:style>
  <w:style w:type="character" w:customStyle="1" w:styleId="75">
    <w:name w:val="15"/>
    <w:qFormat/>
    <w:uiPriority w:val="0"/>
    <w:rPr>
      <w:rFonts w:hint="default" w:ascii="Times New Roman" w:hAnsi="Times New Roman" w:cs="Times New Roman"/>
      <w:color w:val="0000FF"/>
      <w:u w:val="single"/>
    </w:rPr>
  </w:style>
  <w:style w:type="paragraph" w:customStyle="1" w:styleId="76">
    <w:name w:val="小四 间距1.5 缩进2"/>
    <w:qFormat/>
    <w:uiPriority w:val="0"/>
    <w:pPr>
      <w:widowControl w:val="0"/>
      <w:spacing w:line="360" w:lineRule="auto"/>
      <w:ind w:firstLine="415" w:firstLineChars="173"/>
      <w:jc w:val="both"/>
    </w:pPr>
    <w:rPr>
      <w:rFonts w:ascii="Calibri" w:hAnsi="Calibri" w:eastAsia="宋体" w:cs="Times New Roman"/>
      <w:kern w:val="2"/>
      <w:sz w:val="24"/>
      <w:szCs w:val="24"/>
      <w:lang w:val="en-US" w:eastAsia="zh-CN" w:bidi="ar-SA"/>
    </w:rPr>
  </w:style>
  <w:style w:type="paragraph" w:customStyle="1" w:styleId="77">
    <w:name w:val="1表格字体"/>
    <w:basedOn w:val="1"/>
    <w:qFormat/>
    <w:uiPriority w:val="0"/>
    <w:pPr>
      <w:adjustRightInd w:val="0"/>
      <w:spacing w:line="264" w:lineRule="auto"/>
      <w:jc w:val="center"/>
    </w:pPr>
  </w:style>
  <w:style w:type="paragraph" w:customStyle="1" w:styleId="78">
    <w:name w:val="表格内容居中"/>
    <w:qFormat/>
    <w:uiPriority w:val="0"/>
    <w:pPr>
      <w:adjustRightInd w:val="0"/>
      <w:snapToGrid w:val="0"/>
      <w:jc w:val="center"/>
    </w:pPr>
    <w:rPr>
      <w:rFonts w:ascii="Calibri" w:hAnsi="Calibri" w:eastAsia="宋体" w:cs="Times New Roman"/>
      <w:snapToGrid w:val="0"/>
      <w:sz w:val="21"/>
      <w:szCs w:val="21"/>
      <w:lang w:val="en-US" w:eastAsia="zh-CN" w:bidi="ar-SA"/>
    </w:rPr>
  </w:style>
  <w:style w:type="paragraph" w:customStyle="1" w:styleId="79">
    <w:name w:val="缩进"/>
    <w:basedOn w:val="1"/>
    <w:qFormat/>
    <w:uiPriority w:val="0"/>
    <w:pPr>
      <w:autoSpaceDE w:val="0"/>
      <w:autoSpaceDN w:val="0"/>
      <w:adjustRightInd w:val="0"/>
      <w:spacing w:line="400" w:lineRule="atLeast"/>
      <w:ind w:firstLine="480" w:firstLineChars="200"/>
      <w:textAlignment w:val="baseline"/>
    </w:pPr>
    <w:rPr>
      <w:sz w:val="24"/>
      <w:szCs w:val="20"/>
    </w:rPr>
  </w:style>
  <w:style w:type="paragraph" w:customStyle="1" w:styleId="80">
    <w:name w:val="Huo 注释"/>
    <w:basedOn w:val="1"/>
    <w:next w:val="1"/>
    <w:qFormat/>
    <w:uiPriority w:val="0"/>
    <w:pPr>
      <w:widowControl/>
      <w:spacing w:line="360" w:lineRule="auto"/>
      <w:ind w:firstLine="200" w:firstLineChars="200"/>
    </w:pPr>
    <w:rPr>
      <w:rFonts w:eastAsia="楷体_GB2312" w:cs="仿宋_GB2312"/>
      <w:kern w:val="0"/>
    </w:rPr>
  </w:style>
  <w:style w:type="paragraph" w:customStyle="1" w:styleId="81">
    <w:name w:val="列出段落2"/>
    <w:qFormat/>
    <w:uiPriority w:val="34"/>
    <w:pPr>
      <w:widowControl w:val="0"/>
      <w:ind w:firstLine="420" w:firstLineChars="200"/>
      <w:jc w:val="both"/>
    </w:pPr>
    <w:rPr>
      <w:rFonts w:ascii="Calibri" w:hAnsi="Calibri" w:eastAsia="宋体" w:cs="Times New Roman"/>
      <w:kern w:val="2"/>
      <w:sz w:val="21"/>
      <w:szCs w:val="21"/>
      <w:lang w:val="en-US" w:eastAsia="zh-CN" w:bidi="ar-SA"/>
    </w:rPr>
  </w:style>
  <w:style w:type="paragraph" w:customStyle="1" w:styleId="82">
    <w:name w:val="正文文本缩进1"/>
    <w:basedOn w:val="1"/>
    <w:qFormat/>
    <w:uiPriority w:val="0"/>
    <w:pPr>
      <w:spacing w:line="300" w:lineRule="auto"/>
      <w:ind w:firstLine="454"/>
    </w:pPr>
  </w:style>
  <w:style w:type="paragraph" w:customStyle="1" w:styleId="83">
    <w:name w:val="表格"/>
    <w:basedOn w:val="8"/>
    <w:next w:val="1"/>
    <w:qFormat/>
    <w:uiPriority w:val="0"/>
    <w:pPr>
      <w:adjustRightInd w:val="0"/>
      <w:snapToGrid w:val="0"/>
      <w:spacing w:beforeLines="10" w:afterLines="10" w:line="259" w:lineRule="auto"/>
      <w:jc w:val="center"/>
    </w:pPr>
    <w:rPr>
      <w:rFonts w:ascii="宋体"/>
      <w:kern w:val="0"/>
      <w:szCs w:val="20"/>
    </w:rPr>
  </w:style>
  <w:style w:type="character" w:customStyle="1" w:styleId="84">
    <w:name w:val="批注文字 字符"/>
    <w:basedOn w:val="36"/>
    <w:link w:val="15"/>
    <w:semiHidden/>
    <w:qFormat/>
    <w:uiPriority w:val="0"/>
    <w:rPr>
      <w:rFonts w:asciiTheme="minorHAnsi" w:hAnsiTheme="minorHAnsi" w:eastAsiaTheme="minorEastAsia" w:cstheme="minorBidi"/>
      <w:sz w:val="24"/>
    </w:rPr>
  </w:style>
  <w:style w:type="character" w:customStyle="1" w:styleId="85">
    <w:name w:val="批注主题 字符"/>
    <w:basedOn w:val="84"/>
    <w:link w:val="31"/>
    <w:qFormat/>
    <w:uiPriority w:val="0"/>
    <w:rPr>
      <w:rFonts w:asciiTheme="minorHAnsi" w:hAnsiTheme="minorHAnsi" w:eastAsiaTheme="minorEastAsia" w:cstheme="minorBidi"/>
      <w:b/>
      <w:bCs/>
      <w:kern w:val="2"/>
      <w:sz w:val="21"/>
      <w:szCs w:val="24"/>
    </w:rPr>
  </w:style>
  <w:style w:type="character" w:customStyle="1" w:styleId="86">
    <w:name w:val="批注框文本 字符"/>
    <w:basedOn w:val="36"/>
    <w:link w:val="21"/>
    <w:qFormat/>
    <w:uiPriority w:val="0"/>
    <w:rPr>
      <w:rFonts w:asciiTheme="minorHAnsi" w:hAnsiTheme="minorHAnsi" w:eastAsiaTheme="minorEastAsia" w:cstheme="minorBidi"/>
      <w:kern w:val="2"/>
      <w:sz w:val="18"/>
      <w:szCs w:val="18"/>
    </w:rPr>
  </w:style>
  <w:style w:type="paragraph" w:customStyle="1" w:styleId="87">
    <w:name w:val="表格标题"/>
    <w:basedOn w:val="1"/>
    <w:qFormat/>
    <w:uiPriority w:val="0"/>
    <w:rPr>
      <w:rFonts w:eastAsia="仿宋_GB2312"/>
      <w:b/>
      <w:sz w:val="24"/>
    </w:rPr>
  </w:style>
  <w:style w:type="character" w:customStyle="1" w:styleId="88">
    <w:name w:val="font91"/>
    <w:basedOn w:val="36"/>
    <w:qFormat/>
    <w:uiPriority w:val="0"/>
    <w:rPr>
      <w:rFonts w:hint="default" w:ascii="Times New Roman" w:hAnsi="Times New Roman" w:cs="Times New Roman"/>
      <w:color w:val="FF0000"/>
      <w:sz w:val="20"/>
      <w:szCs w:val="20"/>
      <w:u w:val="none"/>
    </w:rPr>
  </w:style>
  <w:style w:type="character" w:customStyle="1" w:styleId="89">
    <w:name w:val="font12"/>
    <w:basedOn w:val="36"/>
    <w:qFormat/>
    <w:uiPriority w:val="0"/>
    <w:rPr>
      <w:rFonts w:hint="eastAsia" w:ascii="宋体" w:hAnsi="宋体" w:eastAsia="宋体" w:cs="宋体"/>
      <w:color w:val="FF0000"/>
      <w:sz w:val="20"/>
      <w:szCs w:val="20"/>
      <w:u w:val="none"/>
    </w:rPr>
  </w:style>
  <w:style w:type="character" w:customStyle="1" w:styleId="90">
    <w:name w:val="font61"/>
    <w:basedOn w:val="36"/>
    <w:qFormat/>
    <w:uiPriority w:val="0"/>
    <w:rPr>
      <w:rFonts w:hint="default" w:ascii="Times New Roman" w:hAnsi="Times New Roman" w:cs="Times New Roman"/>
      <w:color w:val="000000"/>
      <w:sz w:val="20"/>
      <w:szCs w:val="20"/>
      <w:u w:val="none"/>
    </w:rPr>
  </w:style>
  <w:style w:type="character" w:customStyle="1" w:styleId="91">
    <w:name w:val="标题 2 Char"/>
    <w:link w:val="3"/>
    <w:qFormat/>
    <w:uiPriority w:val="0"/>
    <w:rPr>
      <w:rFonts w:ascii="Arial" w:hAnsi="Arial" w:eastAsia="黑体"/>
      <w:b/>
      <w:sz w:val="32"/>
    </w:rPr>
  </w:style>
  <w:style w:type="paragraph" w:customStyle="1" w:styleId="92">
    <w:name w:val="无间隔1"/>
    <w:qFormat/>
    <w:uiPriority w:val="0"/>
    <w:pPr>
      <w:widowControl w:val="0"/>
      <w:jc w:val="center"/>
    </w:pPr>
    <w:rPr>
      <w:rFonts w:ascii="Times New Roman" w:hAnsi="Times New Roman" w:eastAsia="宋体" w:cs="Times New Roman"/>
      <w:b/>
      <w:kern w:val="2"/>
      <w:sz w:val="21"/>
      <w:szCs w:val="24"/>
      <w:lang w:val="en-US" w:eastAsia="zh-CN" w:bidi="ar-SA"/>
    </w:rPr>
  </w:style>
  <w:style w:type="character" w:customStyle="1" w:styleId="93">
    <w:name w:val="font11"/>
    <w:basedOn w:val="36"/>
    <w:qFormat/>
    <w:uiPriority w:val="0"/>
    <w:rPr>
      <w:rFonts w:hint="default" w:ascii="Times New Roman" w:hAnsi="Times New Roman" w:cs="Times New Roman"/>
      <w:color w:val="0000FF"/>
      <w:sz w:val="21"/>
      <w:szCs w:val="21"/>
      <w:u w:val="none"/>
    </w:rPr>
  </w:style>
  <w:style w:type="paragraph" w:styleId="94">
    <w:name w:val="List Paragraph"/>
    <w:basedOn w:val="1"/>
    <w:qFormat/>
    <w:uiPriority w:val="1"/>
    <w:pPr>
      <w:ind w:left="1199" w:firstLine="480"/>
    </w:pPr>
    <w:rPr>
      <w:rFonts w:ascii="宋体" w:hAnsi="宋体" w:eastAsia="宋体" w:cs="宋体"/>
      <w:lang w:val="zh-CN" w:eastAsia="zh-CN" w:bidi="zh-CN"/>
    </w:rPr>
  </w:style>
  <w:style w:type="paragraph" w:customStyle="1" w:styleId="95">
    <w:name w:val="样式1"/>
    <w:next w:val="26"/>
    <w:qFormat/>
    <w:uiPriority w:val="0"/>
    <w:pPr>
      <w:widowControl w:val="0"/>
      <w:autoSpaceDE w:val="0"/>
      <w:autoSpaceDN w:val="0"/>
      <w:adjustRightInd w:val="0"/>
      <w:spacing w:after="200" w:line="276" w:lineRule="auto"/>
      <w:jc w:val="both"/>
    </w:pPr>
    <w:rPr>
      <w:rFonts w:ascii="Calibri" w:hAnsi="Roman" w:eastAsia="宋体" w:cs="Times New Roman"/>
      <w:color w:val="000000"/>
      <w:spacing w:val="-1"/>
      <w:kern w:val="30"/>
      <w:position w:val="-1"/>
      <w:sz w:val="30"/>
      <w:lang w:val="en-US" w:eastAsia="zh-CN" w:bidi="ar-SA"/>
    </w:rPr>
  </w:style>
  <w:style w:type="paragraph" w:customStyle="1" w:styleId="96">
    <w:name w:val="环评表格title序号格式"/>
    <w:basedOn w:val="1"/>
    <w:qFormat/>
    <w:uiPriority w:val="0"/>
    <w:pPr>
      <w:keepNext/>
      <w:keepLines/>
      <w:numPr>
        <w:ilvl w:val="1"/>
        <w:numId w:val="2"/>
      </w:numPr>
      <w:tabs>
        <w:tab w:val="center" w:pos="0"/>
      </w:tabs>
      <w:adjustRightInd/>
      <w:spacing w:beforeLines="0" w:afterLines="0" w:line="360" w:lineRule="auto"/>
      <w:ind w:left="0" w:firstLine="0"/>
      <w:jc w:val="center"/>
      <w:outlineLvl w:val="2"/>
    </w:pPr>
    <w:rPr>
      <w:rFonts w:ascii="Times New Roman" w:hAnsi="Times New Roman" w:eastAsia="宋体"/>
      <w:b/>
      <w:szCs w:val="21"/>
    </w:rPr>
  </w:style>
  <w:style w:type="paragraph" w:customStyle="1" w:styleId="97">
    <w:name w:val="正文-1"/>
    <w:basedOn w:val="1"/>
    <w:qFormat/>
    <w:uiPriority w:val="0"/>
    <w:pPr>
      <w:adjustRightInd w:val="0"/>
      <w:snapToGrid w:val="0"/>
      <w:spacing w:line="360" w:lineRule="auto"/>
      <w:ind w:firstLine="720" w:firstLineChars="200"/>
    </w:pPr>
    <w:rPr>
      <w:rFonts w:hint="eastAsia"/>
      <w:bCs/>
      <w:sz w:val="24"/>
    </w:rPr>
  </w:style>
  <w:style w:type="paragraph" w:customStyle="1" w:styleId="98">
    <w:name w:val="kai 正文 小四缩进2"/>
    <w:basedOn w:val="1"/>
    <w:qFormat/>
    <w:uiPriority w:val="0"/>
    <w:pPr>
      <w:spacing w:line="360" w:lineRule="auto"/>
      <w:ind w:firstLine="200" w:firstLineChars="200"/>
    </w:pPr>
    <w:rPr>
      <w:rFonts w:cs="仿宋_GB2312"/>
      <w:sz w:val="24"/>
    </w:rPr>
  </w:style>
  <w:style w:type="paragraph" w:customStyle="1" w:styleId="99">
    <w:name w:val="正 文"/>
    <w:qFormat/>
    <w:uiPriority w:val="0"/>
    <w:pPr>
      <w:widowControl w:val="0"/>
      <w:spacing w:line="480" w:lineRule="exact"/>
      <w:ind w:firstLine="471"/>
      <w:jc w:val="both"/>
    </w:pPr>
    <w:rPr>
      <w:rFonts w:ascii="Calibri" w:hAnsi="Calibri" w:eastAsia="Times New Roman" w:cs="Times New Roman"/>
      <w:sz w:val="24"/>
      <w:szCs w:val="22"/>
      <w:lang w:val="en-US" w:eastAsia="en-US" w:bidi="en-US"/>
    </w:rPr>
  </w:style>
  <w:style w:type="table" w:customStyle="1" w:styleId="100">
    <w:name w:val="网格型4"/>
    <w:basedOn w:val="34"/>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1">
    <w:name w:val="font21"/>
    <w:basedOn w:val="36"/>
    <w:qFormat/>
    <w:uiPriority w:val="0"/>
    <w:rPr>
      <w:rFonts w:hint="default" w:ascii="Times New Roman" w:hAnsi="Times New Roman" w:cs="Times New Roman"/>
      <w:color w:val="FF0000"/>
      <w:sz w:val="21"/>
      <w:szCs w:val="21"/>
      <w:u w:val="none"/>
    </w:rPr>
  </w:style>
  <w:style w:type="paragraph" w:customStyle="1" w:styleId="102">
    <w:name w:val="Default1"/>
    <w:basedOn w:val="103"/>
    <w:next w:val="104"/>
    <w:qFormat/>
    <w:uiPriority w:val="0"/>
    <w:pPr>
      <w:widowControl w:val="0"/>
      <w:autoSpaceDE w:val="0"/>
      <w:autoSpaceDN w:val="0"/>
      <w:adjustRightInd w:val="0"/>
    </w:pPr>
    <w:rPr>
      <w:rFonts w:ascii="宋体" w:cs="宋体"/>
      <w:color w:val="000000"/>
      <w:sz w:val="24"/>
      <w:szCs w:val="24"/>
      <w:lang w:val="en-US" w:eastAsia="zh-CN" w:bidi="ar-SA"/>
    </w:rPr>
  </w:style>
  <w:style w:type="paragraph" w:customStyle="1" w:styleId="103">
    <w:name w:val="表格文字01"/>
    <w:basedOn w:val="1"/>
    <w:qFormat/>
    <w:uiPriority w:val="0"/>
    <w:pPr>
      <w:wordWrap w:val="0"/>
      <w:overflowPunct w:val="0"/>
      <w:topLinePunct/>
      <w:jc w:val="center"/>
    </w:pPr>
    <w:rPr>
      <w:rFonts w:ascii="Arial" w:hAnsi="Arial"/>
      <w:snapToGrid w:val="0"/>
      <w:color w:val="000000"/>
      <w:szCs w:val="20"/>
    </w:rPr>
  </w:style>
  <w:style w:type="paragraph" w:customStyle="1" w:styleId="104">
    <w:name w:val="正文样式1"/>
    <w:basedOn w:val="1"/>
    <w:next w:val="1"/>
    <w:qFormat/>
    <w:uiPriority w:val="0"/>
    <w:pPr>
      <w:adjustRightInd w:val="0"/>
      <w:spacing w:line="360" w:lineRule="auto"/>
      <w:ind w:firstLine="360" w:firstLineChars="150"/>
      <w:textAlignment w:val="baseline"/>
    </w:pPr>
    <w:rPr>
      <w:rFonts w:ascii="宋体" w:hAnsi="宋体"/>
      <w:color w:val="FF0000"/>
      <w:kern w:val="0"/>
      <w:sz w:val="24"/>
      <w:szCs w:val="20"/>
    </w:rPr>
  </w:style>
  <w:style w:type="paragraph" w:customStyle="1" w:styleId="105">
    <w:name w:val="表格文字"/>
    <w:basedOn w:val="20"/>
    <w:next w:val="1"/>
    <w:qFormat/>
    <w:uiPriority w:val="0"/>
    <w:pPr>
      <w:adjustRightInd w:val="0"/>
      <w:snapToGrid w:val="0"/>
      <w:ind w:firstLine="0"/>
      <w:jc w:val="center"/>
    </w:pPr>
    <w:rPr>
      <w:rFonts w:hint="eastAsia" w:ascii="宋体"/>
      <w:sz w:val="24"/>
    </w:rPr>
  </w:style>
  <w:style w:type="paragraph" w:customStyle="1" w:styleId="106">
    <w:name w:val="Table Text"/>
    <w:basedOn w:val="1"/>
    <w:semiHidden/>
    <w:qFormat/>
    <w:uiPriority w:val="0"/>
    <w:rPr>
      <w:rFonts w:ascii="宋体" w:hAnsi="宋体" w:eastAsia="宋体" w:cs="宋体"/>
      <w:sz w:val="20"/>
      <w:szCs w:val="20"/>
      <w:lang w:val="en-US" w:eastAsia="en-US" w:bidi="ar-SA"/>
    </w:rPr>
  </w:style>
  <w:style w:type="character" w:customStyle="1" w:styleId="107">
    <w:name w:val="font41"/>
    <w:basedOn w:val="36"/>
    <w:qFormat/>
    <w:uiPriority w:val="0"/>
    <w:rPr>
      <w:rFonts w:hint="default" w:ascii="Times New Roman" w:hAnsi="Times New Roman" w:cs="Times New Roman"/>
      <w:b/>
      <w:bCs/>
      <w:color w:val="000000"/>
      <w:sz w:val="21"/>
      <w:szCs w:val="21"/>
      <w:u w:val="none"/>
    </w:rPr>
  </w:style>
  <w:style w:type="character" w:customStyle="1" w:styleId="108">
    <w:name w:val="font71"/>
    <w:basedOn w:val="36"/>
    <w:qFormat/>
    <w:uiPriority w:val="0"/>
    <w:rPr>
      <w:rFonts w:hint="default" w:ascii="Times New Roman" w:hAnsi="Times New Roman" w:cs="Times New Roman"/>
      <w:color w:val="000000"/>
      <w:sz w:val="21"/>
      <w:szCs w:val="21"/>
      <w:u w:val="none"/>
    </w:rPr>
  </w:style>
  <w:style w:type="paragraph" w:customStyle="1" w:styleId="109">
    <w:name w:val="A正文"/>
    <w:basedOn w:val="1"/>
    <w:next w:val="16"/>
    <w:qFormat/>
    <w:uiPriority w:val="0"/>
    <w:pPr>
      <w:spacing w:line="360" w:lineRule="auto"/>
      <w:ind w:firstLine="200" w:firstLineChars="200"/>
    </w:pPr>
    <w:rPr>
      <w:sz w:val="24"/>
      <w:lang w:val="zh-CN"/>
    </w:rPr>
  </w:style>
  <w:style w:type="paragraph" w:customStyle="1" w:styleId="110">
    <w:name w:val="表正文L"/>
    <w:next w:val="109"/>
    <w:qFormat/>
    <w:uiPriority w:val="0"/>
    <w:rPr>
      <w:rFonts w:ascii="Times New Roman" w:hAnsi="Times New Roman" w:eastAsia="宋体" w:cs="Times New Roman"/>
      <w:kern w:val="2"/>
      <w:sz w:val="21"/>
      <w:szCs w:val="21"/>
      <w:lang w:val="en-US" w:eastAsia="zh-CN" w:bidi="ar-SA"/>
    </w:rPr>
  </w:style>
  <w:style w:type="paragraph" w:customStyle="1" w:styleId="111">
    <w:name w:val="正文文字 6"/>
    <w:next w:val="1"/>
    <w:qFormat/>
    <w:uiPriority w:val="0"/>
    <w:pPr>
      <w:widowControl w:val="0"/>
      <w:ind w:left="240"/>
      <w:jc w:val="both"/>
    </w:pPr>
    <w:rPr>
      <w:rFonts w:ascii="Yu Mincho Light" w:hAnsi="Times New Roman" w:eastAsia="宋体" w:cs="Times New Roman"/>
      <w:b/>
      <w:bCs/>
      <w:kern w:val="2"/>
      <w:sz w:val="32"/>
      <w:szCs w:val="3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6" Type="http://schemas.openxmlformats.org/officeDocument/2006/relationships/fontTable" Target="fontTable.xml"/><Relationship Id="rId35" Type="http://schemas.openxmlformats.org/officeDocument/2006/relationships/numbering" Target="numbering.xml"/><Relationship Id="rId34" Type="http://schemas.openxmlformats.org/officeDocument/2006/relationships/customXml" Target="../customXml/item1.xml"/><Relationship Id="rId33" Type="http://schemas.openxmlformats.org/officeDocument/2006/relationships/image" Target="media/image23.wmf"/><Relationship Id="rId32" Type="http://schemas.openxmlformats.org/officeDocument/2006/relationships/oleObject" Target="embeddings/oleObject2.bin"/><Relationship Id="rId31" Type="http://schemas.openxmlformats.org/officeDocument/2006/relationships/image" Target="media/image22.png"/><Relationship Id="rId30" Type="http://schemas.openxmlformats.org/officeDocument/2006/relationships/image" Target="media/image21.png"/><Relationship Id="rId3" Type="http://schemas.openxmlformats.org/officeDocument/2006/relationships/footnotes" Target="footnotes.xml"/><Relationship Id="rId29" Type="http://schemas.openxmlformats.org/officeDocument/2006/relationships/image" Target="media/image20.wmf"/><Relationship Id="rId28" Type="http://schemas.openxmlformats.org/officeDocument/2006/relationships/oleObject" Target="embeddings/oleObject1.bin"/><Relationship Id="rId27" Type="http://schemas.openxmlformats.org/officeDocument/2006/relationships/image" Target="media/image19.png"/><Relationship Id="rId26" Type="http://schemas.openxmlformats.org/officeDocument/2006/relationships/image" Target="media/image18.png"/><Relationship Id="rId25" Type="http://schemas.openxmlformats.org/officeDocument/2006/relationships/image" Target="media/image17.png"/><Relationship Id="rId24" Type="http://schemas.openxmlformats.org/officeDocument/2006/relationships/image" Target="media/image16.wmf"/><Relationship Id="rId23" Type="http://schemas.openxmlformats.org/officeDocument/2006/relationships/image" Target="media/image15.png"/><Relationship Id="rId22" Type="http://schemas.openxmlformats.org/officeDocument/2006/relationships/image" Target="media/image14.png"/><Relationship Id="rId21" Type="http://schemas.openxmlformats.org/officeDocument/2006/relationships/image" Target="media/image13.png"/><Relationship Id="rId20" Type="http://schemas.openxmlformats.org/officeDocument/2006/relationships/image" Target="media/image12.png"/><Relationship Id="rId2" Type="http://schemas.openxmlformats.org/officeDocument/2006/relationships/settings" Target="settings.xml"/><Relationship Id="rId19" Type="http://schemas.openxmlformats.org/officeDocument/2006/relationships/image" Target="media/image11.png"/><Relationship Id="rId18" Type="http://schemas.openxmlformats.org/officeDocument/2006/relationships/image" Target="media/image10.png"/><Relationship Id="rId17" Type="http://schemas.openxmlformats.org/officeDocument/2006/relationships/image" Target="media/image9.png"/><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jpe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ln w="28575">
          <a:solidFill>
            <a:srgbClr val="7030A0"/>
          </a:solidFill>
          <a:tailEnd type="arrow"/>
        </a:ln>
      </a:spPr>
      <a:bodyPr/>
      <a:lstStyle/>
      <a:style>
        <a:lnRef idx="1">
          <a:schemeClr val="accent1"/>
        </a:lnRef>
        <a:fillRef idx="0">
          <a:schemeClr val="accent1"/>
        </a:fillRef>
        <a:effectRef idx="0">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91</Pages>
  <Words>60019</Words>
  <Characters>71645</Characters>
  <Lines>770</Lines>
  <Paragraphs>216</Paragraphs>
  <TotalTime>1</TotalTime>
  <ScaleCrop>false</ScaleCrop>
  <LinksUpToDate>false</LinksUpToDate>
  <CharactersWithSpaces>72174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2021-09-29T06:31:00Z</dcterms:created>
  <dc:creator>Chen Darion</dc:creator>
  <cp:lastModifiedBy>叶靖</cp:lastModifiedBy>
  <cp:lastPrinted>2024-12-25T07:38:00Z</cp:lastPrinted>
  <dcterms:modified xsi:type="dcterms:W3CDTF">2025-07-24T02:11:01Z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45C61E9EDE674A92B8B8718A67400018_13</vt:lpwstr>
  </property>
  <property fmtid="{D5CDD505-2E9C-101B-9397-08002B2CF9AE}" pid="4" name="KSOTemplateDocerSaveRecord">
    <vt:lpwstr>eyJoZGlkIjoiMTZjMWM1NDFiZDIxNmE2NjNlODI4OTFjMmFlZjA4NDQiLCJ1c2VySWQiOiIzNjY0OTAzMjMifQ==</vt:lpwstr>
  </property>
</Properties>
</file>