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baseline"/>
        <w:outlineLvl w:val="9"/>
        <w:rPr>
          <w:rFonts w:hint="eastAsia" w:ascii="方正小标宋_GBK" w:hAnsi="方正小标宋_GBK" w:eastAsia="方正小标宋_GBK" w:cs="方正小标宋_GBK"/>
          <w:sz w:val="44"/>
          <w:szCs w:val="44"/>
        </w:rPr>
      </w:pPr>
      <w:bookmarkStart w:id="0" w:name="_GoBack"/>
      <w:r>
        <w:rPr>
          <w:sz w:val="44"/>
        </w:rPr>
        <mc:AlternateContent>
          <mc:Choice Requires="wps">
            <w:drawing>
              <wp:anchor distT="0" distB="0" distL="114300" distR="114300" simplePos="0" relativeHeight="251659264" behindDoc="0" locked="0" layoutInCell="1" allowOverlap="1">
                <wp:simplePos x="0" y="0"/>
                <wp:positionH relativeFrom="column">
                  <wp:posOffset>-325120</wp:posOffset>
                </wp:positionH>
                <wp:positionV relativeFrom="paragraph">
                  <wp:posOffset>-447675</wp:posOffset>
                </wp:positionV>
                <wp:extent cx="1151890" cy="528320"/>
                <wp:effectExtent l="0" t="0" r="10160" b="5080"/>
                <wp:wrapNone/>
                <wp:docPr id="1" name="文本框 1"/>
                <wp:cNvGraphicFramePr/>
                <a:graphic xmlns:a="http://schemas.openxmlformats.org/drawingml/2006/main">
                  <a:graphicData uri="http://schemas.microsoft.com/office/word/2010/wordprocessingShape">
                    <wps:wsp>
                      <wps:cNvSpPr txBox="1"/>
                      <wps:spPr>
                        <a:xfrm>
                          <a:off x="574675" y="452120"/>
                          <a:ext cx="1151890" cy="5283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Theme="majorEastAsia" w:hAnsiTheme="majorEastAsia" w:eastAsiaTheme="majorEastAsia" w:cstheme="majorEastAsia"/>
                                <w:b/>
                                <w:bCs/>
                                <w:sz w:val="28"/>
                                <w:szCs w:val="28"/>
                                <w:lang w:eastAsia="zh-CN"/>
                              </w:rPr>
                            </w:pPr>
                            <w:r>
                              <w:rPr>
                                <w:rFonts w:hint="eastAsia" w:asciiTheme="majorEastAsia" w:hAnsiTheme="majorEastAsia" w:eastAsiaTheme="majorEastAsia" w:cstheme="majorEastAsia"/>
                                <w:b/>
                                <w:bCs/>
                                <w:sz w:val="28"/>
                                <w:szCs w:val="28"/>
                                <w:lang w:eastAsia="zh-CN"/>
                              </w:rPr>
                              <w:t>附件</w:t>
                            </w:r>
                            <w:r>
                              <w:rPr>
                                <w:rFonts w:hint="eastAsia" w:asciiTheme="majorEastAsia" w:hAnsiTheme="majorEastAsia" w:eastAsiaTheme="majorEastAsia" w:cstheme="majorEastAsia"/>
                                <w:b/>
                                <w:bCs/>
                                <w:sz w:val="28"/>
                                <w:szCs w:val="28"/>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6pt;margin-top:-35.25pt;height:41.6pt;width:90.7pt;z-index:251659264;mso-width-relative:page;mso-height-relative:page;" fillcolor="#FFFFFF [3201]" filled="t" stroked="f" coordsize="21600,21600" o:gfxdata="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Jx47UAAAA&#10;CgEAAA8AAAAAAAAAAQAgAAAAIgAAAGRycy9kb3ducmV2LnhtbFBLAQIUABQAAAAIAIdO4kB2jrsW&#10;WgIAAJkEAAAOAAAAAAAAAAEAIAAAACMBAABkcnMvZTJvRG9jLnhtbFBLBQYAAAAABgAGAFkBAADv&#10;BQAAAAA=&#10;">
                <v:fill on="t" focussize="0,0"/>
                <v:stroke on="f" weight="0.5pt"/>
                <v:imagedata o:title=""/>
                <o:lock v:ext="edit" aspectratio="f"/>
                <v:textbox>
                  <w:txbxContent>
                    <w:p>
                      <w:pPr>
                        <w:rPr>
                          <w:rFonts w:hint="eastAsia" w:asciiTheme="majorEastAsia" w:hAnsiTheme="majorEastAsia" w:eastAsiaTheme="majorEastAsia" w:cstheme="majorEastAsia"/>
                          <w:b/>
                          <w:bCs/>
                          <w:sz w:val="28"/>
                          <w:szCs w:val="28"/>
                          <w:lang w:eastAsia="zh-CN"/>
                        </w:rPr>
                      </w:pPr>
                      <w:r>
                        <w:rPr>
                          <w:rFonts w:hint="eastAsia" w:asciiTheme="majorEastAsia" w:hAnsiTheme="majorEastAsia" w:eastAsiaTheme="majorEastAsia" w:cstheme="majorEastAsia"/>
                          <w:b/>
                          <w:bCs/>
                          <w:sz w:val="28"/>
                          <w:szCs w:val="28"/>
                          <w:lang w:eastAsia="zh-CN"/>
                        </w:rPr>
                        <w:t>附件</w:t>
                      </w:r>
                      <w:r>
                        <w:rPr>
                          <w:rFonts w:hint="eastAsia" w:asciiTheme="majorEastAsia" w:hAnsiTheme="majorEastAsia" w:eastAsiaTheme="majorEastAsia" w:cstheme="majorEastAsia"/>
                          <w:b/>
                          <w:bCs/>
                          <w:sz w:val="28"/>
                          <w:szCs w:val="28"/>
                          <w:lang w:val="en-US" w:eastAsia="zh-CN"/>
                        </w:rPr>
                        <w:t>2：</w:t>
                      </w:r>
                    </w:p>
                  </w:txbxContent>
                </v:textbox>
              </v:shape>
            </w:pict>
          </mc:Fallback>
        </mc:AlternateContent>
      </w:r>
      <w:r>
        <w:rPr>
          <w:rFonts w:hint="eastAsia" w:ascii="方正小标宋_GBK" w:hAnsi="方正小标宋_GBK" w:eastAsia="方正小标宋_GBK" w:cs="方正小标宋_GBK"/>
          <w:sz w:val="44"/>
          <w:szCs w:val="44"/>
        </w:rPr>
        <w:t>202</w:t>
      </w:r>
      <w:r>
        <w:rPr>
          <w:rFonts w:hint="default" w:ascii="方正小标宋_GBK" w:hAnsi="方正小标宋_GBK" w:eastAsia="方正小标宋_GBK" w:cs="方正小标宋_GBK"/>
          <w:sz w:val="44"/>
          <w:szCs w:val="44"/>
          <w:lang w:val="en-US"/>
        </w:rPr>
        <w:t>3</w:t>
      </w:r>
      <w:r>
        <w:rPr>
          <w:rFonts w:hint="eastAsia" w:ascii="方正小标宋_GBK" w:hAnsi="方正小标宋_GBK" w:eastAsia="方正小标宋_GBK" w:cs="方正小标宋_GBK"/>
          <w:sz w:val="44"/>
          <w:szCs w:val="44"/>
        </w:rPr>
        <w:t>年度拟奖励建筑业企业名单</w:t>
      </w:r>
    </w:p>
    <w:bookmarkEnd w:id="0"/>
    <w:tbl>
      <w:tblPr>
        <w:tblStyle w:val="7"/>
        <w:tblW w:w="12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3619"/>
        <w:gridCol w:w="5636"/>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927" w:type="dxa"/>
            <w:vMerge w:val="restart"/>
            <w:vAlign w:val="center"/>
          </w:tcPr>
          <w:p>
            <w:pPr>
              <w:pStyle w:val="13"/>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序号</w:t>
            </w:r>
          </w:p>
        </w:tc>
        <w:tc>
          <w:tcPr>
            <w:tcW w:w="3619" w:type="dxa"/>
            <w:vMerge w:val="restart"/>
            <w:vAlign w:val="center"/>
          </w:tcPr>
          <w:p>
            <w:pPr>
              <w:pStyle w:val="13"/>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企业名称</w:t>
            </w:r>
          </w:p>
        </w:tc>
        <w:tc>
          <w:tcPr>
            <w:tcW w:w="5636" w:type="dxa"/>
            <w:vMerge w:val="restart"/>
            <w:vAlign w:val="center"/>
          </w:tcPr>
          <w:p>
            <w:pPr>
              <w:pStyle w:val="13"/>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kern w:val="2"/>
                <w:sz w:val="32"/>
                <w:szCs w:val="32"/>
                <w:vertAlign w:val="baseline"/>
                <w:lang w:val="en-US" w:eastAsia="zh-CN" w:bidi="ar-SA"/>
              </w:rPr>
            </w:pPr>
            <w:r>
              <w:rPr>
                <w:rFonts w:hint="eastAsia" w:ascii="仿宋_GB2312" w:hAnsi="仿宋_GB2312" w:eastAsia="仿宋_GB2312" w:cs="仿宋_GB2312"/>
                <w:b/>
                <w:bCs/>
                <w:sz w:val="32"/>
                <w:szCs w:val="32"/>
                <w:vertAlign w:val="baseline"/>
                <w:lang w:eastAsia="zh-CN"/>
              </w:rPr>
              <w:t>适用奖励条款简要说明</w:t>
            </w:r>
          </w:p>
        </w:tc>
        <w:tc>
          <w:tcPr>
            <w:tcW w:w="2156" w:type="dxa"/>
            <w:vMerge w:val="restart"/>
            <w:vAlign w:val="center"/>
          </w:tcPr>
          <w:p>
            <w:pPr>
              <w:pStyle w:val="13"/>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val="en-US" w:eastAsia="zh-CN"/>
              </w:rPr>
              <w:t>202</w:t>
            </w:r>
            <w:r>
              <w:rPr>
                <w:rFonts w:hint="default" w:ascii="仿宋_GB2312" w:hAnsi="仿宋_GB2312" w:eastAsia="仿宋_GB2312" w:cs="仿宋_GB2312"/>
                <w:b/>
                <w:bCs/>
                <w:sz w:val="32"/>
                <w:szCs w:val="32"/>
                <w:vertAlign w:val="baseline"/>
                <w:lang w:val="en-US" w:eastAsia="zh-CN"/>
              </w:rPr>
              <w:t>3</w:t>
            </w:r>
            <w:r>
              <w:rPr>
                <w:rFonts w:hint="eastAsia" w:ascii="仿宋_GB2312" w:hAnsi="仿宋_GB2312" w:eastAsia="仿宋_GB2312" w:cs="仿宋_GB2312"/>
                <w:b/>
                <w:bCs/>
                <w:sz w:val="32"/>
                <w:szCs w:val="32"/>
                <w:vertAlign w:val="baseline"/>
                <w:lang w:val="en-US" w:eastAsia="zh-CN"/>
              </w:rPr>
              <w:t>年度拟</w:t>
            </w:r>
            <w:r>
              <w:rPr>
                <w:rFonts w:hint="eastAsia" w:ascii="仿宋_GB2312" w:hAnsi="仿宋_GB2312" w:eastAsia="仿宋_GB2312" w:cs="仿宋_GB2312"/>
                <w:b/>
                <w:bCs/>
                <w:sz w:val="32"/>
                <w:szCs w:val="32"/>
                <w:vertAlign w:val="baseline"/>
                <w:lang w:eastAsia="zh-CN"/>
              </w:rPr>
              <w:t>兑现奖励金额（</w:t>
            </w:r>
            <w:r>
              <w:rPr>
                <w:rFonts w:hint="eastAsia" w:ascii="仿宋_GB2312" w:hAnsi="仿宋_GB2312" w:eastAsia="仿宋_GB2312" w:cs="仿宋_GB2312"/>
                <w:b/>
                <w:bCs/>
                <w:sz w:val="32"/>
                <w:szCs w:val="32"/>
                <w:vertAlign w:val="baseline"/>
                <w:lang w:val="en-US" w:eastAsia="zh-CN"/>
              </w:rPr>
              <w:t>元</w:t>
            </w:r>
            <w:r>
              <w:rPr>
                <w:rFonts w:hint="eastAsia" w:ascii="仿宋_GB2312" w:hAnsi="仿宋_GB2312" w:eastAsia="仿宋_GB2312" w:cs="仿宋_GB2312"/>
                <w:b/>
                <w:bCs/>
                <w:sz w:val="32"/>
                <w:szCs w:val="32"/>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7" w:type="dxa"/>
            <w:vMerge w:val="continue"/>
            <w:vAlign w:val="center"/>
          </w:tcPr>
          <w:p>
            <w:pPr>
              <w:pStyle w:val="13"/>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vertAlign w:val="baseline"/>
                <w:lang w:eastAsia="zh-CN"/>
              </w:rPr>
            </w:pPr>
          </w:p>
        </w:tc>
        <w:tc>
          <w:tcPr>
            <w:tcW w:w="3619" w:type="dxa"/>
            <w:vMerge w:val="continue"/>
            <w:vAlign w:val="center"/>
          </w:tcPr>
          <w:p>
            <w:pPr>
              <w:pStyle w:val="13"/>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vertAlign w:val="baseline"/>
                <w:lang w:eastAsia="zh-CN"/>
              </w:rPr>
            </w:pPr>
          </w:p>
        </w:tc>
        <w:tc>
          <w:tcPr>
            <w:tcW w:w="5636" w:type="dxa"/>
            <w:vMerge w:val="continue"/>
            <w:vAlign w:val="center"/>
          </w:tcPr>
          <w:p>
            <w:pPr>
              <w:pStyle w:val="13"/>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_GB2312" w:hAnsi="仿宋_GB2312" w:eastAsia="仿宋_GB2312" w:cs="仿宋_GB2312"/>
                <w:kern w:val="2"/>
                <w:sz w:val="32"/>
                <w:szCs w:val="32"/>
                <w:vertAlign w:val="baseline"/>
                <w:lang w:val="en-US" w:eastAsia="zh-CN" w:bidi="ar-SA"/>
              </w:rPr>
            </w:pPr>
          </w:p>
        </w:tc>
        <w:tc>
          <w:tcPr>
            <w:tcW w:w="2156" w:type="dxa"/>
            <w:vMerge w:val="continue"/>
            <w:vAlign w:val="center"/>
          </w:tcPr>
          <w:p>
            <w:pPr>
              <w:pStyle w:val="13"/>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927" w:type="dxa"/>
            <w:vAlign w:val="center"/>
          </w:tcPr>
          <w:p>
            <w:pPr>
              <w:pStyle w:val="13"/>
              <w:adjustRightInd w:val="0"/>
              <w:snapToGrid w:val="0"/>
              <w:spacing w:line="56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惠州市第一建筑工程有限公司</w:t>
            </w:r>
          </w:p>
        </w:tc>
        <w:tc>
          <w:tcPr>
            <w:tcW w:w="5636" w:type="dxa"/>
            <w:vAlign w:val="center"/>
          </w:tcPr>
          <w:p>
            <w:pPr>
              <w:keepNext w:val="0"/>
              <w:keepLines w:val="0"/>
              <w:widowControl/>
              <w:numPr>
                <w:ilvl w:val="0"/>
                <w:numId w:val="0"/>
              </w:numPr>
              <w:suppressLineNumbers w:val="0"/>
              <w:ind w:left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1.</w:t>
            </w:r>
            <w:r>
              <w:rPr>
                <w:rFonts w:hint="eastAsia" w:ascii="仿宋_GB2312" w:hAnsi="宋体" w:eastAsia="仿宋_GB2312" w:cs="仿宋_GB2312"/>
                <w:i w:val="0"/>
                <w:iCs w:val="0"/>
                <w:color w:val="000000"/>
                <w:kern w:val="0"/>
                <w:sz w:val="24"/>
                <w:szCs w:val="24"/>
                <w:u w:val="none"/>
                <w:lang w:val="en-US" w:eastAsia="zh-CN" w:bidi="ar"/>
              </w:rPr>
              <w:t>企业2022年迁入博罗县，符合《指引》第三点大力发展建筑业总部经济奖励，于2023年已申请2022年度奖励资金4622176.23元，超出部分（3520772.67元）在延后两年内根据企业税收贡献的情况给予补足；</w:t>
            </w:r>
          </w:p>
          <w:p>
            <w:pPr>
              <w:keepNext w:val="0"/>
              <w:keepLines w:val="0"/>
              <w:widowControl/>
              <w:numPr>
                <w:ilvl w:val="0"/>
                <w:numId w:val="0"/>
              </w:numPr>
              <w:suppressLineNumbers w:val="0"/>
              <w:ind w:leftChars="0"/>
              <w:jc w:val="left"/>
              <w:textAlignment w:val="center"/>
              <w:rPr>
                <w:rFonts w:hint="eastAsia"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2.</w:t>
            </w:r>
            <w:r>
              <w:rPr>
                <w:rFonts w:hint="eastAsia" w:ascii="仿宋_GB2312" w:hAnsi="宋体" w:eastAsia="仿宋_GB2312" w:cs="仿宋_GB2312"/>
                <w:i w:val="0"/>
                <w:iCs w:val="0"/>
                <w:color w:val="000000"/>
                <w:kern w:val="0"/>
                <w:sz w:val="24"/>
                <w:szCs w:val="24"/>
                <w:u w:val="none"/>
                <w:lang w:val="en-US" w:eastAsia="zh-CN" w:bidi="ar"/>
              </w:rPr>
              <w:t>符合《指引》第七点建筑业产值奖励；</w:t>
            </w:r>
          </w:p>
          <w:p>
            <w:pPr>
              <w:keepNext w:val="0"/>
              <w:keepLines w:val="0"/>
              <w:widowControl/>
              <w:numPr>
                <w:ilvl w:val="0"/>
                <w:numId w:val="0"/>
              </w:numPr>
              <w:suppressLineNumbers w:val="0"/>
              <w:ind w:leftChars="0"/>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3.企业申报《指引》第三点第（一）项“给予3年企业承接县外项目奖励(按企业连续三个自然年度承接县外项目产生的营业收入对本县财政贡献量的80%、60%、40%)”奖励，根据县统计局反馈因2023年为全国经济普查年，目前上级统计机构尚未核定反馈全县2023年建筑业增加值，暂无法核定是否达到奖励条件。</w:t>
            </w:r>
          </w:p>
        </w:tc>
        <w:tc>
          <w:tcPr>
            <w:tcW w:w="215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vertAlign w:val="baseline"/>
                <w:lang w:val="en-US"/>
              </w:rPr>
            </w:pPr>
            <w:r>
              <w:rPr>
                <w:rFonts w:hint="eastAsia" w:ascii="仿宋_GB2312" w:hAnsi="宋体" w:eastAsia="仿宋_GB2312" w:cs="仿宋_GB2312"/>
                <w:i w:val="0"/>
                <w:iCs w:val="0"/>
                <w:color w:val="000000"/>
                <w:kern w:val="0"/>
                <w:sz w:val="24"/>
                <w:szCs w:val="24"/>
                <w:u w:val="none"/>
                <w:lang w:val="en-US" w:eastAsia="zh-CN" w:bidi="ar"/>
              </w:rPr>
              <w:t>3703788.27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927" w:type="dxa"/>
            <w:vAlign w:val="center"/>
          </w:tcPr>
          <w:p>
            <w:pPr>
              <w:pStyle w:val="13"/>
              <w:adjustRightInd w:val="0"/>
              <w:snapToGrid w:val="0"/>
              <w:spacing w:line="56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广东远璟市政工程有限公司</w:t>
            </w:r>
          </w:p>
        </w:tc>
        <w:tc>
          <w:tcPr>
            <w:tcW w:w="5636" w:type="dxa"/>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1.企业2022年迁入博罗县，符合《指引》第三点大力发展建筑业总部经济奖励，于2023年已申请2022年度奖励资金953493.04元，超出部分（7046506.96元）在延后两年内根据企业税收贡献的情况给予补足；</w:t>
            </w:r>
          </w:p>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default" w:ascii="仿宋_GB2312" w:hAnsi="宋体" w:eastAsia="仿宋_GB2312" w:cs="仿宋_GB2312"/>
                <w:i w:val="0"/>
                <w:iCs w:val="0"/>
                <w:color w:val="000000"/>
                <w:kern w:val="0"/>
                <w:sz w:val="24"/>
                <w:szCs w:val="24"/>
                <w:u w:val="none"/>
                <w:lang w:val="en-US" w:eastAsia="zh-CN" w:bidi="ar"/>
              </w:rPr>
              <w:t>2.</w:t>
            </w: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2830274.37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927" w:type="dxa"/>
            <w:vAlign w:val="center"/>
          </w:tcPr>
          <w:p>
            <w:pPr>
              <w:pStyle w:val="13"/>
              <w:adjustRightInd w:val="0"/>
              <w:snapToGrid w:val="0"/>
              <w:spacing w:line="56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博罗县园洲建筑工程公司</w:t>
            </w:r>
          </w:p>
        </w:tc>
        <w:tc>
          <w:tcPr>
            <w:tcW w:w="5636" w:type="dxa"/>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1.企业2022年晋升为一级施工总承包资质，符合《指引》中第六点资质晋升奖励，于2023年已申请2022年度奖励资金7772292.33元，超出部分（262635.07元）在延后两年内根据企业税收贡献的情况给予补足；</w:t>
            </w:r>
          </w:p>
          <w:p>
            <w:pPr>
              <w:keepNext w:val="0"/>
              <w:keepLines w:val="0"/>
              <w:widowControl/>
              <w:suppressLineNumbers w:val="0"/>
              <w:jc w:val="left"/>
              <w:textAlignment w:val="center"/>
              <w:rPr>
                <w:rFonts w:hint="default" w:ascii="仿宋_GB2312" w:hAnsi="仿宋_GB2312" w:eastAsia="仿宋_GB2312" w:cs="仿宋_GB2312"/>
                <w:sz w:val="24"/>
                <w:szCs w:val="24"/>
                <w:vertAlign w:val="baseline"/>
                <w:lang w:val="en-US" w:eastAsia="zh-CN"/>
              </w:rPr>
            </w:pPr>
            <w:r>
              <w:rPr>
                <w:rFonts w:hint="default" w:ascii="仿宋_GB2312" w:hAnsi="宋体" w:eastAsia="仿宋_GB2312" w:cs="仿宋_GB2312"/>
                <w:i w:val="0"/>
                <w:iCs w:val="0"/>
                <w:color w:val="000000"/>
                <w:kern w:val="0"/>
                <w:sz w:val="24"/>
                <w:szCs w:val="24"/>
                <w:u w:val="none"/>
                <w:lang w:val="en-US" w:eastAsia="zh-CN" w:bidi="ar"/>
              </w:rPr>
              <w:t>2.</w:t>
            </w: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330653.97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27" w:type="dxa"/>
            <w:vAlign w:val="center"/>
          </w:tcPr>
          <w:p>
            <w:pPr>
              <w:pStyle w:val="13"/>
              <w:adjustRightInd w:val="0"/>
              <w:snapToGrid w:val="0"/>
              <w:spacing w:line="56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广东磊森智能工程管理有限公司</w:t>
            </w:r>
          </w:p>
        </w:tc>
        <w:tc>
          <w:tcPr>
            <w:tcW w:w="5636"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vertAlign w:val="baseline"/>
                <w:lang w:val="en-US"/>
              </w:rPr>
            </w:pPr>
            <w:r>
              <w:rPr>
                <w:rFonts w:hint="eastAsia" w:ascii="仿宋_GB2312" w:hAnsi="宋体" w:eastAsia="仿宋_GB2312" w:cs="仿宋_GB2312"/>
                <w:i w:val="0"/>
                <w:iCs w:val="0"/>
                <w:color w:val="000000"/>
                <w:kern w:val="0"/>
                <w:sz w:val="24"/>
                <w:szCs w:val="24"/>
                <w:u w:val="none"/>
                <w:lang w:val="en-US" w:eastAsia="zh-CN" w:bidi="ar"/>
              </w:rPr>
              <w:t>124516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27" w:type="dxa"/>
            <w:vAlign w:val="center"/>
          </w:tcPr>
          <w:p>
            <w:pPr>
              <w:pStyle w:val="13"/>
              <w:adjustRightInd w:val="0"/>
              <w:snapToGrid w:val="0"/>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eastAsia="zh-CN"/>
              </w:rPr>
            </w:pPr>
            <w:r>
              <w:rPr>
                <w:rFonts w:hint="eastAsia" w:ascii="仿宋_GB2312" w:hAnsi="宋体" w:eastAsia="仿宋_GB2312" w:cs="仿宋_GB2312"/>
                <w:i w:val="0"/>
                <w:iCs w:val="0"/>
                <w:color w:val="000000"/>
                <w:kern w:val="0"/>
                <w:sz w:val="24"/>
                <w:szCs w:val="24"/>
                <w:u w:val="none"/>
                <w:lang w:val="en-US" w:eastAsia="zh-CN" w:bidi="ar"/>
              </w:rPr>
              <w:t>惠州市鸿泰建筑工程有限公司</w:t>
            </w:r>
          </w:p>
        </w:tc>
        <w:tc>
          <w:tcPr>
            <w:tcW w:w="5636"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53185.8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27" w:type="dxa"/>
            <w:vAlign w:val="center"/>
          </w:tcPr>
          <w:p>
            <w:pPr>
              <w:pStyle w:val="13"/>
              <w:adjustRightInd w:val="0"/>
              <w:snapToGrid w:val="0"/>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博罗县第四建筑工程有限公司</w:t>
            </w:r>
          </w:p>
        </w:tc>
        <w:tc>
          <w:tcPr>
            <w:tcW w:w="5636"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38089.3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27" w:type="dxa"/>
            <w:vAlign w:val="center"/>
          </w:tcPr>
          <w:p>
            <w:pPr>
              <w:pStyle w:val="13"/>
              <w:adjustRightInd w:val="0"/>
              <w:snapToGrid w:val="0"/>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广东金竣达建设工程有限公司</w:t>
            </w:r>
          </w:p>
        </w:tc>
        <w:tc>
          <w:tcPr>
            <w:tcW w:w="5636" w:type="dxa"/>
            <w:vAlign w:val="center"/>
          </w:tcPr>
          <w:p>
            <w:pPr>
              <w:keepNext w:val="0"/>
              <w:keepLines w:val="0"/>
              <w:widowControl/>
              <w:suppressLineNumbers w:val="0"/>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33307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27" w:type="dxa"/>
            <w:vAlign w:val="center"/>
          </w:tcPr>
          <w:p>
            <w:pPr>
              <w:pStyle w:val="13"/>
              <w:adjustRightInd w:val="0"/>
              <w:snapToGrid w:val="0"/>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宋体" w:eastAsia="仿宋_GB2312" w:cs="仿宋_GB2312"/>
                <w:i w:val="0"/>
                <w:iCs w:val="0"/>
                <w:color w:val="000000"/>
                <w:kern w:val="0"/>
                <w:sz w:val="24"/>
                <w:szCs w:val="24"/>
                <w:u w:val="none"/>
                <w:lang w:val="en-US" w:eastAsia="zh-CN" w:bidi="ar"/>
              </w:rPr>
              <w:t>博罗县第二建设集团有限公司</w:t>
            </w:r>
          </w:p>
        </w:tc>
        <w:tc>
          <w:tcPr>
            <w:tcW w:w="5636"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26288.9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27" w:type="dxa"/>
            <w:vAlign w:val="center"/>
          </w:tcPr>
          <w:p>
            <w:pPr>
              <w:pStyle w:val="13"/>
              <w:adjustRightInd w:val="0"/>
              <w:snapToGrid w:val="0"/>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广东华实建设有限公司</w:t>
            </w:r>
          </w:p>
        </w:tc>
        <w:tc>
          <w:tcPr>
            <w:tcW w:w="5636"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20817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27" w:type="dxa"/>
            <w:vAlign w:val="center"/>
          </w:tcPr>
          <w:p>
            <w:pPr>
              <w:pStyle w:val="13"/>
              <w:adjustRightInd w:val="0"/>
              <w:snapToGrid w:val="0"/>
              <w:spacing w:line="560" w:lineRule="exact"/>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3619" w:type="dxa"/>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广东展坤建设有限公司</w:t>
            </w:r>
          </w:p>
        </w:tc>
        <w:tc>
          <w:tcPr>
            <w:tcW w:w="5636" w:type="dxa"/>
            <w:vAlign w:val="center"/>
          </w:tcPr>
          <w:p>
            <w:pPr>
              <w:keepNext w:val="0"/>
              <w:keepLines w:val="0"/>
              <w:widowControl/>
              <w:suppressLineNumbers w:val="0"/>
              <w:jc w:val="left"/>
              <w:textAlignment w:val="center"/>
              <w:rPr>
                <w:rFonts w:hint="default"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17664.2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927" w:type="dxa"/>
            <w:vAlign w:val="center"/>
          </w:tcPr>
          <w:p>
            <w:pPr>
              <w:pStyle w:val="13"/>
              <w:adjustRightInd w:val="0"/>
              <w:snapToGrid w:val="0"/>
              <w:spacing w:line="560" w:lineRule="exact"/>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11</w:t>
            </w:r>
          </w:p>
        </w:tc>
        <w:tc>
          <w:tcPr>
            <w:tcW w:w="3619"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广东通建实业发展有限公司</w:t>
            </w:r>
          </w:p>
        </w:tc>
        <w:tc>
          <w:tcPr>
            <w:tcW w:w="5636" w:type="dxa"/>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符合《指引》第七点建筑业产值万分之一奖励。</w:t>
            </w:r>
          </w:p>
        </w:tc>
        <w:tc>
          <w:tcPr>
            <w:tcW w:w="215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vertAlign w:val="baseline"/>
                <w:lang w:val="en-US" w:eastAsia="zh-CN"/>
              </w:rPr>
            </w:pPr>
            <w:r>
              <w:rPr>
                <w:rFonts w:hint="eastAsia" w:ascii="仿宋_GB2312" w:hAnsi="宋体" w:eastAsia="仿宋_GB2312" w:cs="仿宋_GB2312"/>
                <w:i w:val="0"/>
                <w:iCs w:val="0"/>
                <w:color w:val="000000"/>
                <w:kern w:val="0"/>
                <w:sz w:val="24"/>
                <w:szCs w:val="24"/>
                <w:u w:val="none"/>
                <w:lang w:val="en-US" w:eastAsia="zh-CN" w:bidi="ar"/>
              </w:rPr>
              <w:t>12058</w:t>
            </w:r>
          </w:p>
        </w:tc>
      </w:tr>
    </w:tbl>
    <w:p>
      <w:pPr>
        <w:pStyle w:val="13"/>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eastAsia" w:ascii="仿宋_GB2312" w:hAnsi="仿宋_GB2312" w:eastAsia="仿宋_GB2312" w:cs="仿宋_GB2312"/>
          <w:sz w:val="24"/>
          <w:szCs w:val="24"/>
          <w:lang w:eastAsia="zh-CN"/>
        </w:rPr>
      </w:pPr>
    </w:p>
    <w:sectPr>
      <w:footerReference r:id="rId3" w:type="default"/>
      <w:pgSz w:w="16838" w:h="11906" w:orient="landscape"/>
      <w:pgMar w:top="1417" w:right="1417" w:bottom="1417" w:left="1417" w:header="851" w:footer="992" w:gutter="0"/>
      <w:pgNumType w:fmt="decimal" w:start="5"/>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Courier New"/>
    <w:panose1 w:val="00000000000000000000"/>
    <w:charset w:val="00"/>
    <w:family w:val="auto"/>
    <w:pitch w:val="default"/>
    <w:sig w:usb0="00000000" w:usb1="00000000" w:usb2="00000000" w:usb3="00000000" w:csb0="00000001" w:csb1="00000000"/>
  </w:font>
  <w:font w:name="方正小标宋_GBK">
    <w:altName w:val="微软雅黑"/>
    <w:panose1 w:val="03000502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mYzQ3ZTRhNGRiNDcxOTExYWY1ZTQ4ZDA0Nzc4NTUifQ=="/>
  </w:docVars>
  <w:rsids>
    <w:rsidRoot w:val="625D2B0E"/>
    <w:rsid w:val="00F423C3"/>
    <w:rsid w:val="00F515E4"/>
    <w:rsid w:val="01443BEC"/>
    <w:rsid w:val="02B242EB"/>
    <w:rsid w:val="036E177C"/>
    <w:rsid w:val="057A487B"/>
    <w:rsid w:val="084A6906"/>
    <w:rsid w:val="0DEA4AE0"/>
    <w:rsid w:val="110B73B8"/>
    <w:rsid w:val="111E0B3D"/>
    <w:rsid w:val="118323AB"/>
    <w:rsid w:val="11AF2B55"/>
    <w:rsid w:val="16374B05"/>
    <w:rsid w:val="174B340B"/>
    <w:rsid w:val="1BC05959"/>
    <w:rsid w:val="1D312FB6"/>
    <w:rsid w:val="1D6352D8"/>
    <w:rsid w:val="1E0A5693"/>
    <w:rsid w:val="1F2F3F7C"/>
    <w:rsid w:val="201D04A0"/>
    <w:rsid w:val="24A557B5"/>
    <w:rsid w:val="284C2BD7"/>
    <w:rsid w:val="286B021A"/>
    <w:rsid w:val="2A54269B"/>
    <w:rsid w:val="2C1D3B9F"/>
    <w:rsid w:val="2DF56335"/>
    <w:rsid w:val="317728C0"/>
    <w:rsid w:val="32181304"/>
    <w:rsid w:val="338D1889"/>
    <w:rsid w:val="342B313F"/>
    <w:rsid w:val="34B153BD"/>
    <w:rsid w:val="393D6B41"/>
    <w:rsid w:val="3AA651A8"/>
    <w:rsid w:val="42E20AAB"/>
    <w:rsid w:val="46C21843"/>
    <w:rsid w:val="46ED7AEC"/>
    <w:rsid w:val="49E62144"/>
    <w:rsid w:val="4E615201"/>
    <w:rsid w:val="4EC75DA8"/>
    <w:rsid w:val="4F17572F"/>
    <w:rsid w:val="50614449"/>
    <w:rsid w:val="509C32CF"/>
    <w:rsid w:val="51CE7FBD"/>
    <w:rsid w:val="520C09CC"/>
    <w:rsid w:val="536767A5"/>
    <w:rsid w:val="54A20777"/>
    <w:rsid w:val="5A8264E5"/>
    <w:rsid w:val="5BA35549"/>
    <w:rsid w:val="5D0A76B2"/>
    <w:rsid w:val="6028301C"/>
    <w:rsid w:val="6115242D"/>
    <w:rsid w:val="625D2B0E"/>
    <w:rsid w:val="64905072"/>
    <w:rsid w:val="665E2B4F"/>
    <w:rsid w:val="67BC04DD"/>
    <w:rsid w:val="68646B75"/>
    <w:rsid w:val="6BC7547D"/>
    <w:rsid w:val="6C4C4CA9"/>
    <w:rsid w:val="6EC82E0D"/>
    <w:rsid w:val="6F43235A"/>
    <w:rsid w:val="713E3472"/>
    <w:rsid w:val="715A301E"/>
    <w:rsid w:val="724B7F65"/>
    <w:rsid w:val="72BF7574"/>
    <w:rsid w:val="75436915"/>
    <w:rsid w:val="79F0285B"/>
    <w:rsid w:val="7AD92527"/>
    <w:rsid w:val="7D6D02AE"/>
    <w:rsid w:val="7E8B4DD1"/>
    <w:rsid w:val="7F5B3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Indent"/>
    <w:basedOn w:val="1"/>
    <w:qFormat/>
    <w:uiPriority w:val="0"/>
    <w:pPr>
      <w:ind w:firstLine="420" w:firstLineChars="200"/>
      <w:jc w:val="both"/>
      <w:textAlignment w:val="baseline"/>
    </w:pPr>
    <w:rPr>
      <w:rFonts w:ascii="Times New Roman" w:hAnsi="Times New Roman" w:eastAsia="宋体" w:cs="宋体"/>
      <w:kern w:val="2"/>
      <w:sz w:val="21"/>
      <w:szCs w:val="24"/>
      <w:lang w:val="en-US" w:eastAsia="zh-CN" w:bidi="ar-SA"/>
    </w:rPr>
  </w:style>
  <w:style w:type="paragraph" w:styleId="3">
    <w:name w:val="Body Text Indent"/>
    <w:basedOn w:val="1"/>
    <w:next w:val="4"/>
    <w:qFormat/>
    <w:uiPriority w:val="0"/>
    <w:pPr>
      <w:spacing w:after="120"/>
      <w:ind w:left="200" w:leftChars="200"/>
    </w:pPr>
  </w:style>
  <w:style w:type="paragraph" w:styleId="4">
    <w:name w:val="header"/>
    <w:basedOn w:val="1"/>
    <w:next w:val="5"/>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5">
    <w:name w:val="footer"/>
    <w:basedOn w:val="1"/>
    <w:next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paragraph" w:customStyle="1" w:styleId="10">
    <w:name w:val="Default"/>
    <w:basedOn w:val="1"/>
    <w:qFormat/>
    <w:uiPriority w:val="99"/>
    <w:pPr>
      <w:autoSpaceDE w:val="0"/>
      <w:autoSpaceDN w:val="0"/>
      <w:adjustRightInd w:val="0"/>
      <w:jc w:val="left"/>
    </w:pPr>
    <w:rPr>
      <w:rFonts w:ascii="??_GB2312" w:hAnsi="??_GB2312" w:cs="??_GB2312"/>
      <w:kern w:val="0"/>
      <w:sz w:val="24"/>
      <w:szCs w:val="24"/>
    </w:rPr>
  </w:style>
  <w:style w:type="paragraph" w:customStyle="1" w:styleId="11">
    <w:name w:val="正文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
    <w:name w:val="Plain Text1"/>
    <w:basedOn w:val="1"/>
    <w:qFormat/>
    <w:uiPriority w:val="0"/>
    <w:rPr>
      <w:rFonts w:ascii="宋体" w:eastAsia="宋体" w:cs="Times New Roman"/>
      <w:szCs w:val="21"/>
      <w:lang w:bidi="ar-SA"/>
    </w:rPr>
  </w:style>
  <w:style w:type="paragraph" w:customStyle="1" w:styleId="13">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3</Pages>
  <Words>786</Words>
  <Characters>1103</Characters>
  <Lines>0</Lines>
  <Paragraphs>0</Paragraphs>
  <TotalTime>7</TotalTime>
  <ScaleCrop>false</ScaleCrop>
  <LinksUpToDate>false</LinksUpToDate>
  <CharactersWithSpaces>1103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2023-06-13T01:31:00Z</dcterms:created>
  <dc:creator>王秀春</dc:creator>
  <cp:lastModifiedBy>陈泳颐</cp:lastModifiedBy>
  <dcterms:modified xsi:type="dcterms:W3CDTF">2025-06-26T07:10:12Z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AEA99DE7AA484E0D8B68C0076D14186E</vt:lpwstr>
  </property>
</Properties>
</file>