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50" w:line="480" w:lineRule="atLeast"/>
        <w:textAlignment w:val="baseline"/>
        <w:outlineLvl w:val="0"/>
        <w:rPr>
          <w:rFonts w:hint="eastAsia" w:ascii="黑体" w:hAnsi="黑体" w:eastAsia="黑体" w:cs="宋体"/>
          <w:color w:val="auto"/>
          <w:kern w:val="0"/>
          <w:sz w:val="32"/>
          <w:szCs w:val="32"/>
          <w:highlight w:val="none"/>
          <w:lang w:eastAsia="zh-CN"/>
        </w:rPr>
      </w:pPr>
      <w:r>
        <w:rPr>
          <w:rFonts w:ascii="黑体" w:hAnsi="黑体" w:eastAsia="黑体" w:cs="宋体"/>
          <w:color w:val="auto"/>
          <w:kern w:val="0"/>
          <w:sz w:val="32"/>
          <w:szCs w:val="32"/>
          <w:highlight w:val="none"/>
        </w:rPr>
        <w:t>附件3</w:t>
      </w:r>
      <w:r>
        <w:rPr>
          <w:rFonts w:hint="eastAsia" w:ascii="黑体" w:hAnsi="黑体" w:eastAsia="黑体" w:cs="宋体"/>
          <w:color w:val="auto"/>
          <w:kern w:val="0"/>
          <w:sz w:val="32"/>
          <w:szCs w:val="32"/>
          <w:highlight w:val="none"/>
          <w:lang w:eastAsia="zh-CN"/>
        </w:rPr>
        <w:t>：</w:t>
      </w:r>
    </w:p>
    <w:p>
      <w:pPr>
        <w:widowControl/>
        <w:spacing w:before="150" w:line="480" w:lineRule="atLeast"/>
        <w:ind w:firstLine="480"/>
        <w:jc w:val="center"/>
        <w:textAlignment w:val="baseline"/>
        <w:outlineLvl w:val="0"/>
        <w:rPr>
          <w:rFonts w:hint="eastAsia" w:ascii="方正小标宋_GBK" w:hAnsi="方正小标宋_GBK" w:eastAsia="方正小标宋_GBK" w:cs="方正小标宋_GBK"/>
          <w:b w:val="0"/>
          <w:bCs w:val="0"/>
          <w:color w:val="auto"/>
          <w:kern w:val="0"/>
          <w:sz w:val="36"/>
          <w:szCs w:val="36"/>
          <w:highlight w:val="none"/>
          <w:lang w:eastAsia="zh-CN"/>
        </w:rPr>
      </w:pPr>
      <w:r>
        <w:rPr>
          <w:rFonts w:hint="eastAsia" w:ascii="方正小标宋_GBK" w:hAnsi="方正小标宋_GBK" w:eastAsia="方正小标宋_GBK" w:cs="方正小标宋_GBK"/>
          <w:b w:val="0"/>
          <w:bCs w:val="0"/>
          <w:color w:val="auto"/>
          <w:kern w:val="0"/>
          <w:sz w:val="36"/>
          <w:szCs w:val="36"/>
          <w:highlight w:val="none"/>
          <w:lang w:eastAsia="zh-CN"/>
        </w:rPr>
        <w:t>博罗县</w:t>
      </w:r>
      <w:r>
        <w:rPr>
          <w:rFonts w:hint="eastAsia" w:ascii="方正小标宋_GBK" w:hAnsi="方正小标宋_GBK" w:eastAsia="方正小标宋_GBK" w:cs="方正小标宋_GBK"/>
          <w:b w:val="0"/>
          <w:bCs w:val="0"/>
          <w:color w:val="auto"/>
          <w:kern w:val="0"/>
          <w:sz w:val="36"/>
          <w:szCs w:val="36"/>
          <w:highlight w:val="none"/>
        </w:rPr>
        <w:t>第五次全国经济普查</w:t>
      </w:r>
      <w:r>
        <w:rPr>
          <w:rFonts w:hint="eastAsia" w:ascii="方正小标宋_GBK" w:hAnsi="方正小标宋_GBK" w:eastAsia="方正小标宋_GBK" w:cs="方正小标宋_GBK"/>
          <w:b w:val="0"/>
          <w:bCs w:val="0"/>
          <w:color w:val="auto"/>
          <w:kern w:val="0"/>
          <w:sz w:val="36"/>
          <w:szCs w:val="36"/>
          <w:highlight w:val="none"/>
          <w:lang w:val="en-US" w:eastAsia="zh-CN"/>
        </w:rPr>
        <w:t>2025年</w:t>
      </w:r>
      <w:r>
        <w:rPr>
          <w:rFonts w:hint="eastAsia" w:ascii="方正小标宋_GBK" w:hAnsi="方正小标宋_GBK" w:eastAsia="方正小标宋_GBK" w:cs="方正小标宋_GBK"/>
          <w:b w:val="0"/>
          <w:bCs w:val="0"/>
          <w:color w:val="auto"/>
          <w:kern w:val="0"/>
          <w:sz w:val="36"/>
          <w:szCs w:val="36"/>
          <w:highlight w:val="none"/>
          <w:lang w:eastAsia="zh-CN"/>
        </w:rPr>
        <w:t>综合服务询价</w:t>
      </w:r>
    </w:p>
    <w:p>
      <w:pPr>
        <w:widowControl/>
        <w:spacing w:before="150" w:line="480" w:lineRule="atLeast"/>
        <w:ind w:firstLine="480"/>
        <w:jc w:val="center"/>
        <w:textAlignment w:val="baseline"/>
        <w:outlineLvl w:val="0"/>
        <w:rPr>
          <w:rFonts w:hint="eastAsia" w:ascii="方正小标宋_GBK" w:hAnsi="方正小标宋_GBK" w:eastAsia="方正小标宋_GBK" w:cs="方正小标宋_GBK"/>
          <w:b w:val="0"/>
          <w:bCs w:val="0"/>
          <w:color w:val="auto"/>
          <w:kern w:val="0"/>
          <w:sz w:val="36"/>
          <w:szCs w:val="36"/>
          <w:highlight w:val="none"/>
        </w:rPr>
      </w:pPr>
      <w:r>
        <w:rPr>
          <w:rFonts w:hint="eastAsia" w:ascii="方正小标宋_GBK" w:hAnsi="方正小标宋_GBK" w:eastAsia="方正小标宋_GBK" w:cs="方正小标宋_GBK"/>
          <w:b w:val="0"/>
          <w:bCs w:val="0"/>
          <w:color w:val="auto"/>
          <w:kern w:val="0"/>
          <w:sz w:val="36"/>
          <w:szCs w:val="36"/>
          <w:highlight w:val="none"/>
        </w:rPr>
        <w:t>评分标准</w:t>
      </w:r>
    </w:p>
    <w:tbl>
      <w:tblPr>
        <w:tblStyle w:val="6"/>
        <w:tblW w:w="8910" w:type="dxa"/>
        <w:tblInd w:w="-189" w:type="dxa"/>
        <w:tblLayout w:type="autofit"/>
        <w:tblCellMar>
          <w:top w:w="0" w:type="dxa"/>
          <w:left w:w="0" w:type="dxa"/>
          <w:bottom w:w="0" w:type="dxa"/>
          <w:right w:w="0" w:type="dxa"/>
        </w:tblCellMar>
      </w:tblPr>
      <w:tblGrid>
        <w:gridCol w:w="1560"/>
        <w:gridCol w:w="1140"/>
        <w:gridCol w:w="6210"/>
      </w:tblGrid>
      <w:tr>
        <w:tblPrEx>
          <w:tblCellMar>
            <w:top w:w="0" w:type="dxa"/>
            <w:left w:w="0" w:type="dxa"/>
            <w:bottom w:w="0" w:type="dxa"/>
            <w:right w:w="0" w:type="dxa"/>
          </w:tblCellMar>
        </w:tblPrEx>
        <w:trPr>
          <w:trHeight w:val="415" w:hRule="atLeast"/>
        </w:trPr>
        <w:tc>
          <w:tcPr>
            <w:tcW w:w="1560" w:type="dxa"/>
            <w:tcBorders>
              <w:top w:val="single" w:color="000000" w:sz="8" w:space="0"/>
              <w:left w:val="single" w:color="000000" w:sz="8" w:space="0"/>
              <w:bottom w:val="single" w:color="000000" w:sz="8" w:space="0"/>
              <w:right w:val="single" w:color="000000" w:sz="8" w:space="0"/>
            </w:tcBorders>
            <w:tcMar>
              <w:top w:w="75" w:type="dxa"/>
              <w:left w:w="105" w:type="dxa"/>
              <w:bottom w:w="75" w:type="dxa"/>
              <w:right w:w="105" w:type="dxa"/>
            </w:tcMar>
            <w:vAlign w:val="center"/>
          </w:tcPr>
          <w:p>
            <w:pPr>
              <w:widowControl/>
              <w:wordWrap w:val="0"/>
              <w:spacing w:line="480" w:lineRule="atLeast"/>
              <w:jc w:val="center"/>
              <w:textAlignment w:val="baseline"/>
              <w:rPr>
                <w:rFonts w:hint="eastAsia" w:ascii="黑体" w:hAnsi="黑体" w:eastAsia="黑体" w:cs="黑体"/>
                <w:color w:val="auto"/>
                <w:kern w:val="0"/>
                <w:sz w:val="24"/>
                <w:szCs w:val="24"/>
                <w:highlight w:val="none"/>
              </w:rPr>
            </w:pPr>
            <w:bookmarkStart w:id="0" w:name="_GoBack"/>
            <w:r>
              <w:rPr>
                <w:rFonts w:hint="eastAsia" w:ascii="黑体" w:hAnsi="黑体" w:eastAsia="黑体" w:cs="黑体"/>
                <w:b/>
                <w:bCs/>
                <w:color w:val="auto"/>
                <w:kern w:val="0"/>
                <w:sz w:val="24"/>
                <w:szCs w:val="24"/>
                <w:highlight w:val="none"/>
              </w:rPr>
              <w:t>评标因素</w:t>
            </w:r>
          </w:p>
        </w:tc>
        <w:tc>
          <w:tcPr>
            <w:tcW w:w="1140" w:type="dxa"/>
            <w:tcBorders>
              <w:top w:val="single" w:color="000000" w:sz="8" w:space="0"/>
              <w:left w:val="nil"/>
              <w:bottom w:val="single" w:color="000000" w:sz="8" w:space="0"/>
              <w:right w:val="single" w:color="000000" w:sz="8" w:space="0"/>
            </w:tcBorders>
            <w:tcMar>
              <w:top w:w="75" w:type="dxa"/>
              <w:left w:w="105" w:type="dxa"/>
              <w:bottom w:w="75" w:type="dxa"/>
              <w:right w:w="105" w:type="dxa"/>
            </w:tcMar>
            <w:vAlign w:val="center"/>
          </w:tcPr>
          <w:p>
            <w:pPr>
              <w:widowControl/>
              <w:wordWrap w:val="0"/>
              <w:spacing w:line="480" w:lineRule="atLeast"/>
              <w:jc w:val="center"/>
              <w:textAlignment w:val="baseline"/>
              <w:rPr>
                <w:rFonts w:hint="eastAsia" w:ascii="黑体" w:hAnsi="黑体" w:eastAsia="黑体" w:cs="黑体"/>
                <w:color w:val="auto"/>
                <w:kern w:val="0"/>
                <w:sz w:val="24"/>
                <w:szCs w:val="24"/>
                <w:highlight w:val="none"/>
              </w:rPr>
            </w:pPr>
            <w:r>
              <w:rPr>
                <w:rFonts w:hint="eastAsia" w:ascii="黑体" w:hAnsi="黑体" w:eastAsia="黑体" w:cs="黑体"/>
                <w:b/>
                <w:bCs/>
                <w:color w:val="auto"/>
                <w:kern w:val="0"/>
                <w:sz w:val="24"/>
                <w:szCs w:val="24"/>
                <w:highlight w:val="none"/>
              </w:rPr>
              <w:t>标准分</w:t>
            </w:r>
          </w:p>
        </w:tc>
        <w:tc>
          <w:tcPr>
            <w:tcW w:w="6210" w:type="dxa"/>
            <w:tcBorders>
              <w:top w:val="single" w:color="000000" w:sz="8" w:space="0"/>
              <w:left w:val="nil"/>
              <w:bottom w:val="single" w:color="000000" w:sz="8" w:space="0"/>
              <w:right w:val="single" w:color="000000" w:sz="8" w:space="0"/>
            </w:tcBorders>
            <w:tcMar>
              <w:top w:w="75" w:type="dxa"/>
              <w:left w:w="105" w:type="dxa"/>
              <w:bottom w:w="75" w:type="dxa"/>
              <w:right w:w="105" w:type="dxa"/>
            </w:tcMar>
            <w:vAlign w:val="center"/>
          </w:tcPr>
          <w:p>
            <w:pPr>
              <w:widowControl/>
              <w:wordWrap w:val="0"/>
              <w:spacing w:line="480" w:lineRule="atLeast"/>
              <w:jc w:val="center"/>
              <w:textAlignment w:val="baseline"/>
              <w:rPr>
                <w:rFonts w:hint="eastAsia" w:ascii="黑体" w:hAnsi="黑体" w:eastAsia="黑体" w:cs="黑体"/>
                <w:color w:val="auto"/>
                <w:kern w:val="0"/>
                <w:sz w:val="24"/>
                <w:szCs w:val="24"/>
                <w:highlight w:val="none"/>
              </w:rPr>
            </w:pPr>
            <w:r>
              <w:rPr>
                <w:rFonts w:hint="eastAsia" w:ascii="黑体" w:hAnsi="黑体" w:eastAsia="黑体" w:cs="黑体"/>
                <w:b/>
                <w:bCs/>
                <w:color w:val="auto"/>
                <w:kern w:val="0"/>
                <w:sz w:val="24"/>
                <w:szCs w:val="24"/>
                <w:highlight w:val="none"/>
              </w:rPr>
              <w:t>评分标准</w:t>
            </w:r>
          </w:p>
        </w:tc>
      </w:tr>
      <w:bookmarkEnd w:id="0"/>
      <w:tr>
        <w:tblPrEx>
          <w:tblCellMar>
            <w:top w:w="0" w:type="dxa"/>
            <w:left w:w="0" w:type="dxa"/>
            <w:bottom w:w="0" w:type="dxa"/>
            <w:right w:w="0" w:type="dxa"/>
          </w:tblCellMar>
        </w:tblPrEx>
        <w:trPr>
          <w:trHeight w:val="2368" w:hRule="atLeast"/>
        </w:trPr>
        <w:tc>
          <w:tcPr>
            <w:tcW w:w="1560" w:type="dxa"/>
            <w:tcBorders>
              <w:top w:val="nil"/>
              <w:left w:val="single" w:color="000000" w:sz="8" w:space="0"/>
              <w:bottom w:val="single" w:color="000000" w:sz="8" w:space="0"/>
              <w:right w:val="single" w:color="000000" w:sz="8" w:space="0"/>
            </w:tcBorders>
            <w:tcMar>
              <w:top w:w="75" w:type="dxa"/>
              <w:left w:w="105" w:type="dxa"/>
              <w:bottom w:w="75" w:type="dxa"/>
              <w:right w:w="105" w:type="dxa"/>
            </w:tcMar>
            <w:vAlign w:val="center"/>
          </w:tcPr>
          <w:p>
            <w:pPr>
              <w:bidi w:val="0"/>
              <w:jc w:val="center"/>
              <w:rPr>
                <w:rFonts w:hint="default" w:ascii="Times New Roman" w:hAnsi="Times New Roman" w:eastAsia="方正仿宋_GBK" w:cs="Times New Roman"/>
                <w:color w:val="auto"/>
                <w:lang w:val="en-US" w:eastAsia="zh-CN"/>
              </w:rPr>
            </w:pPr>
            <w:r>
              <w:rPr>
                <w:rFonts w:hint="default" w:ascii="Times New Roman" w:hAnsi="Times New Roman" w:eastAsia="方正仿宋_GBK" w:cs="Times New Roman"/>
                <w:color w:val="auto"/>
                <w:lang w:val="en-US" w:eastAsia="zh-CN"/>
              </w:rPr>
              <w:t>项目申报</w:t>
            </w:r>
            <w:r>
              <w:rPr>
                <w:rFonts w:hint="default" w:ascii="Times New Roman" w:hAnsi="Times New Roman" w:eastAsia="方正仿宋_GBK" w:cs="Times New Roman"/>
                <w:color w:val="auto"/>
                <w:lang w:val="en-US" w:eastAsia="zh-CN"/>
              </w:rPr>
              <w:br w:type="textWrapping"/>
            </w:r>
          </w:p>
        </w:tc>
        <w:tc>
          <w:tcPr>
            <w:tcW w:w="1140" w:type="dxa"/>
            <w:tcBorders>
              <w:top w:val="nil"/>
              <w:left w:val="nil"/>
              <w:bottom w:val="single" w:color="000000" w:sz="8" w:space="0"/>
              <w:right w:val="single" w:color="000000" w:sz="8" w:space="0"/>
            </w:tcBorders>
            <w:tcMar>
              <w:top w:w="75" w:type="dxa"/>
              <w:left w:w="105" w:type="dxa"/>
              <w:bottom w:w="75" w:type="dxa"/>
              <w:right w:w="105" w:type="dxa"/>
            </w:tcMar>
            <w:vAlign w:val="center"/>
          </w:tcPr>
          <w:p>
            <w:pPr>
              <w:bidi w:val="0"/>
              <w:jc w:val="center"/>
              <w:rPr>
                <w:rFonts w:hint="default" w:ascii="Times New Roman" w:hAnsi="Times New Roman" w:eastAsia="方正仿宋_GBK" w:cs="Times New Roman"/>
                <w:color w:val="auto"/>
                <w:lang w:val="en-US" w:eastAsia="zh-CN"/>
              </w:rPr>
            </w:pPr>
            <w:r>
              <w:rPr>
                <w:rFonts w:hint="default" w:ascii="Times New Roman" w:hAnsi="Times New Roman" w:eastAsia="方正仿宋_GBK" w:cs="Times New Roman"/>
                <w:color w:val="auto"/>
                <w:lang w:val="en-US" w:eastAsia="zh-CN"/>
              </w:rPr>
              <w:t>30</w:t>
            </w:r>
          </w:p>
        </w:tc>
        <w:tc>
          <w:tcPr>
            <w:tcW w:w="6210" w:type="dxa"/>
            <w:tcBorders>
              <w:top w:val="nil"/>
              <w:left w:val="nil"/>
              <w:bottom w:val="single" w:color="000000" w:sz="8" w:space="0"/>
              <w:right w:val="single" w:color="000000" w:sz="8" w:space="0"/>
            </w:tcBorders>
            <w:tcMar>
              <w:top w:w="75" w:type="dxa"/>
              <w:left w:w="105" w:type="dxa"/>
              <w:bottom w:w="75" w:type="dxa"/>
              <w:right w:w="105" w:type="dxa"/>
            </w:tcMar>
            <w:vAlign w:val="center"/>
          </w:tcPr>
          <w:p>
            <w:pPr>
              <w:widowControl/>
              <w:wordWrap w:val="0"/>
              <w:spacing w:line="480" w:lineRule="atLeast"/>
              <w:jc w:val="left"/>
              <w:textAlignment w:val="baseline"/>
              <w:rPr>
                <w:rFonts w:hint="default" w:ascii="Times New Roman" w:hAnsi="Times New Roman" w:eastAsia="方正仿宋_GBK" w:cs="Times New Roman"/>
                <w:i w:val="0"/>
                <w:color w:val="auto"/>
                <w:kern w:val="0"/>
                <w:sz w:val="21"/>
                <w:szCs w:val="21"/>
                <w:u w:val="none"/>
                <w:lang w:val="en-US" w:eastAsia="zh-CN" w:bidi="ar"/>
              </w:rPr>
            </w:pPr>
            <w:r>
              <w:rPr>
                <w:rFonts w:hint="default" w:ascii="Times New Roman" w:hAnsi="Times New Roman" w:eastAsia="方正仿宋_GBK" w:cs="Times New Roman"/>
                <w:color w:val="auto"/>
                <w:lang w:val="en-US" w:eastAsia="zh-CN"/>
              </w:rPr>
              <w:t>1</w:t>
            </w:r>
            <w:r>
              <w:rPr>
                <w:rFonts w:hint="default" w:ascii="Times New Roman" w:hAnsi="Times New Roman" w:eastAsia="方正仿宋_GBK" w:cs="Times New Roman"/>
                <w:i w:val="0"/>
                <w:color w:val="auto"/>
                <w:kern w:val="0"/>
                <w:sz w:val="21"/>
                <w:szCs w:val="21"/>
                <w:u w:val="none"/>
                <w:lang w:val="en-US" w:eastAsia="zh-CN" w:bidi="ar"/>
              </w:rPr>
              <w:t>.项目预算为399901元，超出限价为无效申报；申报低于最高限价80%的需另外提交经费合理化测算依据，不能提交合理化依据视为无效申报。</w:t>
            </w:r>
          </w:p>
          <w:p>
            <w:pPr>
              <w:widowControl/>
              <w:wordWrap w:val="0"/>
              <w:spacing w:line="480" w:lineRule="atLeast"/>
              <w:jc w:val="left"/>
              <w:textAlignment w:val="baseline"/>
              <w:rPr>
                <w:rFonts w:hint="default" w:ascii="Times New Roman" w:hAnsi="Times New Roman" w:eastAsia="方正仿宋_GBK" w:cs="Times New Roman"/>
                <w:color w:val="auto"/>
                <w:lang w:val="en-US" w:eastAsia="zh-CN"/>
              </w:rPr>
            </w:pPr>
            <w:r>
              <w:rPr>
                <w:rFonts w:hint="default" w:ascii="Times New Roman" w:hAnsi="Times New Roman" w:eastAsia="方正仿宋_GBK" w:cs="Times New Roman"/>
                <w:i w:val="0"/>
                <w:color w:val="auto"/>
                <w:kern w:val="0"/>
                <w:sz w:val="21"/>
                <w:szCs w:val="21"/>
                <w:u w:val="none"/>
                <w:lang w:val="en-US" w:eastAsia="zh-CN" w:bidi="ar"/>
              </w:rPr>
              <w:t>2.以最低申报为满分，其他申报比最低申报每多1000元减0.1分，不满1000元按1000元计。</w:t>
            </w:r>
          </w:p>
        </w:tc>
      </w:tr>
      <w:tr>
        <w:tblPrEx>
          <w:tblCellMar>
            <w:top w:w="0" w:type="dxa"/>
            <w:left w:w="0" w:type="dxa"/>
            <w:bottom w:w="0" w:type="dxa"/>
            <w:right w:w="0" w:type="dxa"/>
          </w:tblCellMar>
        </w:tblPrEx>
        <w:trPr>
          <w:trHeight w:val="90" w:hRule="atLeast"/>
        </w:trPr>
        <w:tc>
          <w:tcPr>
            <w:tcW w:w="1560" w:type="dxa"/>
            <w:tcBorders>
              <w:top w:val="nil"/>
              <w:left w:val="single" w:color="000000" w:sz="8" w:space="0"/>
              <w:bottom w:val="single" w:color="000000" w:sz="8" w:space="0"/>
              <w:right w:val="single" w:color="000000" w:sz="8" w:space="0"/>
            </w:tcBorders>
            <w:tcMar>
              <w:top w:w="75" w:type="dxa"/>
              <w:left w:w="105" w:type="dxa"/>
              <w:bottom w:w="75" w:type="dxa"/>
              <w:right w:w="105" w:type="dxa"/>
            </w:tcMar>
            <w:vAlign w:val="center"/>
          </w:tcPr>
          <w:p>
            <w:pPr>
              <w:bidi w:val="0"/>
              <w:jc w:val="center"/>
              <w:rPr>
                <w:rFonts w:hint="default" w:ascii="Times New Roman" w:hAnsi="Times New Roman" w:eastAsia="方正仿宋_GBK" w:cs="Times New Roman"/>
                <w:color w:val="auto"/>
                <w:lang w:val="en-US" w:eastAsia="zh-CN"/>
              </w:rPr>
            </w:pPr>
            <w:r>
              <w:rPr>
                <w:rFonts w:hint="default" w:ascii="Times New Roman" w:hAnsi="Times New Roman" w:eastAsia="方正仿宋_GBK" w:cs="Times New Roman"/>
                <w:color w:val="auto"/>
                <w:lang w:val="en-US" w:eastAsia="zh-CN"/>
              </w:rPr>
              <w:t>资质证明</w:t>
            </w:r>
          </w:p>
        </w:tc>
        <w:tc>
          <w:tcPr>
            <w:tcW w:w="1140" w:type="dxa"/>
            <w:tcBorders>
              <w:top w:val="nil"/>
              <w:left w:val="nil"/>
              <w:bottom w:val="single" w:color="auto" w:sz="4" w:space="0"/>
              <w:right w:val="single" w:color="000000" w:sz="8" w:space="0"/>
            </w:tcBorders>
            <w:tcMar>
              <w:top w:w="75" w:type="dxa"/>
              <w:left w:w="105" w:type="dxa"/>
              <w:bottom w:w="75" w:type="dxa"/>
              <w:right w:w="105" w:type="dxa"/>
            </w:tcMar>
            <w:vAlign w:val="center"/>
          </w:tcPr>
          <w:p>
            <w:pPr>
              <w:bidi w:val="0"/>
              <w:jc w:val="center"/>
              <w:rPr>
                <w:rFonts w:hint="default" w:ascii="Times New Roman" w:hAnsi="Times New Roman" w:eastAsia="方正仿宋_GBK" w:cs="Times New Roman"/>
                <w:color w:val="auto"/>
                <w:lang w:val="en-US" w:eastAsia="zh-CN"/>
              </w:rPr>
            </w:pPr>
            <w:r>
              <w:rPr>
                <w:rFonts w:hint="default" w:ascii="Times New Roman" w:hAnsi="Times New Roman" w:eastAsia="方正仿宋_GBK" w:cs="Times New Roman"/>
                <w:color w:val="auto"/>
                <w:lang w:val="en-US" w:eastAsia="zh-CN"/>
              </w:rPr>
              <w:t>10</w:t>
            </w:r>
          </w:p>
        </w:tc>
        <w:tc>
          <w:tcPr>
            <w:tcW w:w="6210" w:type="dxa"/>
            <w:tcBorders>
              <w:top w:val="nil"/>
              <w:left w:val="nil"/>
              <w:bottom w:val="single" w:color="000000" w:sz="8" w:space="0"/>
              <w:right w:val="single" w:color="000000" w:sz="8" w:space="0"/>
            </w:tcBorders>
            <w:tcMar>
              <w:top w:w="75" w:type="dxa"/>
              <w:left w:w="105" w:type="dxa"/>
              <w:bottom w:w="75" w:type="dxa"/>
              <w:right w:w="105" w:type="dxa"/>
            </w:tcMar>
            <w:vAlign w:val="center"/>
          </w:tcPr>
          <w:p>
            <w:pPr>
              <w:widowControl/>
              <w:wordWrap w:val="0"/>
              <w:spacing w:line="480" w:lineRule="atLeast"/>
              <w:jc w:val="left"/>
              <w:textAlignment w:val="baseline"/>
              <w:rPr>
                <w:rFonts w:hint="default" w:ascii="Times New Roman" w:hAnsi="Times New Roman" w:eastAsia="方正仿宋_GBK" w:cs="Times New Roman"/>
                <w:color w:val="auto"/>
                <w:lang w:val="en-US" w:eastAsia="zh-CN"/>
              </w:rPr>
            </w:pPr>
            <w:r>
              <w:rPr>
                <w:rFonts w:hint="default" w:ascii="Times New Roman" w:hAnsi="Times New Roman" w:eastAsia="方正仿宋_GBK" w:cs="Times New Roman"/>
                <w:i w:val="0"/>
                <w:color w:val="auto"/>
                <w:kern w:val="0"/>
                <w:sz w:val="21"/>
                <w:szCs w:val="21"/>
                <w:u w:val="none"/>
                <w:lang w:val="en-US" w:eastAsia="zh-CN" w:bidi="ar"/>
              </w:rPr>
              <w:t>供应商需提供营业执照及近三年内在经营活动中无重大违法记录证明【重大违法记录，是指申报单位因违法经营受到刑事处罚或者责令停产停业、吊销许可证或者执照、200万元以上的罚款等行政处罚】。</w:t>
            </w:r>
          </w:p>
        </w:tc>
      </w:tr>
      <w:tr>
        <w:tblPrEx>
          <w:tblCellMar>
            <w:top w:w="0" w:type="dxa"/>
            <w:left w:w="0" w:type="dxa"/>
            <w:bottom w:w="0" w:type="dxa"/>
            <w:right w:w="0" w:type="dxa"/>
          </w:tblCellMar>
        </w:tblPrEx>
        <w:trPr>
          <w:trHeight w:val="2036" w:hRule="atLeast"/>
        </w:trPr>
        <w:tc>
          <w:tcPr>
            <w:tcW w:w="1560" w:type="dxa"/>
            <w:tcBorders>
              <w:top w:val="nil"/>
              <w:left w:val="single" w:color="000000" w:sz="8" w:space="0"/>
              <w:bottom w:val="single" w:color="auto" w:sz="4" w:space="0"/>
              <w:right w:val="single" w:color="auto" w:sz="4" w:space="0"/>
            </w:tcBorders>
            <w:tcMar>
              <w:top w:w="75" w:type="dxa"/>
              <w:left w:w="105" w:type="dxa"/>
              <w:bottom w:w="75" w:type="dxa"/>
              <w:right w:w="105" w:type="dxa"/>
            </w:tcMar>
            <w:vAlign w:val="center"/>
          </w:tcPr>
          <w:p>
            <w:pPr>
              <w:widowControl/>
              <w:wordWrap w:val="0"/>
              <w:spacing w:line="480" w:lineRule="atLeast"/>
              <w:jc w:val="center"/>
              <w:textAlignment w:val="baseline"/>
              <w:rPr>
                <w:rFonts w:hint="default" w:ascii="Times New Roman" w:hAnsi="Times New Roman" w:eastAsia="方正仿宋_GBK" w:cs="Times New Roman"/>
                <w:i w:val="0"/>
                <w:color w:val="auto"/>
                <w:kern w:val="0"/>
                <w:sz w:val="21"/>
                <w:szCs w:val="21"/>
                <w:u w:val="none"/>
                <w:lang w:val="en-US" w:eastAsia="zh-CN" w:bidi="ar"/>
              </w:rPr>
            </w:pPr>
            <w:r>
              <w:rPr>
                <w:rFonts w:hint="default" w:ascii="Times New Roman" w:hAnsi="Times New Roman" w:eastAsia="方正仿宋_GBK" w:cs="Times New Roman"/>
                <w:i w:val="0"/>
                <w:color w:val="auto"/>
                <w:kern w:val="0"/>
                <w:sz w:val="21"/>
                <w:szCs w:val="21"/>
                <w:u w:val="none"/>
                <w:lang w:val="en-US" w:eastAsia="zh-CN" w:bidi="ar"/>
              </w:rPr>
              <w:t>同类业绩情况</w:t>
            </w:r>
          </w:p>
        </w:tc>
        <w:tc>
          <w:tcPr>
            <w:tcW w:w="1140" w:type="dxa"/>
            <w:tcBorders>
              <w:top w:val="single" w:color="auto" w:sz="4" w:space="0"/>
              <w:left w:val="single" w:color="auto" w:sz="4" w:space="0"/>
              <w:bottom w:val="single" w:color="auto" w:sz="4" w:space="0"/>
              <w:right w:val="single" w:color="auto" w:sz="4" w:space="0"/>
            </w:tcBorders>
            <w:tcMar>
              <w:top w:w="75" w:type="dxa"/>
              <w:left w:w="105" w:type="dxa"/>
              <w:bottom w:w="75" w:type="dxa"/>
              <w:right w:w="105" w:type="dxa"/>
            </w:tcMar>
            <w:vAlign w:val="center"/>
          </w:tcPr>
          <w:p>
            <w:pPr>
              <w:bidi w:val="0"/>
              <w:jc w:val="center"/>
              <w:rPr>
                <w:rFonts w:hint="default" w:ascii="Times New Roman" w:hAnsi="Times New Roman" w:eastAsia="方正仿宋_GBK" w:cs="Times New Roman"/>
                <w:color w:val="auto"/>
                <w:lang w:val="en-US" w:eastAsia="zh-CN"/>
              </w:rPr>
            </w:pPr>
            <w:r>
              <w:rPr>
                <w:rFonts w:hint="default" w:ascii="Times New Roman" w:hAnsi="Times New Roman" w:eastAsia="方正仿宋_GBK" w:cs="Times New Roman"/>
                <w:color w:val="auto"/>
                <w:lang w:val="en-US" w:eastAsia="zh-CN"/>
              </w:rPr>
              <w:t>20</w:t>
            </w:r>
          </w:p>
        </w:tc>
        <w:tc>
          <w:tcPr>
            <w:tcW w:w="6210" w:type="dxa"/>
            <w:tcBorders>
              <w:top w:val="single" w:color="000000" w:sz="8" w:space="0"/>
              <w:left w:val="single" w:color="auto" w:sz="4" w:space="0"/>
              <w:bottom w:val="single" w:color="auto" w:sz="4" w:space="0"/>
              <w:right w:val="single" w:color="000000" w:sz="8" w:space="0"/>
            </w:tcBorders>
            <w:tcMar>
              <w:top w:w="75" w:type="dxa"/>
              <w:left w:w="105" w:type="dxa"/>
              <w:bottom w:w="75" w:type="dxa"/>
              <w:right w:w="105" w:type="dxa"/>
            </w:tcMar>
            <w:vAlign w:val="center"/>
          </w:tcPr>
          <w:p>
            <w:pPr>
              <w:widowControl/>
              <w:wordWrap w:val="0"/>
              <w:spacing w:line="480" w:lineRule="atLeast"/>
              <w:jc w:val="left"/>
              <w:textAlignment w:val="baseline"/>
              <w:rPr>
                <w:rFonts w:hint="default" w:ascii="Times New Roman" w:hAnsi="Times New Roman" w:eastAsia="方正仿宋_GBK" w:cs="Times New Roman"/>
                <w:i w:val="0"/>
                <w:color w:val="auto"/>
                <w:kern w:val="0"/>
                <w:sz w:val="21"/>
                <w:szCs w:val="21"/>
                <w:u w:val="none"/>
                <w:lang w:val="en-US" w:eastAsia="zh-CN" w:bidi="ar"/>
              </w:rPr>
            </w:pPr>
            <w:r>
              <w:rPr>
                <w:rFonts w:hint="default" w:ascii="Times New Roman" w:hAnsi="Times New Roman" w:eastAsia="方正仿宋_GBK" w:cs="Times New Roman"/>
                <w:i w:val="0"/>
                <w:color w:val="auto"/>
                <w:kern w:val="0"/>
                <w:sz w:val="21"/>
                <w:szCs w:val="21"/>
                <w:u w:val="none"/>
                <w:lang w:val="en-US" w:eastAsia="zh-CN" w:bidi="ar"/>
              </w:rPr>
              <w:t>供应商在申报文件中提供近三年（合同签订时间为准）的同类业绩，申报文件每提供一项同类业绩证明得2分，最高20分。</w:t>
            </w:r>
            <w:r>
              <w:rPr>
                <w:rFonts w:hint="default" w:ascii="Times New Roman" w:hAnsi="Times New Roman" w:eastAsia="方正仿宋_GBK" w:cs="Times New Roman"/>
                <w:color w:val="auto"/>
                <w:kern w:val="2"/>
                <w:sz w:val="21"/>
                <w:szCs w:val="21"/>
                <w:highlight w:val="none"/>
                <w:lang w:val="en-US" w:eastAsia="zh-CN" w:bidi="ar-SA"/>
              </w:rPr>
              <w:t>同类业绩证明文件是指成交通知书以及相对应合同的复印件或其他政府采购形式的成交证明文件及对应合同的复印件，申报人可以复印合同的关键页面。</w:t>
            </w:r>
          </w:p>
        </w:tc>
      </w:tr>
      <w:tr>
        <w:tblPrEx>
          <w:tblCellMar>
            <w:top w:w="0" w:type="dxa"/>
            <w:left w:w="0" w:type="dxa"/>
            <w:bottom w:w="0" w:type="dxa"/>
            <w:right w:w="0" w:type="dxa"/>
          </w:tblCellMar>
        </w:tblPrEx>
        <w:trPr>
          <w:trHeight w:val="2350" w:hRule="atLeast"/>
        </w:trPr>
        <w:tc>
          <w:tcPr>
            <w:tcW w:w="1560" w:type="dxa"/>
            <w:tcBorders>
              <w:top w:val="single" w:color="auto" w:sz="4" w:space="0"/>
              <w:left w:val="single" w:color="auto" w:sz="4" w:space="0"/>
              <w:bottom w:val="single" w:color="auto" w:sz="4" w:space="0"/>
              <w:right w:val="single" w:color="auto" w:sz="4" w:space="0"/>
            </w:tcBorders>
            <w:shd w:val="clear" w:color="auto" w:fill="auto"/>
            <w:tcMar>
              <w:top w:w="75" w:type="dxa"/>
              <w:left w:w="105" w:type="dxa"/>
              <w:bottom w:w="75" w:type="dxa"/>
              <w:right w:w="105" w:type="dxa"/>
            </w:tcMar>
            <w:vAlign w:val="center"/>
          </w:tcPr>
          <w:p>
            <w:pPr>
              <w:widowControl/>
              <w:wordWrap w:val="0"/>
              <w:spacing w:line="480" w:lineRule="atLeast"/>
              <w:jc w:val="center"/>
              <w:textAlignment w:val="baseline"/>
              <w:rPr>
                <w:rFonts w:hint="default" w:ascii="Times New Roman" w:hAnsi="Times New Roman" w:eastAsia="方正仿宋_GBK" w:cs="Times New Roman"/>
                <w:color w:val="auto"/>
                <w:kern w:val="0"/>
                <w:sz w:val="20"/>
                <w:szCs w:val="20"/>
                <w:highlight w:val="none"/>
                <w:lang w:val="en-US" w:eastAsia="zh-CN" w:bidi="ar-SA"/>
              </w:rPr>
            </w:pPr>
            <w:r>
              <w:rPr>
                <w:rFonts w:hint="default" w:ascii="Times New Roman" w:hAnsi="Times New Roman" w:eastAsia="方正仿宋_GBK" w:cs="Times New Roman"/>
                <w:i w:val="0"/>
                <w:color w:val="auto"/>
                <w:kern w:val="0"/>
                <w:sz w:val="21"/>
                <w:szCs w:val="21"/>
                <w:u w:val="none"/>
                <w:lang w:val="en-US" w:eastAsia="zh-CN" w:bidi="ar"/>
              </w:rPr>
              <w:t>信用情况</w:t>
            </w:r>
          </w:p>
        </w:tc>
        <w:tc>
          <w:tcPr>
            <w:tcW w:w="1140" w:type="dxa"/>
            <w:tcBorders>
              <w:top w:val="single" w:color="auto" w:sz="4" w:space="0"/>
              <w:left w:val="single" w:color="auto" w:sz="4" w:space="0"/>
              <w:bottom w:val="single" w:color="auto" w:sz="4" w:space="0"/>
              <w:right w:val="single" w:color="auto" w:sz="4" w:space="0"/>
            </w:tcBorders>
            <w:shd w:val="clear" w:color="auto" w:fill="auto"/>
            <w:tcMar>
              <w:top w:w="75" w:type="dxa"/>
              <w:left w:w="105" w:type="dxa"/>
              <w:bottom w:w="75" w:type="dxa"/>
              <w:right w:w="105" w:type="dxa"/>
            </w:tcMar>
            <w:vAlign w:val="center"/>
          </w:tcPr>
          <w:p>
            <w:pPr>
              <w:bidi w:val="0"/>
              <w:jc w:val="center"/>
              <w:rPr>
                <w:rFonts w:hint="default" w:ascii="Times New Roman" w:hAnsi="Times New Roman" w:eastAsia="方正仿宋_GBK" w:cs="Times New Roman"/>
                <w:color w:val="auto"/>
                <w:lang w:val="en-US" w:eastAsia="zh-CN"/>
              </w:rPr>
            </w:pPr>
            <w:r>
              <w:rPr>
                <w:rFonts w:hint="default" w:ascii="Times New Roman" w:hAnsi="Times New Roman" w:eastAsia="方正仿宋_GBK" w:cs="Times New Roman"/>
                <w:color w:val="auto"/>
                <w:lang w:val="en-US" w:eastAsia="zh-CN"/>
              </w:rPr>
              <w:t>10</w:t>
            </w:r>
          </w:p>
        </w:tc>
        <w:tc>
          <w:tcPr>
            <w:tcW w:w="6210" w:type="dxa"/>
            <w:tcBorders>
              <w:top w:val="single" w:color="auto" w:sz="4" w:space="0"/>
              <w:left w:val="single" w:color="auto" w:sz="4" w:space="0"/>
              <w:bottom w:val="single" w:color="auto" w:sz="4" w:space="0"/>
              <w:right w:val="single" w:color="auto" w:sz="4" w:space="0"/>
            </w:tcBorders>
            <w:shd w:val="clear" w:color="auto" w:fill="auto"/>
            <w:tcMar>
              <w:top w:w="75" w:type="dxa"/>
              <w:left w:w="105" w:type="dxa"/>
              <w:bottom w:w="75" w:type="dxa"/>
              <w:right w:w="105" w:type="dxa"/>
            </w:tcMar>
            <w:vAlign w:val="center"/>
          </w:tcPr>
          <w:p>
            <w:pPr>
              <w:widowControl/>
              <w:wordWrap w:val="0"/>
              <w:spacing w:line="480" w:lineRule="atLeast"/>
              <w:jc w:val="left"/>
              <w:textAlignment w:val="baseline"/>
              <w:rPr>
                <w:rFonts w:hint="default" w:ascii="Times New Roman" w:hAnsi="Times New Roman" w:eastAsia="方正仿宋_GBK" w:cs="Times New Roman"/>
                <w:i w:val="0"/>
                <w:color w:val="auto"/>
                <w:kern w:val="0"/>
                <w:sz w:val="21"/>
                <w:szCs w:val="21"/>
                <w:u w:val="none"/>
                <w:lang w:val="en-US" w:eastAsia="zh-CN" w:bidi="ar"/>
              </w:rPr>
            </w:pPr>
            <w:r>
              <w:rPr>
                <w:rFonts w:hint="default" w:ascii="Times New Roman" w:hAnsi="Times New Roman" w:eastAsia="方正仿宋_GBK" w:cs="Times New Roman"/>
                <w:i w:val="0"/>
                <w:color w:val="auto"/>
                <w:kern w:val="0"/>
                <w:sz w:val="21"/>
                <w:szCs w:val="21"/>
                <w:u w:val="none"/>
                <w:lang w:val="en-US" w:eastAsia="zh-CN" w:bidi="ar"/>
              </w:rPr>
              <w:t>1.供应商提供报价前六个月内由县级以上信用中心、人民银行征信系统或者经人民银行备案的机构出具的一份信用报告复印件或打印稿文件。提供以上材料得5分，未提供不得分。</w:t>
            </w:r>
          </w:p>
          <w:p>
            <w:pPr>
              <w:widowControl/>
              <w:wordWrap w:val="0"/>
              <w:spacing w:line="480" w:lineRule="atLeast"/>
              <w:jc w:val="left"/>
              <w:textAlignment w:val="baseline"/>
              <w:rPr>
                <w:rFonts w:hint="default" w:ascii="Times New Roman" w:hAnsi="Times New Roman" w:eastAsia="方正仿宋_GBK" w:cs="Times New Roman"/>
                <w:color w:val="auto"/>
                <w:kern w:val="0"/>
                <w:szCs w:val="20"/>
                <w:highlight w:val="none"/>
                <w:lang w:val="en-US" w:eastAsia="zh-CN" w:bidi="ar-SA"/>
              </w:rPr>
            </w:pPr>
            <w:r>
              <w:rPr>
                <w:rFonts w:hint="default" w:ascii="Times New Roman" w:hAnsi="Times New Roman" w:eastAsia="方正仿宋_GBK" w:cs="Times New Roman"/>
                <w:i w:val="0"/>
                <w:color w:val="auto"/>
                <w:kern w:val="0"/>
                <w:sz w:val="21"/>
                <w:szCs w:val="21"/>
                <w:u w:val="none"/>
                <w:lang w:val="en-US" w:eastAsia="zh-CN" w:bidi="ar"/>
              </w:rPr>
              <w:t>2.供应商提供</w:t>
            </w:r>
            <w:r>
              <w:rPr>
                <w:rFonts w:hint="eastAsia" w:ascii="Times New Roman" w:hAnsi="Times New Roman" w:eastAsia="方正仿宋_GBK" w:cs="Times New Roman"/>
                <w:i w:val="0"/>
                <w:color w:val="auto"/>
                <w:kern w:val="0"/>
                <w:sz w:val="21"/>
                <w:szCs w:val="21"/>
                <w:u w:val="none"/>
                <w:lang w:val="en-US" w:eastAsia="zh-CN" w:bidi="ar"/>
              </w:rPr>
              <w:t>“</w:t>
            </w:r>
            <w:r>
              <w:rPr>
                <w:rFonts w:hint="default" w:ascii="Times New Roman" w:hAnsi="Times New Roman" w:eastAsia="方正仿宋_GBK" w:cs="Times New Roman"/>
                <w:i w:val="0"/>
                <w:color w:val="auto"/>
                <w:kern w:val="0"/>
                <w:sz w:val="21"/>
                <w:szCs w:val="21"/>
                <w:u w:val="none"/>
                <w:lang w:val="en-US" w:eastAsia="zh-CN" w:bidi="ar"/>
              </w:rPr>
              <w:t>信用中国</w:t>
            </w:r>
            <w:r>
              <w:rPr>
                <w:rFonts w:hint="eastAsia" w:ascii="Times New Roman" w:hAnsi="Times New Roman" w:eastAsia="方正仿宋_GBK" w:cs="Times New Roman"/>
                <w:i w:val="0"/>
                <w:color w:val="auto"/>
                <w:kern w:val="0"/>
                <w:sz w:val="21"/>
                <w:szCs w:val="21"/>
                <w:u w:val="none"/>
                <w:lang w:val="en-US" w:eastAsia="zh-CN" w:bidi="ar"/>
              </w:rPr>
              <w:t>”</w:t>
            </w:r>
            <w:r>
              <w:rPr>
                <w:rFonts w:hint="default" w:ascii="Times New Roman" w:hAnsi="Times New Roman" w:eastAsia="方正仿宋_GBK" w:cs="Times New Roman"/>
                <w:i w:val="0"/>
                <w:color w:val="auto"/>
                <w:kern w:val="0"/>
                <w:sz w:val="21"/>
                <w:szCs w:val="21"/>
                <w:u w:val="none"/>
                <w:lang w:val="en-US" w:eastAsia="zh-CN" w:bidi="ar"/>
              </w:rPr>
              <w:t>网站及中国政府采购网查询结果，如相关失信记录已失效，申报人需提供相关证明资料。提供以上材料得5分，未提供不得分。</w:t>
            </w:r>
          </w:p>
        </w:tc>
      </w:tr>
      <w:tr>
        <w:tblPrEx>
          <w:tblCellMar>
            <w:top w:w="0" w:type="dxa"/>
            <w:left w:w="0" w:type="dxa"/>
            <w:bottom w:w="0" w:type="dxa"/>
            <w:right w:w="0" w:type="dxa"/>
          </w:tblCellMar>
        </w:tblPrEx>
        <w:trPr>
          <w:trHeight w:val="4067" w:hRule="atLeast"/>
        </w:trPr>
        <w:tc>
          <w:tcPr>
            <w:tcW w:w="1560" w:type="dxa"/>
            <w:tcBorders>
              <w:top w:val="single" w:color="auto" w:sz="4" w:space="0"/>
              <w:left w:val="single" w:color="000000" w:sz="8" w:space="0"/>
              <w:bottom w:val="single" w:color="auto" w:sz="4" w:space="0"/>
              <w:right w:val="single" w:color="000000" w:sz="8" w:space="0"/>
            </w:tcBorders>
            <w:tcMar>
              <w:top w:w="75" w:type="dxa"/>
              <w:left w:w="105" w:type="dxa"/>
              <w:bottom w:w="75" w:type="dxa"/>
              <w:right w:w="105" w:type="dxa"/>
            </w:tcMar>
            <w:vAlign w:val="center"/>
          </w:tcPr>
          <w:p>
            <w:pPr>
              <w:widowControl/>
              <w:wordWrap w:val="0"/>
              <w:spacing w:before="150" w:line="480" w:lineRule="atLeast"/>
              <w:textAlignment w:val="baseline"/>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i w:val="0"/>
                <w:color w:val="auto"/>
                <w:kern w:val="0"/>
                <w:sz w:val="21"/>
                <w:szCs w:val="21"/>
                <w:u w:val="none"/>
                <w:lang w:val="en-US" w:eastAsia="zh-CN" w:bidi="ar"/>
              </w:rPr>
              <w:t>项目服务方案</w:t>
            </w:r>
          </w:p>
        </w:tc>
        <w:tc>
          <w:tcPr>
            <w:tcW w:w="1140" w:type="dxa"/>
            <w:tcBorders>
              <w:top w:val="single" w:color="auto" w:sz="4" w:space="0"/>
              <w:left w:val="nil"/>
              <w:bottom w:val="single" w:color="auto" w:sz="4" w:space="0"/>
              <w:right w:val="single" w:color="000000" w:sz="8" w:space="0"/>
            </w:tcBorders>
            <w:tcMar>
              <w:top w:w="75" w:type="dxa"/>
              <w:left w:w="105" w:type="dxa"/>
              <w:bottom w:w="75" w:type="dxa"/>
              <w:right w:w="105" w:type="dxa"/>
            </w:tcMar>
            <w:vAlign w:val="center"/>
          </w:tcPr>
          <w:p>
            <w:pPr>
              <w:bidi w:val="0"/>
              <w:jc w:val="center"/>
              <w:rPr>
                <w:rFonts w:hint="default" w:ascii="Times New Roman" w:hAnsi="Times New Roman" w:eastAsia="方正仿宋_GBK" w:cs="Times New Roman"/>
                <w:color w:val="auto"/>
                <w:lang w:val="en-US" w:eastAsia="zh-CN"/>
              </w:rPr>
            </w:pPr>
            <w:r>
              <w:rPr>
                <w:rFonts w:hint="default" w:ascii="Times New Roman" w:hAnsi="Times New Roman" w:eastAsia="方正仿宋_GBK" w:cs="Times New Roman"/>
                <w:color w:val="auto"/>
                <w:lang w:val="en-US" w:eastAsia="zh-CN"/>
              </w:rPr>
              <w:t>20</w:t>
            </w:r>
          </w:p>
        </w:tc>
        <w:tc>
          <w:tcPr>
            <w:tcW w:w="6210" w:type="dxa"/>
            <w:tcBorders>
              <w:top w:val="single" w:color="auto" w:sz="4" w:space="0"/>
              <w:left w:val="nil"/>
              <w:bottom w:val="single" w:color="000000" w:sz="8" w:space="0"/>
              <w:right w:val="single" w:color="000000" w:sz="8" w:space="0"/>
            </w:tcBorders>
            <w:tcMar>
              <w:top w:w="75" w:type="dxa"/>
              <w:left w:w="105" w:type="dxa"/>
              <w:bottom w:w="75" w:type="dxa"/>
              <w:right w:w="105" w:type="dxa"/>
            </w:tcMar>
            <w:vAlign w:val="center"/>
          </w:tcPr>
          <w:p>
            <w:pPr>
              <w:widowControl/>
              <w:wordWrap w:val="0"/>
              <w:spacing w:line="480" w:lineRule="atLeast"/>
              <w:jc w:val="left"/>
              <w:textAlignment w:val="baseline"/>
              <w:rPr>
                <w:rFonts w:hint="default" w:ascii="Times New Roman" w:hAnsi="Times New Roman" w:eastAsia="方正仿宋_GBK" w:cs="Times New Roman"/>
                <w:i w:val="0"/>
                <w:color w:val="auto"/>
                <w:kern w:val="0"/>
                <w:sz w:val="21"/>
                <w:szCs w:val="21"/>
                <w:u w:val="none"/>
                <w:lang w:val="en-US" w:eastAsia="zh-CN" w:bidi="ar"/>
              </w:rPr>
            </w:pPr>
            <w:r>
              <w:rPr>
                <w:rFonts w:hint="default" w:ascii="Times New Roman" w:hAnsi="Times New Roman" w:eastAsia="方正仿宋_GBK" w:cs="Times New Roman"/>
                <w:i w:val="0"/>
                <w:color w:val="auto"/>
                <w:kern w:val="0"/>
                <w:sz w:val="21"/>
                <w:szCs w:val="21"/>
                <w:u w:val="none"/>
                <w:lang w:val="en-US" w:eastAsia="zh-CN" w:bidi="ar"/>
              </w:rPr>
              <w:t>在申报文件中提供符合项目实际需求、具体详细并具有可行性的项目服务方案（包括但不限于对本项目的工作计划、实施进度计划、人力资源安排计划、人员管理、服务反馈、应急响应预案等内容）进行评审：</w:t>
            </w:r>
          </w:p>
          <w:p>
            <w:pPr>
              <w:widowControl/>
              <w:wordWrap w:val="0"/>
              <w:spacing w:line="480" w:lineRule="atLeast"/>
              <w:jc w:val="left"/>
              <w:textAlignment w:val="baseline"/>
              <w:rPr>
                <w:rFonts w:hint="default" w:ascii="Times New Roman" w:hAnsi="Times New Roman" w:eastAsia="方正仿宋_GBK" w:cs="Times New Roman"/>
                <w:i w:val="0"/>
                <w:color w:val="auto"/>
                <w:kern w:val="0"/>
                <w:sz w:val="21"/>
                <w:szCs w:val="21"/>
                <w:u w:val="none"/>
                <w:lang w:val="en-US" w:eastAsia="zh-CN" w:bidi="ar"/>
              </w:rPr>
            </w:pPr>
            <w:r>
              <w:rPr>
                <w:rFonts w:hint="default" w:ascii="Times New Roman" w:hAnsi="Times New Roman" w:eastAsia="方正仿宋_GBK" w:cs="Times New Roman"/>
                <w:i w:val="0"/>
                <w:color w:val="auto"/>
                <w:kern w:val="0"/>
                <w:sz w:val="21"/>
                <w:szCs w:val="21"/>
                <w:u w:val="none"/>
                <w:lang w:val="en-US" w:eastAsia="zh-CN" w:bidi="ar"/>
              </w:rPr>
              <w:t>1.项目服务方案符合实际，可行性、专业度高，服务保障有力，评价为优，得20分；</w:t>
            </w:r>
          </w:p>
          <w:p>
            <w:pPr>
              <w:widowControl/>
              <w:wordWrap w:val="0"/>
              <w:spacing w:line="480" w:lineRule="atLeast"/>
              <w:jc w:val="left"/>
              <w:textAlignment w:val="baseline"/>
              <w:rPr>
                <w:rFonts w:hint="default" w:ascii="Times New Roman" w:hAnsi="Times New Roman" w:eastAsia="方正仿宋_GBK" w:cs="Times New Roman"/>
                <w:i w:val="0"/>
                <w:color w:val="auto"/>
                <w:kern w:val="0"/>
                <w:sz w:val="21"/>
                <w:szCs w:val="21"/>
                <w:u w:val="none"/>
                <w:lang w:val="en-US" w:eastAsia="zh-CN" w:bidi="ar"/>
              </w:rPr>
            </w:pPr>
            <w:r>
              <w:rPr>
                <w:rFonts w:hint="default" w:ascii="Times New Roman" w:hAnsi="Times New Roman" w:eastAsia="方正仿宋_GBK" w:cs="Times New Roman"/>
                <w:i w:val="0"/>
                <w:color w:val="auto"/>
                <w:kern w:val="0"/>
                <w:sz w:val="21"/>
                <w:szCs w:val="21"/>
                <w:u w:val="none"/>
                <w:lang w:val="en-US" w:eastAsia="zh-CN" w:bidi="ar"/>
              </w:rPr>
              <w:t>2.项目服务方案较符合实际，可行性、专业度较高，服务保障较好，评价为良好，得15分；</w:t>
            </w:r>
          </w:p>
          <w:p>
            <w:pPr>
              <w:widowControl/>
              <w:wordWrap w:val="0"/>
              <w:spacing w:line="480" w:lineRule="atLeast"/>
              <w:jc w:val="left"/>
              <w:textAlignment w:val="baseline"/>
              <w:rPr>
                <w:rFonts w:hint="default" w:ascii="Times New Roman" w:hAnsi="Times New Roman" w:eastAsia="方正仿宋_GBK" w:cs="Times New Roman"/>
                <w:i w:val="0"/>
                <w:color w:val="auto"/>
                <w:kern w:val="0"/>
                <w:sz w:val="21"/>
                <w:szCs w:val="21"/>
                <w:u w:val="none"/>
                <w:lang w:val="en-US" w:eastAsia="zh-CN" w:bidi="ar"/>
              </w:rPr>
            </w:pPr>
            <w:r>
              <w:rPr>
                <w:rFonts w:hint="default" w:ascii="Times New Roman" w:hAnsi="Times New Roman" w:eastAsia="方正仿宋_GBK" w:cs="Times New Roman"/>
                <w:i w:val="0"/>
                <w:color w:val="auto"/>
                <w:kern w:val="0"/>
                <w:sz w:val="21"/>
                <w:szCs w:val="21"/>
                <w:u w:val="none"/>
                <w:lang w:val="en-US" w:eastAsia="zh-CN" w:bidi="ar"/>
              </w:rPr>
              <w:t>3.项目服务方案基本符合实际，基本具有可行性、专业度，具有基本服务保障，评价为一般，得10分；</w:t>
            </w:r>
          </w:p>
          <w:p>
            <w:pPr>
              <w:widowControl/>
              <w:wordWrap w:val="0"/>
              <w:spacing w:line="480" w:lineRule="atLeast"/>
              <w:jc w:val="left"/>
              <w:textAlignment w:val="baseline"/>
              <w:rPr>
                <w:rFonts w:hint="default" w:ascii="Times New Roman" w:hAnsi="Times New Roman" w:eastAsia="方正仿宋_GBK" w:cs="Times New Roman"/>
                <w:i w:val="0"/>
                <w:color w:val="auto"/>
                <w:kern w:val="0"/>
                <w:sz w:val="21"/>
                <w:szCs w:val="21"/>
                <w:u w:val="none"/>
                <w:lang w:val="en-US" w:eastAsia="zh-CN" w:bidi="ar"/>
              </w:rPr>
            </w:pPr>
            <w:r>
              <w:rPr>
                <w:rFonts w:hint="default" w:ascii="Times New Roman" w:hAnsi="Times New Roman" w:eastAsia="方正仿宋_GBK" w:cs="Times New Roman"/>
                <w:i w:val="0"/>
                <w:color w:val="auto"/>
                <w:kern w:val="0"/>
                <w:sz w:val="21"/>
                <w:szCs w:val="21"/>
                <w:u w:val="none"/>
                <w:lang w:val="en-US" w:eastAsia="zh-CN" w:bidi="ar"/>
              </w:rPr>
              <w:t>4.项目服务方案不符合实际，可行性、专业性较差，服务保障较差，评价为差，得5分。</w:t>
            </w:r>
          </w:p>
          <w:p>
            <w:pPr>
              <w:widowControl/>
              <w:wordWrap w:val="0"/>
              <w:spacing w:line="480" w:lineRule="atLeast"/>
              <w:jc w:val="left"/>
              <w:textAlignment w:val="baseline"/>
              <w:rPr>
                <w:rFonts w:hint="default" w:ascii="Times New Roman" w:hAnsi="Times New Roman" w:eastAsia="方正仿宋_GBK" w:cs="Times New Roman"/>
                <w:i w:val="0"/>
                <w:color w:val="auto"/>
                <w:kern w:val="0"/>
                <w:sz w:val="21"/>
                <w:szCs w:val="21"/>
                <w:u w:val="none"/>
                <w:lang w:val="en-US" w:eastAsia="zh-CN" w:bidi="ar"/>
              </w:rPr>
            </w:pPr>
            <w:r>
              <w:rPr>
                <w:rFonts w:hint="default" w:ascii="Times New Roman" w:hAnsi="Times New Roman" w:eastAsia="方正仿宋_GBK" w:cs="Times New Roman"/>
                <w:i w:val="0"/>
                <w:color w:val="auto"/>
                <w:kern w:val="0"/>
                <w:sz w:val="21"/>
                <w:szCs w:val="21"/>
                <w:u w:val="none"/>
                <w:lang w:val="en-US" w:eastAsia="zh-CN" w:bidi="ar"/>
              </w:rPr>
              <w:t>5.未提供项目组织实施方案的不得分。</w:t>
            </w:r>
          </w:p>
        </w:tc>
      </w:tr>
      <w:tr>
        <w:tblPrEx>
          <w:tblCellMar>
            <w:top w:w="0" w:type="dxa"/>
            <w:left w:w="0" w:type="dxa"/>
            <w:bottom w:w="0" w:type="dxa"/>
            <w:right w:w="0" w:type="dxa"/>
          </w:tblCellMar>
        </w:tblPrEx>
        <w:trPr>
          <w:trHeight w:val="2109" w:hRule="atLeast"/>
        </w:trPr>
        <w:tc>
          <w:tcPr>
            <w:tcW w:w="1560" w:type="dxa"/>
            <w:tcBorders>
              <w:top w:val="single" w:color="auto" w:sz="4" w:space="0"/>
              <w:left w:val="single" w:color="auto" w:sz="4" w:space="0"/>
              <w:bottom w:val="single" w:color="auto" w:sz="4" w:space="0"/>
              <w:right w:val="single" w:color="auto" w:sz="4" w:space="0"/>
            </w:tcBorders>
            <w:vAlign w:val="center"/>
          </w:tcPr>
          <w:p>
            <w:pPr>
              <w:widowControl/>
              <w:wordWrap w:val="0"/>
              <w:spacing w:before="150" w:line="480" w:lineRule="atLeast"/>
              <w:jc w:val="center"/>
              <w:textAlignment w:val="baseline"/>
              <w:rPr>
                <w:rFonts w:hint="default" w:ascii="Times New Roman" w:hAnsi="Times New Roman" w:eastAsia="方正仿宋_GBK" w:cs="Times New Roman"/>
                <w:color w:val="auto"/>
                <w:kern w:val="0"/>
                <w:sz w:val="20"/>
                <w:szCs w:val="20"/>
                <w:highlight w:val="none"/>
                <w:lang w:eastAsia="zh-CN"/>
              </w:rPr>
            </w:pPr>
            <w:r>
              <w:rPr>
                <w:rFonts w:hint="default" w:ascii="Times New Roman" w:hAnsi="Times New Roman" w:eastAsia="方正仿宋_GBK" w:cs="Times New Roman"/>
                <w:i w:val="0"/>
                <w:color w:val="auto"/>
                <w:kern w:val="0"/>
                <w:sz w:val="21"/>
                <w:szCs w:val="21"/>
                <w:u w:val="none"/>
                <w:lang w:val="en-US" w:eastAsia="zh-CN" w:bidi="ar"/>
              </w:rPr>
              <w:t>项目负责人</w:t>
            </w:r>
          </w:p>
        </w:tc>
        <w:tc>
          <w:tcPr>
            <w:tcW w:w="1140" w:type="dxa"/>
            <w:tcBorders>
              <w:top w:val="single" w:color="auto" w:sz="4" w:space="0"/>
              <w:left w:val="single" w:color="auto" w:sz="4" w:space="0"/>
              <w:bottom w:val="single" w:color="auto" w:sz="4" w:space="0"/>
              <w:right w:val="single" w:color="auto" w:sz="4" w:space="0"/>
            </w:tcBorders>
            <w:tcMar>
              <w:top w:w="75" w:type="dxa"/>
              <w:left w:w="105" w:type="dxa"/>
              <w:bottom w:w="75" w:type="dxa"/>
              <w:right w:w="105" w:type="dxa"/>
            </w:tcMar>
            <w:vAlign w:val="center"/>
          </w:tcPr>
          <w:p>
            <w:pPr>
              <w:bidi w:val="0"/>
              <w:jc w:val="center"/>
              <w:rPr>
                <w:rFonts w:hint="default" w:ascii="Times New Roman" w:hAnsi="Times New Roman" w:eastAsia="方正仿宋_GBK" w:cs="Times New Roman"/>
                <w:color w:val="auto"/>
                <w:lang w:val="en-US" w:eastAsia="zh-CN"/>
              </w:rPr>
            </w:pPr>
            <w:r>
              <w:rPr>
                <w:rFonts w:hint="default" w:ascii="Times New Roman" w:hAnsi="Times New Roman" w:eastAsia="方正仿宋_GBK" w:cs="Times New Roman"/>
                <w:color w:val="auto"/>
                <w:lang w:val="en-US" w:eastAsia="zh-CN"/>
              </w:rPr>
              <w:t>10</w:t>
            </w:r>
          </w:p>
        </w:tc>
        <w:tc>
          <w:tcPr>
            <w:tcW w:w="6210" w:type="dxa"/>
            <w:tcBorders>
              <w:top w:val="nil"/>
              <w:left w:val="single" w:color="auto" w:sz="4" w:space="0"/>
              <w:bottom w:val="single" w:color="000000" w:sz="8" w:space="0"/>
              <w:right w:val="single" w:color="000000" w:sz="8" w:space="0"/>
            </w:tcBorders>
            <w:tcMar>
              <w:top w:w="75" w:type="dxa"/>
              <w:left w:w="105" w:type="dxa"/>
              <w:bottom w:w="75" w:type="dxa"/>
              <w:right w:w="105" w:type="dxa"/>
            </w:tcMar>
            <w:vAlign w:val="center"/>
          </w:tcPr>
          <w:p>
            <w:pPr>
              <w:widowControl/>
              <w:wordWrap w:val="0"/>
              <w:spacing w:line="480" w:lineRule="atLeast"/>
              <w:jc w:val="left"/>
              <w:textAlignment w:val="baseline"/>
              <w:rPr>
                <w:rFonts w:hint="default" w:ascii="Times New Roman" w:hAnsi="Times New Roman" w:eastAsia="方正仿宋_GBK" w:cs="Times New Roman"/>
                <w:i w:val="0"/>
                <w:color w:val="auto"/>
                <w:kern w:val="0"/>
                <w:sz w:val="21"/>
                <w:szCs w:val="21"/>
                <w:u w:val="none"/>
                <w:lang w:val="en-US" w:eastAsia="zh-CN" w:bidi="ar"/>
              </w:rPr>
            </w:pPr>
            <w:r>
              <w:rPr>
                <w:rFonts w:hint="default" w:ascii="Times New Roman" w:hAnsi="Times New Roman" w:eastAsia="方正仿宋_GBK" w:cs="Times New Roman"/>
                <w:i w:val="0"/>
                <w:color w:val="auto"/>
                <w:kern w:val="0"/>
                <w:sz w:val="21"/>
                <w:szCs w:val="21"/>
                <w:u w:val="none"/>
                <w:lang w:val="en-US" w:eastAsia="zh-CN" w:bidi="ar"/>
              </w:rPr>
              <w:t>供应商需为本项目安排1名已经为其购买了社保的人员作为本项目负责人，负责本项目从领取成交通知书开始至项目验收完成的相关工作。满足此项需求得10分，无不得分。</w:t>
            </w:r>
          </w:p>
        </w:tc>
      </w:tr>
      <w:tr>
        <w:tblPrEx>
          <w:tblCellMar>
            <w:top w:w="0" w:type="dxa"/>
            <w:left w:w="0" w:type="dxa"/>
            <w:bottom w:w="0" w:type="dxa"/>
            <w:right w:w="0" w:type="dxa"/>
          </w:tblCellMar>
        </w:tblPrEx>
        <w:trPr>
          <w:trHeight w:val="535" w:hRule="atLeast"/>
        </w:trPr>
        <w:tc>
          <w:tcPr>
            <w:tcW w:w="8910" w:type="dxa"/>
            <w:gridSpan w:val="3"/>
            <w:tcBorders>
              <w:top w:val="nil"/>
              <w:left w:val="single" w:color="000000" w:sz="8" w:space="0"/>
              <w:bottom w:val="single" w:color="000000" w:sz="8" w:space="0"/>
              <w:right w:val="single" w:color="000000" w:sz="8" w:space="0"/>
            </w:tcBorders>
            <w:tcMar>
              <w:top w:w="75" w:type="dxa"/>
              <w:left w:w="105" w:type="dxa"/>
              <w:bottom w:w="75" w:type="dxa"/>
              <w:right w:w="105" w:type="dxa"/>
            </w:tcMar>
            <w:vAlign w:val="center"/>
          </w:tcPr>
          <w:p>
            <w:pPr>
              <w:widowControl/>
              <w:wordWrap w:val="0"/>
              <w:spacing w:before="150" w:line="480" w:lineRule="atLeast"/>
              <w:textAlignment w:val="baseline"/>
              <w:rPr>
                <w:rFonts w:hint="default" w:ascii="Times New Roman" w:hAnsi="Times New Roman" w:eastAsia="方正仿宋_GBK" w:cs="Times New Roman"/>
                <w:color w:val="auto"/>
                <w:kern w:val="0"/>
                <w:sz w:val="20"/>
                <w:szCs w:val="20"/>
                <w:highlight w:val="none"/>
              </w:rPr>
            </w:pPr>
            <w:r>
              <w:rPr>
                <w:rFonts w:hint="default" w:ascii="Times New Roman" w:hAnsi="Times New Roman" w:eastAsia="方正仿宋_GBK" w:cs="Times New Roman"/>
                <w:color w:val="auto"/>
                <w:kern w:val="0"/>
                <w:sz w:val="21"/>
                <w:szCs w:val="21"/>
                <w:highlight w:val="none"/>
              </w:rPr>
              <w:t>备注：</w:t>
            </w:r>
            <w:r>
              <w:rPr>
                <w:rFonts w:hint="default" w:ascii="Times New Roman" w:hAnsi="Times New Roman" w:eastAsia="方正仿宋_GBK" w:cs="Times New Roman"/>
                <w:color w:val="auto"/>
                <w:kern w:val="0"/>
                <w:sz w:val="21"/>
                <w:szCs w:val="21"/>
                <w:highlight w:val="none"/>
                <w:lang w:eastAsia="zh-CN"/>
              </w:rPr>
              <w:t>本评分标准总分为</w:t>
            </w:r>
            <w:r>
              <w:rPr>
                <w:rFonts w:hint="default" w:ascii="Times New Roman" w:hAnsi="Times New Roman" w:eastAsia="方正仿宋_GBK" w:cs="Times New Roman"/>
                <w:color w:val="auto"/>
                <w:kern w:val="0"/>
                <w:sz w:val="21"/>
                <w:szCs w:val="21"/>
                <w:highlight w:val="none"/>
                <w:lang w:val="en-US" w:eastAsia="zh-CN"/>
              </w:rPr>
              <w:t>100分。</w:t>
            </w:r>
            <w:r>
              <w:rPr>
                <w:rFonts w:hint="default" w:ascii="Times New Roman" w:hAnsi="Times New Roman" w:eastAsia="方正仿宋_GBK" w:cs="Times New Roman"/>
                <w:color w:val="auto"/>
                <w:kern w:val="0"/>
                <w:sz w:val="21"/>
                <w:szCs w:val="21"/>
                <w:highlight w:val="none"/>
              </w:rPr>
              <w:t>以上均需提供相关佐证资料，不提供得0分。</w:t>
            </w:r>
          </w:p>
        </w:tc>
      </w:tr>
      <w:tr>
        <w:tblPrEx>
          <w:tblCellMar>
            <w:top w:w="0" w:type="dxa"/>
            <w:left w:w="0" w:type="dxa"/>
            <w:bottom w:w="0" w:type="dxa"/>
            <w:right w:w="0" w:type="dxa"/>
          </w:tblCellMar>
        </w:tblPrEx>
        <w:trPr>
          <w:trHeight w:val="435" w:hRule="atLeast"/>
        </w:trPr>
        <w:tc>
          <w:tcPr>
            <w:tcW w:w="8910" w:type="dxa"/>
            <w:gridSpan w:val="3"/>
            <w:tcBorders>
              <w:top w:val="nil"/>
              <w:left w:val="single" w:color="000000" w:sz="8" w:space="0"/>
              <w:bottom w:val="single" w:color="000000" w:sz="8" w:space="0"/>
              <w:right w:val="single" w:color="000000" w:sz="8" w:space="0"/>
            </w:tcBorders>
            <w:tcMar>
              <w:top w:w="75" w:type="dxa"/>
              <w:left w:w="105" w:type="dxa"/>
              <w:bottom w:w="75" w:type="dxa"/>
              <w:right w:w="105" w:type="dxa"/>
            </w:tcMar>
            <w:vAlign w:val="center"/>
          </w:tcPr>
          <w:p>
            <w:pPr>
              <w:widowControl/>
              <w:wordWrap w:val="0"/>
              <w:spacing w:line="480" w:lineRule="atLeast"/>
              <w:jc w:val="left"/>
              <w:textAlignment w:val="baseline"/>
              <w:rPr>
                <w:rFonts w:hint="default" w:ascii="Times New Roman" w:hAnsi="Times New Roman" w:eastAsia="方正仿宋_GBK" w:cs="Times New Roman"/>
                <w:color w:val="auto"/>
                <w:kern w:val="0"/>
                <w:sz w:val="20"/>
                <w:szCs w:val="20"/>
                <w:highlight w:val="none"/>
                <w:lang w:eastAsia="zh-CN"/>
              </w:rPr>
            </w:pPr>
            <w:r>
              <w:rPr>
                <w:rFonts w:hint="default" w:ascii="Times New Roman" w:hAnsi="Times New Roman" w:eastAsia="方正仿宋_GBK" w:cs="Times New Roman"/>
                <w:b/>
                <w:bCs/>
                <w:color w:val="auto"/>
                <w:kern w:val="0"/>
                <w:sz w:val="20"/>
                <w:szCs w:val="20"/>
                <w:highlight w:val="none"/>
              </w:rPr>
              <w:t>总分</w:t>
            </w:r>
            <w:r>
              <w:rPr>
                <w:rFonts w:hint="default" w:ascii="Times New Roman" w:hAnsi="Times New Roman" w:eastAsia="方正仿宋_GBK" w:cs="Times New Roman"/>
                <w:b/>
                <w:bCs/>
                <w:color w:val="auto"/>
                <w:kern w:val="0"/>
                <w:sz w:val="20"/>
                <w:szCs w:val="20"/>
                <w:highlight w:val="none"/>
                <w:lang w:eastAsia="zh-CN"/>
              </w:rPr>
              <w:t>：</w:t>
            </w:r>
          </w:p>
        </w:tc>
      </w:tr>
    </w:tbl>
    <w:p>
      <w:pPr>
        <w:rPr>
          <w:b/>
          <w:bCs/>
          <w:color w:val="auto"/>
        </w:rPr>
      </w:pPr>
    </w:p>
    <w:sectPr>
      <w:footerReference r:id="rId3" w:type="default"/>
      <w:pgSz w:w="11906" w:h="16838"/>
      <w:pgMar w:top="1383" w:right="1800" w:bottom="138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29F3B86-099A-46C5-AE0B-E0F46C0D574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F63ACC9B-5E36-460B-9048-D2B48F0F9891}"/>
  </w:font>
  <w:font w:name="方正小标宋_GBK">
    <w:panose1 w:val="03000502000000000000"/>
    <w:charset w:val="86"/>
    <w:family w:val="auto"/>
    <w:pitch w:val="default"/>
    <w:sig w:usb0="00000001" w:usb1="080E0000" w:usb2="00000000" w:usb3="00000000" w:csb0="00040000" w:csb1="00000000"/>
    <w:embedRegular r:id="rId3" w:fontKey="{20116EEF-2925-4485-8F94-F6574E7B5A8B}"/>
  </w:font>
  <w:font w:name="方正仿宋_GBK">
    <w:panose1 w:val="03000509000000000000"/>
    <w:charset w:val="86"/>
    <w:family w:val="auto"/>
    <w:pitch w:val="default"/>
    <w:sig w:usb0="00000001" w:usb1="080E0000" w:usb2="00000000" w:usb3="00000000" w:csb0="00040000" w:csb1="00000000"/>
    <w:embedRegular r:id="rId4" w:fontKey="{0A7FA52B-9CC3-4D24-B360-727DB653099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8A2731"/>
    <w:rsid w:val="0B0832E7"/>
    <w:rsid w:val="1102754C"/>
    <w:rsid w:val="12725D3B"/>
    <w:rsid w:val="19507F96"/>
    <w:rsid w:val="20895851"/>
    <w:rsid w:val="248420F6"/>
    <w:rsid w:val="38114635"/>
    <w:rsid w:val="3B616116"/>
    <w:rsid w:val="3B8A2731"/>
    <w:rsid w:val="406B0566"/>
    <w:rsid w:val="4B8443DA"/>
    <w:rsid w:val="4EF0573D"/>
    <w:rsid w:val="516D2916"/>
    <w:rsid w:val="57141B1A"/>
    <w:rsid w:val="5A3F36E9"/>
    <w:rsid w:val="6B9C00E3"/>
    <w:rsid w:val="6D143C9E"/>
    <w:rsid w:val="71EE0EE5"/>
    <w:rsid w:val="76631F55"/>
    <w:rsid w:val="79F13C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9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toc 2"/>
    <w:basedOn w:val="1"/>
    <w:next w:val="1"/>
    <w:qFormat/>
    <w:uiPriority w:val="99"/>
    <w:pPr>
      <w:ind w:left="420" w:leftChars="200"/>
    </w:pPr>
  </w:style>
  <w:style w:type="paragraph" w:styleId="3">
    <w:name w:val="Body Text"/>
    <w:basedOn w:val="1"/>
    <w:qFormat/>
    <w:uiPriority w:val="0"/>
    <w:pPr>
      <w:spacing w:after="12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博罗县</Company>
  <Pages>2</Pages>
  <Words>910</Words>
  <Characters>955</Characters>
  <Lines>0</Lines>
  <Paragraphs>0</Paragraphs>
  <TotalTime>62</TotalTime>
  <ScaleCrop>false</ScaleCrop>
  <LinksUpToDate>false</LinksUpToDate>
  <CharactersWithSpaces>955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2025-03-26T00:11:00Z</dcterms:created>
  <dc:creator>asd</dc:creator>
  <cp:lastModifiedBy>順333禄</cp:lastModifiedBy>
  <dcterms:modified xsi:type="dcterms:W3CDTF">2025-08-25T02:07:23Z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339643726FF64FBF864DED806D651CE3</vt:lpwstr>
  </property>
  <property fmtid="{D5CDD505-2E9C-101B-9397-08002B2CF9AE}" pid="4" name="KSOTemplateDocerSaveRecord">
    <vt:lpwstr>eyJoZGlkIjoiYmI2NDRjYWEyN2U2MGVlYTMzZmM4MjU4ZjUyY2FiNzIiLCJ1c2VySWQiOiI0NTkxNzUyMDAifQ==</vt:lpwstr>
  </property>
</Properties>
</file>