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9B4282">
      <w:pPr>
        <w:rPr>
          <w:rFonts w:hint="eastAsia" w:eastAsia="仿宋_GB2312" w:cs="Times New Roman"/>
          <w:color w:val="auto"/>
          <w:sz w:val="36"/>
          <w:szCs w:val="36"/>
          <w:lang w:val="en-US" w:eastAsia="zh-CN"/>
        </w:rPr>
      </w:pPr>
      <w:r>
        <w:rPr>
          <w:rFonts w:hint="eastAsia" w:eastAsia="仿宋_GB2312" w:cs="Times New Roman"/>
          <w:color w:val="auto"/>
          <w:sz w:val="36"/>
          <w:szCs w:val="36"/>
          <w:lang w:val="en-US" w:eastAsia="zh-CN"/>
        </w:rPr>
        <w:t xml:space="preserve"> </w:t>
      </w:r>
    </w:p>
    <w:p w14:paraId="45A7F994">
      <w:pPr>
        <w:pStyle w:val="5"/>
        <w:rPr>
          <w:rFonts w:hint="eastAsia" w:eastAsia="仿宋_GB2312" w:cs="Times New Roman"/>
          <w:color w:val="auto"/>
          <w:sz w:val="36"/>
          <w:szCs w:val="36"/>
          <w:lang w:val="en-US" w:eastAsia="zh-CN"/>
        </w:rPr>
      </w:pPr>
    </w:p>
    <w:p w14:paraId="665C68BC">
      <w:pPr>
        <w:rPr>
          <w:rFonts w:hint="eastAsia"/>
          <w:color w:val="auto"/>
          <w:lang w:val="en-US" w:eastAsia="zh-CN"/>
        </w:rPr>
      </w:pPr>
    </w:p>
    <w:p w14:paraId="008B91B2">
      <w:pPr>
        <w:rPr>
          <w:rFonts w:hint="default" w:ascii="Times New Roman" w:hAnsi="Times New Roman" w:eastAsia="仿宋_GB2312" w:cs="Times New Roman"/>
          <w:color w:val="auto"/>
          <w:sz w:val="36"/>
          <w:szCs w:val="36"/>
        </w:rPr>
      </w:pPr>
    </w:p>
    <w:p w14:paraId="3351F86C">
      <w:pPr>
        <w:adjustRightInd w:val="0"/>
        <w:snapToGrid w:val="0"/>
        <w:jc w:val="center"/>
        <w:outlineLvl w:val="0"/>
        <w:rPr>
          <w:rFonts w:hint="default" w:ascii="Times New Roman" w:hAnsi="Times New Roman" w:eastAsia="方正小标宋_GBK" w:cs="Times New Roman"/>
          <w:bCs/>
          <w:color w:val="auto"/>
          <w:sz w:val="72"/>
          <w:szCs w:val="72"/>
        </w:rPr>
      </w:pPr>
      <w:r>
        <w:rPr>
          <w:rFonts w:hint="default" w:ascii="Times New Roman" w:hAnsi="Times New Roman" w:eastAsia="方正小标宋_GBK" w:cs="Times New Roman"/>
          <w:bCs/>
          <w:color w:val="auto"/>
          <w:sz w:val="72"/>
          <w:szCs w:val="72"/>
        </w:rPr>
        <w:t>建设项目环境影响报告表</w:t>
      </w:r>
    </w:p>
    <w:p w14:paraId="078BB2F1">
      <w:pPr>
        <w:adjustRightInd w:val="0"/>
        <w:snapToGrid w:val="0"/>
        <w:spacing w:before="192" w:beforeLines="80"/>
        <w:jc w:val="center"/>
        <w:rPr>
          <w:rFonts w:hint="default" w:ascii="Times New Roman" w:hAnsi="Times New Roman" w:eastAsia="楷体_GB2312" w:cs="Times New Roman"/>
          <w:bCs/>
          <w:color w:val="auto"/>
          <w:sz w:val="48"/>
          <w:szCs w:val="48"/>
        </w:rPr>
      </w:pPr>
      <w:r>
        <w:rPr>
          <w:rFonts w:hint="default" w:ascii="Times New Roman" w:hAnsi="Times New Roman" w:eastAsia="楷体_GB2312" w:cs="Times New Roman"/>
          <w:bCs/>
          <w:color w:val="auto"/>
          <w:sz w:val="48"/>
          <w:szCs w:val="48"/>
        </w:rPr>
        <w:t>（污染影响类）</w:t>
      </w:r>
    </w:p>
    <w:p w14:paraId="6226D250">
      <w:pPr>
        <w:adjustRightInd w:val="0"/>
        <w:snapToGrid w:val="0"/>
        <w:spacing w:line="288" w:lineRule="auto"/>
        <w:jc w:val="center"/>
        <w:rPr>
          <w:rFonts w:hint="default" w:ascii="Times New Roman" w:hAnsi="Times New Roman" w:eastAsia="华文仿宋" w:cs="Times New Roman"/>
          <w:color w:val="auto"/>
          <w:kern w:val="44"/>
          <w:sz w:val="44"/>
          <w:szCs w:val="44"/>
        </w:rPr>
      </w:pPr>
    </w:p>
    <w:p w14:paraId="212BDB3D">
      <w:pPr>
        <w:adjustRightInd w:val="0"/>
        <w:snapToGrid w:val="0"/>
        <w:spacing w:line="288" w:lineRule="auto"/>
        <w:rPr>
          <w:rFonts w:hint="default" w:ascii="Times New Roman" w:hAnsi="Times New Roman" w:eastAsia="华文仿宋" w:cs="Times New Roman"/>
          <w:color w:val="auto"/>
          <w:kern w:val="44"/>
          <w:sz w:val="44"/>
          <w:szCs w:val="44"/>
        </w:rPr>
      </w:pPr>
    </w:p>
    <w:p w14:paraId="0D3606B1">
      <w:pPr>
        <w:adjustRightInd w:val="0"/>
        <w:snapToGrid w:val="0"/>
        <w:spacing w:line="288" w:lineRule="auto"/>
        <w:rPr>
          <w:rFonts w:hint="default" w:ascii="Times New Roman" w:hAnsi="Times New Roman" w:eastAsia="华文仿宋" w:cs="Times New Roman"/>
          <w:color w:val="auto"/>
          <w:kern w:val="44"/>
          <w:sz w:val="44"/>
          <w:szCs w:val="44"/>
        </w:rPr>
      </w:pPr>
    </w:p>
    <w:p w14:paraId="256CB72E">
      <w:pPr>
        <w:adjustRightInd w:val="0"/>
        <w:snapToGrid w:val="0"/>
        <w:spacing w:line="288" w:lineRule="auto"/>
        <w:rPr>
          <w:rFonts w:hint="default" w:ascii="Times New Roman" w:hAnsi="Times New Roman" w:eastAsia="仿宋_GB2312" w:cs="Times New Roman"/>
          <w:color w:val="auto"/>
          <w:sz w:val="36"/>
          <w:szCs w:val="36"/>
          <w:u w:val="single"/>
          <w:lang w:eastAsia="zh-CN"/>
        </w:rPr>
      </w:pPr>
      <w:r>
        <w:rPr>
          <w:rFonts w:hint="default" w:ascii="Times New Roman" w:hAnsi="Times New Roman" w:eastAsia="仿宋_GB2312" w:cs="Times New Roman"/>
          <w:color w:val="auto"/>
          <w:sz w:val="36"/>
          <w:szCs w:val="36"/>
        </w:rPr>
        <w:t xml:space="preserve">项目名称： </w:t>
      </w:r>
      <w:r>
        <w:rPr>
          <w:rFonts w:hint="eastAsia" w:eastAsia="仿宋_GB2312" w:cs="Times New Roman"/>
          <w:color w:val="auto"/>
          <w:sz w:val="36"/>
          <w:szCs w:val="36"/>
          <w:u w:val="single"/>
          <w:lang w:eastAsia="zh-CN"/>
        </w:rPr>
        <w:t>惠州众亿电子科技有限公司</w:t>
      </w:r>
      <w:r>
        <w:rPr>
          <w:rFonts w:hint="default" w:ascii="Times New Roman" w:hAnsi="Times New Roman" w:eastAsia="仿宋_GB2312" w:cs="Times New Roman"/>
          <w:color w:val="auto"/>
          <w:sz w:val="36"/>
          <w:szCs w:val="36"/>
          <w:u w:val="single"/>
          <w:lang w:eastAsia="zh-CN"/>
        </w:rPr>
        <w:t>建设项目</w:t>
      </w:r>
    </w:p>
    <w:p w14:paraId="6B46BEAB">
      <w:pPr>
        <w:adjustRightInd w:val="0"/>
        <w:snapToGrid w:val="0"/>
        <w:spacing w:line="288" w:lineRule="auto"/>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建设单位（盖章）：</w:t>
      </w:r>
      <w:r>
        <w:rPr>
          <w:rFonts w:hint="eastAsia" w:eastAsia="仿宋_GB2312" w:cs="Times New Roman"/>
          <w:color w:val="auto"/>
          <w:sz w:val="36"/>
          <w:szCs w:val="36"/>
          <w:u w:val="single"/>
          <w:lang w:eastAsia="zh-CN"/>
        </w:rPr>
        <w:t>惠州众亿电子科技有限公司</w:t>
      </w:r>
      <w:r>
        <w:rPr>
          <w:rFonts w:hint="default" w:ascii="Times New Roman" w:hAnsi="Times New Roman" w:eastAsia="仿宋_GB2312" w:cs="Times New Roman"/>
          <w:color w:val="auto"/>
          <w:sz w:val="36"/>
          <w:szCs w:val="36"/>
          <w:u w:val="single"/>
        </w:rPr>
        <w:t xml:space="preserve"> </w:t>
      </w:r>
    </w:p>
    <w:p w14:paraId="6829E2F0">
      <w:pPr>
        <w:adjustRightInd w:val="0"/>
        <w:snapToGrid w:val="0"/>
        <w:spacing w:line="288" w:lineRule="auto"/>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编制日期：</w:t>
      </w:r>
      <w:r>
        <w:rPr>
          <w:rFonts w:hint="default" w:ascii="Times New Roman" w:hAnsi="Times New Roman" w:eastAsia="仿宋_GB2312" w:cs="Times New Roman"/>
          <w:color w:val="auto"/>
          <w:sz w:val="36"/>
          <w:szCs w:val="36"/>
          <w:u w:val="single"/>
        </w:rPr>
        <w:t xml:space="preserve">              202</w:t>
      </w:r>
      <w:r>
        <w:rPr>
          <w:rFonts w:hint="default" w:ascii="Times New Roman" w:hAnsi="Times New Roman" w:eastAsia="仿宋_GB2312" w:cs="Times New Roman"/>
          <w:color w:val="auto"/>
          <w:sz w:val="36"/>
          <w:szCs w:val="36"/>
          <w:u w:val="single"/>
          <w:lang w:val="en-US" w:eastAsia="zh-CN"/>
        </w:rPr>
        <w:t>5</w:t>
      </w:r>
      <w:r>
        <w:rPr>
          <w:rFonts w:hint="default" w:ascii="Times New Roman" w:hAnsi="Times New Roman" w:eastAsia="仿宋_GB2312" w:cs="Times New Roman"/>
          <w:color w:val="auto"/>
          <w:sz w:val="36"/>
          <w:szCs w:val="36"/>
          <w:u w:val="single"/>
        </w:rPr>
        <w:t>年</w:t>
      </w:r>
      <w:r>
        <w:rPr>
          <w:rFonts w:hint="eastAsia" w:eastAsia="仿宋_GB2312" w:cs="Times New Roman"/>
          <w:color w:val="auto"/>
          <w:sz w:val="36"/>
          <w:szCs w:val="36"/>
          <w:u w:val="single"/>
          <w:lang w:val="en-US" w:eastAsia="zh-CN"/>
        </w:rPr>
        <w:t>8</w:t>
      </w:r>
      <w:r>
        <w:rPr>
          <w:rFonts w:hint="default" w:ascii="Times New Roman" w:hAnsi="Times New Roman" w:eastAsia="仿宋_GB2312" w:cs="Times New Roman"/>
          <w:color w:val="auto"/>
          <w:sz w:val="36"/>
          <w:szCs w:val="36"/>
          <w:u w:val="single"/>
        </w:rPr>
        <w:t xml:space="preserve">月             </w:t>
      </w:r>
    </w:p>
    <w:p w14:paraId="71C0407B">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0" w:name="_Hlk57884087"/>
    </w:p>
    <w:p w14:paraId="0BA2FC77">
      <w:pPr>
        <w:adjustRightInd w:val="0"/>
        <w:snapToGrid w:val="0"/>
        <w:spacing w:line="288" w:lineRule="auto"/>
        <w:ind w:firstLine="1040"/>
        <w:rPr>
          <w:rFonts w:hint="default" w:ascii="Times New Roman" w:hAnsi="Times New Roman" w:eastAsia="仿宋_GB2312" w:cs="Times New Roman"/>
          <w:color w:val="auto"/>
          <w:sz w:val="36"/>
          <w:szCs w:val="36"/>
          <w:u w:val="single"/>
        </w:rPr>
      </w:pPr>
    </w:p>
    <w:p w14:paraId="5BC472C1">
      <w:pPr>
        <w:adjustRightInd w:val="0"/>
        <w:snapToGrid w:val="0"/>
        <w:spacing w:line="288" w:lineRule="auto"/>
        <w:ind w:firstLine="1040"/>
        <w:rPr>
          <w:rFonts w:hint="default" w:ascii="Times New Roman" w:hAnsi="Times New Roman" w:eastAsia="仿宋_GB2312" w:cs="Times New Roman"/>
          <w:color w:val="auto"/>
          <w:sz w:val="36"/>
          <w:szCs w:val="36"/>
          <w:u w:val="single"/>
        </w:rPr>
      </w:pPr>
    </w:p>
    <w:p w14:paraId="40152BDD">
      <w:pPr>
        <w:adjustRightInd w:val="0"/>
        <w:snapToGrid w:val="0"/>
        <w:spacing w:line="288" w:lineRule="auto"/>
        <w:ind w:firstLine="1040"/>
        <w:rPr>
          <w:rFonts w:hint="default" w:ascii="Times New Roman" w:hAnsi="Times New Roman" w:eastAsia="仿宋_GB2312" w:cs="Times New Roman"/>
          <w:color w:val="auto"/>
          <w:sz w:val="36"/>
          <w:szCs w:val="36"/>
          <w:u w:val="single"/>
        </w:rPr>
      </w:pPr>
    </w:p>
    <w:p w14:paraId="30C9E6D5">
      <w:pPr>
        <w:adjustRightInd w:val="0"/>
        <w:snapToGrid w:val="0"/>
        <w:spacing w:line="288" w:lineRule="auto"/>
        <w:rPr>
          <w:rFonts w:hint="default" w:ascii="Times New Roman" w:hAnsi="Times New Roman" w:eastAsia="仿宋_GB2312" w:cs="Times New Roman"/>
          <w:color w:val="auto"/>
          <w:sz w:val="36"/>
          <w:szCs w:val="36"/>
          <w:u w:val="single"/>
        </w:rPr>
      </w:pPr>
    </w:p>
    <w:bookmarkEnd w:id="0"/>
    <w:p w14:paraId="4C80106A">
      <w:pPr>
        <w:adjustRightInd w:val="0"/>
        <w:snapToGrid w:val="0"/>
        <w:spacing w:line="288" w:lineRule="auto"/>
        <w:jc w:val="center"/>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中华人民共和国生态环境部制</w:t>
      </w:r>
    </w:p>
    <w:p w14:paraId="6144AF69">
      <w:pPr>
        <w:adjustRightInd w:val="0"/>
        <w:snapToGrid w:val="0"/>
        <w:spacing w:line="288" w:lineRule="auto"/>
        <w:ind w:firstLine="1040"/>
        <w:rPr>
          <w:rFonts w:hint="default" w:ascii="Times New Roman" w:hAnsi="Times New Roman" w:eastAsia="仿宋_GB2312" w:cs="Times New Roman"/>
          <w:color w:val="auto"/>
          <w:sz w:val="36"/>
          <w:szCs w:val="36"/>
        </w:rPr>
        <w:sectPr>
          <w:footerReference r:id="rId7" w:type="first"/>
          <w:footerReference r:id="rId5" w:type="default"/>
          <w:footerReference r:id="rId6" w:type="even"/>
          <w:pgSz w:w="11906" w:h="16838"/>
          <w:pgMar w:top="1701" w:right="1531" w:bottom="1701" w:left="1531" w:header="851" w:footer="1077" w:gutter="0"/>
          <w:pgNumType w:start="3"/>
          <w:cols w:space="720" w:num="1"/>
          <w:docGrid w:linePitch="312" w:charSpace="0"/>
        </w:sectPr>
      </w:pPr>
    </w:p>
    <w:p w14:paraId="58E85789">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一、建设项目基本情况</w:t>
      </w:r>
    </w:p>
    <w:tbl>
      <w:tblPr>
        <w:tblStyle w:val="22"/>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40"/>
        <w:gridCol w:w="1493"/>
        <w:gridCol w:w="2496"/>
        <w:gridCol w:w="2103"/>
        <w:gridCol w:w="3007"/>
      </w:tblGrid>
      <w:tr w14:paraId="1A5F3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1D33067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建设项目名称</w:t>
            </w:r>
          </w:p>
        </w:tc>
        <w:tc>
          <w:tcPr>
            <w:tcW w:w="7606" w:type="dxa"/>
            <w:gridSpan w:val="3"/>
            <w:vAlign w:val="center"/>
          </w:tcPr>
          <w:p w14:paraId="6EE40B5C">
            <w:pPr>
              <w:adjustRightInd w:val="0"/>
              <w:snapToGrid w:val="0"/>
              <w:spacing w:line="240" w:lineRule="auto"/>
              <w:jc w:val="center"/>
              <w:rPr>
                <w:rFonts w:hint="default" w:ascii="Times New Roman" w:hAnsi="Times New Roman" w:eastAsia="宋体" w:cs="Times New Roman"/>
                <w:color w:val="auto"/>
                <w:lang w:eastAsia="zh-CN"/>
              </w:rPr>
            </w:pPr>
            <w:r>
              <w:rPr>
                <w:rFonts w:hint="eastAsia" w:cs="Times New Roman"/>
                <w:color w:val="auto"/>
                <w:lang w:eastAsia="zh-CN"/>
              </w:rPr>
              <w:t>惠州众亿电子科技有限公司</w:t>
            </w:r>
            <w:r>
              <w:rPr>
                <w:rFonts w:hint="default" w:ascii="Times New Roman" w:hAnsi="Times New Roman" w:cs="Times New Roman"/>
                <w:color w:val="auto"/>
                <w:lang w:eastAsia="zh-CN"/>
              </w:rPr>
              <w:t>建设项目</w:t>
            </w:r>
          </w:p>
        </w:tc>
      </w:tr>
      <w:tr w14:paraId="6705FB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73CC90B6">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项目代码</w:t>
            </w:r>
          </w:p>
        </w:tc>
        <w:tc>
          <w:tcPr>
            <w:tcW w:w="7606" w:type="dxa"/>
            <w:gridSpan w:val="3"/>
            <w:vAlign w:val="center"/>
          </w:tcPr>
          <w:p w14:paraId="4A5E63A5">
            <w:pPr>
              <w:adjustRightInd w:val="0"/>
              <w:snapToGrid w:val="0"/>
              <w:spacing w:line="24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2508-441322-04-01-902597</w:t>
            </w:r>
          </w:p>
        </w:tc>
      </w:tr>
      <w:tr w14:paraId="765CFC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2FABEFB6">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建设单位联系人</w:t>
            </w:r>
          </w:p>
        </w:tc>
        <w:tc>
          <w:tcPr>
            <w:tcW w:w="2496" w:type="dxa"/>
            <w:vAlign w:val="center"/>
          </w:tcPr>
          <w:p w14:paraId="53C1051A">
            <w:pPr>
              <w:adjustRightInd w:val="0"/>
              <w:snapToGrid w:val="0"/>
              <w:spacing w:line="240" w:lineRule="auto"/>
              <w:jc w:val="center"/>
              <w:rPr>
                <w:rFonts w:hint="default" w:ascii="Times New Roman" w:hAnsi="Times New Roman" w:eastAsia="宋体" w:cs="Times New Roman"/>
                <w:color w:val="auto"/>
                <w:lang w:val="en-US" w:eastAsia="zh-CN"/>
              </w:rPr>
            </w:pPr>
            <w:r>
              <w:rPr>
                <w:rFonts w:hint="eastAsia" w:cs="Times New Roman"/>
                <w:color w:val="auto"/>
                <w:lang w:val="en-US" w:eastAsia="zh-CN"/>
              </w:rPr>
              <w:t>刘**</w:t>
            </w:r>
          </w:p>
        </w:tc>
        <w:tc>
          <w:tcPr>
            <w:tcW w:w="2103" w:type="dxa"/>
            <w:vAlign w:val="center"/>
          </w:tcPr>
          <w:p w14:paraId="7707F61F">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联系方式</w:t>
            </w:r>
          </w:p>
        </w:tc>
        <w:tc>
          <w:tcPr>
            <w:tcW w:w="3007" w:type="dxa"/>
            <w:vAlign w:val="center"/>
          </w:tcPr>
          <w:p w14:paraId="3BAD5CD6">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180</w:t>
            </w:r>
            <w:r>
              <w:rPr>
                <w:rFonts w:hint="eastAsia" w:cs="Times New Roman"/>
                <w:color w:val="auto"/>
                <w:lang w:val="en-US" w:eastAsia="zh-CN"/>
              </w:rPr>
              <w:t>********</w:t>
            </w:r>
          </w:p>
        </w:tc>
      </w:tr>
      <w:tr w14:paraId="54E0B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1D839A82">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建设地点</w:t>
            </w:r>
          </w:p>
        </w:tc>
        <w:tc>
          <w:tcPr>
            <w:tcW w:w="7606" w:type="dxa"/>
            <w:gridSpan w:val="3"/>
            <w:vAlign w:val="center"/>
          </w:tcPr>
          <w:p w14:paraId="3952EB33">
            <w:pPr>
              <w:adjustRightInd w:val="0"/>
              <w:snapToGrid w:val="0"/>
              <w:spacing w:line="240" w:lineRule="auto"/>
              <w:jc w:val="center"/>
              <w:rPr>
                <w:rFonts w:hint="default" w:ascii="Times New Roman" w:hAnsi="Times New Roman" w:eastAsia="宋体" w:cs="Times New Roman"/>
                <w:color w:val="auto"/>
                <w:lang w:eastAsia="zh-CN"/>
              </w:rPr>
            </w:pPr>
            <w:r>
              <w:rPr>
                <w:rFonts w:hint="eastAsia" w:cs="Times New Roman"/>
                <w:color w:val="auto"/>
                <w:lang w:eastAsia="zh-CN"/>
              </w:rPr>
              <w:t>惠州市博罗县石湾镇滘吓村冯屋工业区南基C栋厂房</w:t>
            </w:r>
          </w:p>
        </w:tc>
      </w:tr>
      <w:tr w14:paraId="7372C1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43A0D03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地理坐标</w:t>
            </w:r>
          </w:p>
        </w:tc>
        <w:tc>
          <w:tcPr>
            <w:tcW w:w="7606" w:type="dxa"/>
            <w:gridSpan w:val="3"/>
            <w:vAlign w:val="center"/>
          </w:tcPr>
          <w:p w14:paraId="0B9F5D19">
            <w:pPr>
              <w:spacing w:line="240" w:lineRule="auto"/>
              <w:jc w:val="center"/>
              <w:rPr>
                <w:rFonts w:hint="default" w:ascii="Times New Roman" w:hAnsi="Times New Roman" w:cs="Times New Roman"/>
                <w:color w:val="auto"/>
              </w:rPr>
            </w:pPr>
            <w:r>
              <w:rPr>
                <w:rFonts w:hint="default" w:ascii="Times New Roman" w:hAnsi="Times New Roman" w:cs="Times New Roman"/>
                <w:color w:val="auto"/>
              </w:rPr>
              <w:t>（东经</w:t>
            </w:r>
            <w:r>
              <w:rPr>
                <w:rFonts w:hint="default" w:ascii="Times New Roman" w:hAnsi="Times New Roman" w:cs="Times New Roman"/>
                <w:color w:val="auto"/>
                <w:u w:val="single"/>
              </w:rPr>
              <w:t xml:space="preserve"> 11</w:t>
            </w:r>
            <w:r>
              <w:rPr>
                <w:rFonts w:hint="eastAsia" w:cs="Times New Roman"/>
                <w:color w:val="auto"/>
                <w:u w:val="single"/>
                <w:lang w:val="en-US" w:eastAsia="zh-CN"/>
              </w:rPr>
              <w:t>3</w:t>
            </w:r>
            <w:r>
              <w:rPr>
                <w:rFonts w:hint="default" w:ascii="Times New Roman" w:hAnsi="Times New Roman" w:cs="Times New Roman"/>
                <w:color w:val="auto"/>
              </w:rPr>
              <w:t>度</w:t>
            </w:r>
            <w:r>
              <w:rPr>
                <w:rFonts w:hint="default" w:ascii="Times New Roman" w:hAnsi="Times New Roman" w:cs="Times New Roman"/>
                <w:color w:val="auto"/>
                <w:u w:val="single"/>
              </w:rPr>
              <w:t xml:space="preserve"> </w:t>
            </w:r>
            <w:r>
              <w:rPr>
                <w:rFonts w:hint="eastAsia" w:cs="Times New Roman"/>
                <w:color w:val="auto"/>
                <w:u w:val="single"/>
                <w:lang w:val="en-US" w:eastAsia="zh-CN"/>
              </w:rPr>
              <w:t>53</w:t>
            </w:r>
            <w:r>
              <w:rPr>
                <w:rFonts w:hint="default" w:ascii="Times New Roman" w:hAnsi="Times New Roman" w:cs="Times New Roman"/>
                <w:color w:val="auto"/>
                <w:u w:val="single"/>
              </w:rPr>
              <w:t xml:space="preserve"> </w:t>
            </w:r>
            <w:r>
              <w:rPr>
                <w:rFonts w:hint="default" w:ascii="Times New Roman" w:hAnsi="Times New Roman" w:cs="Times New Roman"/>
                <w:color w:val="auto"/>
              </w:rPr>
              <w:t>分</w:t>
            </w:r>
            <w:r>
              <w:rPr>
                <w:rFonts w:hint="default" w:ascii="Times New Roman" w:hAnsi="Times New Roman" w:cs="Times New Roman"/>
                <w:color w:val="auto"/>
                <w:u w:val="single"/>
              </w:rPr>
              <w:t xml:space="preserve"> </w:t>
            </w:r>
            <w:r>
              <w:rPr>
                <w:rFonts w:hint="eastAsia" w:cs="Times New Roman"/>
                <w:color w:val="auto"/>
                <w:u w:val="single"/>
                <w:lang w:val="en-US" w:eastAsia="zh-CN"/>
              </w:rPr>
              <w:t>50.154</w:t>
            </w:r>
            <w:r>
              <w:rPr>
                <w:rFonts w:hint="default" w:ascii="Times New Roman" w:hAnsi="Times New Roman" w:cs="Times New Roman"/>
                <w:color w:val="auto"/>
                <w:u w:val="single"/>
              </w:rPr>
              <w:t xml:space="preserve"> </w:t>
            </w:r>
            <w:r>
              <w:rPr>
                <w:rFonts w:hint="default" w:ascii="Times New Roman" w:hAnsi="Times New Roman" w:cs="Times New Roman"/>
                <w:color w:val="auto"/>
              </w:rPr>
              <w:t>秒，北纬</w:t>
            </w:r>
            <w:r>
              <w:rPr>
                <w:rFonts w:hint="default" w:ascii="Times New Roman" w:hAnsi="Times New Roman" w:cs="Times New Roman"/>
                <w:color w:val="auto"/>
                <w:u w:val="single"/>
              </w:rPr>
              <w:t xml:space="preserve"> </w:t>
            </w:r>
            <w:r>
              <w:rPr>
                <w:rFonts w:hint="eastAsia" w:cs="Times New Roman"/>
                <w:color w:val="auto"/>
                <w:u w:val="single"/>
                <w:lang w:val="en-US" w:eastAsia="zh-CN"/>
              </w:rPr>
              <w:t>23</w:t>
            </w:r>
            <w:r>
              <w:rPr>
                <w:rFonts w:hint="default" w:ascii="Times New Roman" w:hAnsi="Times New Roman" w:cs="Times New Roman"/>
                <w:color w:val="auto"/>
                <w:u w:val="single"/>
              </w:rPr>
              <w:t xml:space="preserve"> </w:t>
            </w:r>
            <w:r>
              <w:rPr>
                <w:rFonts w:hint="default" w:ascii="Times New Roman" w:hAnsi="Times New Roman" w:cs="Times New Roman"/>
                <w:color w:val="auto"/>
              </w:rPr>
              <w:t>度</w:t>
            </w:r>
            <w:r>
              <w:rPr>
                <w:rFonts w:hint="default" w:ascii="Times New Roman" w:hAnsi="Times New Roman" w:cs="Times New Roman"/>
                <w:color w:val="auto"/>
                <w:u w:val="single"/>
              </w:rPr>
              <w:t xml:space="preserve"> </w:t>
            </w:r>
            <w:r>
              <w:rPr>
                <w:rFonts w:hint="eastAsia" w:cs="Times New Roman"/>
                <w:color w:val="auto"/>
                <w:u w:val="single"/>
                <w:lang w:val="en-US" w:eastAsia="zh-CN"/>
              </w:rPr>
              <w:t>9</w:t>
            </w:r>
            <w:r>
              <w:rPr>
                <w:rFonts w:hint="default" w:ascii="Times New Roman" w:hAnsi="Times New Roman" w:cs="Times New Roman"/>
                <w:color w:val="auto"/>
                <w:u w:val="single"/>
              </w:rPr>
              <w:t xml:space="preserve"> </w:t>
            </w:r>
            <w:r>
              <w:rPr>
                <w:rFonts w:hint="default" w:ascii="Times New Roman" w:hAnsi="Times New Roman" w:cs="Times New Roman"/>
                <w:color w:val="auto"/>
              </w:rPr>
              <w:t>分</w:t>
            </w:r>
            <w:r>
              <w:rPr>
                <w:rFonts w:hint="default" w:ascii="Times New Roman" w:hAnsi="Times New Roman" w:cs="Times New Roman"/>
                <w:color w:val="auto"/>
                <w:u w:val="single"/>
              </w:rPr>
              <w:t xml:space="preserve"> </w:t>
            </w:r>
            <w:r>
              <w:rPr>
                <w:rFonts w:hint="eastAsia" w:cs="Times New Roman"/>
                <w:color w:val="auto"/>
                <w:u w:val="single"/>
                <w:lang w:val="en-US" w:eastAsia="zh-CN"/>
              </w:rPr>
              <w:t>8.512</w:t>
            </w:r>
            <w:r>
              <w:rPr>
                <w:rFonts w:hint="default" w:ascii="Times New Roman" w:hAnsi="Times New Roman" w:cs="Times New Roman"/>
                <w:color w:val="auto"/>
                <w:u w:val="single"/>
              </w:rPr>
              <w:t xml:space="preserve"> </w:t>
            </w:r>
            <w:r>
              <w:rPr>
                <w:rFonts w:hint="default" w:ascii="Times New Roman" w:hAnsi="Times New Roman" w:cs="Times New Roman"/>
                <w:color w:val="auto"/>
              </w:rPr>
              <w:t>秒）</w:t>
            </w:r>
          </w:p>
        </w:tc>
      </w:tr>
      <w:tr w14:paraId="59E175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4512B0FF">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国民经济</w:t>
            </w:r>
          </w:p>
          <w:p w14:paraId="1687090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行业类别</w:t>
            </w:r>
          </w:p>
        </w:tc>
        <w:tc>
          <w:tcPr>
            <w:tcW w:w="2496" w:type="dxa"/>
            <w:vAlign w:val="center"/>
          </w:tcPr>
          <w:p w14:paraId="1B5C7D6C">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39</w:t>
            </w:r>
            <w:r>
              <w:rPr>
                <w:rFonts w:hint="eastAsia" w:ascii="Times New Roman" w:hAnsi="Times New Roman" w:cs="Times New Roman"/>
                <w:color w:val="auto"/>
              </w:rPr>
              <w:t>7</w:t>
            </w:r>
            <w:r>
              <w:rPr>
                <w:rFonts w:hint="default" w:ascii="Times New Roman" w:hAnsi="Times New Roman" w:cs="Times New Roman"/>
                <w:color w:val="auto"/>
              </w:rPr>
              <w:t>9 其他电子</w:t>
            </w:r>
            <w:r>
              <w:rPr>
                <w:rFonts w:hint="eastAsia" w:ascii="Times New Roman" w:hAnsi="Times New Roman" w:cs="Times New Roman"/>
                <w:color w:val="auto"/>
              </w:rPr>
              <w:t>器件</w:t>
            </w:r>
            <w:r>
              <w:rPr>
                <w:rFonts w:hint="default" w:ascii="Times New Roman" w:hAnsi="Times New Roman" w:cs="Times New Roman"/>
                <w:color w:val="auto"/>
              </w:rPr>
              <w:t>制造</w:t>
            </w:r>
          </w:p>
        </w:tc>
        <w:tc>
          <w:tcPr>
            <w:tcW w:w="2103" w:type="dxa"/>
            <w:vAlign w:val="center"/>
          </w:tcPr>
          <w:p w14:paraId="5D87FED5">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建设项目</w:t>
            </w:r>
          </w:p>
          <w:p w14:paraId="6BF0C029">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行业类别</w:t>
            </w:r>
          </w:p>
        </w:tc>
        <w:tc>
          <w:tcPr>
            <w:tcW w:w="3007" w:type="dxa"/>
            <w:vAlign w:val="center"/>
          </w:tcPr>
          <w:p w14:paraId="221E8C71">
            <w:pPr>
              <w:adjustRightInd w:val="0"/>
              <w:snapToGrid w:val="0"/>
              <w:spacing w:line="240" w:lineRule="auto"/>
              <w:jc w:val="center"/>
              <w:rPr>
                <w:rFonts w:hint="default" w:ascii="Times New Roman" w:hAnsi="Times New Roman" w:cs="Times New Roman"/>
                <w:color w:val="auto"/>
                <w:lang w:val="en-US"/>
              </w:rPr>
            </w:pPr>
            <w:r>
              <w:rPr>
                <w:rFonts w:hint="default" w:ascii="Times New Roman" w:hAnsi="Times New Roman" w:cs="Times New Roman"/>
                <w:color w:val="auto"/>
              </w:rPr>
              <w:t>8</w:t>
            </w:r>
            <w:r>
              <w:rPr>
                <w:rFonts w:hint="eastAsia" w:ascii="Times New Roman" w:hAnsi="Times New Roman" w:cs="Times New Roman"/>
                <w:color w:val="auto"/>
              </w:rPr>
              <w:t>0</w:t>
            </w:r>
            <w:r>
              <w:rPr>
                <w:rFonts w:hint="default" w:ascii="Times New Roman" w:hAnsi="Times New Roman" w:cs="Times New Roman"/>
                <w:color w:val="auto"/>
              </w:rPr>
              <w:t xml:space="preserve"> 电子器件制造</w:t>
            </w:r>
            <w:r>
              <w:rPr>
                <w:rFonts w:hint="eastAsia" w:ascii="Times New Roman" w:hAnsi="Times New Roman" w:cs="Times New Roman"/>
                <w:color w:val="auto"/>
              </w:rPr>
              <w:t>397</w:t>
            </w:r>
          </w:p>
        </w:tc>
      </w:tr>
      <w:tr w14:paraId="478853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1FB1DE4C">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建设性质</w:t>
            </w:r>
          </w:p>
        </w:tc>
        <w:tc>
          <w:tcPr>
            <w:tcW w:w="2496" w:type="dxa"/>
            <w:vAlign w:val="center"/>
          </w:tcPr>
          <w:p w14:paraId="3AFFCE8E">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52"/>
            </w:r>
            <w:r>
              <w:rPr>
                <w:rFonts w:hint="default" w:ascii="Times New Roman" w:hAnsi="Times New Roman" w:cs="Times New Roman"/>
                <w:color w:val="auto"/>
              </w:rPr>
              <w:t>新建（迁建）</w:t>
            </w:r>
          </w:p>
          <w:p w14:paraId="01319F5A">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t>□改建</w:t>
            </w:r>
          </w:p>
          <w:p w14:paraId="5CD3DB5F">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t>□扩建</w:t>
            </w:r>
          </w:p>
          <w:p w14:paraId="75532E1A">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t>□技术改造</w:t>
            </w:r>
          </w:p>
        </w:tc>
        <w:tc>
          <w:tcPr>
            <w:tcW w:w="2103" w:type="dxa"/>
            <w:vAlign w:val="center"/>
          </w:tcPr>
          <w:p w14:paraId="2B2CA3AA">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建设项目</w:t>
            </w:r>
          </w:p>
          <w:p w14:paraId="6FBE6A08">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申报情形</w:t>
            </w:r>
          </w:p>
        </w:tc>
        <w:tc>
          <w:tcPr>
            <w:tcW w:w="3007" w:type="dxa"/>
            <w:vAlign w:val="center"/>
          </w:tcPr>
          <w:p w14:paraId="002F9BFA">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52"/>
            </w:r>
            <w:r>
              <w:rPr>
                <w:rFonts w:hint="default" w:ascii="Times New Roman" w:hAnsi="Times New Roman" w:cs="Times New Roman"/>
                <w:color w:val="auto"/>
              </w:rPr>
              <w:t>首次申报项目</w:t>
            </w:r>
          </w:p>
          <w:p w14:paraId="6A429C7B">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不予批准后再次申报项目</w:t>
            </w:r>
          </w:p>
          <w:p w14:paraId="5DF633AB">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超五年重新审核项目</w:t>
            </w:r>
          </w:p>
          <w:p w14:paraId="34CBB660">
            <w:pPr>
              <w:spacing w:line="240" w:lineRule="auto"/>
              <w:jc w:val="left"/>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重大变动重新报批项目</w:t>
            </w:r>
          </w:p>
        </w:tc>
      </w:tr>
      <w:tr w14:paraId="4B806E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6738CF4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项目审批（核准/</w:t>
            </w:r>
          </w:p>
          <w:p w14:paraId="66DBFFF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备案）部门（选填）</w:t>
            </w:r>
          </w:p>
        </w:tc>
        <w:tc>
          <w:tcPr>
            <w:tcW w:w="2496" w:type="dxa"/>
            <w:vAlign w:val="center"/>
          </w:tcPr>
          <w:p w14:paraId="13B50B6F">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w:t>
            </w:r>
          </w:p>
        </w:tc>
        <w:tc>
          <w:tcPr>
            <w:tcW w:w="2103" w:type="dxa"/>
            <w:vAlign w:val="center"/>
          </w:tcPr>
          <w:p w14:paraId="0EF91B5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项目审批（核准/</w:t>
            </w:r>
          </w:p>
          <w:p w14:paraId="1F7A2218">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备案）文号（选填）</w:t>
            </w:r>
          </w:p>
        </w:tc>
        <w:tc>
          <w:tcPr>
            <w:tcW w:w="3007" w:type="dxa"/>
            <w:vAlign w:val="center"/>
          </w:tcPr>
          <w:p w14:paraId="448FF800">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w:t>
            </w:r>
          </w:p>
        </w:tc>
      </w:tr>
      <w:tr w14:paraId="38EA93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586E75D0">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总投资（万元）</w:t>
            </w:r>
          </w:p>
        </w:tc>
        <w:tc>
          <w:tcPr>
            <w:tcW w:w="2496" w:type="dxa"/>
            <w:vAlign w:val="center"/>
          </w:tcPr>
          <w:p w14:paraId="48836C90">
            <w:pPr>
              <w:adjustRightInd w:val="0"/>
              <w:snapToGrid w:val="0"/>
              <w:spacing w:line="240" w:lineRule="auto"/>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c>
          <w:tcPr>
            <w:tcW w:w="2103" w:type="dxa"/>
            <w:tcMar>
              <w:top w:w="16" w:type="dxa"/>
              <w:left w:w="16" w:type="dxa"/>
              <w:right w:w="16" w:type="dxa"/>
            </w:tcMar>
            <w:vAlign w:val="center"/>
          </w:tcPr>
          <w:p w14:paraId="026B2BE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环保投资（万元）</w:t>
            </w:r>
          </w:p>
        </w:tc>
        <w:tc>
          <w:tcPr>
            <w:tcW w:w="3007" w:type="dxa"/>
            <w:vAlign w:val="center"/>
          </w:tcPr>
          <w:p w14:paraId="7A8CED9C">
            <w:pPr>
              <w:adjustRightInd w:val="0"/>
              <w:snapToGrid w:val="0"/>
              <w:spacing w:line="240" w:lineRule="auto"/>
              <w:jc w:val="center"/>
              <w:rPr>
                <w:rFonts w:hint="default" w:ascii="Times New Roman" w:hAnsi="Times New Roman" w:eastAsia="宋体" w:cs="Times New Roman"/>
                <w:color w:val="auto"/>
                <w:lang w:val="en-US" w:eastAsia="zh-CN"/>
              </w:rPr>
            </w:pPr>
            <w:r>
              <w:rPr>
                <w:rFonts w:hint="eastAsia" w:cs="Times New Roman"/>
                <w:color w:val="auto"/>
                <w:lang w:val="en-US" w:eastAsia="zh-CN"/>
              </w:rPr>
              <w:t>10</w:t>
            </w:r>
          </w:p>
        </w:tc>
      </w:tr>
      <w:tr w14:paraId="70482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40841D3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环保投资占比（%）</w:t>
            </w:r>
          </w:p>
        </w:tc>
        <w:tc>
          <w:tcPr>
            <w:tcW w:w="2496" w:type="dxa"/>
            <w:vAlign w:val="center"/>
          </w:tcPr>
          <w:p w14:paraId="2CEADFB1">
            <w:pPr>
              <w:adjustRightInd w:val="0"/>
              <w:snapToGrid w:val="0"/>
              <w:spacing w:line="240" w:lineRule="auto"/>
              <w:jc w:val="center"/>
              <w:rPr>
                <w:rFonts w:hint="default" w:ascii="Times New Roman" w:hAnsi="Times New Roman" w:eastAsia="宋体" w:cs="Times New Roman"/>
                <w:color w:val="auto"/>
                <w:lang w:val="en-US" w:eastAsia="zh-CN"/>
              </w:rPr>
            </w:pPr>
            <w:r>
              <w:rPr>
                <w:rFonts w:hint="eastAsia" w:cs="Times New Roman"/>
                <w:color w:val="auto"/>
                <w:lang w:val="en-US" w:eastAsia="zh-CN"/>
              </w:rPr>
              <w:t>3.33</w:t>
            </w:r>
          </w:p>
        </w:tc>
        <w:tc>
          <w:tcPr>
            <w:tcW w:w="2103" w:type="dxa"/>
            <w:tcMar>
              <w:top w:w="16" w:type="dxa"/>
              <w:left w:w="16" w:type="dxa"/>
              <w:right w:w="16" w:type="dxa"/>
            </w:tcMar>
            <w:vAlign w:val="center"/>
          </w:tcPr>
          <w:p w14:paraId="08DF5A7B">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施工工期</w:t>
            </w:r>
          </w:p>
        </w:tc>
        <w:tc>
          <w:tcPr>
            <w:tcW w:w="3007" w:type="dxa"/>
            <w:vAlign w:val="center"/>
          </w:tcPr>
          <w:p w14:paraId="0A68B01A">
            <w:pPr>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1个月</w:t>
            </w:r>
          </w:p>
        </w:tc>
      </w:tr>
      <w:tr w14:paraId="760A29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2033" w:type="dxa"/>
            <w:gridSpan w:val="2"/>
            <w:tcMar>
              <w:top w:w="16" w:type="dxa"/>
              <w:left w:w="16" w:type="dxa"/>
              <w:right w:w="16" w:type="dxa"/>
            </w:tcMar>
            <w:vAlign w:val="center"/>
          </w:tcPr>
          <w:p w14:paraId="5B372E97">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是否开工建设</w:t>
            </w:r>
          </w:p>
        </w:tc>
        <w:tc>
          <w:tcPr>
            <w:tcW w:w="2496" w:type="dxa"/>
            <w:vAlign w:val="center"/>
          </w:tcPr>
          <w:p w14:paraId="4403DBBA">
            <w:pPr>
              <w:adjustRightInd w:val="0"/>
              <w:snapToGrid w:val="0"/>
              <w:spacing w:line="240" w:lineRule="auto"/>
              <w:rPr>
                <w:rFonts w:hint="default" w:ascii="Times New Roman" w:hAnsi="Times New Roman" w:cs="Times New Roman"/>
                <w:color w:val="auto"/>
              </w:rPr>
            </w:pPr>
            <w:r>
              <w:rPr>
                <w:rFonts w:hint="default" w:ascii="Times New Roman" w:hAnsi="Times New Roman" w:cs="Times New Roman"/>
                <w:color w:val="auto"/>
              </w:rPr>
              <w:sym w:font="Wingdings 2" w:char="0052"/>
            </w:r>
            <w:r>
              <w:rPr>
                <w:rFonts w:hint="default" w:ascii="Times New Roman" w:hAnsi="Times New Roman" w:cs="Times New Roman"/>
                <w:color w:val="auto"/>
              </w:rPr>
              <w:t>否</w:t>
            </w:r>
          </w:p>
          <w:p w14:paraId="4B1C458C">
            <w:pPr>
              <w:adjustRightInd w:val="0"/>
              <w:snapToGrid w:val="0"/>
              <w:spacing w:line="240" w:lineRule="auto"/>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是：</w:t>
            </w:r>
            <w:r>
              <w:rPr>
                <w:rFonts w:hint="default" w:ascii="Times New Roman" w:hAnsi="Times New Roman" w:cs="Times New Roman"/>
                <w:color w:val="auto"/>
                <w:u w:val="single"/>
              </w:rPr>
              <w:t xml:space="preserve">             </w:t>
            </w:r>
          </w:p>
        </w:tc>
        <w:tc>
          <w:tcPr>
            <w:tcW w:w="2103" w:type="dxa"/>
            <w:tcMar>
              <w:top w:w="16" w:type="dxa"/>
              <w:left w:w="16" w:type="dxa"/>
              <w:right w:w="16" w:type="dxa"/>
            </w:tcMar>
            <w:vAlign w:val="center"/>
          </w:tcPr>
          <w:p w14:paraId="004D8895">
            <w:pPr>
              <w:adjustRightInd w:val="0"/>
              <w:snapToGrid w:val="0"/>
              <w:spacing w:line="240" w:lineRule="auto"/>
              <w:jc w:val="center"/>
              <w:rPr>
                <w:rFonts w:hint="default" w:ascii="Times New Roman" w:hAnsi="Times New Roman" w:cs="Times New Roman"/>
                <w:color w:val="auto"/>
                <w:spacing w:val="-6"/>
              </w:rPr>
            </w:pPr>
            <w:r>
              <w:rPr>
                <w:rFonts w:hint="default" w:ascii="Times New Roman" w:hAnsi="Times New Roman" w:cs="Times New Roman"/>
                <w:color w:val="auto"/>
                <w:spacing w:val="-6"/>
              </w:rPr>
              <w:t>用地（用海）</w:t>
            </w:r>
          </w:p>
          <w:p w14:paraId="1AF7F6F9">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spacing w:val="-6"/>
              </w:rPr>
              <w:t>面积（m</w:t>
            </w:r>
            <w:r>
              <w:rPr>
                <w:rFonts w:hint="default" w:ascii="Times New Roman" w:hAnsi="Times New Roman" w:cs="Times New Roman"/>
                <w:color w:val="auto"/>
                <w:spacing w:val="-6"/>
                <w:vertAlign w:val="superscript"/>
              </w:rPr>
              <w:t>2</w:t>
            </w:r>
            <w:r>
              <w:rPr>
                <w:rFonts w:hint="default" w:ascii="Times New Roman" w:hAnsi="Times New Roman" w:cs="Times New Roman"/>
                <w:color w:val="auto"/>
                <w:spacing w:val="-6"/>
              </w:rPr>
              <w:t>）</w:t>
            </w:r>
          </w:p>
        </w:tc>
        <w:tc>
          <w:tcPr>
            <w:tcW w:w="3007" w:type="dxa"/>
            <w:vAlign w:val="center"/>
          </w:tcPr>
          <w:p w14:paraId="44E3228E">
            <w:pPr>
              <w:adjustRightInd w:val="0"/>
              <w:snapToGrid w:val="0"/>
              <w:spacing w:line="240" w:lineRule="auto"/>
              <w:jc w:val="center"/>
              <w:rPr>
                <w:rFonts w:hint="default" w:ascii="Times New Roman" w:hAnsi="Times New Roman" w:eastAsia="宋体" w:cs="Times New Roman"/>
                <w:color w:val="auto"/>
                <w:lang w:val="en-US" w:eastAsia="zh-CN"/>
              </w:rPr>
            </w:pPr>
            <w:r>
              <w:rPr>
                <w:rFonts w:hint="eastAsia" w:cs="Times New Roman"/>
                <w:color w:val="auto"/>
                <w:lang w:val="en-US" w:eastAsia="zh-CN"/>
              </w:rPr>
              <w:t>6491</w:t>
            </w:r>
          </w:p>
        </w:tc>
      </w:tr>
      <w:tr w14:paraId="78F5BA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6FA506DB">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rPr>
              <w:t>专项评价设置情况</w:t>
            </w:r>
          </w:p>
        </w:tc>
        <w:tc>
          <w:tcPr>
            <w:tcW w:w="7606" w:type="dxa"/>
            <w:gridSpan w:val="3"/>
            <w:vAlign w:val="center"/>
          </w:tcPr>
          <w:p w14:paraId="2FFEBB80">
            <w:pPr>
              <w:wordWrap/>
              <w:ind w:firstLine="480" w:firstLineChars="200"/>
              <w:rPr>
                <w:rFonts w:hint="default" w:ascii="Times New Roman" w:hAnsi="Times New Roman" w:cs="Times New Roman"/>
                <w:color w:val="auto"/>
              </w:rPr>
            </w:pPr>
            <w:r>
              <w:rPr>
                <w:rFonts w:hint="default" w:ascii="Times New Roman" w:hAnsi="Times New Roman" w:cs="Times New Roman"/>
                <w:color w:val="auto"/>
              </w:rPr>
              <w:t>项目专项评价设置情况见下表。</w:t>
            </w:r>
          </w:p>
          <w:p w14:paraId="4C05F0AC">
            <w:pPr>
              <w:wordWrap/>
              <w:adjustRightInd w:val="0"/>
              <w:spacing w:line="240" w:lineRule="auto"/>
              <w:ind w:firstLine="482" w:firstLineChars="200"/>
              <w:jc w:val="center"/>
              <w:rPr>
                <w:rFonts w:hint="default" w:ascii="Times New Roman" w:hAnsi="Times New Roman" w:cs="Times New Roman"/>
                <w:b/>
                <w:color w:val="auto"/>
                <w:kern w:val="0"/>
                <w:lang w:bidi="ar"/>
              </w:rPr>
            </w:pPr>
            <w:r>
              <w:rPr>
                <w:rFonts w:hint="default" w:ascii="Times New Roman" w:hAnsi="Times New Roman" w:cs="Times New Roman"/>
                <w:b/>
                <w:snapToGrid w:val="0"/>
                <w:color w:val="auto"/>
                <w:kern w:val="0"/>
                <w:lang w:bidi="ar"/>
              </w:rPr>
              <w:t>表1</w:t>
            </w:r>
            <w:r>
              <w:rPr>
                <w:rFonts w:hint="default" w:ascii="Times New Roman" w:hAnsi="Times New Roman" w:cs="Times New Roman"/>
                <w:b/>
                <w:snapToGrid w:val="0"/>
                <w:color w:val="auto"/>
                <w:kern w:val="0"/>
                <w:lang w:val="en-US" w:eastAsia="zh-CN" w:bidi="ar"/>
              </w:rPr>
              <w:t>-1</w:t>
            </w:r>
            <w:r>
              <w:rPr>
                <w:rFonts w:hint="default" w:ascii="Times New Roman" w:hAnsi="Times New Roman" w:cs="Times New Roman"/>
                <w:b/>
                <w:color w:val="auto"/>
                <w:kern w:val="0"/>
                <w:lang w:bidi="ar"/>
              </w:rPr>
              <w:t xml:space="preserve">  专项评价设置情况一览表</w:t>
            </w:r>
          </w:p>
          <w:tbl>
            <w:tblPr>
              <w:tblStyle w:val="23"/>
              <w:tblW w:w="73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2818"/>
              <w:gridCol w:w="2570"/>
              <w:gridCol w:w="989"/>
            </w:tblGrid>
            <w:tr w14:paraId="713B3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4C3C74AE">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专项评价的类别</w:t>
                  </w:r>
                </w:p>
              </w:tc>
              <w:tc>
                <w:tcPr>
                  <w:tcW w:w="1908" w:type="pct"/>
                  <w:vAlign w:val="center"/>
                </w:tcPr>
                <w:p w14:paraId="5B707BE3">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设置原则</w:t>
                  </w:r>
                </w:p>
              </w:tc>
              <w:tc>
                <w:tcPr>
                  <w:tcW w:w="1740" w:type="pct"/>
                  <w:vAlign w:val="center"/>
                </w:tcPr>
                <w:p w14:paraId="554ED6FF">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项目情况</w:t>
                  </w:r>
                </w:p>
              </w:tc>
              <w:tc>
                <w:tcPr>
                  <w:tcW w:w="669" w:type="pct"/>
                  <w:vAlign w:val="center"/>
                </w:tcPr>
                <w:p w14:paraId="288493E9">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是否需设置专项</w:t>
                  </w:r>
                </w:p>
              </w:tc>
            </w:tr>
            <w:tr w14:paraId="0104E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3DBE2EF7">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p>
              </w:tc>
              <w:tc>
                <w:tcPr>
                  <w:tcW w:w="1908" w:type="pct"/>
                  <w:vAlign w:val="center"/>
                </w:tcPr>
                <w:p w14:paraId="5D4DF1E3">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排放废气含有毒有害污染物</w:t>
                  </w:r>
                  <w:r>
                    <w:rPr>
                      <w:rFonts w:hint="default" w:ascii="Times New Roman" w:hAnsi="Times New Roman" w:cs="Times New Roman"/>
                      <w:color w:val="auto"/>
                      <w:kern w:val="0"/>
                      <w:sz w:val="21"/>
                      <w:szCs w:val="21"/>
                      <w:vertAlign w:val="superscript"/>
                      <w:lang w:bidi="ar"/>
                    </w:rPr>
                    <w:t>1</w:t>
                  </w:r>
                  <w:r>
                    <w:rPr>
                      <w:rFonts w:hint="default" w:ascii="Times New Roman" w:hAnsi="Times New Roman" w:cs="Times New Roman"/>
                      <w:color w:val="auto"/>
                      <w:kern w:val="0"/>
                      <w:sz w:val="21"/>
                      <w:szCs w:val="21"/>
                      <w:lang w:bidi="ar"/>
                    </w:rPr>
                    <w:t>、二噁英、苯并[</w:t>
                  </w:r>
                  <w:r>
                    <w:rPr>
                      <w:rFonts w:hint="default" w:ascii="Times New Roman" w:hAnsi="Times New Roman" w:cs="Times New Roman"/>
                      <w:i/>
                      <w:iCs/>
                      <w:color w:val="auto"/>
                      <w:kern w:val="0"/>
                      <w:sz w:val="21"/>
                      <w:szCs w:val="21"/>
                      <w:lang w:bidi="ar"/>
                    </w:rPr>
                    <w:t>a</w:t>
                  </w:r>
                  <w:r>
                    <w:rPr>
                      <w:rFonts w:hint="default" w:ascii="Times New Roman" w:hAnsi="Times New Roman" w:cs="Times New Roman"/>
                      <w:color w:val="auto"/>
                      <w:kern w:val="0"/>
                      <w:sz w:val="21"/>
                      <w:szCs w:val="21"/>
                      <w:lang w:bidi="ar"/>
                    </w:rPr>
                    <w:t>]芘、氰化物、氯气且厂界外 500 米范围内有环境空气保护目标</w:t>
                  </w:r>
                  <w:r>
                    <w:rPr>
                      <w:rFonts w:hint="default" w:ascii="Times New Roman" w:hAnsi="Times New Roman" w:cs="Times New Roman"/>
                      <w:color w:val="auto"/>
                      <w:kern w:val="0"/>
                      <w:sz w:val="21"/>
                      <w:szCs w:val="21"/>
                      <w:vertAlign w:val="superscript"/>
                      <w:lang w:bidi="ar"/>
                    </w:rPr>
                    <w:t>2</w:t>
                  </w:r>
                  <w:r>
                    <w:rPr>
                      <w:rFonts w:hint="default" w:ascii="Times New Roman" w:hAnsi="Times New Roman" w:cs="Times New Roman"/>
                      <w:color w:val="auto"/>
                      <w:kern w:val="0"/>
                      <w:sz w:val="21"/>
                      <w:szCs w:val="21"/>
                      <w:lang w:bidi="ar"/>
                    </w:rPr>
                    <w:t>的建设项目</w:t>
                  </w:r>
                </w:p>
              </w:tc>
              <w:tc>
                <w:tcPr>
                  <w:tcW w:w="1740" w:type="pct"/>
                  <w:vAlign w:val="center"/>
                </w:tcPr>
                <w:p w14:paraId="50407EB4">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项目排放的废气为颗粒物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非甲烷总烃、臭气</w:t>
                  </w:r>
                  <w:r>
                    <w:rPr>
                      <w:rFonts w:hint="default" w:ascii="Times New Roman" w:hAnsi="Times New Roman" w:cs="Times New Roman"/>
                      <w:color w:val="auto"/>
                      <w:sz w:val="21"/>
                      <w:szCs w:val="21"/>
                    </w:rPr>
                    <w:t>和VOCs，不属于</w:t>
                  </w:r>
                  <w:r>
                    <w:rPr>
                      <w:rFonts w:hint="default" w:ascii="Times New Roman" w:hAnsi="Times New Roman" w:cs="Times New Roman"/>
                      <w:color w:val="auto"/>
                      <w:kern w:val="0"/>
                      <w:sz w:val="21"/>
                      <w:szCs w:val="21"/>
                      <w:lang w:bidi="ar"/>
                    </w:rPr>
                    <w:t>纳入《有毒有害大气污染物名录》的污染物。</w:t>
                  </w:r>
                </w:p>
              </w:tc>
              <w:tc>
                <w:tcPr>
                  <w:tcW w:w="669" w:type="pct"/>
                  <w:vAlign w:val="center"/>
                </w:tcPr>
                <w:p w14:paraId="1320B606">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6C29E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60685B46">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w:t>
                  </w:r>
                </w:p>
              </w:tc>
              <w:tc>
                <w:tcPr>
                  <w:tcW w:w="1908" w:type="pct"/>
                  <w:vAlign w:val="center"/>
                </w:tcPr>
                <w:p w14:paraId="01A63E56">
                  <w:pPr>
                    <w:widowControl/>
                    <w:spacing w:line="240" w:lineRule="auto"/>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新增工业废水直排建设项目（槽罐车外送污水处理厂的除外）；</w:t>
                  </w:r>
                </w:p>
                <w:p w14:paraId="306AB57E">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新增废水直排的污水集中处理厂</w:t>
                  </w:r>
                </w:p>
              </w:tc>
              <w:tc>
                <w:tcPr>
                  <w:tcW w:w="1740" w:type="pct"/>
                  <w:vAlign w:val="center"/>
                </w:tcPr>
                <w:p w14:paraId="13D13844">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w:t>
                  </w:r>
                  <w:r>
                    <w:rPr>
                      <w:rFonts w:hint="default" w:ascii="Times New Roman" w:hAnsi="Times New Roman" w:cs="Times New Roman"/>
                      <w:color w:val="auto"/>
                      <w:sz w:val="21"/>
                      <w:szCs w:val="21"/>
                      <w:lang w:eastAsia="zh-CN"/>
                    </w:rPr>
                    <w:t>间接冷却废水循环使用不外排</w:t>
                  </w:r>
                  <w:r>
                    <w:rPr>
                      <w:rFonts w:hint="default" w:ascii="Times New Roman" w:hAnsi="Times New Roman" w:cs="Times New Roman"/>
                      <w:color w:val="auto"/>
                      <w:sz w:val="21"/>
                      <w:szCs w:val="21"/>
                    </w:rPr>
                    <w:t>，喷淋废水收集后交由有资质的单位处置，生活污水经三级化粪池预处理后纳入市政管网进入</w:t>
                  </w: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处理。</w:t>
                  </w:r>
                </w:p>
              </w:tc>
              <w:tc>
                <w:tcPr>
                  <w:tcW w:w="669" w:type="pct"/>
                  <w:vAlign w:val="center"/>
                </w:tcPr>
                <w:p w14:paraId="743F1244">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2A962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53D39F63">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环境风险</w:t>
                  </w:r>
                </w:p>
              </w:tc>
              <w:tc>
                <w:tcPr>
                  <w:tcW w:w="1908" w:type="pct"/>
                  <w:vAlign w:val="center"/>
                </w:tcPr>
                <w:p w14:paraId="01246D01">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有毒有害和易燃易爆危险物质存储量超过临界量</w:t>
                  </w:r>
                  <w:r>
                    <w:rPr>
                      <w:rFonts w:hint="default" w:ascii="Times New Roman" w:hAnsi="Times New Roman" w:cs="Times New Roman"/>
                      <w:color w:val="auto"/>
                      <w:kern w:val="0"/>
                      <w:sz w:val="21"/>
                      <w:szCs w:val="21"/>
                      <w:vertAlign w:val="superscript"/>
                      <w:lang w:bidi="ar"/>
                    </w:rPr>
                    <w:t>3</w:t>
                  </w:r>
                  <w:r>
                    <w:rPr>
                      <w:rFonts w:hint="default" w:ascii="Times New Roman" w:hAnsi="Times New Roman" w:cs="Times New Roman"/>
                      <w:color w:val="auto"/>
                      <w:kern w:val="0"/>
                      <w:sz w:val="21"/>
                      <w:szCs w:val="21"/>
                      <w:lang w:bidi="ar"/>
                    </w:rPr>
                    <w:t>的建设项目</w:t>
                  </w:r>
                </w:p>
              </w:tc>
              <w:tc>
                <w:tcPr>
                  <w:tcW w:w="1740" w:type="pct"/>
                  <w:vAlign w:val="center"/>
                </w:tcPr>
                <w:p w14:paraId="3839CEED">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项目风险物质Q=</w:t>
                  </w:r>
                  <w:r>
                    <w:rPr>
                      <w:rFonts w:hint="eastAsia" w:cs="Times New Roman"/>
                      <w:color w:val="auto"/>
                      <w:sz w:val="21"/>
                      <w:szCs w:val="21"/>
                      <w:lang w:val="en-US" w:eastAsia="zh-CN"/>
                    </w:rPr>
                    <w:t>0.002436</w:t>
                  </w:r>
                  <w:r>
                    <w:rPr>
                      <w:rFonts w:hint="default" w:ascii="Times New Roman" w:hAnsi="Times New Roman" w:cs="Times New Roman"/>
                      <w:color w:val="auto"/>
                      <w:sz w:val="21"/>
                      <w:szCs w:val="21"/>
                    </w:rPr>
                    <w:t>&lt;1。</w:t>
                  </w:r>
                </w:p>
              </w:tc>
              <w:tc>
                <w:tcPr>
                  <w:tcW w:w="669" w:type="pct"/>
                  <w:vAlign w:val="center"/>
                </w:tcPr>
                <w:p w14:paraId="1CF5353A">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5807C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6C617A25">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w:t>
                  </w:r>
                </w:p>
              </w:tc>
              <w:tc>
                <w:tcPr>
                  <w:tcW w:w="1908" w:type="pct"/>
                  <w:vAlign w:val="center"/>
                </w:tcPr>
                <w:p w14:paraId="07F3AA09">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取水口下游500米范围内有重要水生生物的自然产卵场、索饵场、越冬场和洄游通道的新增河道取水的污染类建设项目</w:t>
                  </w:r>
                </w:p>
              </w:tc>
              <w:tc>
                <w:tcPr>
                  <w:tcW w:w="1740" w:type="pct"/>
                  <w:vAlign w:val="center"/>
                </w:tcPr>
                <w:p w14:paraId="050AEDE6">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项目位于</w:t>
                  </w:r>
                  <w:r>
                    <w:rPr>
                      <w:rFonts w:hint="eastAsia" w:cs="Times New Roman"/>
                      <w:color w:val="auto"/>
                      <w:sz w:val="21"/>
                      <w:szCs w:val="21"/>
                      <w:lang w:eastAsia="zh-CN"/>
                    </w:rPr>
                    <w:t>惠州市博罗县石湾镇滘吓村冯屋工业区南基C栋厂房</w:t>
                  </w:r>
                  <w:r>
                    <w:rPr>
                      <w:rFonts w:hint="default" w:ascii="Times New Roman" w:hAnsi="Times New Roman" w:cs="Times New Roman"/>
                      <w:color w:val="auto"/>
                      <w:sz w:val="21"/>
                      <w:szCs w:val="21"/>
                    </w:rPr>
                    <w:t>，不属于河道取水的污染类建设项目。</w:t>
                  </w:r>
                </w:p>
              </w:tc>
              <w:tc>
                <w:tcPr>
                  <w:tcW w:w="669" w:type="pct"/>
                  <w:vAlign w:val="center"/>
                </w:tcPr>
                <w:p w14:paraId="29630ADF">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r w14:paraId="3E7E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pct"/>
                  <w:vAlign w:val="center"/>
                </w:tcPr>
                <w:p w14:paraId="0275D699">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海洋</w:t>
                  </w:r>
                </w:p>
              </w:tc>
              <w:tc>
                <w:tcPr>
                  <w:tcW w:w="1908" w:type="pct"/>
                  <w:vAlign w:val="center"/>
                </w:tcPr>
                <w:p w14:paraId="4A38C928">
                  <w:pPr>
                    <w:widowControl/>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直接向海排放污染物的海洋工程建设项目</w:t>
                  </w:r>
                </w:p>
              </w:tc>
              <w:tc>
                <w:tcPr>
                  <w:tcW w:w="1740" w:type="pct"/>
                  <w:vAlign w:val="center"/>
                </w:tcPr>
                <w:p w14:paraId="5965EFBD">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项目不属于海洋工程建设项目。</w:t>
                  </w:r>
                </w:p>
              </w:tc>
              <w:tc>
                <w:tcPr>
                  <w:tcW w:w="669" w:type="pct"/>
                  <w:vAlign w:val="center"/>
                </w:tcPr>
                <w:p w14:paraId="045BC98D">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r>
          </w:tbl>
          <w:p w14:paraId="3C5DE302">
            <w:pPr>
              <w:widowControl/>
              <w:wordWrap/>
              <w:spacing w:line="240" w:lineRule="auto"/>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0"/>
                <w:szCs w:val="20"/>
                <w:lang w:bidi="ar"/>
              </w:rPr>
              <w:t>注：</w:t>
            </w:r>
            <w:r>
              <w:rPr>
                <w:rFonts w:hint="default" w:ascii="Times New Roman" w:hAnsi="Times New Roman" w:cs="Times New Roman"/>
                <w:color w:val="auto"/>
                <w:kern w:val="0"/>
                <w:sz w:val="21"/>
                <w:szCs w:val="21"/>
                <w:lang w:bidi="ar"/>
              </w:rPr>
              <w:t>1.废气中有毒有害污染物指纳入《有毒有害大气污染物名录》的污染物（不包括无排放标准的污染物）。</w:t>
            </w:r>
          </w:p>
          <w:p w14:paraId="769E0491">
            <w:pPr>
              <w:widowControl/>
              <w:wordWrap/>
              <w:spacing w:line="240" w:lineRule="auto"/>
              <w:ind w:firstLine="420" w:firstLineChars="200"/>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2.环境空气保护目标指自然保护区、风景名胜区、居住区、文化区和农村地区中人群较集中的区域。</w:t>
            </w:r>
          </w:p>
          <w:p w14:paraId="30FB3293">
            <w:pPr>
              <w:spacing w:line="240" w:lineRule="auto"/>
              <w:ind w:firstLine="420" w:firstLineChars="200"/>
              <w:jc w:val="left"/>
              <w:rPr>
                <w:rFonts w:hint="default" w:ascii="Times New Roman" w:hAnsi="Times New Roman" w:cs="Times New Roman"/>
                <w:color w:val="auto"/>
                <w:kern w:val="0"/>
              </w:rPr>
            </w:pPr>
            <w:r>
              <w:rPr>
                <w:rFonts w:hint="default" w:ascii="Times New Roman" w:hAnsi="Times New Roman" w:cs="Times New Roman"/>
                <w:color w:val="auto"/>
                <w:kern w:val="0"/>
                <w:sz w:val="21"/>
                <w:szCs w:val="21"/>
                <w:lang w:bidi="ar"/>
              </w:rPr>
              <w:t>3.临界量及其计算方法可参考《建设项目环境风险评价技术导则》（HJ 169）附录 B、附录 C。</w:t>
            </w:r>
          </w:p>
        </w:tc>
      </w:tr>
      <w:tr w14:paraId="5F6E09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7ED0EDA3">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rPr>
              <w:t>规划情况</w:t>
            </w:r>
          </w:p>
        </w:tc>
        <w:tc>
          <w:tcPr>
            <w:tcW w:w="7606" w:type="dxa"/>
            <w:gridSpan w:val="3"/>
            <w:vAlign w:val="center"/>
          </w:tcPr>
          <w:p w14:paraId="69823EC2">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根据博罗县人民政府审批《博罗县博东博西产业集聚区发展片区控制性详细规划的批复》（博府函[2017]10号）；博罗县人民政府审批《博罗县人民政府关于同意博东博西产业集聚区发展片区总体规划等方案博罗县2015（储备）16号用地等规划设计条件告知书的批复》（博府函[2015]93号）；广东省经济和信息化委员会审批《广东省经济和信息化委关于纳入中国开发区审核公告目录（2018年版）的产业集聚地确认为省产业转移工业园的函》（粤经信园区函[2018]35号）。</w:t>
            </w:r>
          </w:p>
        </w:tc>
      </w:tr>
      <w:tr w14:paraId="0574DE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6C35AC9E">
            <w:pPr>
              <w:adjustRightInd w:val="0"/>
              <w:snapToGrid w:val="0"/>
              <w:spacing w:line="240" w:lineRule="auto"/>
              <w:jc w:val="center"/>
              <w:rPr>
                <w:rFonts w:hint="default" w:ascii="Times New Roman" w:hAnsi="Times New Roman" w:cs="Times New Roman"/>
                <w:color w:val="auto"/>
              </w:rPr>
            </w:pPr>
            <w:r>
              <w:rPr>
                <w:rFonts w:hint="default" w:ascii="Times New Roman" w:hAnsi="Times New Roman" w:cs="Times New Roman"/>
                <w:color w:val="auto"/>
              </w:rPr>
              <w:t>规划环境影响</w:t>
            </w:r>
          </w:p>
          <w:p w14:paraId="1FFB99AE">
            <w:pPr>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rPr>
              <w:t>评价情况</w:t>
            </w:r>
          </w:p>
        </w:tc>
        <w:tc>
          <w:tcPr>
            <w:tcW w:w="7606" w:type="dxa"/>
            <w:gridSpan w:val="3"/>
            <w:vAlign w:val="center"/>
          </w:tcPr>
          <w:p w14:paraId="0F0A95F3">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2021年3月18日广东省生态环境厅组织召开了《广东博罗县产业转移工业园区总体规划环境影响报告书》审查会，并形成了《广东省生态环境厅关于印发&lt;广东博罗县产业转移工业园区总体规划环境影响报告书审查意见&gt;的函》（粤环审[2021]84号）</w:t>
            </w:r>
          </w:p>
        </w:tc>
      </w:tr>
      <w:tr w14:paraId="1E14F5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33" w:type="dxa"/>
            <w:gridSpan w:val="2"/>
            <w:vAlign w:val="center"/>
          </w:tcPr>
          <w:p w14:paraId="1A2C37F0">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rPr>
              <w:t>规划及规划环境</w:t>
            </w:r>
          </w:p>
          <w:p w14:paraId="03D7ED96">
            <w:pPr>
              <w:autoSpaceDE w:val="0"/>
              <w:autoSpaceDN w:val="0"/>
              <w:adjustRightInd w:val="0"/>
              <w:snapToGrid w:val="0"/>
              <w:spacing w:line="240" w:lineRule="auto"/>
              <w:jc w:val="center"/>
              <w:rPr>
                <w:rFonts w:hint="default" w:ascii="Times New Roman" w:hAnsi="Times New Roman" w:cs="Times New Roman"/>
                <w:color w:val="auto"/>
                <w:kern w:val="0"/>
              </w:rPr>
            </w:pPr>
            <w:r>
              <w:rPr>
                <w:rFonts w:hint="default" w:ascii="Times New Roman" w:hAnsi="Times New Roman" w:cs="Times New Roman"/>
                <w:color w:val="auto"/>
                <w:kern w:val="0"/>
              </w:rPr>
              <w:t>影响评价符合性分析</w:t>
            </w:r>
          </w:p>
        </w:tc>
        <w:tc>
          <w:tcPr>
            <w:tcW w:w="7606" w:type="dxa"/>
            <w:gridSpan w:val="3"/>
            <w:vAlign w:val="center"/>
          </w:tcPr>
          <w:p w14:paraId="0600643F">
            <w:pPr>
              <w:autoSpaceDE w:val="0"/>
              <w:autoSpaceDN w:val="0"/>
              <w:spacing w:line="240" w:lineRule="auto"/>
              <w:ind w:firstLine="482" w:firstLineChars="200"/>
              <w:jc w:val="both"/>
              <w:rPr>
                <w:rFonts w:hint="default" w:ascii="Times New Roman" w:hAnsi="Times New Roman" w:cs="Times New Roman"/>
                <w:b/>
                <w:bCs/>
                <w:color w:val="auto"/>
                <w:kern w:val="0"/>
              </w:rPr>
            </w:pPr>
            <w:r>
              <w:rPr>
                <w:rFonts w:hint="default" w:ascii="Times New Roman" w:hAnsi="Times New Roman" w:cs="Times New Roman"/>
                <w:b/>
                <w:bCs/>
                <w:color w:val="auto"/>
                <w:kern w:val="0"/>
              </w:rPr>
              <w:t>一、与《广东博罗县产业转移工业园区总体规划环境影响报告书》的相符性分析：</w:t>
            </w:r>
          </w:p>
          <w:p w14:paraId="42BF9712">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1、区域开发现状</w:t>
            </w:r>
          </w:p>
          <w:p w14:paraId="5C547DD0">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西区用地布局规划：园区西区总用地面积171.88公顷，建设用地面积74.41公顷，占西区总用地面积的43.29%；工业用地布局：工业用地共53.22公顷，占该区城市建设用地比例的71.52%；东区用地布局规划：园区东区总用地面积620.41公顷，建设用地面积270.13公顷，占东区总用地面积的43.54%；工业用地布局：工业用地共117.72公顷，占该区城市建设用地比例的43.58%。</w:t>
            </w:r>
          </w:p>
          <w:p w14:paraId="2E57E813">
            <w:pPr>
              <w:autoSpaceDE w:val="0"/>
              <w:autoSpaceDN w:val="0"/>
              <w:spacing w:line="240" w:lineRule="auto"/>
              <w:ind w:firstLine="482" w:firstLineChars="200"/>
              <w:jc w:val="both"/>
              <w:rPr>
                <w:rFonts w:hint="default" w:ascii="Times New Roman" w:hAnsi="Times New Roman" w:cs="Times New Roman"/>
                <w:color w:val="auto"/>
                <w:kern w:val="0"/>
              </w:rPr>
            </w:pPr>
            <w:r>
              <w:rPr>
                <w:rFonts w:hint="default" w:ascii="Times New Roman" w:hAnsi="Times New Roman" w:cs="Times New Roman"/>
                <w:b/>
                <w:bCs/>
                <w:color w:val="auto"/>
                <w:kern w:val="0"/>
              </w:rPr>
              <w:t>相符性分析：</w:t>
            </w:r>
            <w:r>
              <w:rPr>
                <w:rFonts w:hint="default" w:ascii="Times New Roman" w:hAnsi="Times New Roman" w:cs="Times New Roman"/>
                <w:color w:val="auto"/>
                <w:kern w:val="0"/>
              </w:rPr>
              <w:t>项目位于惠州市博罗县石湾镇滘吓村冯屋工业区南基C栋厂房，属于工业用地，符合西区用地布局规划。</w:t>
            </w:r>
          </w:p>
          <w:p w14:paraId="4E59F5C2">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2、排水工程现状</w:t>
            </w:r>
          </w:p>
          <w:p w14:paraId="590494C6">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西区（石湾镇）区块四：现状采用雨污合流制排水体系，未接通市政污水管网，区块四范围内企业产生的生活污水经各企业自建污水处理设施处理达标后排入石湾干渠，汇入石湾镇中心排渠，区块四现状无居民，不产生居民生活污水。该区块已建和在建企业均不产生和排放工业废水。广东博罗县产业转移工业园区总体规划环境影响报告书751西区（石湾镇）区块五和区块六：现状采用雨污分流制排水体系，污水管网均已铺设，区块五和区块六居民和企业产生的生活污水经化粪池预处理后依托石湾镇大牛垒生活污水处理厂处理，尾水排入石湾镇中心排渠，汇入联和排渠（又名里波水、紧水河）。该区块已建和在建企业均不产生和排放工业废水。</w:t>
            </w:r>
          </w:p>
          <w:p w14:paraId="1F2ABE1F">
            <w:pPr>
              <w:autoSpaceDE w:val="0"/>
              <w:autoSpaceDN w:val="0"/>
              <w:spacing w:line="240" w:lineRule="auto"/>
              <w:ind w:firstLine="482" w:firstLineChars="200"/>
              <w:jc w:val="both"/>
              <w:rPr>
                <w:rFonts w:hint="default" w:ascii="Times New Roman" w:hAnsi="Times New Roman" w:cs="Times New Roman"/>
                <w:color w:val="auto"/>
                <w:kern w:val="0"/>
              </w:rPr>
            </w:pPr>
            <w:r>
              <w:rPr>
                <w:rFonts w:hint="default" w:ascii="Times New Roman" w:hAnsi="Times New Roman" w:cs="Times New Roman"/>
                <w:b/>
                <w:bCs/>
                <w:color w:val="auto"/>
                <w:kern w:val="0"/>
              </w:rPr>
              <w:t>相符性分析：</w:t>
            </w:r>
            <w:r>
              <w:rPr>
                <w:rFonts w:hint="default" w:ascii="Times New Roman" w:hAnsi="Times New Roman" w:cs="Times New Roman"/>
                <w:color w:val="auto"/>
                <w:kern w:val="0"/>
              </w:rPr>
              <w:t>项目无生产废水外排，外排废水主要为员工生活污水。项目生活污水经预处理达标后通过市政污水管网排入博罗县石湾镇大牛垒生活污水处理厂处理，尾水排入石湾镇中心排渠，经紧水河汇入东江，符合规划要求。</w:t>
            </w:r>
          </w:p>
          <w:p w14:paraId="677FA9FA">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3、产业规划</w:t>
            </w:r>
          </w:p>
          <w:p w14:paraId="69260A53">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广东博罗县产业转移工业园区将打造成集现代制造业、现代服务业、生态居住功能于一体的现代产业集聚发展片区，形成以智能装备制造、电子信息、汽车零部件、新材料等四大产业为主导的规模型、创税型、科技型、生态环保型的现代产业集聚发展片区，坚持环境建设与城乡建设、经济建设同步规划、同步实施、同步发展的原则，总体与国家及地方国民经济与社会发展重大政策与战略规划、城市总体规划、环境保护规划以及重要的地方专项规划相符。</w:t>
            </w:r>
          </w:p>
          <w:p w14:paraId="7F610FF4">
            <w:pPr>
              <w:autoSpaceDE w:val="0"/>
              <w:autoSpaceDN w:val="0"/>
              <w:spacing w:line="240" w:lineRule="auto"/>
              <w:ind w:firstLine="482" w:firstLineChars="200"/>
              <w:jc w:val="both"/>
              <w:rPr>
                <w:rFonts w:hint="default" w:ascii="Times New Roman" w:hAnsi="Times New Roman" w:cs="Times New Roman"/>
                <w:color w:val="auto"/>
                <w:kern w:val="0"/>
              </w:rPr>
            </w:pPr>
            <w:r>
              <w:rPr>
                <w:rFonts w:hint="default" w:ascii="Times New Roman" w:hAnsi="Times New Roman" w:cs="Times New Roman"/>
                <w:b/>
                <w:bCs/>
                <w:color w:val="auto"/>
                <w:kern w:val="0"/>
              </w:rPr>
              <w:t>相符性分析：</w:t>
            </w:r>
            <w:r>
              <w:rPr>
                <w:rFonts w:hint="default" w:ascii="Times New Roman" w:hAnsi="Times New Roman" w:cs="Times New Roman"/>
                <w:color w:val="auto"/>
                <w:kern w:val="0"/>
              </w:rPr>
              <w:t>项目主要从事电子器件和模具的生产，符合产业规划要求。</w:t>
            </w:r>
          </w:p>
          <w:p w14:paraId="477370F7">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4、环境风险规划</w:t>
            </w:r>
          </w:p>
          <w:p w14:paraId="4ADD7B3A">
            <w:pPr>
              <w:autoSpaceDE w:val="0"/>
              <w:autoSpaceDN w:val="0"/>
              <w:spacing w:line="240" w:lineRule="auto"/>
              <w:ind w:firstLine="480" w:firstLineChars="200"/>
              <w:jc w:val="both"/>
              <w:rPr>
                <w:rFonts w:hint="default" w:ascii="Times New Roman" w:hAnsi="Times New Roman" w:cs="Times New Roman"/>
                <w:color w:val="auto"/>
                <w:kern w:val="0"/>
              </w:rPr>
            </w:pPr>
            <w:r>
              <w:rPr>
                <w:rFonts w:hint="default" w:ascii="Times New Roman" w:hAnsi="Times New Roman" w:cs="Times New Roman"/>
                <w:color w:val="auto"/>
                <w:kern w:val="0"/>
              </w:rPr>
              <w:t>建立环境监测预警制度，重点施行污染天气预警预报；生产、储存和使用有毒有害气体的企业（有毒有害气体的企业指列入《有毒有害大气污染物名录》的、以及其他对人体健康和生态环境造成危害的气体），需建立有毒有害气体环境风险预警体系。</w:t>
            </w:r>
          </w:p>
          <w:p w14:paraId="7E3886A4">
            <w:pPr>
              <w:keepNext w:val="0"/>
              <w:keepLines w:val="0"/>
              <w:widowControl/>
              <w:suppressLineNumbers w:val="0"/>
              <w:spacing w:line="240" w:lineRule="auto"/>
              <w:ind w:firstLine="482"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本项目不涉及有毒有害气体的生产、储存和使用。</w:t>
            </w:r>
          </w:p>
          <w:p w14:paraId="4E9F7E70">
            <w:pPr>
              <w:keepNext w:val="0"/>
              <w:keepLines w:val="0"/>
              <w:widowControl/>
              <w:suppressLineNumbers w:val="0"/>
              <w:spacing w:line="24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5、资源开发规划</w:t>
            </w:r>
          </w:p>
          <w:p w14:paraId="4C3C3082">
            <w:pPr>
              <w:keepNext w:val="0"/>
              <w:keepLines w:val="0"/>
              <w:widowControl/>
              <w:suppressLineNumbers w:val="0"/>
              <w:spacing w:line="24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燃料禁燃区范围，力争受体敏感区全部纳入高污染燃料禁燃区进行管理。鼓励降低煤炭消耗、能源消耗，引导风能、生物质成型燃料、液体燃料、发电、气化等多种形式的新能源利用。</w:t>
            </w:r>
          </w:p>
          <w:p w14:paraId="51C53206">
            <w:pPr>
              <w:keepNext w:val="0"/>
              <w:keepLines w:val="0"/>
              <w:widowControl/>
              <w:suppressLineNumbers w:val="0"/>
              <w:spacing w:line="240" w:lineRule="auto"/>
              <w:ind w:firstLine="482"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本项目不涉及使用高污染燃料，生产设备主要使用的电能</w:t>
            </w:r>
            <w:r>
              <w:rPr>
                <w:rFonts w:hint="default" w:ascii="Times New Roman" w:hAnsi="Times New Roman"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为清洁能源</w:t>
            </w:r>
            <w:r>
              <w:rPr>
                <w:rFonts w:hint="default" w:ascii="Times New Roman" w:hAnsi="Times New Roman" w:cs="Times New Roman"/>
                <w:color w:val="auto"/>
                <w:kern w:val="0"/>
                <w:sz w:val="24"/>
                <w:szCs w:val="24"/>
                <w:lang w:val="en-US" w:eastAsia="zh-CN" w:bidi="ar"/>
              </w:rPr>
              <w:t>。</w:t>
            </w:r>
          </w:p>
          <w:p w14:paraId="4EB57018">
            <w:pPr>
              <w:keepNext w:val="0"/>
              <w:keepLines w:val="0"/>
              <w:widowControl/>
              <w:suppressLineNumbers w:val="0"/>
              <w:spacing w:line="24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二、与《广东省生态环境厅关于印发&lt;广东博罗县产业转移工业园区总体规划环境影响报告书审查意见&gt;的函》的相符性分析</w:t>
            </w:r>
          </w:p>
          <w:p w14:paraId="505D039E">
            <w:pPr>
              <w:keepNext w:val="0"/>
              <w:keepLines w:val="0"/>
              <w:widowControl/>
              <w:suppressLineNumbers w:val="0"/>
              <w:spacing w:line="24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鉴于区域水环境较为敏感，建议园区结合区域水环境质量机污染防治措施落实情况，并根据污水粗粒设施实际处理能力合理控制开发时序。加快推进园区配套1#、2#污水处理厂建设，建成前园区不得新增生产废水排放；配合做好流域水环境整治工作。园区应严格控制废水排放量，生产废水、生活污水排放量近期分别控制在4065、9747吨/日以内，远期分别控制在6828、123375吨以内。</w:t>
            </w:r>
          </w:p>
          <w:p w14:paraId="76E82EB1">
            <w:pPr>
              <w:keepNext w:val="0"/>
              <w:keepLines w:val="0"/>
              <w:widowControl/>
              <w:suppressLineNumbers w:val="0"/>
              <w:spacing w:line="240" w:lineRule="auto"/>
              <w:ind w:firstLine="482"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项目严格执行环境准入清单，项目无生产废水外排，外排废水主要为员工生活污水。项目生活污水经预处理达标后通过市政污水管网排入博罗县石湾镇大牛垒生活污水处理厂处理，尾水排入石湾镇中心排渠，经紧水河汇入东江。</w:t>
            </w:r>
          </w:p>
          <w:p w14:paraId="4A2B6274">
            <w:pPr>
              <w:keepNext w:val="0"/>
              <w:keepLines w:val="0"/>
              <w:widowControl/>
              <w:numPr>
                <w:ilvl w:val="0"/>
                <w:numId w:val="2"/>
              </w:numPr>
              <w:suppressLineNumbers w:val="0"/>
              <w:spacing w:line="24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进一步优化园区用地规划。入园工业企业和园区内、外的居民点、学校、医院等环境敏感点之间需根据环境影响评价的结论合理设置环境防护距离，必要时在工业企业与环境敏感目标之间设置防护绿地。严格落实环境防护距离管理要求，不得在环境防护距离内建设集中居住区、学校、医院等环境敏感点。</w:t>
            </w:r>
          </w:p>
          <w:p w14:paraId="34871CD0">
            <w:pPr>
              <w:keepNext w:val="0"/>
              <w:keepLines w:val="0"/>
              <w:widowControl/>
              <w:numPr>
                <w:ilvl w:val="0"/>
                <w:numId w:val="0"/>
              </w:numPr>
              <w:suppressLineNumbers w:val="0"/>
              <w:spacing w:line="240" w:lineRule="auto"/>
              <w:ind w:firstLine="482"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根据博罗县石湾镇总体规划，项目所在地属于工业用地；项目最近的敏感点为位于项目</w:t>
            </w:r>
            <w:r>
              <w:rPr>
                <w:rFonts w:hint="eastAsia" w:cs="Times New Roman"/>
                <w:color w:val="auto"/>
                <w:kern w:val="0"/>
                <w:sz w:val="24"/>
                <w:szCs w:val="24"/>
                <w:lang w:val="en-US" w:eastAsia="zh-CN" w:bidi="ar"/>
              </w:rPr>
              <w:t>东北面60m的冯屋村</w:t>
            </w:r>
            <w:r>
              <w:rPr>
                <w:rFonts w:hint="default" w:ascii="Times New Roman" w:hAnsi="Times New Roman" w:eastAsia="宋体" w:cs="Times New Roman"/>
                <w:color w:val="auto"/>
                <w:kern w:val="0"/>
                <w:sz w:val="24"/>
                <w:szCs w:val="24"/>
                <w:lang w:val="en-US" w:eastAsia="zh-CN" w:bidi="ar"/>
              </w:rPr>
              <w:t>，根据分析项目的卫生防护距离设置为50m，则卫生防护距离内无环境敏感点，符合环境影响评价的结论要求。</w:t>
            </w:r>
          </w:p>
          <w:p w14:paraId="0ADC2DE9">
            <w:pPr>
              <w:keepNext w:val="0"/>
              <w:keepLines w:val="0"/>
              <w:widowControl/>
              <w:numPr>
                <w:ilvl w:val="0"/>
                <w:numId w:val="2"/>
              </w:numPr>
              <w:suppressLineNumbers w:val="0"/>
              <w:spacing w:line="240" w:lineRule="auto"/>
              <w:ind w:left="0" w:leftChars="0"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严格执行报告书建议的生态环境准入清单。入园项目应符合有关法律、法规、规章的规定，符合国家、省产业政策和园区产业定位，符合省、市“三线一单”生态环境分区管控要求，符合《关于严格限制东江流域水污染项目建设进一步做好东江水质保护工作的通知》（粤府函[2011]339号）等省、市关于东江流域水质保护的相关要求，优先引进无污染或轻污染的项目，不得引入电镀、印染工艺的，以及制浆造纸、制革等重污染项目，不得引入排放含汞、砷、镉、铅、六价铬等一类污染物或持久性有机污染物的项目。</w:t>
            </w:r>
          </w:p>
          <w:p w14:paraId="58CB0E8F">
            <w:pPr>
              <w:keepNext w:val="0"/>
              <w:keepLines w:val="0"/>
              <w:widowControl/>
              <w:numPr>
                <w:ilvl w:val="0"/>
                <w:numId w:val="0"/>
              </w:numPr>
              <w:suppressLineNumbers w:val="0"/>
              <w:spacing w:line="240" w:lineRule="auto"/>
              <w:ind w:firstLine="482"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项目主要</w:t>
            </w:r>
            <w:r>
              <w:rPr>
                <w:rFonts w:hint="default" w:ascii="Times New Roman" w:hAnsi="Times New Roman" w:cs="Times New Roman"/>
                <w:color w:val="auto"/>
                <w:kern w:val="0"/>
              </w:rPr>
              <w:t>从事电子器件和模具的生产</w:t>
            </w:r>
            <w:r>
              <w:rPr>
                <w:rFonts w:hint="default" w:ascii="Times New Roman" w:hAnsi="Times New Roman" w:eastAsia="宋体" w:cs="Times New Roman"/>
                <w:color w:val="auto"/>
                <w:kern w:val="0"/>
                <w:sz w:val="24"/>
                <w:szCs w:val="24"/>
                <w:lang w:val="en-US" w:eastAsia="zh-CN" w:bidi="ar"/>
              </w:rPr>
              <w:t>，不属于电镀、印染、制浆造纸、制革项目；不涉及含汞、砷、镉、铅、六价铬等一类污染物或持久性有机污染物的排放。不属于国家《产业结构调整指导目录（2024年本）》（国家发展改革委令第7号）中鼓励类、淘汰类和限制类，属于允许类；项目不属于《市场准入负面清单（2025年版）》（发改体改规〔2025〕466 号）中的禁止和许可类项目，本项目建设符合相关产业政策的要求；根据表1-1分析，项目符合“三线一单”生态环境分区管控要求；项目生活污水经预处理达标后通过市政污水管网排入博罗县石湾镇大牛垒生活污水处理厂处理，尾水排入石湾镇中心排渠，经紧水河汇入东江。符合《广东省人民政府关于严格限制东江流域水污染项目建设进一步做好东江水质保护工作的通知》（粤府[2011]339号）的相关规定。</w:t>
            </w:r>
          </w:p>
          <w:p w14:paraId="2D228C4D">
            <w:pPr>
              <w:keepNext w:val="0"/>
              <w:keepLines w:val="0"/>
              <w:widowControl/>
              <w:numPr>
                <w:ilvl w:val="0"/>
                <w:numId w:val="2"/>
              </w:numPr>
              <w:suppressLineNumbers w:val="0"/>
              <w:spacing w:line="240" w:lineRule="auto"/>
              <w:ind w:left="0" w:leftChars="0"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园区企业应尽量使用天然气、电能等清洁能源。按照《重点行业挥发性有机物综合治理方案》（环大气[2019]53号）、《工业炉窑大气污染综合治理方案》（环大气[2019]56号）的要求，采取有效的废气收集、处理措施，减少废气排放量，确保大气污染物达标排放，避免恶臭污染影响。结合VOCs总量减排工作要求，压减VOCs排放量。</w:t>
            </w:r>
          </w:p>
          <w:p w14:paraId="251BFDF5">
            <w:pPr>
              <w:keepNext w:val="0"/>
              <w:keepLines w:val="0"/>
              <w:widowControl/>
              <w:numPr>
                <w:ilvl w:val="0"/>
                <w:numId w:val="0"/>
              </w:numPr>
              <w:suppressLineNumbers w:val="0"/>
              <w:spacing w:line="240" w:lineRule="auto"/>
              <w:ind w:firstLine="482"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项目以电能为能源，项目建成后会采取有效的废气收集、处理措施，减少有机废气（VOCs）排放量，确保大气污染物达标排放。</w:t>
            </w:r>
          </w:p>
          <w:p w14:paraId="188E04FD">
            <w:pPr>
              <w:keepNext w:val="0"/>
              <w:keepLines w:val="0"/>
              <w:widowControl/>
              <w:numPr>
                <w:ilvl w:val="0"/>
                <w:numId w:val="2"/>
              </w:numPr>
              <w:suppressLineNumbers w:val="0"/>
              <w:spacing w:line="240" w:lineRule="auto"/>
              <w:ind w:left="0" w:leftChars="0"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按照分类收集和综合利用的原则，落实固体废物的综合利用和处理处置措施，防止造成二次污染。一次工业固体废物应立足于回收利用，不能利用的按有关要求进行处置。危险废物的污染防治须严格执行国家和省对危险废物管理的有关规定，送有危险废物处理资质的单位处理处置。</w:t>
            </w:r>
          </w:p>
          <w:p w14:paraId="7615BD3D">
            <w:pPr>
              <w:keepNext w:val="0"/>
              <w:keepLines w:val="0"/>
              <w:widowControl/>
              <w:numPr>
                <w:ilvl w:val="0"/>
                <w:numId w:val="0"/>
              </w:numPr>
              <w:suppressLineNumbers w:val="0"/>
              <w:spacing w:line="240" w:lineRule="auto"/>
              <w:ind w:firstLine="482"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项目产生的一般固体废物交专业回收公司处理，危险废物委托有危险废物处理资质的单位处置，生活垃圾交由环卫部门定期清运。</w:t>
            </w:r>
          </w:p>
          <w:p w14:paraId="06D1417E">
            <w:pPr>
              <w:keepNext w:val="0"/>
              <w:keepLines w:val="0"/>
              <w:widowControl/>
              <w:numPr>
                <w:ilvl w:val="0"/>
                <w:numId w:val="2"/>
              </w:numPr>
              <w:suppressLineNumbers w:val="0"/>
              <w:spacing w:line="240" w:lineRule="auto"/>
              <w:ind w:left="0" w:leftChars="0"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完善园区环境风险事故防范和应急预案，建立健全企业、园区和区域三级事故应急体系，落实有效的事故风险防范和应急措施，有效防范污染事故发生，避免因发生事故对周围环境造成污染，确保环境安全。</w:t>
            </w:r>
          </w:p>
          <w:p w14:paraId="18F42128">
            <w:pPr>
              <w:autoSpaceDE w:val="0"/>
              <w:autoSpaceDN w:val="0"/>
              <w:spacing w:line="240" w:lineRule="auto"/>
              <w:ind w:firstLine="482" w:firstLineChars="200"/>
              <w:jc w:val="both"/>
              <w:rPr>
                <w:rFonts w:hint="default" w:ascii="Times New Roman" w:hAnsi="Times New Roman" w:cs="Times New Roman"/>
                <w:color w:val="auto"/>
                <w:kern w:val="0"/>
              </w:rPr>
            </w:pPr>
            <w:r>
              <w:rPr>
                <w:rFonts w:hint="default" w:ascii="Times New Roman" w:hAnsi="Times New Roman" w:eastAsia="宋体" w:cs="Times New Roman"/>
                <w:b/>
                <w:bCs/>
                <w:color w:val="auto"/>
                <w:kern w:val="0"/>
                <w:sz w:val="24"/>
                <w:szCs w:val="24"/>
                <w:lang w:val="en-US" w:eastAsia="zh-CN" w:bidi="ar"/>
              </w:rPr>
              <w:t>相符性分析：</w:t>
            </w:r>
            <w:r>
              <w:rPr>
                <w:rFonts w:hint="default" w:ascii="Times New Roman" w:hAnsi="Times New Roman" w:eastAsia="宋体" w:cs="Times New Roman"/>
                <w:color w:val="auto"/>
                <w:kern w:val="0"/>
                <w:sz w:val="24"/>
                <w:szCs w:val="24"/>
                <w:lang w:val="en-US" w:eastAsia="zh-CN" w:bidi="ar"/>
              </w:rPr>
              <w:t>项目在建成后将落实有效的事故风险防范和应急措施，满足要求。</w:t>
            </w:r>
          </w:p>
        </w:tc>
      </w:tr>
      <w:tr w14:paraId="306B2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0" w:type="dxa"/>
            <w:vAlign w:val="center"/>
          </w:tcPr>
          <w:p w14:paraId="5DAF48A1">
            <w:pPr>
              <w:autoSpaceDE w:val="0"/>
              <w:autoSpaceDN w:val="0"/>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其他符合性分析</w:t>
            </w:r>
          </w:p>
        </w:tc>
        <w:tc>
          <w:tcPr>
            <w:tcW w:w="9099" w:type="dxa"/>
            <w:gridSpan w:val="4"/>
            <w:shd w:val="clear" w:color="auto" w:fill="auto"/>
            <w:vAlign w:val="center"/>
          </w:tcPr>
          <w:p w14:paraId="0C7CF6C6">
            <w:pPr>
              <w:pStyle w:val="62"/>
              <w:spacing w:line="360" w:lineRule="auto"/>
              <w:jc w:val="both"/>
              <w:textAlignment w:val="baseline"/>
              <w:rPr>
                <w:rFonts w:hint="default" w:ascii="Times New Roman" w:hAnsi="Times New Roman" w:cs="Times New Roman"/>
                <w:color w:val="auto"/>
              </w:rPr>
            </w:pPr>
            <w:r>
              <w:rPr>
                <w:rFonts w:hint="default" w:ascii="Times New Roman" w:hAnsi="Times New Roman" w:cs="Times New Roman"/>
                <w:color w:val="auto"/>
                <w:sz w:val="24"/>
              </w:rPr>
              <w:t>1、产业政策符合性</w:t>
            </w:r>
          </w:p>
          <w:p w14:paraId="313ACD83">
            <w:pPr>
              <w:keepNext w:val="0"/>
              <w:keepLines w:val="0"/>
              <w:suppressLineNumbers w:val="0"/>
              <w:spacing w:before="0" w:beforeAutospacing="0" w:after="0" w:afterAutospacing="0"/>
              <w:ind w:left="0" w:right="0" w:firstLine="480" w:firstLineChars="200"/>
              <w:rPr>
                <w:rFonts w:hint="default" w:ascii="Times New Roman" w:hAnsi="Times New Roman" w:cs="Times New Roman"/>
                <w:bCs/>
                <w:color w:val="auto"/>
              </w:rPr>
            </w:pPr>
            <w:r>
              <w:rPr>
                <w:rFonts w:hint="default" w:ascii="Times New Roman" w:hAnsi="Times New Roman" w:cs="Times New Roman"/>
                <w:color w:val="auto"/>
                <w:szCs w:val="22"/>
              </w:rPr>
              <w:t>项目</w:t>
            </w:r>
            <w:r>
              <w:rPr>
                <w:rFonts w:hint="eastAsia" w:cs="Times New Roman"/>
                <w:color w:val="auto"/>
                <w:szCs w:val="22"/>
                <w:lang w:eastAsia="zh-CN"/>
              </w:rPr>
              <w:t>从事电子器件和模具</w:t>
            </w:r>
            <w:r>
              <w:rPr>
                <w:rFonts w:hint="default" w:ascii="Times New Roman" w:hAnsi="Times New Roman" w:cs="Times New Roman"/>
                <w:color w:val="auto"/>
              </w:rPr>
              <w:t>的生产</w:t>
            </w:r>
            <w:r>
              <w:rPr>
                <w:rFonts w:hint="default" w:ascii="Times New Roman" w:hAnsi="Times New Roman" w:cs="Times New Roman"/>
                <w:color w:val="auto"/>
                <w:szCs w:val="22"/>
              </w:rPr>
              <w:t>，根据</w:t>
            </w:r>
            <w:r>
              <w:rPr>
                <w:rFonts w:hint="default" w:ascii="Times New Roman" w:hAnsi="Times New Roman" w:cs="Times New Roman"/>
                <w:bCs/>
                <w:color w:val="auto"/>
              </w:rPr>
              <w:t>《国民经济行业分类》（GB/T4754-2017）及其国家标准第1 号修改单，项目属于</w:t>
            </w:r>
            <w:r>
              <w:rPr>
                <w:rFonts w:hint="eastAsia" w:cs="Times New Roman"/>
                <w:color w:val="auto"/>
                <w:sz w:val="24"/>
                <w:lang w:val="en-US" w:eastAsia="zh-CN"/>
              </w:rPr>
              <w:t>C3979 其他电子器件制造</w:t>
            </w:r>
            <w:r>
              <w:rPr>
                <w:rFonts w:hint="default" w:ascii="Times New Roman" w:hAnsi="Times New Roman" w:cs="Times New Roman"/>
                <w:color w:val="auto"/>
                <w:sz w:val="24"/>
                <w:lang w:val="en-US" w:eastAsia="zh-CN"/>
              </w:rPr>
              <w:t>和C3525模具制造</w:t>
            </w:r>
            <w:r>
              <w:rPr>
                <w:rFonts w:hint="default" w:ascii="Times New Roman" w:hAnsi="Times New Roman" w:cs="Times New Roman"/>
                <w:bCs/>
                <w:color w:val="auto"/>
              </w:rPr>
              <w:t>，不属于</w:t>
            </w:r>
            <w:r>
              <w:rPr>
                <w:rFonts w:hint="default" w:ascii="Times New Roman" w:hAnsi="Times New Roman" w:cs="Times New Roman"/>
                <w:bCs/>
                <w:color w:val="auto"/>
                <w:sz w:val="24"/>
                <w:szCs w:val="24"/>
              </w:rPr>
              <w:t>《产业结构调整指导目录（20</w:t>
            </w:r>
            <w:r>
              <w:rPr>
                <w:rFonts w:hint="default" w:ascii="Times New Roman" w:hAnsi="Times New Roman" w:cs="Times New Roman"/>
                <w:bCs/>
                <w:color w:val="auto"/>
                <w:sz w:val="24"/>
                <w:szCs w:val="24"/>
                <w:lang w:val="en-US" w:eastAsia="zh-CN"/>
              </w:rPr>
              <w:t>24</w:t>
            </w:r>
            <w:r>
              <w:rPr>
                <w:rFonts w:hint="default" w:ascii="Times New Roman" w:hAnsi="Times New Roman" w:cs="Times New Roman"/>
                <w:bCs/>
                <w:color w:val="auto"/>
                <w:sz w:val="24"/>
                <w:szCs w:val="24"/>
              </w:rPr>
              <w:t>本）》（中华人民共和国国家发展和改革委员会令第7号）</w:t>
            </w:r>
            <w:r>
              <w:rPr>
                <w:rFonts w:hint="default" w:ascii="Times New Roman" w:hAnsi="Times New Roman" w:cs="Times New Roman"/>
                <w:bCs/>
                <w:color w:val="auto"/>
              </w:rPr>
              <w:t>中限制类、淘汰类项目，也不属于《市场准入负面清单（202</w:t>
            </w:r>
            <w:r>
              <w:rPr>
                <w:rFonts w:hint="default" w:ascii="Times New Roman" w:hAnsi="Times New Roman" w:cs="Times New Roman"/>
                <w:bCs/>
                <w:color w:val="auto"/>
                <w:lang w:val="en-US" w:eastAsia="zh-CN"/>
              </w:rPr>
              <w:t>5</w:t>
            </w:r>
            <w:r>
              <w:rPr>
                <w:rFonts w:hint="default" w:ascii="Times New Roman" w:hAnsi="Times New Roman" w:cs="Times New Roman"/>
                <w:bCs/>
                <w:color w:val="auto"/>
              </w:rPr>
              <w:t>年版）》中禁止类项目，可视为允许类项目，符合产业政策要求。</w:t>
            </w:r>
          </w:p>
          <w:p w14:paraId="4BDF893C">
            <w:pPr>
              <w:autoSpaceDE w:val="0"/>
              <w:autoSpaceDN w:val="0"/>
              <w:adjustRightInd w:val="0"/>
              <w:snapToGrid w:val="0"/>
              <w:spacing w:line="360" w:lineRule="auto"/>
              <w:rPr>
                <w:rFonts w:hint="default" w:ascii="Times New Roman" w:hAnsi="Times New Roman" w:eastAsia="宋体" w:cs="Times New Roman"/>
                <w:b/>
                <w:bCs/>
                <w:color w:val="auto"/>
                <w:kern w:val="0"/>
                <w:sz w:val="24"/>
                <w:szCs w:val="24"/>
              </w:rPr>
            </w:pPr>
            <w:r>
              <w:rPr>
                <w:rFonts w:hint="default" w:ascii="Times New Roman" w:hAnsi="Times New Roman" w:cs="Times New Roman"/>
                <w:b/>
                <w:bCs/>
                <w:color w:val="auto"/>
                <w:kern w:val="0"/>
                <w:sz w:val="24"/>
                <w:szCs w:val="24"/>
              </w:rPr>
              <w:t>2、</w:t>
            </w:r>
            <w:r>
              <w:rPr>
                <w:rFonts w:hint="default" w:ascii="Times New Roman" w:hAnsi="Times New Roman" w:eastAsia="宋体" w:cs="Times New Roman"/>
                <w:b/>
                <w:bCs/>
                <w:color w:val="auto"/>
                <w:kern w:val="0"/>
                <w:sz w:val="24"/>
                <w:szCs w:val="24"/>
              </w:rPr>
              <w:t>与</w:t>
            </w:r>
            <w:r>
              <w:rPr>
                <w:rFonts w:hint="default" w:ascii="Times New Roman" w:hAnsi="Times New Roman" w:eastAsia="宋体" w:cs="Times New Roman"/>
                <w:b/>
                <w:color w:val="auto"/>
                <w:sz w:val="24"/>
                <w:szCs w:val="24"/>
              </w:rPr>
              <w:t>《</w:t>
            </w:r>
            <w:r>
              <w:rPr>
                <w:rFonts w:hint="default" w:ascii="Times New Roman" w:hAnsi="Times New Roman" w:cs="Times New Roman"/>
                <w:b/>
                <w:color w:val="auto"/>
                <w:sz w:val="24"/>
                <w:szCs w:val="24"/>
                <w:lang w:eastAsia="zh-CN"/>
              </w:rPr>
              <w:t>博罗县</w:t>
            </w:r>
            <w:r>
              <w:rPr>
                <w:rFonts w:hint="default" w:ascii="Times New Roman" w:hAnsi="Times New Roman" w:eastAsia="宋体" w:cs="Times New Roman"/>
                <w:b/>
                <w:color w:val="auto"/>
                <w:sz w:val="24"/>
                <w:szCs w:val="24"/>
              </w:rPr>
              <w:t>“三线一单”生态环境分区管控方案的通知》</w:t>
            </w:r>
            <w:r>
              <w:rPr>
                <w:rFonts w:hint="default" w:ascii="Times New Roman" w:hAnsi="Times New Roman" w:eastAsia="宋体" w:cs="Times New Roman"/>
                <w:b/>
                <w:bCs/>
                <w:color w:val="auto"/>
                <w:kern w:val="0"/>
                <w:sz w:val="24"/>
                <w:szCs w:val="24"/>
              </w:rPr>
              <w:t>相符性分析</w:t>
            </w:r>
          </w:p>
          <w:p w14:paraId="2718B117">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val="0"/>
                <w:bCs w:val="0"/>
                <w:color w:val="auto"/>
                <w:position w:val="-6"/>
                <w:sz w:val="24"/>
                <w:szCs w:val="24"/>
                <w:lang w:val="en-US" w:eastAsia="zh-CN"/>
              </w:rPr>
              <w:t>根据《博罗县生态保护红线、环境质量底线、资源利用上线和环境准入清单研究报告》，以下简称《报告》，“三线一单”即生态保护红线及一般生态空间、环境质量底线、资源利用上线、生态环境准入清单。项目“三线一单”管理要求的符合性分析见下表：</w:t>
            </w:r>
          </w:p>
          <w:p w14:paraId="64568C2B">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2"/>
                <w:sz w:val="24"/>
                <w:szCs w:val="24"/>
                <w:lang w:val="en-US" w:eastAsia="zh-CN" w:bidi="ar-SA"/>
              </w:rPr>
              <w:t>表1-</w:t>
            </w:r>
            <w:r>
              <w:rPr>
                <w:rFonts w:hint="default" w:ascii="Times New Roman" w:hAnsi="Times New Roman"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 xml:space="preserve"> </w:t>
            </w:r>
            <w:r>
              <w:rPr>
                <w:rFonts w:hint="default" w:ascii="Times New Roman" w:hAnsi="Times New Roman" w:eastAsia="宋体" w:cs="Times New Roman"/>
                <w:b/>
                <w:bCs/>
                <w:color w:val="auto"/>
                <w:sz w:val="24"/>
                <w:szCs w:val="24"/>
              </w:rPr>
              <w:t>博罗县“三线一单”符合性对照分析情况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747"/>
              <w:gridCol w:w="4017"/>
              <w:gridCol w:w="2930"/>
              <w:gridCol w:w="469"/>
            </w:tblGrid>
            <w:tr w14:paraId="543C4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182" w:type="dxa"/>
                  <w:gridSpan w:val="2"/>
                  <w:noWrap w:val="0"/>
                  <w:vAlign w:val="center"/>
                </w:tcPr>
                <w:p w14:paraId="2E7088E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
                    </w:rPr>
                    <w:t>“三线一单内容”</w:t>
                  </w:r>
                </w:p>
              </w:tc>
              <w:tc>
                <w:tcPr>
                  <w:tcW w:w="4017" w:type="dxa"/>
                  <w:noWrap w:val="0"/>
                  <w:vAlign w:val="center"/>
                </w:tcPr>
                <w:p w14:paraId="1059958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cs="Times New Roman"/>
                      <w:b/>
                      <w:bCs/>
                      <w:color w:val="auto"/>
                      <w:kern w:val="2"/>
                      <w:sz w:val="21"/>
                      <w:szCs w:val="21"/>
                      <w:lang w:val="en-US" w:eastAsia="zh-CN" w:bidi="ar"/>
                    </w:rPr>
                    <w:t>清单要求</w:t>
                  </w:r>
                </w:p>
              </w:tc>
              <w:tc>
                <w:tcPr>
                  <w:tcW w:w="2930" w:type="dxa"/>
                  <w:noWrap w:val="0"/>
                  <w:vAlign w:val="center"/>
                </w:tcPr>
                <w:p w14:paraId="0495A84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对照分析</w:t>
                  </w:r>
                </w:p>
              </w:tc>
              <w:tc>
                <w:tcPr>
                  <w:tcW w:w="469" w:type="dxa"/>
                  <w:noWrap w:val="0"/>
                  <w:vAlign w:val="center"/>
                </w:tcPr>
                <w:p w14:paraId="19EBD63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符合性</w:t>
                  </w:r>
                </w:p>
              </w:tc>
            </w:tr>
            <w:tr w14:paraId="4BC8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0" w:hRule="atLeast"/>
                <w:jc w:val="center"/>
              </w:trPr>
              <w:tc>
                <w:tcPr>
                  <w:tcW w:w="1182" w:type="dxa"/>
                  <w:gridSpan w:val="2"/>
                  <w:noWrap w:val="0"/>
                  <w:vAlign w:val="center"/>
                </w:tcPr>
                <w:p w14:paraId="4004CAA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SA"/>
                    </w:rPr>
                    <w:t>生态保护红线和一般生态空间</w:t>
                  </w:r>
                </w:p>
              </w:tc>
              <w:tc>
                <w:tcPr>
                  <w:tcW w:w="4017" w:type="dxa"/>
                  <w:noWrap w:val="0"/>
                  <w:vAlign w:val="center"/>
                </w:tcPr>
                <w:p w14:paraId="1F77E9D5">
                  <w:pPr>
                    <w:keepNext w:val="0"/>
                    <w:keepLines w:val="0"/>
                    <w:widowControl/>
                    <w:suppressLineNumbers w:val="0"/>
                    <w:spacing w:line="240" w:lineRule="auto"/>
                    <w:jc w:val="left"/>
                    <w:rPr>
                      <w:sz w:val="21"/>
                      <w:szCs w:val="21"/>
                    </w:rPr>
                  </w:pPr>
                  <w:r>
                    <w:rPr>
                      <w:rFonts w:hint="eastAsia" w:ascii="宋体" w:hAnsi="宋体" w:eastAsia="宋体" w:cs="宋体"/>
                      <w:color w:val="000000"/>
                      <w:kern w:val="0"/>
                      <w:sz w:val="21"/>
                      <w:szCs w:val="21"/>
                      <w:lang w:val="en-US" w:eastAsia="zh-CN" w:bidi="ar"/>
                    </w:rPr>
                    <w:t>生态保护红线和一般生态空间：全县生态保护红线面积</w:t>
                  </w:r>
                  <w:r>
                    <w:rPr>
                      <w:rFonts w:hint="default" w:ascii="Times New Roman" w:hAnsi="Times New Roman" w:eastAsia="宋体" w:cs="Times New Roman"/>
                      <w:color w:val="000000"/>
                      <w:kern w:val="0"/>
                      <w:sz w:val="21"/>
                      <w:szCs w:val="21"/>
                      <w:lang w:val="en-US" w:eastAsia="zh-CN" w:bidi="ar"/>
                    </w:rPr>
                    <w:t>391.04</w:t>
                  </w:r>
                  <w:r>
                    <w:rPr>
                      <w:rFonts w:hint="eastAsia" w:ascii="宋体" w:hAnsi="宋体" w:eastAsia="宋体" w:cs="宋体"/>
                      <w:color w:val="000000"/>
                      <w:kern w:val="0"/>
                      <w:sz w:val="21"/>
                      <w:szCs w:val="21"/>
                      <w:lang w:val="en-US" w:eastAsia="zh-CN" w:bidi="ar"/>
                    </w:rPr>
                    <w:t>平方公里，占全县国土面积的</w:t>
                  </w:r>
                  <w:r>
                    <w:rPr>
                      <w:rFonts w:hint="default" w:ascii="Times New Roman" w:hAnsi="Times New Roman" w:eastAsia="宋体" w:cs="Times New Roman"/>
                      <w:color w:val="000000"/>
                      <w:kern w:val="0"/>
                      <w:sz w:val="21"/>
                      <w:szCs w:val="21"/>
                      <w:lang w:val="en-US" w:eastAsia="zh-CN" w:bidi="ar"/>
                    </w:rPr>
                    <w:t>13.7%</w:t>
                  </w:r>
                  <w:r>
                    <w:rPr>
                      <w:rFonts w:hint="eastAsia" w:ascii="宋体" w:hAnsi="宋体" w:eastAsia="宋体" w:cs="宋体"/>
                      <w:color w:val="000000"/>
                      <w:kern w:val="0"/>
                      <w:sz w:val="21"/>
                      <w:szCs w:val="21"/>
                      <w:lang w:val="en-US" w:eastAsia="zh-CN" w:bidi="ar"/>
                    </w:rPr>
                    <w:t>；一般生态空间面积</w:t>
                  </w:r>
                  <w:r>
                    <w:rPr>
                      <w:rFonts w:hint="default" w:ascii="Times New Roman" w:hAnsi="Times New Roman" w:eastAsia="宋体" w:cs="Times New Roman"/>
                      <w:color w:val="000000"/>
                      <w:kern w:val="0"/>
                      <w:sz w:val="21"/>
                      <w:szCs w:val="21"/>
                      <w:lang w:val="en-US" w:eastAsia="zh-CN" w:bidi="ar"/>
                    </w:rPr>
                    <w:t>356.47</w:t>
                  </w:r>
                  <w:r>
                    <w:rPr>
                      <w:rFonts w:hint="eastAsia" w:ascii="宋体" w:hAnsi="宋体" w:eastAsia="宋体" w:cs="宋体"/>
                      <w:color w:val="000000"/>
                      <w:kern w:val="0"/>
                      <w:sz w:val="21"/>
                      <w:szCs w:val="21"/>
                      <w:lang w:val="en-US" w:eastAsia="zh-CN" w:bidi="ar"/>
                    </w:rPr>
                    <w:t>平方公里，占全县国土面积的</w:t>
                  </w:r>
                  <w:r>
                    <w:rPr>
                      <w:rFonts w:hint="default" w:ascii="Times New Roman" w:hAnsi="Times New Roman" w:eastAsia="宋体" w:cs="Times New Roman"/>
                      <w:color w:val="000000"/>
                      <w:kern w:val="0"/>
                      <w:sz w:val="21"/>
                      <w:szCs w:val="21"/>
                      <w:lang w:val="en-US" w:eastAsia="zh-CN" w:bidi="ar"/>
                    </w:rPr>
                    <w:t>12.5%</w:t>
                  </w:r>
                  <w:r>
                    <w:rPr>
                      <w:rFonts w:hint="eastAsia" w:ascii="宋体" w:hAnsi="宋体" w:eastAsia="宋体" w:cs="宋体"/>
                      <w:color w:val="000000"/>
                      <w:kern w:val="0"/>
                      <w:sz w:val="21"/>
                      <w:szCs w:val="21"/>
                      <w:lang w:val="en-US" w:eastAsia="zh-CN" w:bidi="ar"/>
                    </w:rPr>
                    <w:t>。石湾镇生态保护红线面积</w:t>
                  </w:r>
                  <w:r>
                    <w:rPr>
                      <w:rFonts w:hint="default" w:ascii="Times New Roman" w:hAnsi="Times New Roman" w:eastAsia="宋体" w:cs="Times New Roman"/>
                      <w:color w:val="000000"/>
                      <w:kern w:val="0"/>
                      <w:sz w:val="21"/>
                      <w:szCs w:val="21"/>
                      <w:lang w:val="en-US" w:eastAsia="zh-CN" w:bidi="ar"/>
                    </w:rPr>
                    <w:t>0m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，一般生态空间面积</w:t>
                  </w:r>
                  <w:r>
                    <w:rPr>
                      <w:rFonts w:hint="default" w:ascii="Times New Roman" w:hAnsi="Times New Roman" w:eastAsia="宋体" w:cs="Times New Roman"/>
                      <w:color w:val="000000"/>
                      <w:kern w:val="0"/>
                      <w:sz w:val="21"/>
                      <w:szCs w:val="21"/>
                      <w:lang w:val="en-US" w:eastAsia="zh-CN" w:bidi="ar"/>
                    </w:rPr>
                    <w:t>0m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，生态空间一般管控区面积</w:t>
                  </w:r>
                  <w:r>
                    <w:rPr>
                      <w:rFonts w:hint="default" w:ascii="Times New Roman" w:hAnsi="Times New Roman" w:eastAsia="宋体" w:cs="Times New Roman"/>
                      <w:color w:val="000000"/>
                      <w:kern w:val="0"/>
                      <w:sz w:val="21"/>
                      <w:szCs w:val="21"/>
                      <w:lang w:val="en-US" w:eastAsia="zh-CN" w:bidi="ar"/>
                    </w:rPr>
                    <w:t>81.29m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p>
                <w:p w14:paraId="550D2CE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2930" w:type="dxa"/>
                  <w:noWrap w:val="0"/>
                  <w:vAlign w:val="center"/>
                </w:tcPr>
                <w:p w14:paraId="59ACD809">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kern w:val="2"/>
                      <w:sz w:val="21"/>
                      <w:szCs w:val="21"/>
                      <w:lang w:val="en-US" w:eastAsia="zh-CN" w:bidi="ar"/>
                    </w:rPr>
                    <w:t>项目选址位于</w:t>
                  </w:r>
                  <w:r>
                    <w:rPr>
                      <w:rFonts w:hint="eastAsia" w:cs="Times New Roman"/>
                      <w:color w:val="auto"/>
                      <w:kern w:val="2"/>
                      <w:sz w:val="21"/>
                      <w:szCs w:val="21"/>
                      <w:lang w:val="en-US" w:eastAsia="zh-CN" w:bidi="ar"/>
                    </w:rPr>
                    <w:t>惠州市博罗县石湾镇滘吓村冯屋工业区南基C栋厂房</w:t>
                  </w:r>
                  <w:r>
                    <w:rPr>
                      <w:rFonts w:hint="default" w:ascii="Times New Roman" w:hAnsi="Times New Roman" w:cs="Times New Roman"/>
                      <w:color w:val="auto"/>
                      <w:kern w:val="2"/>
                      <w:sz w:val="21"/>
                      <w:szCs w:val="21"/>
                      <w:lang w:val="en-US" w:eastAsia="zh-CN" w:bidi="ar"/>
                    </w:rPr>
                    <w:t>，根据《博罗县“三线一单”生态环境分区管控图集》（以下简称《图集》）生态空间最终划定情况（见附图10），项目所在地属于生态空间一般管控区。</w:t>
                  </w:r>
                </w:p>
              </w:tc>
              <w:tc>
                <w:tcPr>
                  <w:tcW w:w="469" w:type="dxa"/>
                  <w:noWrap w:val="0"/>
                  <w:vAlign w:val="center"/>
                </w:tcPr>
                <w:p w14:paraId="01CCE43B">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符合</w:t>
                  </w:r>
                </w:p>
              </w:tc>
            </w:tr>
            <w:tr w14:paraId="20B48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jc w:val="center"/>
              </w:trPr>
              <w:tc>
                <w:tcPr>
                  <w:tcW w:w="435" w:type="dxa"/>
                  <w:vMerge w:val="restart"/>
                  <w:noWrap w:val="0"/>
                  <w:vAlign w:val="center"/>
                </w:tcPr>
                <w:p w14:paraId="5C0438A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SA"/>
                    </w:rPr>
                    <w:t>环境质量底线</w:t>
                  </w:r>
                </w:p>
              </w:tc>
              <w:tc>
                <w:tcPr>
                  <w:tcW w:w="747" w:type="dxa"/>
                  <w:noWrap w:val="0"/>
                  <w:vAlign w:val="center"/>
                </w:tcPr>
                <w:p w14:paraId="1DB70466">
                  <w:pPr>
                    <w:keepNext w:val="0"/>
                    <w:keepLines w:val="0"/>
                    <w:pageBreakBefore w:val="0"/>
                    <w:widowControl w:val="0"/>
                    <w:kinsoku/>
                    <w:wordWrap w:val="0"/>
                    <w:overflowPunct/>
                    <w:topLinePunct w:val="0"/>
                    <w:autoSpaceDE/>
                    <w:autoSpaceDN/>
                    <w:bidi w:val="0"/>
                    <w:adjustRightInd/>
                    <w:snapToGrid/>
                    <w:spacing w:before="0" w:line="240" w:lineRule="auto"/>
                    <w:ind w:lef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大气环境质量底线及管控分区</w:t>
                  </w:r>
                </w:p>
              </w:tc>
              <w:tc>
                <w:tcPr>
                  <w:tcW w:w="4017" w:type="dxa"/>
                  <w:noWrap w:val="0"/>
                  <w:vAlign w:val="center"/>
                </w:tcPr>
                <w:p w14:paraId="1B5F26AC">
                  <w:pPr>
                    <w:keepNext w:val="0"/>
                    <w:keepLines w:val="0"/>
                    <w:widowControl/>
                    <w:suppressLineNumbers w:val="0"/>
                    <w:spacing w:line="240" w:lineRule="auto"/>
                    <w:jc w:val="left"/>
                    <w:rPr>
                      <w:sz w:val="28"/>
                      <w:szCs w:val="28"/>
                    </w:rPr>
                  </w:pPr>
                  <w:r>
                    <w:rPr>
                      <w:rFonts w:hint="eastAsia" w:ascii="宋体" w:hAnsi="宋体" w:eastAsia="宋体" w:cs="宋体"/>
                      <w:color w:val="000000"/>
                      <w:kern w:val="0"/>
                      <w:sz w:val="21"/>
                      <w:szCs w:val="21"/>
                      <w:lang w:val="en-US" w:eastAsia="zh-CN" w:bidi="ar"/>
                    </w:rPr>
                    <w:t>根据《博罗县生态保护红线、环境质量底线、资源利用上线和环境准入清单研究报告》中表</w:t>
                  </w:r>
                  <w:r>
                    <w:rPr>
                      <w:rFonts w:hint="default" w:ascii="Times New Roman" w:hAnsi="Times New Roman" w:eastAsia="宋体" w:cs="Times New Roman"/>
                      <w:color w:val="000000"/>
                      <w:kern w:val="0"/>
                      <w:sz w:val="21"/>
                      <w:szCs w:val="21"/>
                      <w:lang w:val="en-US" w:eastAsia="zh-CN" w:bidi="ar"/>
                    </w:rPr>
                    <w:t>5.4-2</w:t>
                  </w:r>
                  <w:r>
                    <w:rPr>
                      <w:rFonts w:hint="eastAsia" w:ascii="宋体" w:hAnsi="宋体" w:eastAsia="宋体" w:cs="宋体"/>
                      <w:color w:val="000000"/>
                      <w:kern w:val="0"/>
                      <w:sz w:val="21"/>
                      <w:szCs w:val="21"/>
                      <w:lang w:val="en-US" w:eastAsia="zh-CN" w:bidi="ar"/>
                    </w:rPr>
                    <w:t>，石湾镇大气环境优先保护区面积</w:t>
                  </w:r>
                  <w:r>
                    <w:rPr>
                      <w:rFonts w:hint="default" w:ascii="Times New Roman" w:hAnsi="Times New Roman" w:eastAsia="宋体" w:cs="Times New Roman"/>
                      <w:color w:val="000000"/>
                      <w:kern w:val="0"/>
                      <w:sz w:val="21"/>
                      <w:szCs w:val="21"/>
                      <w:lang w:val="en-US" w:eastAsia="zh-CN" w:bidi="ar"/>
                    </w:rPr>
                    <w:t>0km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，大气环境高排放重点管控区面积</w:t>
                  </w:r>
                  <w:r>
                    <w:rPr>
                      <w:rFonts w:hint="default" w:ascii="Times New Roman" w:hAnsi="Times New Roman" w:eastAsia="宋体" w:cs="Times New Roman"/>
                      <w:color w:val="000000"/>
                      <w:kern w:val="0"/>
                      <w:sz w:val="21"/>
                      <w:szCs w:val="21"/>
                      <w:lang w:val="en-US" w:eastAsia="zh-CN" w:bidi="ar"/>
                    </w:rPr>
                    <w:t>81.29km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，大气环境一般管控区面积</w:t>
                  </w:r>
                  <w:r>
                    <w:rPr>
                      <w:rFonts w:hint="default" w:ascii="Times New Roman" w:hAnsi="Times New Roman" w:eastAsia="宋体" w:cs="Times New Roman"/>
                      <w:color w:val="000000"/>
                      <w:kern w:val="0"/>
                      <w:sz w:val="21"/>
                      <w:szCs w:val="21"/>
                      <w:lang w:val="en-US" w:eastAsia="zh-CN" w:bidi="ar"/>
                    </w:rPr>
                    <w:t>0km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p>
                <w:p w14:paraId="248C48E2">
                  <w:pPr>
                    <w:keepNext w:val="0"/>
                    <w:keepLines w:val="0"/>
                    <w:widowControl/>
                    <w:suppressLineNumbers w:val="0"/>
                    <w:spacing w:line="240" w:lineRule="auto"/>
                    <w:jc w:val="left"/>
                    <w:rPr>
                      <w:rFonts w:hint="default" w:ascii="Times New Roman" w:hAnsi="Times New Roman" w:cs="Times New Roman"/>
                      <w:color w:val="auto"/>
                      <w:sz w:val="21"/>
                      <w:szCs w:val="21"/>
                      <w:lang w:val="en-US" w:eastAsia="zh-CN"/>
                    </w:rPr>
                  </w:pPr>
                  <w:r>
                    <w:rPr>
                      <w:rFonts w:hint="default" w:ascii="Times New Roman" w:hAnsi="Times New Roman" w:cs="Times New Roman"/>
                      <w:b/>
                      <w:bCs/>
                      <w:color w:val="auto"/>
                      <w:sz w:val="21"/>
                      <w:szCs w:val="21"/>
                      <w:lang w:val="en-US" w:eastAsia="zh-CN"/>
                    </w:rPr>
                    <w:t>大气环境高排放重点管控区管控要求：</w:t>
                  </w:r>
                  <w:r>
                    <w:rPr>
                      <w:rFonts w:hint="default" w:ascii="Times New Roman" w:hAnsi="Times New Roman" w:cs="Times New Roman"/>
                      <w:color w:val="auto"/>
                      <w:sz w:val="21"/>
                      <w:szCs w:val="21"/>
                      <w:lang w:val="en-US" w:eastAsia="zh-CN"/>
                    </w:rPr>
                    <w:t>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严格限制新建生产和使用高挥发性有机物原辅材料的项目。</w:t>
                  </w:r>
                </w:p>
              </w:tc>
              <w:tc>
                <w:tcPr>
                  <w:tcW w:w="2930" w:type="dxa"/>
                  <w:noWrap w:val="0"/>
                  <w:vAlign w:val="center"/>
                </w:tcPr>
                <w:p w14:paraId="7A3604DA">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eastAsia="宋体" w:cs="Times New Roman"/>
                      <w:b w:val="0"/>
                      <w:bCs w:val="0"/>
                      <w:color w:val="auto"/>
                      <w:sz w:val="21"/>
                      <w:szCs w:val="21"/>
                      <w:highlight w:val="none"/>
                      <w:lang w:val="en-US" w:eastAsia="zh-CN"/>
                    </w:rPr>
                    <w:t>位于</w:t>
                  </w:r>
                  <w:r>
                    <w:rPr>
                      <w:rFonts w:hint="eastAsia" w:ascii="Times New Roman" w:hAnsi="Times New Roman" w:cs="Times New Roman"/>
                      <w:b w:val="0"/>
                      <w:bCs w:val="0"/>
                      <w:color w:val="auto"/>
                      <w:sz w:val="21"/>
                      <w:szCs w:val="21"/>
                      <w:highlight w:val="none"/>
                      <w:lang w:val="en-US" w:eastAsia="zh-CN"/>
                    </w:rPr>
                    <w:t>惠州市博罗县石湾镇滘吓村冯屋工业区南基C栋厂房</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lang w:val="en-US" w:eastAsia="zh-CN"/>
                    </w:rPr>
                    <w:t>），项目所在地属于大气环境高排放重点管控区。</w:t>
                  </w:r>
                  <w:r>
                    <w:rPr>
                      <w:rFonts w:hint="eastAsia" w:ascii="Times New Roman" w:hAnsi="Times New Roman" w:cs="Times New Roman"/>
                      <w:b w:val="0"/>
                      <w:bCs w:val="0"/>
                      <w:color w:val="auto"/>
                      <w:sz w:val="21"/>
                      <w:szCs w:val="21"/>
                      <w:lang w:val="en-US" w:eastAsia="zh-CN"/>
                    </w:rPr>
                    <w:t>项目不属于所述禁止类项目，不涉及高挥发性有机物原辅材料生产和使用。项目废气经处理达标后排放，不会突破大气环境质量底线。</w:t>
                  </w:r>
                </w:p>
              </w:tc>
              <w:tc>
                <w:tcPr>
                  <w:tcW w:w="469" w:type="dxa"/>
                  <w:vMerge w:val="restart"/>
                  <w:noWrap w:val="0"/>
                  <w:vAlign w:val="center"/>
                </w:tcPr>
                <w:p w14:paraId="428BC68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符合</w:t>
                  </w:r>
                </w:p>
              </w:tc>
            </w:tr>
            <w:tr w14:paraId="1D56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35" w:type="dxa"/>
                  <w:vMerge w:val="continue"/>
                  <w:noWrap w:val="0"/>
                  <w:vAlign w:val="center"/>
                </w:tcPr>
                <w:p w14:paraId="1A6F5365">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747" w:type="dxa"/>
                  <w:noWrap w:val="0"/>
                  <w:vAlign w:val="center"/>
                </w:tcPr>
                <w:p w14:paraId="691E3D1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地表水环境质量底线及管控分区</w:t>
                  </w:r>
                </w:p>
              </w:tc>
              <w:tc>
                <w:tcPr>
                  <w:tcW w:w="4017" w:type="dxa"/>
                  <w:noWrap w:val="0"/>
                  <w:vAlign w:val="center"/>
                </w:tcPr>
                <w:p w14:paraId="3703A319">
                  <w:pPr>
                    <w:keepNext w:val="0"/>
                    <w:keepLines w:val="0"/>
                    <w:widowControl/>
                    <w:suppressLineNumbers w:val="0"/>
                    <w:spacing w:line="240" w:lineRule="auto"/>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根据《博罗县生态保护红线、环境质量底线、资源利用上线和环境准入清单研究报告》中表</w:t>
                  </w:r>
                  <w:r>
                    <w:rPr>
                      <w:rFonts w:hint="default" w:ascii="Times New Roman" w:hAnsi="Times New Roman" w:eastAsia="宋体" w:cs="Times New Roman"/>
                      <w:color w:val="000000"/>
                      <w:kern w:val="0"/>
                      <w:sz w:val="21"/>
                      <w:szCs w:val="21"/>
                      <w:lang w:val="en-US" w:eastAsia="zh-CN" w:bidi="ar"/>
                    </w:rPr>
                    <w:t>4.8-2</w:t>
                  </w:r>
                  <w:r>
                    <w:rPr>
                      <w:rFonts w:hint="eastAsia" w:ascii="宋体" w:hAnsi="宋体" w:eastAsia="宋体" w:cs="宋体"/>
                      <w:color w:val="000000"/>
                      <w:kern w:val="0"/>
                      <w:sz w:val="21"/>
                      <w:szCs w:val="21"/>
                      <w:lang w:val="en-US" w:eastAsia="zh-CN" w:bidi="ar"/>
                    </w:rPr>
                    <w:t>，园洲镇水环境优先保护区面积</w:t>
                  </w:r>
                  <w:r>
                    <w:rPr>
                      <w:rFonts w:hint="default" w:ascii="Times New Roman" w:hAnsi="Times New Roman" w:eastAsia="宋体" w:cs="Times New Roman"/>
                      <w:color w:val="000000"/>
                      <w:kern w:val="0"/>
                      <w:sz w:val="21"/>
                      <w:szCs w:val="21"/>
                      <w:lang w:val="en-US" w:eastAsia="zh-CN" w:bidi="ar"/>
                    </w:rPr>
                    <w:t>0km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，水环境生活污染重点管控区面积</w:t>
                  </w:r>
                  <w:r>
                    <w:rPr>
                      <w:rFonts w:hint="default" w:ascii="Times New Roman" w:hAnsi="Times New Roman" w:eastAsia="宋体" w:cs="Times New Roman"/>
                      <w:color w:val="000000"/>
                      <w:kern w:val="0"/>
                      <w:sz w:val="21"/>
                      <w:szCs w:val="21"/>
                      <w:lang w:val="en-US" w:eastAsia="zh-CN" w:bidi="ar"/>
                    </w:rPr>
                    <w:t>45.964km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，水环境工业污染重点管控区面积</w:t>
                  </w:r>
                  <w:r>
                    <w:rPr>
                      <w:rFonts w:hint="default" w:ascii="Times New Roman" w:hAnsi="Times New Roman" w:eastAsia="宋体" w:cs="Times New Roman"/>
                      <w:color w:val="000000"/>
                      <w:kern w:val="0"/>
                      <w:sz w:val="21"/>
                      <w:szCs w:val="21"/>
                      <w:lang w:val="en-US" w:eastAsia="zh-CN" w:bidi="ar"/>
                    </w:rPr>
                    <w:t>28.062km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，水环境一般管控区面积</w:t>
                  </w:r>
                  <w:r>
                    <w:rPr>
                      <w:rFonts w:hint="default" w:ascii="Times New Roman" w:hAnsi="Times New Roman" w:eastAsia="宋体" w:cs="Times New Roman"/>
                      <w:color w:val="000000"/>
                      <w:kern w:val="0"/>
                      <w:sz w:val="21"/>
                      <w:szCs w:val="21"/>
                      <w:lang w:val="en-US" w:eastAsia="zh-CN" w:bidi="ar"/>
                    </w:rPr>
                    <w:t>36.690km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p>
                <w:p w14:paraId="398EAD66">
                  <w:pPr>
                    <w:keepNext w:val="0"/>
                    <w:keepLines w:val="0"/>
                    <w:widowControl/>
                    <w:suppressLineNumbers w:val="0"/>
                    <w:spacing w:line="240" w:lineRule="auto"/>
                    <w:jc w:val="left"/>
                    <w:rPr>
                      <w:rFonts w:hint="eastAsia" w:ascii="宋体" w:hAnsi="宋体" w:eastAsia="宋体" w:cs="宋体"/>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水环境管控分区管控要求：</w:t>
                  </w:r>
                  <w:r>
                    <w:rPr>
                      <w:rFonts w:hint="eastAsia" w:ascii="宋体" w:hAnsi="宋体" w:eastAsia="宋体" w:cs="宋体"/>
                      <w:color w:val="000000"/>
                      <w:kern w:val="0"/>
                      <w:sz w:val="21"/>
                      <w:szCs w:val="21"/>
                      <w:lang w:val="en-US" w:eastAsia="zh-CN" w:bidi="ar"/>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最高水位线水平外延五百米范围内新建废弃物堆放场和处理场。饮用水水源保护区全面加强水源涵养，强化源头控制，禁止新建排污口，严格防范水源污染风险，切实保障饮用水安全，一级保护区内禁止新建、改建、扩建与供水设施和保护水源无关的建设项目；二级保护区内禁止新建、改建、扩建排放污染物的建设项目。饮用水水源准保护区内禁止新建、扩建对水体污染严重的建设项目。</w:t>
                  </w:r>
                </w:p>
                <w:p w14:paraId="32D9372D">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cs="Times New Roman"/>
                      <w:color w:val="auto"/>
                      <w:sz w:val="21"/>
                      <w:szCs w:val="21"/>
                      <w:lang w:val="en-US" w:eastAsia="zh-CN"/>
                    </w:rPr>
                  </w:pPr>
                </w:p>
              </w:tc>
              <w:tc>
                <w:tcPr>
                  <w:tcW w:w="2930" w:type="dxa"/>
                  <w:noWrap w:val="0"/>
                  <w:vAlign w:val="center"/>
                </w:tcPr>
                <w:p w14:paraId="6D23F29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eastAsia="宋体" w:cs="Times New Roman"/>
                      <w:b w:val="0"/>
                      <w:bCs w:val="0"/>
                      <w:color w:val="auto"/>
                      <w:sz w:val="21"/>
                      <w:szCs w:val="21"/>
                      <w:highlight w:val="none"/>
                      <w:lang w:val="en-US" w:eastAsia="zh-CN"/>
                    </w:rPr>
                    <w:t>位于</w:t>
                  </w:r>
                  <w:r>
                    <w:rPr>
                      <w:rFonts w:hint="eastAsia" w:cs="Times New Roman"/>
                      <w:b w:val="0"/>
                      <w:bCs w:val="0"/>
                      <w:color w:val="auto"/>
                      <w:sz w:val="21"/>
                      <w:szCs w:val="21"/>
                      <w:highlight w:val="none"/>
                      <w:lang w:val="en-US" w:eastAsia="zh-CN"/>
                    </w:rPr>
                    <w:t>惠州市博罗县石湾镇滘吓村冯屋工业区南基C栋厂房</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lang w:val="en-US" w:eastAsia="zh-CN"/>
                    </w:rPr>
                    <w:t>），项目所在地属于水环境</w:t>
                  </w:r>
                  <w:r>
                    <w:rPr>
                      <w:rFonts w:hint="default" w:ascii="Times New Roman" w:hAnsi="Times New Roman" w:cs="Times New Roman"/>
                      <w:b w:val="0"/>
                      <w:bCs w:val="0"/>
                      <w:color w:val="auto"/>
                      <w:sz w:val="21"/>
                      <w:szCs w:val="21"/>
                      <w:lang w:val="en-US" w:eastAsia="zh-CN"/>
                    </w:rPr>
                    <w:t>重点</w:t>
                  </w:r>
                  <w:r>
                    <w:rPr>
                      <w:rFonts w:hint="default" w:ascii="Times New Roman" w:hAnsi="Times New Roman" w:eastAsia="宋体" w:cs="Times New Roman"/>
                      <w:b w:val="0"/>
                      <w:bCs w:val="0"/>
                      <w:color w:val="auto"/>
                      <w:sz w:val="21"/>
                      <w:szCs w:val="21"/>
                      <w:lang w:val="en-US" w:eastAsia="zh-CN"/>
                    </w:rPr>
                    <w:t>管控区。项目无生产废水外排，外排废水主要为员工生活污水。项目生活污水经预处理达标后通过市政污水管网排入博罗县石湾镇大牛垒生活污水处理厂处理，尾水排入石湾镇中心排渠，经紧水河汇入东江，满足管控要求。</w:t>
                  </w:r>
                </w:p>
              </w:tc>
              <w:tc>
                <w:tcPr>
                  <w:tcW w:w="469" w:type="dxa"/>
                  <w:vMerge w:val="continue"/>
                  <w:noWrap w:val="0"/>
                  <w:vAlign w:val="center"/>
                </w:tcPr>
                <w:p w14:paraId="1EC0367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r w14:paraId="6E94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9" w:hRule="atLeast"/>
                <w:jc w:val="center"/>
              </w:trPr>
              <w:tc>
                <w:tcPr>
                  <w:tcW w:w="435" w:type="dxa"/>
                  <w:vMerge w:val="continue"/>
                  <w:noWrap w:val="0"/>
                  <w:vAlign w:val="center"/>
                </w:tcPr>
                <w:p w14:paraId="51705A8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747" w:type="dxa"/>
                  <w:noWrap w:val="0"/>
                  <w:vAlign w:val="center"/>
                </w:tcPr>
                <w:p w14:paraId="35B3C377">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土壤环境安全利用底线</w:t>
                  </w:r>
                </w:p>
              </w:tc>
              <w:tc>
                <w:tcPr>
                  <w:tcW w:w="4017" w:type="dxa"/>
                  <w:noWrap w:val="0"/>
                  <w:vAlign w:val="center"/>
                </w:tcPr>
                <w:p w14:paraId="3755A9B4">
                  <w:pPr>
                    <w:keepNext w:val="0"/>
                    <w:keepLines w:val="0"/>
                    <w:widowControl/>
                    <w:suppressLineNumbers w:val="0"/>
                    <w:spacing w:line="240" w:lineRule="auto"/>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根据《博罗县生态保护红线、环境质量底线、资源利用上线和环境准入清单研究报告》，博罗县建设用地重点管控分区共</w:t>
                  </w:r>
                  <w:r>
                    <w:rPr>
                      <w:rFonts w:hint="default" w:ascii="Times New Roman" w:hAnsi="Times New Roman" w:eastAsia="宋体" w:cs="Times New Roman"/>
                      <w:color w:val="000000"/>
                      <w:kern w:val="0"/>
                      <w:sz w:val="21"/>
                      <w:szCs w:val="21"/>
                      <w:lang w:val="en-US" w:eastAsia="zh-CN" w:bidi="ar"/>
                    </w:rPr>
                    <w:t>151</w:t>
                  </w:r>
                  <w:r>
                    <w:rPr>
                      <w:rFonts w:hint="eastAsia" w:ascii="宋体" w:hAnsi="宋体" w:eastAsia="宋体" w:cs="宋体"/>
                      <w:color w:val="000000"/>
                      <w:kern w:val="0"/>
                      <w:sz w:val="21"/>
                      <w:szCs w:val="21"/>
                      <w:lang w:val="en-US" w:eastAsia="zh-CN" w:bidi="ar"/>
                    </w:rPr>
                    <w:t>个斑块，总面积</w:t>
                  </w:r>
                  <w:r>
                    <w:rPr>
                      <w:rFonts w:hint="default" w:ascii="Times New Roman" w:hAnsi="Times New Roman" w:eastAsia="宋体" w:cs="Times New Roman"/>
                      <w:color w:val="000000"/>
                      <w:kern w:val="0"/>
                      <w:sz w:val="21"/>
                      <w:szCs w:val="21"/>
                      <w:lang w:val="en-US" w:eastAsia="zh-CN" w:bidi="ar"/>
                    </w:rPr>
                    <w:t>3392504.113m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，占博罗县辖区面积的</w:t>
                  </w:r>
                  <w:r>
                    <w:rPr>
                      <w:rFonts w:hint="default" w:ascii="Times New Roman" w:hAnsi="Times New Roman" w:eastAsia="宋体" w:cs="Times New Roman"/>
                      <w:color w:val="000000"/>
                      <w:kern w:val="0"/>
                      <w:sz w:val="21"/>
                      <w:szCs w:val="21"/>
                      <w:lang w:val="en-US" w:eastAsia="zh-CN" w:bidi="ar"/>
                    </w:rPr>
                    <w:t>0.078119%</w:t>
                  </w:r>
                  <w:r>
                    <w:rPr>
                      <w:rFonts w:hint="eastAsia" w:ascii="宋体" w:hAnsi="宋体" w:eastAsia="宋体" w:cs="宋体"/>
                      <w:color w:val="000000"/>
                      <w:kern w:val="0"/>
                      <w:sz w:val="21"/>
                      <w:szCs w:val="21"/>
                      <w:lang w:val="en-US" w:eastAsia="zh-CN" w:bidi="ar"/>
                    </w:rPr>
                    <w:t>，占博罗县辖区建设用地面积比例的</w:t>
                  </w:r>
                  <w:r>
                    <w:rPr>
                      <w:rFonts w:hint="default" w:ascii="Times New Roman" w:hAnsi="Times New Roman" w:eastAsia="宋体" w:cs="Times New Roman"/>
                      <w:color w:val="000000"/>
                      <w:kern w:val="0"/>
                      <w:sz w:val="21"/>
                      <w:szCs w:val="21"/>
                      <w:lang w:val="en-US" w:eastAsia="zh-CN" w:bidi="ar"/>
                    </w:rPr>
                    <w:t>1.391%</w:t>
                  </w:r>
                  <w:r>
                    <w:rPr>
                      <w:rFonts w:hint="eastAsia" w:ascii="宋体" w:hAnsi="宋体" w:eastAsia="宋体" w:cs="宋体"/>
                      <w:color w:val="000000"/>
                      <w:kern w:val="0"/>
                      <w:sz w:val="21"/>
                      <w:szCs w:val="21"/>
                      <w:lang w:val="en-US" w:eastAsia="zh-CN" w:bidi="ar"/>
                    </w:rPr>
                    <w:t>。根据表</w:t>
                  </w:r>
                  <w:r>
                    <w:rPr>
                      <w:rFonts w:hint="default" w:ascii="Times New Roman" w:hAnsi="Times New Roman" w:eastAsia="宋体" w:cs="Times New Roman"/>
                      <w:color w:val="000000"/>
                      <w:kern w:val="0"/>
                      <w:sz w:val="21"/>
                      <w:szCs w:val="21"/>
                      <w:lang w:val="en-US" w:eastAsia="zh-CN" w:bidi="ar"/>
                    </w:rPr>
                    <w:t>6.1-6</w:t>
                  </w:r>
                  <w:r>
                    <w:rPr>
                      <w:rFonts w:hint="eastAsia" w:ascii="宋体" w:hAnsi="宋体" w:eastAsia="宋体" w:cs="宋体"/>
                      <w:color w:val="000000"/>
                      <w:kern w:val="0"/>
                      <w:sz w:val="21"/>
                      <w:szCs w:val="21"/>
                      <w:lang w:val="en-US" w:eastAsia="zh-CN" w:bidi="ar"/>
                    </w:rPr>
                    <w:t>，石湾镇建设用地一般管控区面积为</w:t>
                  </w:r>
                  <w:r>
                    <w:rPr>
                      <w:rFonts w:hint="default" w:ascii="Times New Roman" w:hAnsi="Times New Roman" w:eastAsia="宋体" w:cs="Times New Roman"/>
                      <w:color w:val="000000"/>
                      <w:kern w:val="0"/>
                      <w:sz w:val="21"/>
                      <w:szCs w:val="21"/>
                      <w:lang w:val="en-US" w:eastAsia="zh-CN" w:bidi="ar"/>
                    </w:rPr>
                    <w:t>26.089km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，未利用地一般管控区面积</w:t>
                  </w:r>
                  <w:r>
                    <w:rPr>
                      <w:rFonts w:hint="default" w:ascii="Times New Roman" w:hAnsi="Times New Roman" w:eastAsia="宋体" w:cs="Times New Roman"/>
                      <w:color w:val="000000"/>
                      <w:kern w:val="0"/>
                      <w:sz w:val="21"/>
                      <w:szCs w:val="21"/>
                      <w:lang w:val="en-US" w:eastAsia="zh-CN" w:bidi="ar"/>
                    </w:rPr>
                    <w:t>6.936km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br w:type="textWrapping"/>
                  </w:r>
                  <w:r>
                    <w:rPr>
                      <w:rFonts w:hint="eastAsia" w:ascii="宋体" w:hAnsi="宋体" w:eastAsia="宋体" w:cs="宋体"/>
                      <w:b/>
                      <w:bCs/>
                      <w:color w:val="000000"/>
                      <w:kern w:val="0"/>
                      <w:sz w:val="21"/>
                      <w:szCs w:val="21"/>
                      <w:lang w:val="en-US" w:eastAsia="zh-CN" w:bidi="ar"/>
                    </w:rPr>
                    <w:t>土壤环境管控要求</w:t>
                  </w:r>
                </w:p>
                <w:p w14:paraId="17B8E576">
                  <w:pPr>
                    <w:keepNext w:val="0"/>
                    <w:keepLines w:val="0"/>
                    <w:widowControl/>
                    <w:suppressLineNumbers w:val="0"/>
                    <w:spacing w:line="240" w:lineRule="auto"/>
                    <w:jc w:val="left"/>
                    <w:rPr>
                      <w:rFonts w:hint="eastAsia" w:ascii="宋体" w:hAnsi="宋体" w:eastAsia="宋体" w:cs="宋体"/>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严格控制新增重金属污染物排放。</w:t>
                  </w:r>
                  <w:r>
                    <w:rPr>
                      <w:rFonts w:hint="eastAsia" w:ascii="宋体" w:hAnsi="宋体" w:eastAsia="宋体" w:cs="宋体"/>
                      <w:color w:val="000000"/>
                      <w:kern w:val="0"/>
                      <w:sz w:val="21"/>
                      <w:szCs w:val="21"/>
                      <w:lang w:val="en-US" w:eastAsia="zh-CN" w:bidi="ar"/>
                    </w:rPr>
                    <w:t>继续严格实施重金属污染防治分区防控策略，禁止在重点防控区内新建、改建、扩建增加重金属污染物排放总量的建设项目。重金属污染防控非重点区新建、改扩建重金属排放项目，应落实重金属总量替代与削减要求，严格控制重点行业发展规模。强化涉重金属污染行业建设项目环评审批管理，严格执行环保“三同时”制度。</w:t>
                  </w:r>
                </w:p>
                <w:p w14:paraId="02F8A691">
                  <w:pPr>
                    <w:keepNext w:val="0"/>
                    <w:keepLines w:val="0"/>
                    <w:widowControl/>
                    <w:suppressLineNumbers w:val="0"/>
                    <w:spacing w:line="240" w:lineRule="auto"/>
                    <w:jc w:val="left"/>
                    <w:rPr>
                      <w:rFonts w:hint="eastAsia" w:ascii="宋体" w:hAnsi="宋体" w:eastAsia="宋体" w:cs="宋体"/>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强化土壤环境风险管控。</w:t>
                  </w:r>
                  <w:r>
                    <w:rPr>
                      <w:rFonts w:hint="eastAsia" w:ascii="宋体" w:hAnsi="宋体" w:eastAsia="宋体" w:cs="宋体"/>
                      <w:color w:val="000000"/>
                      <w:kern w:val="0"/>
                      <w:sz w:val="21"/>
                      <w:szCs w:val="21"/>
                      <w:lang w:val="en-US" w:eastAsia="zh-CN" w:bidi="ar"/>
                    </w:rPr>
                    <w:t>实施农用地分类管理，保障农产品质量安全。严格控制在优先保护类耕地集中区域新建涉环境污染重点行业企业、污水处理厂、垃圾填埋场、垃圾焚烧厂及污染处理处置设施等公用设施。强化建设用地风险管控，防范人居环境风险。规范受污染建设用地再开发。</w:t>
                  </w:r>
                </w:p>
                <w:p w14:paraId="458EDAC1">
                  <w:pPr>
                    <w:keepNext w:val="0"/>
                    <w:keepLines w:val="0"/>
                    <w:widowControl/>
                    <w:suppressLineNumbers w:val="0"/>
                    <w:spacing w:line="240" w:lineRule="auto"/>
                    <w:jc w:val="left"/>
                    <w:rPr>
                      <w:sz w:val="21"/>
                      <w:szCs w:val="21"/>
                    </w:rPr>
                  </w:pPr>
                  <w:r>
                    <w:rPr>
                      <w:rFonts w:hint="eastAsia" w:ascii="宋体" w:hAnsi="宋体" w:eastAsia="宋体" w:cs="宋体"/>
                      <w:b/>
                      <w:bCs/>
                      <w:color w:val="000000"/>
                      <w:kern w:val="0"/>
                      <w:sz w:val="21"/>
                      <w:szCs w:val="21"/>
                      <w:lang w:val="en-US" w:eastAsia="zh-CN" w:bidi="ar"/>
                    </w:rPr>
                    <w:t>强化重金属风险管控。</w:t>
                  </w:r>
                  <w:r>
                    <w:rPr>
                      <w:rFonts w:hint="eastAsia" w:ascii="宋体" w:hAnsi="宋体" w:eastAsia="宋体" w:cs="宋体"/>
                      <w:color w:val="000000"/>
                      <w:kern w:val="0"/>
                      <w:sz w:val="21"/>
                      <w:szCs w:val="21"/>
                      <w:lang w:val="en-US" w:eastAsia="zh-CN" w:bidi="ar"/>
                    </w:rPr>
                    <w:t>加强涉重金属污染源环境风险管控。强化涉重危险废物安全处理处置。加强污染地块风险管控，建立污染地块清单，实施污染地块分类管理，强化污染场地开发利用环境管理。</w:t>
                  </w:r>
                </w:p>
                <w:p w14:paraId="5815CEA4">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p>
              </w:tc>
              <w:tc>
                <w:tcPr>
                  <w:tcW w:w="2930" w:type="dxa"/>
                  <w:noWrap w:val="0"/>
                  <w:vAlign w:val="center"/>
                </w:tcPr>
                <w:p w14:paraId="0958C7C0">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cs="Times New Roman"/>
                      <w:b w:val="0"/>
                      <w:bCs w:val="0"/>
                      <w:color w:val="auto"/>
                      <w:sz w:val="21"/>
                      <w:szCs w:val="21"/>
                      <w:highlight w:val="none"/>
                      <w:lang w:val="en-US" w:eastAsia="zh-CN"/>
                    </w:rPr>
                    <w:t>位于</w:t>
                  </w:r>
                  <w:r>
                    <w:rPr>
                      <w:rFonts w:hint="eastAsia" w:ascii="Times New Roman" w:hAnsi="Times New Roman" w:cs="Times New Roman"/>
                      <w:b w:val="0"/>
                      <w:bCs w:val="0"/>
                      <w:color w:val="auto"/>
                      <w:sz w:val="21"/>
                      <w:szCs w:val="21"/>
                      <w:highlight w:val="none"/>
                      <w:lang w:val="en-US" w:eastAsia="zh-CN"/>
                    </w:rPr>
                    <w:t>惠州市博罗县石湾镇滘吓村冯屋工业区南基C栋厂房</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lang w:val="en-US" w:eastAsia="zh-CN"/>
                    </w:rPr>
                    <w:t>），项目所在地属于博罗县土壤环境一般管控区_不含农用地。项目不涉及重金属，厂区地面已硬底化，产生的一般工业固体废物、危险废物均妥善处置，不会污染土壤环境。</w:t>
                  </w:r>
                </w:p>
              </w:tc>
              <w:tc>
                <w:tcPr>
                  <w:tcW w:w="469" w:type="dxa"/>
                  <w:vMerge w:val="continue"/>
                  <w:noWrap w:val="0"/>
                  <w:vAlign w:val="center"/>
                </w:tcPr>
                <w:p w14:paraId="0A99CA7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r w14:paraId="10607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9" w:hRule="atLeast"/>
                <w:jc w:val="center"/>
              </w:trPr>
              <w:tc>
                <w:tcPr>
                  <w:tcW w:w="1182" w:type="dxa"/>
                  <w:gridSpan w:val="2"/>
                  <w:vMerge w:val="restart"/>
                  <w:noWrap w:val="0"/>
                  <w:vAlign w:val="center"/>
                </w:tcPr>
                <w:p w14:paraId="0AD1E1E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SA"/>
                    </w:rPr>
                    <w:t>资源利用上线</w:t>
                  </w:r>
                </w:p>
              </w:tc>
              <w:tc>
                <w:tcPr>
                  <w:tcW w:w="4017" w:type="dxa"/>
                  <w:noWrap w:val="0"/>
                  <w:vAlign w:val="center"/>
                </w:tcPr>
                <w:p w14:paraId="33E1A2D7">
                  <w:pPr>
                    <w:keepNext w:val="0"/>
                    <w:keepLines w:val="0"/>
                    <w:widowControl/>
                    <w:suppressLineNumbers w:val="0"/>
                    <w:spacing w:line="240" w:lineRule="auto"/>
                    <w:jc w:val="left"/>
                    <w:rPr>
                      <w:rFonts w:hint="default" w:ascii="Times New Roman" w:hAnsi="Times New Roman" w:eastAsia="宋体" w:cs="Times New Roman"/>
                      <w:b/>
                      <w:bCs/>
                      <w:color w:val="auto"/>
                      <w:kern w:val="2"/>
                      <w:sz w:val="21"/>
                      <w:szCs w:val="21"/>
                      <w:lang w:val="en-US" w:eastAsia="zh-CN" w:bidi="ar-SA"/>
                    </w:rPr>
                  </w:pPr>
                  <w:r>
                    <w:rPr>
                      <w:rFonts w:hint="eastAsia" w:ascii="宋体" w:hAnsi="宋体" w:eastAsia="宋体" w:cs="宋体"/>
                      <w:b/>
                      <w:bCs/>
                      <w:color w:val="000000"/>
                      <w:kern w:val="0"/>
                      <w:sz w:val="21"/>
                      <w:szCs w:val="21"/>
                      <w:lang w:val="en-US" w:eastAsia="zh-CN" w:bidi="ar"/>
                    </w:rPr>
                    <w:t>土地资源管控分区：</w:t>
                  </w:r>
                  <w:r>
                    <w:rPr>
                      <w:rFonts w:hint="eastAsia" w:ascii="宋体" w:hAnsi="宋体" w:eastAsia="宋体" w:cs="宋体"/>
                      <w:color w:val="000000"/>
                      <w:kern w:val="0"/>
                      <w:sz w:val="21"/>
                      <w:szCs w:val="21"/>
                      <w:lang w:val="en-US" w:eastAsia="zh-CN" w:bidi="ar"/>
                    </w:rPr>
                    <w:t>对于土地资源分区，将土地资源划分为优先保护区、重点管控区和一般管控区</w:t>
                  </w:r>
                  <w:r>
                    <w:rPr>
                      <w:rFonts w:hint="default" w:ascii="Times New Roman" w:hAnsi="Times New Roman" w:eastAsia="宋体" w:cs="Times New Roman"/>
                      <w:color w:val="000000"/>
                      <w:kern w:val="0"/>
                      <w:sz w:val="21"/>
                      <w:szCs w:val="21"/>
                      <w:lang w:val="en-US" w:eastAsia="zh-CN" w:bidi="ar"/>
                    </w:rPr>
                    <w:t>3</w:t>
                  </w:r>
                  <w:r>
                    <w:rPr>
                      <w:rFonts w:hint="eastAsia" w:ascii="宋体" w:hAnsi="宋体" w:eastAsia="宋体" w:cs="宋体"/>
                      <w:color w:val="000000"/>
                      <w:kern w:val="0"/>
                      <w:sz w:val="21"/>
                      <w:szCs w:val="21"/>
                      <w:lang w:val="en-US" w:eastAsia="zh-CN" w:bidi="ar"/>
                    </w:rPr>
                    <w:t>类。其中，将生态保护红线和永久基本农田的图层叠加取并集形成优先保护区；将受污染建设用地作为重点管控区；其他区域为一般管控区。博罗县共划定土地资源优先保护区</w:t>
                  </w:r>
                  <w:r>
                    <w:rPr>
                      <w:rFonts w:hint="default" w:ascii="Times New Roman" w:hAnsi="Times New Roman" w:eastAsia="宋体" w:cs="Times New Roman"/>
                      <w:color w:val="000000"/>
                      <w:kern w:val="0"/>
                      <w:sz w:val="21"/>
                      <w:szCs w:val="21"/>
                      <w:lang w:val="en-US" w:eastAsia="zh-CN" w:bidi="ar"/>
                    </w:rPr>
                    <w:t>834.505km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p>
              </w:tc>
              <w:tc>
                <w:tcPr>
                  <w:tcW w:w="2930" w:type="dxa"/>
                  <w:noWrap w:val="0"/>
                  <w:vAlign w:val="center"/>
                </w:tcPr>
                <w:p w14:paraId="16B59D77">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highlight w:val="none"/>
                    </w:rPr>
                    <w:t>本项目</w:t>
                  </w:r>
                  <w:r>
                    <w:rPr>
                      <w:rFonts w:hint="default" w:ascii="Times New Roman" w:hAnsi="Times New Roman" w:eastAsia="宋体" w:cs="Times New Roman"/>
                      <w:b w:val="0"/>
                      <w:bCs w:val="0"/>
                      <w:color w:val="auto"/>
                      <w:sz w:val="21"/>
                      <w:szCs w:val="21"/>
                      <w:highlight w:val="none"/>
                      <w:lang w:val="en-US" w:eastAsia="zh-CN"/>
                    </w:rPr>
                    <w:t>位于</w:t>
                  </w:r>
                  <w:r>
                    <w:rPr>
                      <w:rFonts w:hint="eastAsia" w:ascii="Times New Roman" w:hAnsi="Times New Roman" w:cs="Times New Roman"/>
                      <w:b w:val="0"/>
                      <w:bCs w:val="0"/>
                      <w:color w:val="auto"/>
                      <w:sz w:val="21"/>
                      <w:szCs w:val="21"/>
                      <w:highlight w:val="none"/>
                      <w:lang w:val="en-US" w:eastAsia="zh-CN"/>
                    </w:rPr>
                    <w:t>惠州市博罗县石湾镇滘吓村冯屋工业区南基C栋厂房</w:t>
                  </w:r>
                  <w:r>
                    <w:rPr>
                      <w:rFonts w:hint="default" w:ascii="Times New Roman" w:hAnsi="Times New Roman" w:eastAsia="宋体" w:cs="Times New Roman"/>
                      <w:b w:val="0"/>
                      <w:bCs w:val="0"/>
                      <w:color w:val="auto"/>
                      <w:spacing w:val="-9"/>
                      <w:sz w:val="21"/>
                      <w:szCs w:val="21"/>
                    </w:rPr>
                    <w:t>，</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5</w:t>
                  </w:r>
                  <w:r>
                    <w:rPr>
                      <w:rFonts w:hint="default" w:ascii="Times New Roman" w:hAnsi="Times New Roman" w:eastAsia="宋体" w:cs="Times New Roman"/>
                      <w:b w:val="0"/>
                      <w:bCs w:val="0"/>
                      <w:color w:val="auto"/>
                      <w:sz w:val="21"/>
                      <w:szCs w:val="21"/>
                      <w:lang w:val="en-US" w:eastAsia="zh-CN"/>
                    </w:rPr>
                    <w:t>），项目所在地不位于土地资源优先保护区。</w:t>
                  </w:r>
                </w:p>
              </w:tc>
              <w:tc>
                <w:tcPr>
                  <w:tcW w:w="469" w:type="dxa"/>
                  <w:vMerge w:val="restart"/>
                  <w:noWrap w:val="0"/>
                  <w:vAlign w:val="center"/>
                </w:tcPr>
                <w:p w14:paraId="4F0809C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符合</w:t>
                  </w:r>
                </w:p>
              </w:tc>
            </w:tr>
            <w:tr w14:paraId="257F9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9" w:hRule="atLeast"/>
                <w:jc w:val="center"/>
              </w:trPr>
              <w:tc>
                <w:tcPr>
                  <w:tcW w:w="1182" w:type="dxa"/>
                  <w:gridSpan w:val="2"/>
                  <w:vMerge w:val="continue"/>
                  <w:noWrap w:val="0"/>
                  <w:vAlign w:val="center"/>
                </w:tcPr>
                <w:p w14:paraId="3AA5473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4017" w:type="dxa"/>
                  <w:noWrap w:val="0"/>
                  <w:vAlign w:val="center"/>
                </w:tcPr>
                <w:p w14:paraId="59AD38AA">
                  <w:pPr>
                    <w:keepNext w:val="0"/>
                    <w:keepLines w:val="0"/>
                    <w:widowControl/>
                    <w:suppressLineNumbers w:val="0"/>
                    <w:spacing w:line="240" w:lineRule="auto"/>
                    <w:jc w:val="left"/>
                    <w:rPr>
                      <w:rFonts w:hint="default" w:ascii="Times New Roman" w:hAnsi="Times New Roman" w:eastAsia="宋体" w:cs="Times New Roman"/>
                      <w:b/>
                      <w:bCs/>
                      <w:color w:val="auto"/>
                      <w:kern w:val="2"/>
                      <w:sz w:val="21"/>
                      <w:szCs w:val="21"/>
                      <w:lang w:val="en-US" w:eastAsia="zh-CN" w:bidi="ar-SA"/>
                    </w:rPr>
                  </w:pPr>
                  <w:r>
                    <w:rPr>
                      <w:rFonts w:hint="eastAsia" w:ascii="宋体" w:hAnsi="宋体" w:eastAsia="宋体" w:cs="宋体"/>
                      <w:b/>
                      <w:bCs/>
                      <w:color w:val="000000"/>
                      <w:kern w:val="0"/>
                      <w:sz w:val="21"/>
                      <w:szCs w:val="21"/>
                      <w:lang w:val="en-US" w:eastAsia="zh-CN" w:bidi="ar"/>
                    </w:rPr>
                    <w:t>能源（煤炭）管控分区：</w:t>
                  </w:r>
                  <w:r>
                    <w:rPr>
                      <w:rFonts w:hint="eastAsia" w:ascii="宋体" w:hAnsi="宋体" w:eastAsia="宋体" w:cs="宋体"/>
                      <w:color w:val="000000"/>
                      <w:kern w:val="0"/>
                      <w:sz w:val="21"/>
                      <w:szCs w:val="21"/>
                      <w:lang w:val="en-US" w:eastAsia="zh-CN" w:bidi="ar"/>
                    </w:rPr>
                    <w:t>将《惠州市人民政府关于重新划定惠州市高污染燃料禁燃区的通告》（惠府〔</w:t>
                  </w:r>
                  <w:r>
                    <w:rPr>
                      <w:rFonts w:hint="default" w:ascii="Times New Roman" w:hAnsi="Times New Roman" w:eastAsia="宋体" w:cs="Times New Roman"/>
                      <w:color w:val="000000"/>
                      <w:kern w:val="0"/>
                      <w:sz w:val="21"/>
                      <w:szCs w:val="21"/>
                      <w:lang w:val="en-US" w:eastAsia="zh-CN" w:bidi="ar"/>
                    </w:rPr>
                    <w:t>2018</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号）文件中Ⅲ类管控燃料控制区划入高污染燃料禁燃区，作为能源（煤炭）利用的重点管控区，总面积</w:t>
                  </w:r>
                  <w:r>
                    <w:rPr>
                      <w:rFonts w:hint="default" w:ascii="Times New Roman" w:hAnsi="Times New Roman" w:eastAsia="宋体" w:cs="Times New Roman"/>
                      <w:color w:val="000000"/>
                      <w:kern w:val="0"/>
                      <w:sz w:val="21"/>
                      <w:szCs w:val="21"/>
                      <w:lang w:val="en-US" w:eastAsia="zh-CN" w:bidi="ar"/>
                    </w:rPr>
                    <w:t>394.927km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p>
              </w:tc>
              <w:tc>
                <w:tcPr>
                  <w:tcW w:w="2930" w:type="dxa"/>
                  <w:noWrap w:val="0"/>
                  <w:vAlign w:val="center"/>
                </w:tcPr>
                <w:p w14:paraId="7BACC44A">
                  <w:pPr>
                    <w:pStyle w:val="86"/>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lang w:val="en-US" w:eastAsia="zh-CN"/>
                    </w:rPr>
                    <w:t>本项目位于</w:t>
                  </w:r>
                  <w:r>
                    <w:rPr>
                      <w:rFonts w:hint="eastAsia" w:ascii="Times New Roman" w:hAnsi="Times New Roman" w:cs="Times New Roman"/>
                      <w:b w:val="0"/>
                      <w:bCs w:val="0"/>
                      <w:color w:val="auto"/>
                      <w:sz w:val="21"/>
                      <w:szCs w:val="21"/>
                      <w:highlight w:val="none"/>
                      <w:lang w:val="en-US" w:eastAsia="zh-CN"/>
                    </w:rPr>
                    <w:t>惠州市博罗县石湾镇滘吓村冯屋工业区南基C栋厂房</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，根据《博罗县“三线一单”生态环境分区管控图集》（以下简称《图集》）（见附图1</w:t>
                  </w:r>
                  <w:r>
                    <w:rPr>
                      <w:rFonts w:hint="default" w:ascii="Times New Roman" w:hAnsi="Times New Roman"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lang w:val="en-US" w:eastAsia="zh-CN"/>
                    </w:rPr>
                    <w:t>），本项目所在地不属于高污染燃料禁燃区，本项目以电作为能源，不使用煤炭。</w:t>
                  </w:r>
                </w:p>
              </w:tc>
              <w:tc>
                <w:tcPr>
                  <w:tcW w:w="469" w:type="dxa"/>
                  <w:vMerge w:val="continue"/>
                  <w:noWrap w:val="0"/>
                  <w:vAlign w:val="center"/>
                </w:tcPr>
                <w:p w14:paraId="0C7FE5B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r w14:paraId="7126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3" w:hRule="atLeast"/>
                <w:jc w:val="center"/>
              </w:trPr>
              <w:tc>
                <w:tcPr>
                  <w:tcW w:w="1182" w:type="dxa"/>
                  <w:gridSpan w:val="2"/>
                  <w:vMerge w:val="continue"/>
                  <w:noWrap w:val="0"/>
                  <w:vAlign w:val="center"/>
                </w:tcPr>
                <w:p w14:paraId="2D9F5AE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4017" w:type="dxa"/>
                  <w:noWrap w:val="0"/>
                  <w:vAlign w:val="center"/>
                </w:tcPr>
                <w:p w14:paraId="394BEB91">
                  <w:pPr>
                    <w:keepNext w:val="0"/>
                    <w:keepLines w:val="0"/>
                    <w:widowControl/>
                    <w:suppressLineNumbers w:val="0"/>
                    <w:spacing w:line="240" w:lineRule="auto"/>
                    <w:jc w:val="left"/>
                    <w:rPr>
                      <w:sz w:val="28"/>
                      <w:szCs w:val="28"/>
                    </w:rPr>
                  </w:pPr>
                  <w:r>
                    <w:rPr>
                      <w:rFonts w:hint="eastAsia" w:ascii="宋体" w:hAnsi="宋体" w:eastAsia="宋体" w:cs="宋体"/>
                      <w:b/>
                      <w:bCs/>
                      <w:color w:val="000000"/>
                      <w:kern w:val="0"/>
                      <w:sz w:val="21"/>
                      <w:szCs w:val="21"/>
                      <w:lang w:val="en-US" w:eastAsia="zh-CN" w:bidi="ar"/>
                    </w:rPr>
                    <w:t>矿产资源管控分区：</w:t>
                  </w:r>
                  <w:r>
                    <w:rPr>
                      <w:rFonts w:hint="eastAsia" w:ascii="宋体" w:hAnsi="宋体" w:eastAsia="宋体" w:cs="宋体"/>
                      <w:color w:val="000000"/>
                      <w:kern w:val="0"/>
                      <w:sz w:val="21"/>
                      <w:szCs w:val="21"/>
                      <w:lang w:val="en-US" w:eastAsia="zh-CN" w:bidi="ar"/>
                    </w:rPr>
                    <w:t>对于矿产资源管控分区，衔接省市矿产资源总体规划中勘查及开采规划分区，划分优先保护区、重点管控区和一般管控区</w:t>
                  </w:r>
                  <w:r>
                    <w:rPr>
                      <w:rFonts w:hint="default" w:ascii="Times New Roman" w:hAnsi="Times New Roman" w:eastAsia="宋体" w:cs="Times New Roman"/>
                      <w:color w:val="000000"/>
                      <w:kern w:val="0"/>
                      <w:sz w:val="21"/>
                      <w:szCs w:val="21"/>
                      <w:lang w:val="en-US" w:eastAsia="zh-CN" w:bidi="ar"/>
                    </w:rPr>
                    <w:t>3</w:t>
                  </w:r>
                  <w:r>
                    <w:rPr>
                      <w:rFonts w:hint="eastAsia" w:ascii="宋体" w:hAnsi="宋体" w:eastAsia="宋体" w:cs="宋体"/>
                      <w:color w:val="000000"/>
                      <w:kern w:val="0"/>
                      <w:sz w:val="21"/>
                      <w:szCs w:val="21"/>
                      <w:lang w:val="en-US" w:eastAsia="zh-CN" w:bidi="ar"/>
                    </w:rPr>
                    <w:t>类分区。其中，将生态保护红线和县级以上禁止开发区域叠加形成矿产资源开采敏感区，作为优先保护区；将重点勘查区中的连片山区（结合地类斑块进行边界落地）和重点矿区作为重点管控区；其他区域为一般管控区。博罗县划定为优先保护区和一般管控区</w:t>
                  </w: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类，其中优先保护区面积为</w:t>
                  </w:r>
                  <w:r>
                    <w:rPr>
                      <w:rFonts w:hint="default" w:ascii="Times New Roman" w:hAnsi="Times New Roman" w:eastAsia="宋体" w:cs="Times New Roman"/>
                      <w:color w:val="000000"/>
                      <w:kern w:val="0"/>
                      <w:sz w:val="21"/>
                      <w:szCs w:val="21"/>
                      <w:lang w:val="en-US" w:eastAsia="zh-CN" w:bidi="ar"/>
                    </w:rPr>
                    <w:t>633.776km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w:t>
                  </w:r>
                </w:p>
                <w:p w14:paraId="4938F920">
                  <w:pPr>
                    <w:widowControl/>
                    <w:kinsoku w:val="0"/>
                    <w:autoSpaceDE w:val="0"/>
                    <w:autoSpaceDN w:val="0"/>
                    <w:spacing w:line="240" w:lineRule="auto"/>
                    <w:ind w:firstLine="0" w:firstLineChars="0"/>
                    <w:jc w:val="center"/>
                    <w:textAlignment w:val="baseline"/>
                    <w:rPr>
                      <w:rFonts w:hint="default" w:ascii="Times New Roman" w:hAnsi="Times New Roman" w:eastAsia="宋体" w:cs="Times New Roman"/>
                      <w:b/>
                      <w:bCs/>
                      <w:color w:val="auto"/>
                      <w:kern w:val="2"/>
                      <w:sz w:val="21"/>
                      <w:szCs w:val="21"/>
                      <w:lang w:val="en-US" w:eastAsia="zh-CN" w:bidi="ar-SA"/>
                    </w:rPr>
                  </w:pPr>
                </w:p>
              </w:tc>
              <w:tc>
                <w:tcPr>
                  <w:tcW w:w="2930" w:type="dxa"/>
                  <w:noWrap w:val="0"/>
                  <w:vAlign w:val="center"/>
                </w:tcPr>
                <w:p w14:paraId="5B4C1ADD">
                  <w:pPr>
                    <w:pStyle w:val="8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 w:val="0"/>
                      <w:bCs w:val="0"/>
                      <w:color w:val="auto"/>
                      <w:sz w:val="21"/>
                      <w:szCs w:val="21"/>
                      <w:lang w:val="en-US" w:eastAsia="zh-CN"/>
                    </w:rPr>
                    <w:t>本项目位于</w:t>
                  </w:r>
                  <w:r>
                    <w:rPr>
                      <w:rFonts w:hint="eastAsia" w:ascii="Times New Roman" w:hAnsi="Times New Roman" w:cs="Times New Roman"/>
                      <w:b w:val="0"/>
                      <w:bCs w:val="0"/>
                      <w:color w:val="auto"/>
                      <w:sz w:val="21"/>
                      <w:szCs w:val="21"/>
                      <w:highlight w:val="none"/>
                      <w:lang w:val="en-US" w:eastAsia="zh-CN"/>
                    </w:rPr>
                    <w:t>惠州市博罗县石湾镇滘吓村冯屋工业区南基C栋厂房</w:t>
                  </w:r>
                  <w:r>
                    <w:rPr>
                      <w:rFonts w:hint="default" w:ascii="Times New Roman" w:hAnsi="Times New Roman" w:eastAsia="宋体" w:cs="Times New Roman"/>
                      <w:b w:val="0"/>
                      <w:bCs w:val="0"/>
                      <w:color w:val="auto"/>
                      <w:sz w:val="21"/>
                      <w:szCs w:val="21"/>
                      <w:lang w:val="en-US" w:eastAsia="zh-CN"/>
                    </w:rPr>
                    <w:t>，根据《博罗县“三线一单”生态环境分区管控图集》（以下简称《图集》）（见附图</w:t>
                  </w:r>
                  <w:r>
                    <w:rPr>
                      <w:rFonts w:hint="default" w:ascii="Times New Roman" w:hAnsi="Times New Roman" w:cs="Times New Roman"/>
                      <w:b w:val="0"/>
                      <w:bCs w:val="0"/>
                      <w:color w:val="auto"/>
                      <w:sz w:val="21"/>
                      <w:szCs w:val="21"/>
                      <w:lang w:val="en-US" w:eastAsia="zh-CN"/>
                    </w:rPr>
                    <w:t>17</w:t>
                  </w:r>
                  <w:r>
                    <w:rPr>
                      <w:rFonts w:hint="default" w:ascii="Times New Roman" w:hAnsi="Times New Roman" w:eastAsia="宋体" w:cs="Times New Roman"/>
                      <w:b w:val="0"/>
                      <w:bCs w:val="0"/>
                      <w:color w:val="auto"/>
                      <w:sz w:val="21"/>
                      <w:szCs w:val="21"/>
                      <w:lang w:val="en-US" w:eastAsia="zh-CN"/>
                    </w:rPr>
                    <w:t>），本项目所在地不属于博罗县矿产资源开采敏感区。</w:t>
                  </w:r>
                </w:p>
              </w:tc>
              <w:tc>
                <w:tcPr>
                  <w:tcW w:w="469" w:type="dxa"/>
                  <w:vMerge w:val="continue"/>
                  <w:noWrap w:val="0"/>
                  <w:vAlign w:val="center"/>
                </w:tcPr>
                <w:p w14:paraId="72CBF59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p>
              </w:tc>
            </w:tr>
          </w:tbl>
          <w:p w14:paraId="73FACBB9">
            <w:pPr>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项目位于</w:t>
            </w:r>
            <w:r>
              <w:rPr>
                <w:rFonts w:hint="eastAsia" w:cs="Times New Roman"/>
                <w:color w:val="auto"/>
                <w:sz w:val="24"/>
                <w:szCs w:val="24"/>
                <w:lang w:eastAsia="zh-CN"/>
              </w:rPr>
              <w:t>惠州市博罗县石湾镇滘吓村冯屋工业区南基C栋厂房</w:t>
            </w:r>
            <w:r>
              <w:rPr>
                <w:rFonts w:hint="default" w:ascii="Times New Roman" w:hAnsi="Times New Roman" w:eastAsia="宋体" w:cs="Times New Roman"/>
                <w:color w:val="auto"/>
                <w:sz w:val="24"/>
                <w:szCs w:val="24"/>
              </w:rPr>
              <w:t>，项目所在地属于博罗</w:t>
            </w:r>
            <w:r>
              <w:rPr>
                <w:rFonts w:hint="eastAsia" w:cs="Times New Roman"/>
                <w:color w:val="auto"/>
                <w:sz w:val="24"/>
                <w:szCs w:val="24"/>
                <w:lang w:eastAsia="zh-CN"/>
              </w:rPr>
              <w:t>东江</w:t>
            </w:r>
            <w:r>
              <w:rPr>
                <w:rFonts w:hint="default" w:ascii="Times New Roman" w:hAnsi="Times New Roman" w:eastAsia="宋体" w:cs="Times New Roman"/>
                <w:color w:val="auto"/>
                <w:sz w:val="24"/>
                <w:szCs w:val="24"/>
              </w:rPr>
              <w:t>流域重点管控单元，环境管控单元编码为ZH44132220001。</w:t>
            </w:r>
          </w:p>
          <w:p w14:paraId="3352D2D2">
            <w:pPr>
              <w:pStyle w:val="7"/>
              <w:keepNext w:val="0"/>
              <w:keepLines w:val="0"/>
              <w:pageBreakBefore w:val="0"/>
              <w:widowControl/>
              <w:numPr>
                <w:ilvl w:val="0"/>
                <w:numId w:val="0"/>
              </w:numPr>
              <w:tabs>
                <w:tab w:val="left" w:pos="0"/>
              </w:tabs>
              <w:kinsoku/>
              <w:wordWrap/>
              <w:overflowPunct/>
              <w:topLinePunct w:val="0"/>
              <w:autoSpaceDE/>
              <w:autoSpaceDN/>
              <w:bidi w:val="0"/>
              <w:adjustRightInd/>
              <w:snapToGrid/>
              <w:spacing w:before="0" w:after="0" w:line="240" w:lineRule="auto"/>
              <w:ind w:left="0" w:leftChars="0" w:right="113" w:rightChars="0" w:firstLine="0" w:firstLineChars="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0"/>
                <w:sz w:val="24"/>
                <w:szCs w:val="24"/>
                <w:lang w:val="en-US" w:eastAsia="zh-CN" w:bidi="ar-SA"/>
              </w:rPr>
              <w:t>表1-</w:t>
            </w:r>
            <w:r>
              <w:rPr>
                <w:rFonts w:hint="default" w:ascii="Times New Roman" w:hAnsi="Times New Roman" w:cs="Times New Roman"/>
                <w:b/>
                <w:bCs/>
                <w:color w:val="auto"/>
                <w:kern w:val="0"/>
                <w:sz w:val="24"/>
                <w:szCs w:val="24"/>
                <w:lang w:val="en-US" w:eastAsia="zh-CN" w:bidi="ar-SA"/>
              </w:rPr>
              <w:t>10</w:t>
            </w:r>
            <w:r>
              <w:rPr>
                <w:rFonts w:hint="default"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2"/>
                <w:sz w:val="24"/>
                <w:szCs w:val="24"/>
                <w:highlight w:val="none"/>
                <w:lang w:val="en-US" w:eastAsia="zh-CN" w:bidi="ar-SA"/>
              </w:rPr>
              <w:t>博罗</w:t>
            </w:r>
            <w:r>
              <w:rPr>
                <w:rFonts w:hint="eastAsia" w:cs="Times New Roman"/>
                <w:b/>
                <w:bCs/>
                <w:color w:val="auto"/>
                <w:kern w:val="2"/>
                <w:sz w:val="24"/>
                <w:szCs w:val="24"/>
                <w:highlight w:val="none"/>
                <w:lang w:val="en-US" w:eastAsia="zh-CN" w:bidi="ar-SA"/>
              </w:rPr>
              <w:t>沙河</w:t>
            </w:r>
            <w:r>
              <w:rPr>
                <w:rFonts w:hint="default" w:ascii="Times New Roman" w:hAnsi="Times New Roman" w:eastAsia="宋体" w:cs="Times New Roman"/>
                <w:b/>
                <w:bCs/>
                <w:color w:val="auto"/>
                <w:kern w:val="2"/>
                <w:sz w:val="24"/>
                <w:szCs w:val="24"/>
                <w:highlight w:val="none"/>
                <w:lang w:val="en-US" w:eastAsia="zh-CN" w:bidi="ar-SA"/>
              </w:rPr>
              <w:t>流域重点管控单元 (ZH44132220001)</w:t>
            </w:r>
            <w:r>
              <w:rPr>
                <w:rFonts w:hint="default" w:ascii="Times New Roman" w:hAnsi="Times New Roman" w:eastAsia="宋体" w:cs="Times New Roman"/>
                <w:b/>
                <w:bCs/>
                <w:color w:val="auto"/>
                <w:sz w:val="24"/>
                <w:szCs w:val="24"/>
              </w:rPr>
              <w:t>符合性对照分析情况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3511"/>
              <w:gridCol w:w="3622"/>
              <w:gridCol w:w="472"/>
            </w:tblGrid>
            <w:tr w14:paraId="0263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1013" w:type="dxa"/>
                  <w:noWrap w:val="0"/>
                  <w:vAlign w:val="center"/>
                </w:tcPr>
                <w:p w14:paraId="59AA3CFA">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三线一单内容</w:t>
                  </w:r>
                </w:p>
              </w:tc>
              <w:tc>
                <w:tcPr>
                  <w:tcW w:w="3511" w:type="dxa"/>
                  <w:noWrap w:val="0"/>
                  <w:vAlign w:val="center"/>
                </w:tcPr>
                <w:p w14:paraId="46AF94B0">
                  <w:pPr>
                    <w:pStyle w:val="33"/>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aps w:val="0"/>
                      <w:color w:val="auto"/>
                      <w:sz w:val="21"/>
                      <w:szCs w:val="21"/>
                      <w:highlight w:val="none"/>
                    </w:rPr>
                    <w:t>清单要求</w:t>
                  </w:r>
                </w:p>
              </w:tc>
              <w:tc>
                <w:tcPr>
                  <w:tcW w:w="3622" w:type="dxa"/>
                  <w:noWrap w:val="0"/>
                  <w:vAlign w:val="center"/>
                </w:tcPr>
                <w:p w14:paraId="43380C76">
                  <w:pPr>
                    <w:pStyle w:val="33"/>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aps w:val="0"/>
                      <w:color w:val="auto"/>
                      <w:sz w:val="21"/>
                      <w:szCs w:val="21"/>
                      <w:highlight w:val="none"/>
                    </w:rPr>
                    <w:t>对照分析</w:t>
                  </w:r>
                </w:p>
              </w:tc>
              <w:tc>
                <w:tcPr>
                  <w:tcW w:w="472" w:type="dxa"/>
                  <w:noWrap w:val="0"/>
                  <w:vAlign w:val="center"/>
                </w:tcPr>
                <w:p w14:paraId="3F96FF1E">
                  <w:pPr>
                    <w:pStyle w:val="33"/>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aps w:val="0"/>
                      <w:color w:val="auto"/>
                      <w:sz w:val="21"/>
                      <w:szCs w:val="21"/>
                      <w:highlight w:val="none"/>
                    </w:rPr>
                    <w:t>符合性</w:t>
                  </w:r>
                </w:p>
              </w:tc>
            </w:tr>
            <w:tr w14:paraId="01CDD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1" w:hRule="atLeast"/>
                <w:jc w:val="center"/>
              </w:trPr>
              <w:tc>
                <w:tcPr>
                  <w:tcW w:w="1013" w:type="dxa"/>
                  <w:vMerge w:val="restart"/>
                  <w:noWrap w:val="0"/>
                  <w:vAlign w:val="center"/>
                </w:tcPr>
                <w:p w14:paraId="28212782">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生态环境准入清单</w:t>
                  </w:r>
                </w:p>
              </w:tc>
              <w:tc>
                <w:tcPr>
                  <w:tcW w:w="3511" w:type="dxa"/>
                  <w:noWrap w:val="0"/>
                  <w:vAlign w:val="center"/>
                </w:tcPr>
                <w:p w14:paraId="7AC5A6E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区域布局管控：</w:t>
                  </w:r>
                </w:p>
                <w:p w14:paraId="1015821E">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1-1.【产业/鼓励引导类】饮用水水源保护区外的区域，重点发展电子信息、智能家电、先进材料等产业。</w:t>
                  </w:r>
                </w:p>
                <w:p w14:paraId="6D7BE6C2">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02A50FC1">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1-3.【产业/限制类】严格限制化工、包装印刷、工业涂装等高VOCs排放建设项目。</w:t>
                  </w:r>
                </w:p>
                <w:p w14:paraId="31E5E400">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-4.【生态/限制类】一般生态空间内可开展生态保护红线内允许的活动，在不影响主导生态功能的前提下，还可开展国家和省规定不纳入环评管理的项目建设，以及生态旅游、基础设施建设、村庄建设等人为活动。</w:t>
                  </w:r>
                </w:p>
                <w:p w14:paraId="1C3418E5">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1-5.【水/禁止类】饮用水水源保护区涉及</w:t>
                  </w:r>
                  <w:r>
                    <w:rPr>
                      <w:rFonts w:hint="default" w:ascii="Times New Roman" w:hAnsi="Times New Roman" w:cs="Times New Roman"/>
                      <w:b w:val="0"/>
                      <w:bCs w:val="0"/>
                      <w:color w:val="auto"/>
                      <w:kern w:val="2"/>
                      <w:sz w:val="21"/>
                      <w:szCs w:val="21"/>
                      <w:lang w:val="en-US" w:eastAsia="zh-CN" w:bidi="ar-SA"/>
                    </w:rPr>
                    <w:t>园洲</w:t>
                  </w:r>
                  <w:r>
                    <w:rPr>
                      <w:rFonts w:hint="default" w:ascii="Times New Roman" w:hAnsi="Times New Roman" w:eastAsia="宋体" w:cs="Times New Roman"/>
                      <w:b w:val="0"/>
                      <w:bCs w:val="0"/>
                      <w:color w:val="auto"/>
                      <w:kern w:val="2"/>
                      <w:sz w:val="21"/>
                      <w:szCs w:val="21"/>
                      <w:lang w:val="en-US" w:eastAsia="zh-CN" w:bidi="ar-SA"/>
                    </w:rPr>
                    <w:t>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7B6A6F6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1-6.【水/禁止类】禁止在东江干流和</w:t>
                  </w:r>
                  <w:r>
                    <w:rPr>
                      <w:rFonts w:hint="eastAsia" w:cs="Times New Roman"/>
                      <w:b w:val="0"/>
                      <w:bCs w:val="0"/>
                      <w:color w:val="auto"/>
                      <w:kern w:val="2"/>
                      <w:sz w:val="21"/>
                      <w:szCs w:val="21"/>
                      <w:lang w:val="en-US" w:eastAsia="zh-CN" w:bidi="ar-SA"/>
                    </w:rPr>
                    <w:t>东江</w:t>
                  </w:r>
                  <w:r>
                    <w:rPr>
                      <w:rFonts w:hint="default" w:ascii="Times New Roman" w:hAnsi="Times New Roman" w:eastAsia="宋体" w:cs="Times New Roman"/>
                      <w:b w:val="0"/>
                      <w:bCs w:val="0"/>
                      <w:color w:val="auto"/>
                      <w:kern w:val="2"/>
                      <w:sz w:val="21"/>
                      <w:szCs w:val="21"/>
                      <w:lang w:val="en-US" w:eastAsia="zh-CN" w:bidi="ar-SA"/>
                    </w:rPr>
                    <w:t>干流两岸最高水位线外延五百米范围内新建废弃物堆放场和处理场。已有的堆放场和处理场需采取有效的防治污染措施，危及水体水质安全的，由县级以上人民政府责令限期搬迁。</w:t>
                  </w:r>
                </w:p>
                <w:p w14:paraId="0620418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1-7.【水/禁止类】畜禽禁养区内不得从事畜禽养殖业。</w:t>
                  </w:r>
                </w:p>
                <w:p w14:paraId="23D803E2">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p w14:paraId="4BF08288">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14:paraId="1B69F58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1-10.【大气/鼓励引导类】大气环境高排放重点管控区内，强化达标监管，引导工业项目落地集聚发展，有序推进区域内行业企业提标改造。</w:t>
                  </w:r>
                </w:p>
                <w:p w14:paraId="4198E9B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1-11.【土壤/禁止类】禁止在重金属重点防控区域内新建、改建、扩建增加重金属污染物排放总量的建设项目。</w:t>
                  </w:r>
                </w:p>
                <w:p w14:paraId="41CBE41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3622" w:type="dxa"/>
                  <w:noWrap w:val="0"/>
                  <w:vAlign w:val="center"/>
                </w:tcPr>
                <w:p w14:paraId="256FDD29">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1-1.项目所在地不属于生态保护红线及饮用水水源保护区，符合要求。项目属于</w:t>
                  </w:r>
                  <w:r>
                    <w:rPr>
                      <w:rFonts w:hint="eastAsia" w:cs="Times New Roman"/>
                      <w:color w:val="auto"/>
                      <w:kern w:val="2"/>
                      <w:sz w:val="21"/>
                      <w:szCs w:val="21"/>
                      <w:lang w:val="en-US" w:eastAsia="zh-CN" w:bidi="ar-SA"/>
                    </w:rPr>
                    <w:t>C3979 其他电子器件制造</w:t>
                  </w:r>
                  <w:r>
                    <w:rPr>
                      <w:rFonts w:hint="default" w:ascii="Times New Roman" w:hAnsi="Times New Roman" w:cs="Times New Roman"/>
                      <w:color w:val="auto"/>
                      <w:kern w:val="2"/>
                      <w:sz w:val="21"/>
                      <w:szCs w:val="21"/>
                      <w:lang w:val="en-US" w:eastAsia="zh-CN" w:bidi="ar-SA"/>
                    </w:rPr>
                    <w:t>和C3525模具制造</w:t>
                  </w:r>
                  <w:r>
                    <w:rPr>
                      <w:rFonts w:hint="default" w:ascii="Times New Roman" w:hAnsi="Times New Roman" w:eastAsia="宋体" w:cs="Times New Roman"/>
                      <w:color w:val="auto"/>
                      <w:kern w:val="2"/>
                      <w:sz w:val="21"/>
                      <w:szCs w:val="21"/>
                      <w:lang w:val="en-US" w:eastAsia="zh-CN" w:bidi="ar-SA"/>
                    </w:rPr>
                    <w:t>，不属于鼓励引导类产业</w:t>
                  </w:r>
                  <w:r>
                    <w:rPr>
                      <w:rFonts w:hint="default" w:ascii="Times New Roman" w:hAnsi="Times New Roman" w:cs="Times New Roman"/>
                      <w:color w:val="auto"/>
                      <w:kern w:val="2"/>
                      <w:sz w:val="21"/>
                      <w:szCs w:val="21"/>
                      <w:lang w:val="en-US" w:eastAsia="zh-CN" w:bidi="ar-SA"/>
                    </w:rPr>
                    <w:t>。</w:t>
                  </w:r>
                </w:p>
                <w:p w14:paraId="262C73D8">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1-2.</w:t>
                  </w:r>
                  <w:r>
                    <w:rPr>
                      <w:rFonts w:hint="default" w:ascii="Times New Roman" w:hAnsi="Times New Roman" w:eastAsia="宋体" w:cs="Times New Roman"/>
                      <w:color w:val="auto"/>
                      <w:kern w:val="2"/>
                      <w:sz w:val="21"/>
                      <w:szCs w:val="21"/>
                      <w:lang w:val="en-US" w:eastAsia="zh-CN" w:bidi="ar-SA"/>
                    </w:rPr>
                    <w:t>项目属于</w:t>
                  </w:r>
                  <w:r>
                    <w:rPr>
                      <w:rFonts w:hint="eastAsia" w:cs="Times New Roman"/>
                      <w:color w:val="auto"/>
                      <w:kern w:val="2"/>
                      <w:sz w:val="21"/>
                      <w:szCs w:val="21"/>
                      <w:lang w:val="en-US" w:eastAsia="zh-CN" w:bidi="ar-SA"/>
                    </w:rPr>
                    <w:t>C3979 其他电子器件制造</w:t>
                  </w:r>
                  <w:r>
                    <w:rPr>
                      <w:rFonts w:hint="default" w:ascii="Times New Roman" w:hAnsi="Times New Roman" w:cs="Times New Roman"/>
                      <w:color w:val="auto"/>
                      <w:kern w:val="2"/>
                      <w:sz w:val="21"/>
                      <w:szCs w:val="21"/>
                      <w:lang w:val="en-US" w:eastAsia="zh-CN" w:bidi="ar-SA"/>
                    </w:rPr>
                    <w:t>和C3525模具制造</w:t>
                  </w:r>
                  <w:r>
                    <w:rPr>
                      <w:rFonts w:hint="default" w:ascii="Times New Roman" w:hAnsi="Times New Roman" w:eastAsia="宋体" w:cs="Times New Roman"/>
                      <w:color w:val="auto"/>
                      <w:kern w:val="2"/>
                      <w:sz w:val="21"/>
                      <w:szCs w:val="21"/>
                      <w:lang w:val="en-US" w:eastAsia="zh-CN" w:bidi="ar-SA"/>
                    </w:rPr>
                    <w:t>，不属于禁止类行业，符合国家产业政策相关要求。</w:t>
                  </w:r>
                </w:p>
                <w:p w14:paraId="0D3D9B70">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r>
                    <w:rPr>
                      <w:rFonts w:hint="default" w:ascii="Times New Roman" w:hAnsi="Times New Roman" w:cs="Times New Roman"/>
                      <w:color w:val="auto"/>
                      <w:sz w:val="21"/>
                      <w:szCs w:val="21"/>
                      <w:lang w:val="en-US" w:eastAsia="zh-CN"/>
                    </w:rPr>
                    <w:t>根据表项目使用含VOCs原辅材料情况表可知，</w:t>
                  </w:r>
                  <w:r>
                    <w:rPr>
                      <w:rFonts w:hint="default" w:ascii="Times New Roman" w:hAnsi="Times New Roman" w:eastAsia="宋体" w:cs="Times New Roman"/>
                      <w:color w:val="auto"/>
                      <w:sz w:val="21"/>
                      <w:szCs w:val="21"/>
                    </w:rPr>
                    <w:t>项目</w:t>
                  </w:r>
                  <w:r>
                    <w:rPr>
                      <w:rFonts w:hint="default" w:ascii="Times New Roman" w:hAnsi="Times New Roman" w:eastAsia="宋体" w:cs="Times New Roman"/>
                      <w:color w:val="auto"/>
                      <w:sz w:val="21"/>
                      <w:szCs w:val="21"/>
                      <w:lang w:val="en-US" w:eastAsia="zh-CN"/>
                    </w:rPr>
                    <w:t>使用的水性油墨等的VOC含量</w:t>
                  </w:r>
                  <w:r>
                    <w:rPr>
                      <w:rFonts w:hint="default" w:ascii="Times New Roman" w:hAnsi="Times New Roman" w:cs="Times New Roman"/>
                      <w:color w:val="auto"/>
                      <w:sz w:val="21"/>
                      <w:szCs w:val="21"/>
                      <w:lang w:val="en-US" w:eastAsia="zh-CN"/>
                    </w:rPr>
                    <w:t>均符合各自相关文件VOCs含量限值的要求</w:t>
                  </w:r>
                  <w:r>
                    <w:rPr>
                      <w:rFonts w:hint="default" w:ascii="Times New Roman" w:hAnsi="Times New Roman" w:eastAsia="宋体" w:cs="Times New Roman"/>
                      <w:color w:val="auto"/>
                      <w:sz w:val="21"/>
                      <w:szCs w:val="21"/>
                    </w:rPr>
                    <w:t>，符合要求。</w:t>
                  </w:r>
                </w:p>
                <w:p w14:paraId="51AED8D5">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1-4.项目不在一般生态空间内，符合要求。</w:t>
                  </w:r>
                </w:p>
                <w:p w14:paraId="1FADDACF">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1.5.项目不在饮用水源保护区内，符合要求。</w:t>
                  </w:r>
                </w:p>
                <w:p w14:paraId="44265491">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1-6.项目</w:t>
                  </w:r>
                  <w:r>
                    <w:rPr>
                      <w:rFonts w:hint="default" w:ascii="Times New Roman" w:hAnsi="Times New Roman" w:cs="Times New Roman"/>
                      <w:color w:val="auto"/>
                      <w:kern w:val="2"/>
                      <w:sz w:val="21"/>
                      <w:szCs w:val="21"/>
                      <w:lang w:val="en-US" w:eastAsia="zh-CN" w:bidi="ar-SA"/>
                    </w:rPr>
                    <w:t>涉及的废弃物堆放场主要为一般固废和危废暂存场所，不属于专业废弃物堆放场和处理场，均在</w:t>
                  </w:r>
                  <w:r>
                    <w:rPr>
                      <w:rFonts w:hint="eastAsia" w:cs="Times New Roman"/>
                      <w:color w:val="auto"/>
                      <w:kern w:val="2"/>
                      <w:sz w:val="21"/>
                      <w:szCs w:val="21"/>
                      <w:lang w:val="en-US" w:eastAsia="zh-CN" w:bidi="ar-SA"/>
                    </w:rPr>
                    <w:t>东江</w:t>
                  </w:r>
                  <w:r>
                    <w:rPr>
                      <w:rFonts w:hint="default" w:ascii="Times New Roman" w:hAnsi="Times New Roman" w:cs="Times New Roman"/>
                      <w:color w:val="auto"/>
                      <w:kern w:val="2"/>
                      <w:sz w:val="21"/>
                      <w:szCs w:val="21"/>
                      <w:lang w:val="en-US" w:eastAsia="zh-CN" w:bidi="ar-SA"/>
                    </w:rPr>
                    <w:t>和东江干流500m范围之外</w:t>
                  </w:r>
                  <w:r>
                    <w:rPr>
                      <w:rFonts w:hint="default" w:ascii="Times New Roman" w:hAnsi="Times New Roman" w:eastAsia="宋体" w:cs="Times New Roman"/>
                      <w:color w:val="auto"/>
                      <w:kern w:val="2"/>
                      <w:sz w:val="21"/>
                      <w:szCs w:val="21"/>
                      <w:lang w:val="en-US" w:eastAsia="zh-CN" w:bidi="ar-SA"/>
                    </w:rPr>
                    <w:t>。</w:t>
                  </w:r>
                </w:p>
                <w:p w14:paraId="1D655947">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1-7.</w:t>
                  </w:r>
                  <w:r>
                    <w:rPr>
                      <w:rFonts w:hint="default" w:ascii="Times New Roman" w:hAnsi="Times New Roman" w:cs="Times New Roman"/>
                      <w:color w:val="auto"/>
                      <w:sz w:val="21"/>
                      <w:szCs w:val="21"/>
                      <w:lang w:eastAsia="zh-CN"/>
                    </w:rPr>
                    <w:t>本项目</w:t>
                  </w:r>
                  <w:r>
                    <w:rPr>
                      <w:rFonts w:hint="default" w:ascii="Times New Roman" w:hAnsi="Times New Roman" w:eastAsia="宋体" w:cs="Times New Roman"/>
                      <w:color w:val="auto"/>
                      <w:kern w:val="2"/>
                      <w:sz w:val="21"/>
                      <w:szCs w:val="21"/>
                      <w:lang w:val="en-US" w:eastAsia="zh-CN" w:bidi="ar-SA"/>
                    </w:rPr>
                    <w:t>不属于畜禽养殖业</w:t>
                  </w:r>
                  <w:r>
                    <w:rPr>
                      <w:rFonts w:hint="default" w:ascii="Times New Roman" w:hAnsi="Times New Roman" w:eastAsia="宋体" w:cs="Times New Roman"/>
                      <w:color w:val="auto"/>
                      <w:sz w:val="21"/>
                      <w:szCs w:val="21"/>
                      <w:lang w:eastAsia="zh-CN"/>
                    </w:rPr>
                    <w:t>。</w:t>
                  </w:r>
                </w:p>
                <w:p w14:paraId="1F38A588">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r>
                    <w:rPr>
                      <w:rFonts w:hint="default" w:ascii="Times New Roman" w:hAnsi="Times New Roman" w:cs="Times New Roman"/>
                      <w:color w:val="auto"/>
                      <w:sz w:val="21"/>
                      <w:szCs w:val="21"/>
                      <w:lang w:eastAsia="zh-CN"/>
                    </w:rPr>
                    <w:t>本项目</w:t>
                  </w:r>
                  <w:r>
                    <w:rPr>
                      <w:rFonts w:hint="default" w:ascii="Times New Roman" w:hAnsi="Times New Roman" w:eastAsia="宋体" w:cs="Times New Roman"/>
                      <w:color w:val="auto"/>
                      <w:kern w:val="2"/>
                      <w:sz w:val="21"/>
                      <w:szCs w:val="21"/>
                      <w:lang w:val="en-US" w:eastAsia="zh-CN" w:bidi="ar-SA"/>
                    </w:rPr>
                    <w:t>不属于畜禽养殖业</w:t>
                  </w:r>
                  <w:r>
                    <w:rPr>
                      <w:rFonts w:hint="default" w:ascii="Times New Roman" w:hAnsi="Times New Roman" w:eastAsia="宋体" w:cs="Times New Roman"/>
                      <w:color w:val="auto"/>
                      <w:sz w:val="21"/>
                      <w:szCs w:val="21"/>
                      <w:lang w:val="en-US" w:eastAsia="zh-CN"/>
                    </w:rPr>
                    <w:t>。</w:t>
                  </w:r>
                </w:p>
                <w:p w14:paraId="15BEDF61">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color w:val="auto"/>
                      <w:sz w:val="21"/>
                      <w:szCs w:val="21"/>
                      <w:lang w:val="en-US" w:eastAsia="zh-CN"/>
                    </w:rPr>
                    <w:t>1-9.</w:t>
                  </w:r>
                  <w:r>
                    <w:rPr>
                      <w:rFonts w:hint="default" w:ascii="Times New Roman" w:hAnsi="Times New Roman" w:eastAsia="宋体" w:cs="Times New Roman"/>
                      <w:color w:val="auto"/>
                      <w:sz w:val="21"/>
                      <w:szCs w:val="21"/>
                    </w:rPr>
                    <w:t>项目不在大气环境受体敏感重点管控区内，主要从事</w:t>
                  </w:r>
                  <w:r>
                    <w:rPr>
                      <w:rFonts w:hint="eastAsia" w:cs="Times New Roman"/>
                      <w:color w:val="auto"/>
                      <w:sz w:val="21"/>
                      <w:szCs w:val="21"/>
                      <w:lang w:val="en-US" w:eastAsia="zh-CN"/>
                    </w:rPr>
                    <w:t>电子器件和模具制造</w:t>
                  </w:r>
                  <w:r>
                    <w:rPr>
                      <w:rFonts w:hint="default" w:ascii="Times New Roman" w:hAnsi="Times New Roman" w:cs="Times New Roman"/>
                      <w:color w:val="auto"/>
                      <w:sz w:val="21"/>
                      <w:szCs w:val="21"/>
                      <w:lang w:val="en-US" w:eastAsia="zh-CN"/>
                    </w:rPr>
                    <w:t>，不</w:t>
                  </w:r>
                  <w:r>
                    <w:rPr>
                      <w:rFonts w:hint="default" w:ascii="Times New Roman" w:hAnsi="Times New Roman" w:eastAsia="宋体" w:cs="Times New Roman"/>
                      <w:color w:val="auto"/>
                      <w:sz w:val="21"/>
                      <w:szCs w:val="21"/>
                    </w:rPr>
                    <w:t>属于储油库项目，</w:t>
                  </w:r>
                  <w:r>
                    <w:rPr>
                      <w:rFonts w:hint="default" w:ascii="Times New Roman" w:hAnsi="Times New Roman" w:cs="Times New Roman"/>
                      <w:color w:val="auto"/>
                      <w:sz w:val="21"/>
                      <w:szCs w:val="21"/>
                      <w:lang w:eastAsia="zh-CN"/>
                    </w:rPr>
                    <w:t>不</w:t>
                  </w:r>
                  <w:r>
                    <w:rPr>
                      <w:rFonts w:hint="default" w:ascii="Times New Roman" w:hAnsi="Times New Roman" w:eastAsia="宋体" w:cs="Times New Roman"/>
                      <w:color w:val="auto"/>
                      <w:sz w:val="21"/>
                      <w:szCs w:val="21"/>
                    </w:rPr>
                    <w:t>产生和排放有毒有害大气污染物</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val="en-US" w:eastAsia="zh-CN"/>
                    </w:rPr>
                    <w:t>使用的水性油墨等的VOC含量</w:t>
                  </w:r>
                  <w:r>
                    <w:rPr>
                      <w:rFonts w:hint="default" w:ascii="Times New Roman" w:hAnsi="Times New Roman" w:cs="Times New Roman"/>
                      <w:color w:val="auto"/>
                      <w:sz w:val="21"/>
                      <w:szCs w:val="21"/>
                      <w:lang w:val="en-US" w:eastAsia="zh-CN"/>
                    </w:rPr>
                    <w:t>均符合各自相关文件VOCs含量限值的要求</w:t>
                  </w:r>
                  <w:r>
                    <w:rPr>
                      <w:rFonts w:hint="default" w:ascii="Times New Roman" w:hAnsi="Times New Roman" w:cs="Times New Roman"/>
                      <w:bCs/>
                      <w:color w:val="auto"/>
                      <w:sz w:val="21"/>
                      <w:szCs w:val="21"/>
                      <w:lang w:val="en-US" w:eastAsia="zh-CN"/>
                    </w:rPr>
                    <w:t>。</w:t>
                  </w:r>
                </w:p>
                <w:p w14:paraId="05F13787">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1-10.</w:t>
                  </w:r>
                  <w:r>
                    <w:rPr>
                      <w:rFonts w:hint="default" w:ascii="Times New Roman" w:hAnsi="Times New Roman" w:eastAsia="宋体" w:cs="Times New Roman"/>
                      <w:color w:val="auto"/>
                      <w:sz w:val="21"/>
                      <w:szCs w:val="21"/>
                    </w:rPr>
                    <w:t>项目产生的废气拟经收集至废气处理设施处理达标后排放，待项目建成后按要求定期开展自行监测，确保废气达标排放。</w:t>
                  </w:r>
                </w:p>
                <w:p w14:paraId="37FA1E0B">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11</w:t>
                  </w:r>
                  <w:r>
                    <w:rPr>
                      <w:rFonts w:hint="default" w:ascii="Times New Roman" w:hAnsi="Times New Roman" w:eastAsia="宋体" w:cs="Times New Roman"/>
                      <w:color w:val="auto"/>
                      <w:sz w:val="21"/>
                      <w:szCs w:val="21"/>
                    </w:rPr>
                    <w:t>.项目不在重金属重点防控区域内，无重金属污染物产生，符合要求。</w:t>
                  </w:r>
                </w:p>
                <w:p w14:paraId="7950A565">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1</w:t>
                  </w: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rPr>
                    <w:t>.项目用地范围内均进行了硬底化处理。不存在土壤污染途径，且项目不排放重金属污染物，符合要求。</w:t>
                  </w:r>
                </w:p>
              </w:tc>
              <w:tc>
                <w:tcPr>
                  <w:tcW w:w="472" w:type="dxa"/>
                  <w:noWrap w:val="0"/>
                  <w:vAlign w:val="center"/>
                </w:tcPr>
                <w:p w14:paraId="4CFD062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7FC97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2" w:hRule="atLeast"/>
                <w:jc w:val="center"/>
              </w:trPr>
              <w:tc>
                <w:tcPr>
                  <w:tcW w:w="1013" w:type="dxa"/>
                  <w:vMerge w:val="continue"/>
                  <w:noWrap w:val="0"/>
                  <w:vAlign w:val="center"/>
                </w:tcPr>
                <w:p w14:paraId="7AA2B9B6">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511" w:type="dxa"/>
                  <w:noWrap w:val="0"/>
                  <w:vAlign w:val="center"/>
                </w:tcPr>
                <w:p w14:paraId="21A8DBF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能源资源利用：</w:t>
                  </w:r>
                </w:p>
                <w:p w14:paraId="6941C5D5">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2-1.【能源/鼓励引导类】鼓励降低煤炭消耗、能源消耗，引导光伏等多种形式的新能源利用。</w:t>
                  </w:r>
                </w:p>
                <w:p w14:paraId="17FF25E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2-2.【能源/综合类】根据本地区大气环境质量改善要求逐步扩大高污染燃料禁燃区范围。</w:t>
                  </w:r>
                </w:p>
              </w:tc>
              <w:tc>
                <w:tcPr>
                  <w:tcW w:w="3622" w:type="dxa"/>
                  <w:noWrap w:val="0"/>
                  <w:vAlign w:val="center"/>
                </w:tcPr>
                <w:p w14:paraId="7432A4FA">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2-1.项目所用能源主要为电能，不使用煤炭。</w:t>
                  </w:r>
                </w:p>
                <w:p w14:paraId="65743C61">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2-2.项目所用能源主要为电能</w:t>
                  </w:r>
                  <w:r>
                    <w:rPr>
                      <w:rFonts w:hint="default" w:ascii="Times New Roman" w:hAnsi="Times New Roman" w:cs="Times New Roman"/>
                      <w:color w:val="auto"/>
                      <w:kern w:val="2"/>
                      <w:sz w:val="21"/>
                      <w:szCs w:val="21"/>
                      <w:lang w:val="en-US" w:eastAsia="zh-CN" w:bidi="ar-SA"/>
                    </w:rPr>
                    <w:t>，不涉及其他禁止燃料及对环境有影响的能源，符合要求。</w:t>
                  </w:r>
                </w:p>
              </w:tc>
              <w:tc>
                <w:tcPr>
                  <w:tcW w:w="472" w:type="dxa"/>
                  <w:noWrap w:val="0"/>
                  <w:vAlign w:val="center"/>
                </w:tcPr>
                <w:p w14:paraId="46236B70">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01C6D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3" w:hRule="atLeast"/>
                <w:jc w:val="center"/>
              </w:trPr>
              <w:tc>
                <w:tcPr>
                  <w:tcW w:w="1013" w:type="dxa"/>
                  <w:vMerge w:val="continue"/>
                  <w:noWrap w:val="0"/>
                  <w:vAlign w:val="center"/>
                </w:tcPr>
                <w:p w14:paraId="10293566">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511" w:type="dxa"/>
                  <w:noWrap w:val="0"/>
                  <w:vAlign w:val="center"/>
                </w:tcPr>
                <w:p w14:paraId="1B287544">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污染物排放管控：</w:t>
                  </w:r>
                </w:p>
                <w:p w14:paraId="0DABE21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-1.【水/限制类】单元内城镇生活污水处理厂出水水质COD、氨氮、总磷排放执行国家《地表水环境质量》（GB3838-2002）Ⅴ类标准，其余指标执行国家《城镇污水处理厂污染物排放标》（GB18918-2002）一级A标准与广东省《水污染物排放限值》较严值的标准。</w:t>
                  </w:r>
                </w:p>
                <w:p w14:paraId="552A2D9B">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3-2.【水/限制类】严格控制流域内增加水污染物排放或对东江水质、水环境安全构成影响的项目。</w:t>
                  </w:r>
                </w:p>
                <w:p w14:paraId="312C52F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2135A4D3">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3-4.【水/综合类】强化农业面源污染治理，控制农药化肥使用量。</w:t>
                  </w:r>
                </w:p>
                <w:p w14:paraId="45C8E72D">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3-5.【大气/限制类】重点行业新建涉VOCs排放的工业企业原则上应入园进区。新建项目VOCs实施倍量替代。</w:t>
                  </w:r>
                </w:p>
                <w:p w14:paraId="575471AB">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3-6.【土壤/禁止类】禁止向农用地排放重金属或者其他有毒有害物质含量超标的污水、污泥，以及可能造成土壤污染的清淤底泥、尾矿、矿渣等。</w:t>
                  </w:r>
                </w:p>
              </w:tc>
              <w:tc>
                <w:tcPr>
                  <w:tcW w:w="3622" w:type="dxa"/>
                  <w:noWrap w:val="0"/>
                  <w:vAlign w:val="center"/>
                </w:tcPr>
                <w:p w14:paraId="7642C0B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3-1.项目生活污水经三级化粪池处理后排入</w:t>
                  </w:r>
                  <w:r>
                    <w:rPr>
                      <w:rFonts w:hint="eastAsia" w:cs="Times New Roman"/>
                      <w:color w:val="auto"/>
                      <w:sz w:val="21"/>
                      <w:szCs w:val="21"/>
                      <w:lang w:val="en-US" w:eastAsia="zh-CN"/>
                    </w:rPr>
                    <w:t>博罗县石湾镇大牛垒生活污水处理厂</w:t>
                  </w:r>
                  <w:r>
                    <w:rPr>
                      <w:rFonts w:hint="default" w:ascii="Times New Roman" w:hAnsi="Times New Roman" w:eastAsia="宋体" w:cs="Times New Roman"/>
                      <w:color w:val="auto"/>
                      <w:sz w:val="21"/>
                      <w:szCs w:val="21"/>
                    </w:rPr>
                    <w:t>处理，尾水中氨氮和总磷执行《地表水环境质量标准》（GB3838-2002）V类标准，其余指标排放执行《城镇污水处理厂污染物排放标准》（GB18918-2002）一级A标准及广东省地方标准《水污染物排放限值》（DB44/26-2001）第二时段一级标准的较严值者标准，尾水处理达标后排入石湾镇中心排渠，经紧水河汇入东江</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项目生产废水不外排，</w:t>
                  </w:r>
                  <w:r>
                    <w:rPr>
                      <w:rFonts w:hint="default" w:ascii="Times New Roman" w:hAnsi="Times New Roman" w:cs="Times New Roman"/>
                      <w:color w:val="auto"/>
                      <w:sz w:val="21"/>
                      <w:szCs w:val="21"/>
                      <w:lang w:val="en-US" w:eastAsia="zh-CN"/>
                    </w:rPr>
                    <w:t>间接冷却废水</w:t>
                  </w:r>
                  <w:r>
                    <w:rPr>
                      <w:rFonts w:hint="default" w:ascii="Times New Roman" w:hAnsi="Times New Roman" w:eastAsia="宋体" w:cs="Times New Roman"/>
                      <w:color w:val="auto"/>
                      <w:sz w:val="21"/>
                      <w:szCs w:val="21"/>
                    </w:rPr>
                    <w:t>循环使用</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喷淋塔废水</w:t>
                  </w:r>
                  <w:r>
                    <w:rPr>
                      <w:rFonts w:hint="default" w:ascii="Times New Roman" w:hAnsi="Times New Roman" w:eastAsia="宋体" w:cs="Times New Roman"/>
                      <w:color w:val="auto"/>
                      <w:sz w:val="21"/>
                      <w:szCs w:val="21"/>
                      <w:lang w:val="en-US" w:eastAsia="zh-CN"/>
                    </w:rPr>
                    <w:t>收集后</w:t>
                  </w:r>
                  <w:r>
                    <w:rPr>
                      <w:rFonts w:hint="default" w:ascii="Times New Roman" w:hAnsi="Times New Roman" w:eastAsia="宋体" w:cs="Times New Roman"/>
                      <w:color w:val="auto"/>
                      <w:sz w:val="21"/>
                      <w:szCs w:val="21"/>
                    </w:rPr>
                    <w:t>交由</w:t>
                  </w:r>
                  <w:r>
                    <w:rPr>
                      <w:rFonts w:hint="default" w:ascii="Times New Roman" w:hAnsi="Times New Roman" w:eastAsia="宋体" w:cs="Times New Roman"/>
                      <w:color w:val="auto"/>
                      <w:sz w:val="21"/>
                      <w:szCs w:val="21"/>
                      <w:lang w:eastAsia="zh-CN"/>
                    </w:rPr>
                    <w:t>有危险废物资质</w:t>
                  </w:r>
                  <w:r>
                    <w:rPr>
                      <w:rFonts w:hint="default" w:ascii="Times New Roman" w:hAnsi="Times New Roman" w:eastAsia="宋体" w:cs="Times New Roman"/>
                      <w:color w:val="auto"/>
                      <w:sz w:val="21"/>
                      <w:szCs w:val="21"/>
                    </w:rPr>
                    <w:t>的单位处理，不外排</w:t>
                  </w:r>
                  <w:r>
                    <w:rPr>
                      <w:rFonts w:hint="default" w:ascii="Times New Roman" w:hAnsi="Times New Roman" w:eastAsia="宋体" w:cs="Times New Roman"/>
                      <w:color w:val="auto"/>
                      <w:sz w:val="21"/>
                      <w:szCs w:val="21"/>
                      <w:lang w:eastAsia="zh-CN"/>
                    </w:rPr>
                    <w:t>。</w:t>
                  </w:r>
                </w:p>
                <w:p w14:paraId="29D6F9AF">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w:t>
                  </w:r>
                  <w:r>
                    <w:rPr>
                      <w:rFonts w:hint="default" w:ascii="Times New Roman" w:hAnsi="Times New Roman" w:eastAsia="宋体" w:cs="Times New Roman"/>
                      <w:color w:val="auto"/>
                      <w:sz w:val="21"/>
                      <w:szCs w:val="21"/>
                    </w:rPr>
                    <w:t>项目生活污水经三级化粪池处理后排入</w:t>
                  </w:r>
                  <w:r>
                    <w:rPr>
                      <w:rFonts w:hint="eastAsia" w:cs="Times New Roman"/>
                      <w:color w:val="auto"/>
                      <w:sz w:val="21"/>
                      <w:szCs w:val="21"/>
                      <w:lang w:val="en-US" w:eastAsia="zh-CN"/>
                    </w:rPr>
                    <w:t>博罗县石湾镇大牛垒生活污水处理厂</w:t>
                  </w:r>
                  <w:r>
                    <w:rPr>
                      <w:rFonts w:hint="default" w:ascii="Times New Roman" w:hAnsi="Times New Roman" w:eastAsia="宋体" w:cs="Times New Roman"/>
                      <w:color w:val="auto"/>
                      <w:sz w:val="21"/>
                      <w:szCs w:val="21"/>
                    </w:rPr>
                    <w:t>处理</w:t>
                  </w:r>
                  <w:r>
                    <w:rPr>
                      <w:rFonts w:hint="default"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sz w:val="21"/>
                      <w:szCs w:val="21"/>
                    </w:rPr>
                    <w:t>项目生产废水不外排，</w:t>
                  </w:r>
                  <w:r>
                    <w:rPr>
                      <w:rFonts w:hint="default" w:ascii="Times New Roman" w:hAnsi="Times New Roman" w:cs="Times New Roman"/>
                      <w:color w:val="auto"/>
                      <w:sz w:val="21"/>
                      <w:szCs w:val="21"/>
                      <w:lang w:val="en-US" w:eastAsia="zh-CN"/>
                    </w:rPr>
                    <w:t>间接冷却废水</w:t>
                  </w:r>
                  <w:r>
                    <w:rPr>
                      <w:rFonts w:hint="default" w:ascii="Times New Roman" w:hAnsi="Times New Roman" w:eastAsia="宋体" w:cs="Times New Roman"/>
                      <w:color w:val="auto"/>
                      <w:sz w:val="21"/>
                      <w:szCs w:val="21"/>
                    </w:rPr>
                    <w:t>循环使用</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喷淋塔废水</w:t>
                  </w:r>
                  <w:r>
                    <w:rPr>
                      <w:rFonts w:hint="default" w:ascii="Times New Roman" w:hAnsi="Times New Roman" w:eastAsia="宋体" w:cs="Times New Roman"/>
                      <w:color w:val="auto"/>
                      <w:sz w:val="21"/>
                      <w:szCs w:val="21"/>
                      <w:lang w:val="en-US" w:eastAsia="zh-CN"/>
                    </w:rPr>
                    <w:t>收集后</w:t>
                  </w:r>
                  <w:r>
                    <w:rPr>
                      <w:rFonts w:hint="default" w:ascii="Times New Roman" w:hAnsi="Times New Roman" w:eastAsia="宋体" w:cs="Times New Roman"/>
                      <w:color w:val="auto"/>
                      <w:sz w:val="21"/>
                      <w:szCs w:val="21"/>
                    </w:rPr>
                    <w:t>交由</w:t>
                  </w:r>
                  <w:r>
                    <w:rPr>
                      <w:rFonts w:hint="default" w:ascii="Times New Roman" w:hAnsi="Times New Roman" w:eastAsia="宋体" w:cs="Times New Roman"/>
                      <w:color w:val="auto"/>
                      <w:sz w:val="21"/>
                      <w:szCs w:val="21"/>
                      <w:lang w:eastAsia="zh-CN"/>
                    </w:rPr>
                    <w:t>有危险废物资质</w:t>
                  </w:r>
                  <w:r>
                    <w:rPr>
                      <w:rFonts w:hint="default" w:ascii="Times New Roman" w:hAnsi="Times New Roman" w:eastAsia="宋体" w:cs="Times New Roman"/>
                      <w:color w:val="auto"/>
                      <w:sz w:val="21"/>
                      <w:szCs w:val="21"/>
                    </w:rPr>
                    <w:t>的单位处理，不外排</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
                      <w:sz w:val="21"/>
                      <w:szCs w:val="21"/>
                      <w:lang w:val="en-US" w:eastAsia="zh-CN" w:bidi="ar-SA"/>
                    </w:rPr>
                    <w:t>不会对东江水质、水环境安全构成影响。</w:t>
                  </w:r>
                </w:p>
                <w:p w14:paraId="6F44FC58">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3-3.此项由政府统一规划建设。</w:t>
                  </w:r>
                </w:p>
                <w:p w14:paraId="2CF37EE9">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3-4.项目不涉及农药化肥使用，符合要求。</w:t>
                  </w:r>
                </w:p>
                <w:p w14:paraId="2275CC6D">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3-5.本项目不属于重点行业。产生的废气拟经收集至废气处理设施处理达标后排放</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kern w:val="2"/>
                      <w:sz w:val="21"/>
                      <w:szCs w:val="21"/>
                      <w:lang w:val="en-US" w:eastAsia="zh-CN" w:bidi="ar-SA"/>
                    </w:rPr>
                    <w:t>项目VOCs总量由生态环境局</w:t>
                  </w:r>
                  <w:r>
                    <w:rPr>
                      <w:rFonts w:hint="default" w:ascii="Times New Roman" w:hAnsi="Times New Roman" w:cs="Times New Roman"/>
                      <w:color w:val="auto"/>
                      <w:kern w:val="2"/>
                      <w:sz w:val="21"/>
                      <w:szCs w:val="21"/>
                      <w:lang w:val="en-US" w:eastAsia="zh-CN" w:bidi="ar-SA"/>
                    </w:rPr>
                    <w:t>博罗</w:t>
                  </w:r>
                  <w:r>
                    <w:rPr>
                      <w:rFonts w:hint="default" w:ascii="Times New Roman" w:hAnsi="Times New Roman" w:eastAsia="宋体" w:cs="Times New Roman"/>
                      <w:color w:val="auto"/>
                      <w:kern w:val="2"/>
                      <w:sz w:val="21"/>
                      <w:szCs w:val="21"/>
                      <w:lang w:val="en-US" w:eastAsia="zh-CN" w:bidi="ar-SA"/>
                    </w:rPr>
                    <w:t>分局</w:t>
                  </w:r>
                  <w:r>
                    <w:rPr>
                      <w:rFonts w:hint="default" w:ascii="Times New Roman" w:hAnsi="Times New Roman" w:eastAsia="宋体" w:cs="Times New Roman"/>
                      <w:color w:val="auto"/>
                      <w:kern w:val="2"/>
                      <w:sz w:val="21"/>
                      <w:szCs w:val="21"/>
                      <w:vertAlign w:val="baseline"/>
                      <w:lang w:val="en-US" w:eastAsia="zh-CN" w:bidi="ar-SA"/>
                    </w:rPr>
                    <w:t>统一</w:t>
                  </w:r>
                  <w:r>
                    <w:rPr>
                      <w:rFonts w:hint="default" w:ascii="Times New Roman" w:hAnsi="Times New Roman" w:eastAsia="宋体" w:cs="Times New Roman"/>
                      <w:color w:val="auto"/>
                      <w:kern w:val="2"/>
                      <w:sz w:val="21"/>
                      <w:szCs w:val="21"/>
                      <w:lang w:val="en-US" w:eastAsia="zh-CN" w:bidi="ar-SA"/>
                    </w:rPr>
                    <w:t>调配，实行倍量替代。</w:t>
                  </w:r>
                </w:p>
                <w:p w14:paraId="4413E467">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3-6.</w:t>
                  </w:r>
                  <w:r>
                    <w:rPr>
                      <w:rFonts w:hint="default" w:ascii="Times New Roman" w:hAnsi="Times New Roman" w:cs="Times New Roman"/>
                      <w:color w:val="auto"/>
                      <w:sz w:val="21"/>
                      <w:szCs w:val="21"/>
                    </w:rPr>
                    <w:t>项目生产过程中不产生重金属或者其他有毒有害物质含量超标的污水、污泥，以及可能造成土壤污染的清淤底泥、尾矿、矿渣等</w:t>
                  </w:r>
                  <w:r>
                    <w:rPr>
                      <w:rFonts w:hint="default" w:ascii="Times New Roman" w:hAnsi="Times New Roman" w:eastAsia="宋体" w:cs="Times New Roman"/>
                      <w:color w:val="auto"/>
                      <w:sz w:val="21"/>
                      <w:szCs w:val="21"/>
                    </w:rPr>
                    <w:t>。</w:t>
                  </w:r>
                </w:p>
              </w:tc>
              <w:tc>
                <w:tcPr>
                  <w:tcW w:w="472" w:type="dxa"/>
                  <w:noWrap w:val="0"/>
                  <w:vAlign w:val="center"/>
                </w:tcPr>
                <w:p w14:paraId="6D7DAEE1">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1A61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1" w:hRule="atLeast"/>
                <w:jc w:val="center"/>
              </w:trPr>
              <w:tc>
                <w:tcPr>
                  <w:tcW w:w="1013" w:type="dxa"/>
                  <w:vMerge w:val="continue"/>
                  <w:noWrap w:val="0"/>
                  <w:vAlign w:val="center"/>
                </w:tcPr>
                <w:p w14:paraId="465692C0">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511" w:type="dxa"/>
                  <w:noWrap w:val="0"/>
                  <w:vAlign w:val="center"/>
                </w:tcPr>
                <w:p w14:paraId="3EA4D836">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环境风险防控：</w:t>
                  </w:r>
                </w:p>
                <w:p w14:paraId="4EDE3B6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4-1.【水/综合类】城镇污水处理厂、涉水企业应采取有效措施，防止事故废水直接排入水体。</w:t>
                  </w:r>
                </w:p>
                <w:p w14:paraId="518ED21A">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4-2.【水/综合类】加强饮用水水源保护区内环境风险排查，开展风险评估及水环境预警监测。</w:t>
                  </w:r>
                </w:p>
                <w:p w14:paraId="7FBB5D40">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3622" w:type="dxa"/>
                  <w:noWrap w:val="0"/>
                  <w:vAlign w:val="center"/>
                </w:tcPr>
                <w:p w14:paraId="4F3A2600">
                  <w:pPr>
                    <w:keepNext w:val="0"/>
                    <w:keepLines w:val="0"/>
                    <w:pageBreakBefore w:val="0"/>
                    <w:widowControl w:val="0"/>
                    <w:kinsoku/>
                    <w:wordWrap w:val="0"/>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w:t>
                  </w:r>
                  <w:r>
                    <w:rPr>
                      <w:rFonts w:hint="eastAsia" w:cs="Times New Roman"/>
                      <w:color w:val="auto"/>
                      <w:sz w:val="21"/>
                      <w:szCs w:val="21"/>
                      <w:lang w:val="en-US" w:eastAsia="zh-CN"/>
                    </w:rPr>
                    <w:t>博罗县石湾镇大牛垒生活污水处理厂</w:t>
                  </w:r>
                  <w:r>
                    <w:rPr>
                      <w:rFonts w:hint="default" w:ascii="Times New Roman" w:hAnsi="Times New Roman" w:eastAsia="宋体" w:cs="Times New Roman"/>
                      <w:color w:val="auto"/>
                      <w:sz w:val="21"/>
                      <w:szCs w:val="21"/>
                    </w:rPr>
                    <w:t>已采取有效措施，防止事故废水直接排入水体。</w:t>
                  </w:r>
                </w:p>
                <w:p w14:paraId="3B650937">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4-2.项目所在地不在饮用水源保护区内。</w:t>
                  </w:r>
                </w:p>
                <w:p w14:paraId="35861A3E">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4-3.项目计划制定并实施公司环境事故应急预警制度，明确管理组织、责任与责任范围、预防措施、宣传教育等内容。项目不属于生产、储存和使用有毒有害气体的企业。</w:t>
                  </w:r>
                </w:p>
              </w:tc>
              <w:tc>
                <w:tcPr>
                  <w:tcW w:w="472" w:type="dxa"/>
                  <w:noWrap w:val="0"/>
                  <w:vAlign w:val="center"/>
                </w:tcPr>
                <w:p w14:paraId="79E4CCCC">
                  <w:pPr>
                    <w:keepNext w:val="0"/>
                    <w:keepLines w:val="0"/>
                    <w:pageBreakBefore w:val="0"/>
                    <w:widowControl w:val="0"/>
                    <w:kinsoku/>
                    <w:wordWrap w:val="0"/>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bl>
          <w:p w14:paraId="2B3C1C72">
            <w:pPr>
              <w:rPr>
                <w:rFonts w:hint="default" w:ascii="Times New Roman" w:hAnsi="Times New Roman" w:cs="Times New Roman"/>
                <w:b/>
                <w:color w:val="auto"/>
              </w:rPr>
            </w:pPr>
            <w:r>
              <w:rPr>
                <w:rFonts w:hint="default" w:ascii="Times New Roman" w:hAnsi="Times New Roman" w:eastAsia="宋体" w:cs="Times New Roman"/>
                <w:b w:val="0"/>
                <w:bCs w:val="0"/>
                <w:color w:val="auto"/>
                <w:kern w:val="2"/>
                <w:sz w:val="24"/>
                <w:szCs w:val="24"/>
                <w:highlight w:val="none"/>
                <w:lang w:val="en-US" w:eastAsia="zh-CN" w:bidi="ar-SA"/>
              </w:rPr>
              <w:t>因此，本项目与《博罗县生态保护红线、环境质量底线、资源利用上线和环境准入清单研究报告》相符。</w:t>
            </w:r>
            <w:r>
              <w:rPr>
                <w:rFonts w:hint="default" w:ascii="Times New Roman" w:hAnsi="Times New Roman" w:eastAsia="宋体" w:cs="Times New Roman"/>
                <w:b w:val="0"/>
                <w:bCs w:val="0"/>
                <w:color w:val="auto"/>
                <w:kern w:val="2"/>
                <w:sz w:val="24"/>
                <w:szCs w:val="24"/>
                <w:highlight w:val="none"/>
                <w:lang w:val="en-US" w:eastAsia="zh-CN" w:bidi="ar-SA"/>
              </w:rPr>
              <w:br w:type="textWrapping"/>
            </w:r>
            <w:r>
              <w:rPr>
                <w:rFonts w:hint="default" w:ascii="Times New Roman" w:hAnsi="Times New Roman" w:cs="Times New Roman"/>
                <w:b/>
                <w:color w:val="auto"/>
                <w:lang w:val="en-US" w:eastAsia="zh-CN"/>
              </w:rPr>
              <w:t>3</w:t>
            </w:r>
            <w:r>
              <w:rPr>
                <w:rFonts w:hint="default" w:ascii="Times New Roman" w:hAnsi="Times New Roman" w:cs="Times New Roman"/>
                <w:b/>
                <w:color w:val="auto"/>
              </w:rPr>
              <w:t>、选址合理性</w:t>
            </w:r>
          </w:p>
          <w:p w14:paraId="17DADAB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rPr>
              <w:t>项目选址</w:t>
            </w:r>
            <w:r>
              <w:rPr>
                <w:rFonts w:hint="default" w:ascii="Times New Roman" w:hAnsi="Times New Roman" w:cs="Times New Roman"/>
                <w:color w:val="auto"/>
                <w:spacing w:val="-2"/>
                <w:lang w:bidi="ar"/>
              </w:rPr>
              <w:t>于</w:t>
            </w:r>
            <w:r>
              <w:rPr>
                <w:rFonts w:hint="eastAsia" w:cs="Times New Roman"/>
                <w:color w:val="auto"/>
                <w:lang w:eastAsia="zh-CN"/>
              </w:rPr>
              <w:t>惠州市博罗县石湾镇滘吓村冯屋工业区南基C栋厂房</w:t>
            </w:r>
            <w:r>
              <w:rPr>
                <w:rFonts w:hint="default" w:ascii="Times New Roman" w:hAnsi="Times New Roman" w:cs="Times New Roman"/>
                <w:color w:val="auto"/>
              </w:rPr>
              <w:t>，</w:t>
            </w:r>
            <w:r>
              <w:rPr>
                <w:rFonts w:hint="default" w:ascii="Times New Roman" w:hAnsi="Times New Roman" w:cs="Times New Roman"/>
                <w:color w:val="auto"/>
                <w:spacing w:val="-2"/>
                <w:lang w:val="en-US" w:eastAsia="zh-CN" w:bidi="ar"/>
              </w:rPr>
              <w:t>根据《</w:t>
            </w:r>
            <w:r>
              <w:rPr>
                <w:rFonts w:hint="eastAsia" w:cs="Times New Roman"/>
                <w:color w:val="auto"/>
                <w:spacing w:val="-2"/>
                <w:lang w:val="en-US" w:eastAsia="zh-CN" w:bidi="ar"/>
              </w:rPr>
              <w:t>博罗县石湾镇国土空间总体规划（2021-2035）</w:t>
            </w:r>
            <w:r>
              <w:rPr>
                <w:rFonts w:hint="default" w:ascii="Times New Roman" w:hAnsi="Times New Roman" w:cs="Times New Roman"/>
                <w:color w:val="auto"/>
                <w:spacing w:val="-2"/>
                <w:lang w:val="en-US" w:eastAsia="zh-CN" w:bidi="ar"/>
              </w:rPr>
              <w:t>》</w:t>
            </w:r>
            <w:r>
              <w:rPr>
                <w:rFonts w:hint="default" w:ascii="Times New Roman" w:hAnsi="Times New Roman" w:cs="Times New Roman"/>
                <w:color w:val="auto"/>
              </w:rPr>
              <w:t>（附图1</w:t>
            </w:r>
            <w:r>
              <w:rPr>
                <w:rFonts w:hint="default" w:ascii="Times New Roman" w:hAnsi="Times New Roman" w:cs="Times New Roman"/>
                <w:color w:val="auto"/>
                <w:lang w:val="en-US" w:eastAsia="zh-CN"/>
              </w:rPr>
              <w:t>9</w:t>
            </w:r>
            <w:r>
              <w:rPr>
                <w:rFonts w:hint="default" w:ascii="Times New Roman" w:hAnsi="Times New Roman" w:cs="Times New Roman"/>
                <w:color w:val="auto"/>
              </w:rPr>
              <w:t>）</w:t>
            </w:r>
            <w:r>
              <w:rPr>
                <w:rFonts w:hint="default" w:ascii="Times New Roman" w:hAnsi="Times New Roman" w:cs="Times New Roman"/>
                <w:color w:val="auto"/>
                <w:spacing w:val="-2"/>
                <w:lang w:bidi="ar"/>
              </w:rPr>
              <w:t>以及国土证（附件3），</w:t>
            </w:r>
            <w:r>
              <w:rPr>
                <w:rFonts w:hint="default" w:ascii="Times New Roman" w:hAnsi="Times New Roman" w:cs="Times New Roman"/>
                <w:color w:val="auto"/>
                <w:spacing w:val="-2"/>
                <w:lang w:val="en-US" w:eastAsia="zh-CN" w:bidi="ar"/>
              </w:rPr>
              <w:t>项目用地类型为</w:t>
            </w:r>
            <w:r>
              <w:rPr>
                <w:rFonts w:hint="eastAsia" w:cs="Times New Roman"/>
                <w:color w:val="auto"/>
                <w:spacing w:val="-2"/>
                <w:lang w:val="en-US" w:eastAsia="zh-CN" w:bidi="ar"/>
              </w:rPr>
              <w:t>现代工业组团</w:t>
            </w:r>
            <w:r>
              <w:rPr>
                <w:rFonts w:hint="default" w:ascii="Times New Roman" w:hAnsi="Times New Roman" w:cs="Times New Roman"/>
                <w:color w:val="auto"/>
                <w:spacing w:val="-2"/>
                <w:lang w:val="en-US" w:eastAsia="zh-CN" w:bidi="ar"/>
              </w:rPr>
              <w:t>，根据建设单位提供的</w:t>
            </w:r>
            <w:r>
              <w:rPr>
                <w:rFonts w:hint="eastAsia" w:cs="Times New Roman"/>
                <w:color w:val="auto"/>
                <w:spacing w:val="-2"/>
                <w:lang w:val="en-US" w:eastAsia="zh-CN" w:bidi="ar"/>
              </w:rPr>
              <w:t>用地证明</w:t>
            </w:r>
            <w:r>
              <w:rPr>
                <w:rFonts w:hint="default" w:ascii="Times New Roman" w:hAnsi="Times New Roman" w:cs="Times New Roman"/>
                <w:color w:val="auto"/>
                <w:spacing w:val="-2"/>
                <w:lang w:val="en-US" w:eastAsia="zh-CN" w:bidi="ar"/>
              </w:rPr>
              <w:t>，项目用地用途为工业用地，与规划相符。项目所在区域符合</w:t>
            </w:r>
            <w:r>
              <w:rPr>
                <w:rFonts w:hint="default" w:ascii="Times New Roman" w:hAnsi="Times New Roman" w:eastAsia="宋体" w:cs="Times New Roman"/>
                <w:color w:val="auto"/>
                <w:kern w:val="0"/>
                <w:sz w:val="24"/>
                <w:szCs w:val="24"/>
                <w:lang w:val="en-US" w:eastAsia="zh-CN" w:bidi="ar-SA"/>
              </w:rPr>
              <w:t>《惠州市人民政府关于印发惠州市“三线一单”生态环境分区管控方案的通知》（惠府〔2021〕23号）要求。项目所在区域目前地表水环境、大气环境、声环境等质量现状良好，项目建成后，废水、废气、噪声等污染物可达标排放，固体废物得到妥善处置，对所在区域环境质量现状造成</w:t>
            </w:r>
            <w:r>
              <w:rPr>
                <w:rFonts w:hint="default" w:ascii="Times New Roman" w:hAnsi="Times New Roman" w:cs="Times New Roman"/>
                <w:color w:val="auto"/>
                <w:kern w:val="0"/>
                <w:sz w:val="24"/>
                <w:szCs w:val="24"/>
                <w:lang w:val="en-US" w:eastAsia="zh-CN" w:bidi="ar-SA"/>
              </w:rPr>
              <w:t>的</w:t>
            </w:r>
            <w:r>
              <w:rPr>
                <w:rFonts w:hint="default" w:ascii="Times New Roman" w:hAnsi="Times New Roman" w:eastAsia="宋体" w:cs="Times New Roman"/>
                <w:color w:val="auto"/>
                <w:kern w:val="0"/>
                <w:sz w:val="24"/>
                <w:szCs w:val="24"/>
                <w:lang w:val="en-US" w:eastAsia="zh-CN" w:bidi="ar-SA"/>
              </w:rPr>
              <w:t>影响</w:t>
            </w:r>
            <w:r>
              <w:rPr>
                <w:rFonts w:hint="default" w:ascii="Times New Roman" w:hAnsi="Times New Roman" w:cs="Times New Roman"/>
                <w:color w:val="auto"/>
                <w:kern w:val="0"/>
                <w:sz w:val="24"/>
                <w:szCs w:val="24"/>
                <w:lang w:val="en-US" w:eastAsia="zh-CN" w:bidi="ar-SA"/>
              </w:rPr>
              <w:t>较小</w:t>
            </w:r>
            <w:r>
              <w:rPr>
                <w:rFonts w:hint="default" w:ascii="Times New Roman" w:hAnsi="Times New Roman" w:eastAsia="宋体" w:cs="Times New Roman"/>
                <w:color w:val="auto"/>
                <w:kern w:val="0"/>
                <w:sz w:val="24"/>
                <w:szCs w:val="24"/>
                <w:lang w:val="en-US" w:eastAsia="zh-CN" w:bidi="ar-SA"/>
              </w:rPr>
              <w:t>，可满足环境功能区划的要求。</w:t>
            </w:r>
            <w:r>
              <w:rPr>
                <w:rFonts w:hint="default" w:ascii="Times New Roman" w:hAnsi="Times New Roman" w:eastAsia="宋体" w:cs="Times New Roman"/>
                <w:color w:val="auto"/>
                <w:spacing w:val="-2"/>
                <w:lang w:val="en-US" w:eastAsia="zh-CN" w:bidi="ar"/>
              </w:rPr>
              <w:t>项目用地不涉及</w:t>
            </w:r>
            <w:r>
              <w:rPr>
                <w:rFonts w:hint="default" w:ascii="Times New Roman" w:hAnsi="Times New Roman" w:eastAsia="宋体" w:cs="Times New Roman"/>
                <w:color w:val="auto"/>
                <w:kern w:val="0"/>
                <w:sz w:val="24"/>
                <w:szCs w:val="24"/>
              </w:rPr>
              <w:t>风景名胜区、饮用水源保护区、基本农田保护区及其它需要特殊保护的敏感区</w:t>
            </w:r>
            <w:r>
              <w:rPr>
                <w:rFonts w:hint="default" w:ascii="Times New Roman" w:hAnsi="Times New Roman" w:eastAsia="宋体" w:cs="Times New Roman"/>
                <w:color w:val="auto"/>
                <w:sz w:val="24"/>
                <w:szCs w:val="22"/>
              </w:rPr>
              <w:t>。</w:t>
            </w:r>
            <w:r>
              <w:rPr>
                <w:rFonts w:hint="default" w:ascii="Times New Roman" w:hAnsi="Times New Roman" w:cs="Times New Roman"/>
                <w:color w:val="auto"/>
                <w:sz w:val="24"/>
                <w:szCs w:val="22"/>
                <w:lang w:val="en-US" w:eastAsia="zh-CN"/>
              </w:rPr>
              <w:t>因此，项目选址具有合理性。</w:t>
            </w:r>
          </w:p>
          <w:p w14:paraId="01E31FF3">
            <w:pPr>
              <w:rPr>
                <w:rFonts w:hint="default" w:ascii="Times New Roman" w:hAnsi="Times New Roman" w:cs="Times New Roman"/>
                <w:b/>
                <w:bCs/>
                <w:color w:val="auto"/>
                <w:szCs w:val="22"/>
              </w:rPr>
            </w:pPr>
            <w:bookmarkStart w:id="1" w:name="相符性"/>
            <w:bookmarkEnd w:id="1"/>
            <w:bookmarkStart w:id="2" w:name="惠东产业转移工业园"/>
            <w:bookmarkEnd w:id="2"/>
            <w:r>
              <w:rPr>
                <w:rFonts w:hint="default" w:ascii="Times New Roman" w:hAnsi="Times New Roman" w:cs="Times New Roman"/>
                <w:b/>
                <w:color w:val="auto"/>
                <w:lang w:val="en-US" w:eastAsia="zh-CN"/>
              </w:rPr>
              <w:t>4</w:t>
            </w:r>
            <w:r>
              <w:rPr>
                <w:rFonts w:hint="default" w:ascii="Times New Roman" w:hAnsi="Times New Roman" w:cs="Times New Roman"/>
                <w:b/>
                <w:color w:val="auto"/>
              </w:rPr>
              <w:t>、</w:t>
            </w:r>
            <w:r>
              <w:rPr>
                <w:rFonts w:hint="default" w:ascii="Times New Roman" w:hAnsi="Times New Roman" w:cs="Times New Roman"/>
                <w:b/>
                <w:bCs/>
                <w:color w:val="auto"/>
                <w:szCs w:val="22"/>
              </w:rPr>
              <w:t>与环境管理要求的相符性分析</w:t>
            </w:r>
          </w:p>
          <w:p w14:paraId="21E4360B">
            <w:pPr>
              <w:rPr>
                <w:rFonts w:hint="default" w:ascii="Times New Roman" w:hAnsi="Times New Roman" w:cs="Times New Roman"/>
                <w:b/>
                <w:color w:val="auto"/>
                <w:kern w:val="0"/>
              </w:rPr>
            </w:pPr>
            <w:r>
              <w:rPr>
                <w:rFonts w:hint="default" w:ascii="Times New Roman" w:hAnsi="Times New Roman" w:cs="Times New Roman"/>
                <w:b/>
                <w:bCs/>
                <w:color w:val="auto"/>
              </w:rPr>
              <w:t>（1）与《关于严格限制东江流域水污染项目建设进一步做好东江水质保护工作的通知》（粤府函〔2011〕339号）及其补充通知（粤府函〔2013〕231号）的相符性</w:t>
            </w:r>
          </w:p>
          <w:p w14:paraId="7DD6B87C">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“强化涉重金属污染项目管理：东江流域内停止审批向河流排放汞、砷、镉、铬、铅等重金属污染物和持久性有机污染物的项目。</w:t>
            </w:r>
          </w:p>
          <w:p w14:paraId="6B8FA1F4">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7D5B27CE">
            <w:pPr>
              <w:ind w:firstLine="482" w:firstLineChars="200"/>
              <w:rPr>
                <w:rFonts w:hint="default" w:ascii="Times New Roman" w:hAnsi="Times New Roman" w:cs="Times New Roman"/>
                <w:color w:val="auto"/>
                <w:kern w:val="0"/>
              </w:rPr>
            </w:pPr>
            <w:r>
              <w:rPr>
                <w:rFonts w:hint="default" w:ascii="Times New Roman" w:hAnsi="Times New Roman" w:cs="Times New Roman"/>
                <w:b/>
                <w:color w:val="auto"/>
                <w:kern w:val="0"/>
              </w:rPr>
              <w:t>相符性分析：</w:t>
            </w:r>
            <w:r>
              <w:rPr>
                <w:rFonts w:hint="default" w:ascii="Times New Roman" w:hAnsi="Times New Roman" w:cs="Times New Roman"/>
                <w:color w:val="auto"/>
                <w:kern w:val="0"/>
              </w:rPr>
              <w:t>项目属于新建性质，</w:t>
            </w:r>
            <w:r>
              <w:rPr>
                <w:rFonts w:hint="eastAsia" w:cs="Times New Roman"/>
                <w:color w:val="auto"/>
                <w:szCs w:val="22"/>
                <w:lang w:eastAsia="zh-CN"/>
              </w:rPr>
              <w:t>从事电子器件和模具</w:t>
            </w:r>
            <w:r>
              <w:rPr>
                <w:rFonts w:hint="default" w:ascii="Times New Roman" w:hAnsi="Times New Roman" w:cs="Times New Roman"/>
                <w:color w:val="auto"/>
                <w:szCs w:val="22"/>
              </w:rPr>
              <w:t>的生产</w:t>
            </w:r>
            <w:r>
              <w:rPr>
                <w:rFonts w:hint="default" w:ascii="Times New Roman" w:hAnsi="Times New Roman" w:cs="Times New Roman"/>
                <w:color w:val="auto"/>
                <w:kern w:val="0"/>
              </w:rPr>
              <w:t>，不产生和排放重金属污染物和持久性有机污染物，不属于以上禁批或限批行业，生产过程中不涉及上述生产工艺。项目</w:t>
            </w:r>
            <w:r>
              <w:rPr>
                <w:rFonts w:hint="default" w:ascii="Times New Roman" w:hAnsi="Times New Roman" w:cs="Times New Roman"/>
                <w:color w:val="auto"/>
                <w:lang w:val="en-US" w:eastAsia="zh-CN"/>
              </w:rPr>
              <w:t>间接冷却废水循环使用不外排，喷淋废水</w:t>
            </w:r>
            <w:r>
              <w:rPr>
                <w:rFonts w:hint="default" w:ascii="Times New Roman" w:hAnsi="Times New Roman" w:cs="Times New Roman"/>
                <w:color w:val="auto"/>
              </w:rPr>
              <w:t>收集后交由有资质的单位处置</w:t>
            </w:r>
            <w:r>
              <w:rPr>
                <w:rFonts w:hint="default" w:ascii="Times New Roman" w:hAnsi="Times New Roman" w:cs="Times New Roman"/>
                <w:color w:val="auto"/>
                <w:kern w:val="0"/>
              </w:rPr>
              <w:t>，生活污水经三级化粪池预处理后纳入市政管网进入</w:t>
            </w:r>
            <w:r>
              <w:rPr>
                <w:rFonts w:hint="eastAsia" w:cs="Times New Roman"/>
                <w:color w:val="auto"/>
                <w:kern w:val="0"/>
                <w:lang w:eastAsia="zh-CN"/>
              </w:rPr>
              <w:t>博罗县石湾镇大牛垒生活污水处理厂</w:t>
            </w:r>
            <w:r>
              <w:rPr>
                <w:rFonts w:hint="default" w:ascii="Times New Roman" w:hAnsi="Times New Roman" w:cs="Times New Roman"/>
                <w:color w:val="auto"/>
                <w:kern w:val="0"/>
              </w:rPr>
              <w:t>处理，纳污水体为</w:t>
            </w:r>
            <w:r>
              <w:rPr>
                <w:rFonts w:hint="eastAsia" w:cs="Times New Roman"/>
                <w:color w:val="auto"/>
                <w:kern w:val="0"/>
                <w:lang w:eastAsia="zh-CN"/>
              </w:rPr>
              <w:t>东江</w:t>
            </w:r>
            <w:r>
              <w:rPr>
                <w:rFonts w:hint="default" w:ascii="Times New Roman" w:hAnsi="Times New Roman" w:cs="Times New Roman"/>
                <w:color w:val="auto"/>
                <w:kern w:val="0"/>
              </w:rPr>
              <w:t>。</w:t>
            </w:r>
          </w:p>
          <w:p w14:paraId="175B8B01">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因此，项目符合《关于严格限制东江流域水污染项目建设进一步做好东江水质保护工作的通知》（粤府函〔2011〕339号）及其补充通知（粤府函〔2013〕231号）的要求。</w:t>
            </w:r>
          </w:p>
          <w:p w14:paraId="0A7DD8CB">
            <w:pPr>
              <w:pStyle w:val="55"/>
              <w:adjustRightInd/>
              <w:snapToGrid/>
              <w:ind w:firstLine="0" w:firstLineChars="0"/>
              <w:rPr>
                <w:rFonts w:hint="default" w:ascii="Times New Roman" w:hAnsi="Times New Roman" w:cs="Times New Roman"/>
                <w:b/>
                <w:bCs/>
                <w:color w:val="auto"/>
              </w:rPr>
            </w:pPr>
            <w:r>
              <w:rPr>
                <w:rFonts w:hint="default" w:ascii="Times New Roman" w:hAnsi="Times New Roman" w:cs="Times New Roman"/>
                <w:b/>
                <w:color w:val="auto"/>
                <w:szCs w:val="20"/>
              </w:rPr>
              <w:t>（2）</w:t>
            </w:r>
            <w:r>
              <w:rPr>
                <w:rFonts w:hint="default" w:ascii="Times New Roman" w:hAnsi="Times New Roman" w:cs="Times New Roman"/>
                <w:b/>
                <w:bCs/>
                <w:color w:val="auto"/>
              </w:rPr>
              <w:t>与《广东省水污染防治条例》的相符性分析</w:t>
            </w:r>
          </w:p>
          <w:p w14:paraId="1EF7FF4D">
            <w:pPr>
              <w:ind w:firstLine="480" w:firstLineChars="200"/>
              <w:rPr>
                <w:rFonts w:hint="default" w:ascii="Times New Roman" w:hAnsi="Times New Roman" w:cs="Times New Roman"/>
                <w:color w:val="auto"/>
              </w:rPr>
            </w:pPr>
            <w:r>
              <w:rPr>
                <w:rFonts w:hint="default" w:ascii="Times New Roman" w:hAnsi="Times New Roman" w:cs="Times New Roman"/>
                <w:color w:val="auto"/>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58B319C3">
            <w:pPr>
              <w:ind w:firstLine="480" w:firstLineChars="200"/>
              <w:rPr>
                <w:rFonts w:hint="default" w:ascii="Times New Roman" w:hAnsi="Times New Roman" w:cs="Times New Roman"/>
                <w:color w:val="auto"/>
              </w:rPr>
            </w:pPr>
            <w:r>
              <w:rPr>
                <w:rFonts w:hint="default" w:ascii="Times New Roman" w:hAnsi="Times New Roman" w:cs="Times New Roman"/>
                <w:color w:val="auto"/>
              </w:rPr>
              <w:t>第三十一条  新区建设和旧城区改造，应当同步规划建设污水、雨水收集管网，实行雨污分流。在有条件的地区，应当逐步推进初期雨水调蓄处理和利用，减少水污染。已实行雨污分流的区域，不得向雨水收集口、雨水管道排放污水。尚未实行雨污分流的区域，应当按照要求逐步进行雨污分流改造；难以改造的，应当采取沿河截污、调蓄和治理等措施，防止污染水环境。</w:t>
            </w:r>
          </w:p>
          <w:p w14:paraId="2A70B3CD">
            <w:pPr>
              <w:ind w:firstLine="480" w:firstLineChars="200"/>
              <w:rPr>
                <w:rFonts w:hint="default" w:ascii="Times New Roman" w:hAnsi="Times New Roman" w:cs="Times New Roman"/>
                <w:color w:val="auto"/>
              </w:rPr>
            </w:pPr>
            <w:r>
              <w:rPr>
                <w:rFonts w:hint="default" w:ascii="Times New Roman" w:hAnsi="Times New Roman" w:cs="Times New Roman"/>
                <w:color w:val="auto"/>
              </w:rPr>
              <w:t>第三十三条  县级以上人民政府应当鼓励污水再生利用，在资金、技术等方面扶持再生水利用项目，进行城镇新区建设、旧城改造和市政基础设施建设时，配套建设再生水利用设施。工业生产、城市绿化、道路清扫、车辆冲洗、建筑施工以及生态景观等，应当优先使用再生水。有条件使用再生水的单位，应当优先使用再生水。</w:t>
            </w:r>
          </w:p>
          <w:p w14:paraId="45E122D9">
            <w:pPr>
              <w:ind w:firstLine="480" w:firstLineChars="200"/>
              <w:rPr>
                <w:rFonts w:hint="default" w:ascii="Times New Roman" w:hAnsi="Times New Roman" w:cs="Times New Roman"/>
                <w:color w:val="auto"/>
              </w:rPr>
            </w:pPr>
            <w:r>
              <w:rPr>
                <w:rFonts w:hint="default" w:ascii="Times New Roman" w:hAnsi="Times New Roman" w:cs="Times New Roman"/>
                <w:color w:val="auto"/>
              </w:rPr>
              <w:t>第五十条  新建、改建、扩建的项目应当符合国家产业政策规定。</w:t>
            </w:r>
          </w:p>
          <w:p w14:paraId="2404122D">
            <w:pPr>
              <w:ind w:firstLine="480" w:firstLineChars="200"/>
              <w:rPr>
                <w:rFonts w:hint="default" w:ascii="Times New Roman" w:hAnsi="Times New Roman" w:cs="Times New Roman"/>
                <w:color w:val="auto"/>
              </w:rPr>
            </w:pPr>
            <w:r>
              <w:rPr>
                <w:rFonts w:hint="default" w:ascii="Times New Roman" w:hAnsi="Times New Roman" w:cs="Times New Roman"/>
                <w:color w:val="auto"/>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7541D504">
            <w:pPr>
              <w:ind w:firstLine="480" w:firstLineChars="200"/>
              <w:rPr>
                <w:rFonts w:hint="default" w:ascii="Times New Roman" w:hAnsi="Times New Roman" w:cs="Times New Roman"/>
                <w:color w:val="auto"/>
              </w:rPr>
            </w:pPr>
            <w:r>
              <w:rPr>
                <w:rFonts w:hint="default" w:ascii="Times New Roman" w:hAnsi="Times New Roman" w:cs="Times New Roman"/>
                <w:color w:val="auto"/>
              </w:rPr>
              <w:t>北江流域实行重金属污染物排放总量控制，严格控制新建涉重金属排放的项目，新建、改建、扩建的项目严格实行重金属等特征污染物排放减量置换。”</w:t>
            </w:r>
          </w:p>
          <w:p w14:paraId="55765AD1">
            <w:pPr>
              <w:pStyle w:val="55"/>
              <w:adjustRightInd/>
              <w:snapToGrid/>
              <w:ind w:firstLine="482"/>
              <w:jc w:val="both"/>
              <w:rPr>
                <w:rFonts w:hint="default" w:ascii="Times New Roman" w:hAnsi="Times New Roman" w:cs="Times New Roman"/>
                <w:color w:val="auto"/>
              </w:rPr>
            </w:pPr>
            <w:r>
              <w:rPr>
                <w:rFonts w:hint="default" w:ascii="Times New Roman" w:hAnsi="Times New Roman" w:cs="Times New Roman"/>
                <w:b/>
                <w:color w:val="auto"/>
              </w:rPr>
              <w:t>相符性分析：</w:t>
            </w:r>
            <w:r>
              <w:rPr>
                <w:rFonts w:hint="default" w:ascii="Times New Roman" w:hAnsi="Times New Roman" w:cs="Times New Roman"/>
                <w:bCs/>
                <w:color w:val="auto"/>
              </w:rPr>
              <w:t>项目</w:t>
            </w:r>
            <w:r>
              <w:rPr>
                <w:rFonts w:hint="default" w:ascii="Times New Roman" w:hAnsi="Times New Roman" w:cs="Times New Roman"/>
                <w:color w:val="auto"/>
                <w:lang w:val="en-US" w:eastAsia="zh-CN"/>
              </w:rPr>
              <w:t>间接冷却废水循环使用不外排，喷淋废水</w:t>
            </w:r>
            <w:r>
              <w:rPr>
                <w:rFonts w:hint="default" w:ascii="Times New Roman" w:hAnsi="Times New Roman" w:cs="Times New Roman"/>
                <w:color w:val="auto"/>
              </w:rPr>
              <w:t>收集后交由有资质的单位处置</w:t>
            </w:r>
            <w:r>
              <w:rPr>
                <w:rFonts w:hint="default" w:ascii="Times New Roman" w:hAnsi="Times New Roman" w:cs="Times New Roman"/>
                <w:bCs/>
                <w:color w:val="auto"/>
              </w:rPr>
              <w:t>，项目所在区域已实行雨污分流，员工生活产生的生活污水经三级化粪池预处理后纳入市政管网进入</w:t>
            </w:r>
            <w:r>
              <w:rPr>
                <w:rFonts w:hint="eastAsia" w:cs="Times New Roman"/>
                <w:bCs/>
                <w:color w:val="auto"/>
                <w:lang w:eastAsia="zh-CN"/>
              </w:rPr>
              <w:t>博罗县石湾镇大牛垒生活污水处理厂</w:t>
            </w:r>
            <w:r>
              <w:rPr>
                <w:rFonts w:hint="default" w:ascii="Times New Roman" w:hAnsi="Times New Roman" w:cs="Times New Roman"/>
                <w:bCs/>
                <w:color w:val="auto"/>
              </w:rPr>
              <w:t>处理后排入</w:t>
            </w:r>
            <w:r>
              <w:rPr>
                <w:rFonts w:hint="eastAsia" w:cs="Times New Roman"/>
                <w:bCs/>
                <w:color w:val="auto"/>
                <w:lang w:eastAsia="zh-CN"/>
              </w:rPr>
              <w:t>东江</w:t>
            </w:r>
            <w:r>
              <w:rPr>
                <w:rFonts w:hint="default" w:ascii="Times New Roman" w:hAnsi="Times New Roman" w:cs="Times New Roman"/>
                <w:color w:val="auto"/>
              </w:rPr>
              <w:t>。项目</w:t>
            </w:r>
            <w:r>
              <w:rPr>
                <w:rFonts w:hint="eastAsia" w:cs="Times New Roman"/>
                <w:color w:val="auto"/>
                <w:lang w:eastAsia="zh-CN"/>
              </w:rPr>
              <w:t>从事电子器件和模具</w:t>
            </w:r>
            <w:r>
              <w:rPr>
                <w:rFonts w:hint="default" w:ascii="Times New Roman" w:hAnsi="Times New Roman" w:cs="Times New Roman"/>
                <w:color w:val="auto"/>
              </w:rPr>
              <w:t>的生产，不属于东江流域内禁止新建的项目类别。因此，项目建设符合《广东省水污染防治条例》的要求。</w:t>
            </w:r>
          </w:p>
          <w:p w14:paraId="4761B6B4">
            <w:pPr>
              <w:rPr>
                <w:rFonts w:hint="default" w:ascii="Times New Roman" w:hAnsi="Times New Roman" w:cs="Times New Roman"/>
                <w:b/>
                <w:color w:val="auto"/>
                <w:szCs w:val="22"/>
              </w:rPr>
            </w:pPr>
            <w:r>
              <w:rPr>
                <w:rFonts w:hint="default" w:ascii="Times New Roman" w:hAnsi="Times New Roman" w:cs="Times New Roman"/>
                <w:b/>
                <w:color w:val="auto"/>
              </w:rPr>
              <w:t>（3）</w:t>
            </w:r>
            <w:r>
              <w:rPr>
                <w:rFonts w:hint="default" w:ascii="Times New Roman" w:hAnsi="Times New Roman" w:cs="Times New Roman"/>
                <w:b/>
                <w:color w:val="auto"/>
                <w:szCs w:val="22"/>
              </w:rPr>
              <w:t>根据《广东省大气污染防治条例》</w:t>
            </w:r>
            <w:r>
              <w:rPr>
                <w:rFonts w:hint="default" w:ascii="Times New Roman" w:hAnsi="Times New Roman" w:cs="Times New Roman"/>
                <w:b/>
                <w:bCs/>
                <w:color w:val="auto"/>
                <w:szCs w:val="22"/>
              </w:rPr>
              <w:t>（2018年修订）</w:t>
            </w:r>
            <w:r>
              <w:rPr>
                <w:rFonts w:hint="default" w:ascii="Times New Roman" w:hAnsi="Times New Roman" w:cs="Times New Roman"/>
                <w:b/>
                <w:color w:val="auto"/>
                <w:szCs w:val="22"/>
              </w:rPr>
              <w:t>的相符性分析</w:t>
            </w:r>
          </w:p>
          <w:p w14:paraId="0E248831">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“企业事业单位和其他生产经营者应当执行国家和省规定的大气污染物排放标准和技术规范，从源头、生产过程及末端选用污染防治技术，防止、减少大气污染，并对所造成的损害依法承担责任。”</w:t>
            </w:r>
          </w:p>
          <w:p w14:paraId="05BE0188">
            <w:pPr>
              <w:ind w:firstLine="482" w:firstLineChars="200"/>
              <w:rPr>
                <w:rFonts w:hint="default" w:ascii="Times New Roman" w:hAnsi="Times New Roman" w:cs="Times New Roman"/>
                <w:b/>
                <w:color w:val="auto"/>
              </w:rPr>
            </w:pPr>
            <w:r>
              <w:rPr>
                <w:rFonts w:hint="default" w:ascii="Times New Roman" w:hAnsi="Times New Roman" w:cs="Times New Roman"/>
                <w:b/>
                <w:bCs/>
                <w:color w:val="auto"/>
              </w:rPr>
              <w:t>相符性分析：</w:t>
            </w:r>
            <w:r>
              <w:rPr>
                <w:rFonts w:hint="default" w:ascii="Times New Roman" w:hAnsi="Times New Roman" w:cs="Times New Roman"/>
                <w:color w:val="auto"/>
              </w:rPr>
              <w:t>项目废气包括VOCs</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非甲烷总烃、臭气</w:t>
            </w:r>
            <w:r>
              <w:rPr>
                <w:rFonts w:hint="default" w:ascii="Times New Roman" w:hAnsi="Times New Roman" w:cs="Times New Roman"/>
                <w:color w:val="auto"/>
              </w:rPr>
              <w:t>和颗粒物，经收集处理后可以达标排放</w:t>
            </w:r>
            <w:r>
              <w:rPr>
                <w:rFonts w:hint="default" w:ascii="Times New Roman" w:hAnsi="Times New Roman" w:cs="Times New Roman"/>
                <w:color w:val="auto"/>
                <w:szCs w:val="22"/>
              </w:rPr>
              <w:t>，</w:t>
            </w:r>
            <w:r>
              <w:rPr>
                <w:rFonts w:hint="default" w:ascii="Times New Roman" w:hAnsi="Times New Roman" w:cs="Times New Roman"/>
                <w:color w:val="auto"/>
              </w:rPr>
              <w:t>符合《广东省大气污染防治条例》（2018年修订）的要求。</w:t>
            </w:r>
          </w:p>
          <w:p w14:paraId="75F095F0">
            <w:pPr>
              <w:pStyle w:val="55"/>
              <w:adjustRightInd/>
              <w:snapToGrid/>
              <w:ind w:left="0" w:leftChars="0" w:firstLine="0" w:firstLineChars="0"/>
              <w:jc w:val="both"/>
              <w:rPr>
                <w:rFonts w:hint="default" w:ascii="Times New Roman" w:hAnsi="Times New Roman" w:eastAsia="宋体" w:cs="Times New Roman"/>
                <w:b/>
                <w:color w:val="auto"/>
                <w:sz w:val="24"/>
                <w:szCs w:val="24"/>
                <w:lang w:eastAsia="zh-CN"/>
              </w:rPr>
            </w:pPr>
            <w:r>
              <w:rPr>
                <w:rFonts w:hint="default" w:ascii="Times New Roman" w:hAnsi="Times New Roman" w:cs="Times New Roman"/>
                <w:b/>
                <w:bCs/>
                <w:color w:val="auto"/>
                <w:sz w:val="24"/>
                <w:szCs w:val="24"/>
                <w:lang w:val="en-US" w:eastAsia="zh-CN"/>
              </w:rPr>
              <w:t>（4）</w:t>
            </w:r>
            <w:r>
              <w:rPr>
                <w:rFonts w:hint="default" w:ascii="Times New Roman" w:hAnsi="Times New Roman" w:cs="Times New Roman"/>
                <w:b/>
                <w:color w:val="auto"/>
                <w:sz w:val="24"/>
                <w:szCs w:val="24"/>
                <w:lang w:eastAsia="zh-CN"/>
              </w:rPr>
              <w:t>与《关于印发&lt;重点行业挥发性有机物综合治理方案&gt;的通知》（环大气[2019]53号）的相符性分析</w:t>
            </w:r>
          </w:p>
          <w:p w14:paraId="48E001A3">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14:paraId="2D3D183A">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14:paraId="30F68476">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w:t>
            </w:r>
          </w:p>
          <w:p w14:paraId="6C32B9E7">
            <w:pPr>
              <w:ind w:firstLine="480" w:firstLineChars="200"/>
              <w:jc w:val="left"/>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p w14:paraId="42077791">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sz w:val="24"/>
                <w:szCs w:val="24"/>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w:t>
            </w:r>
            <w:r>
              <w:rPr>
                <w:rFonts w:hint="default" w:ascii="Times New Roman" w:hAnsi="Times New Roman" w:cs="Times New Roman"/>
                <w:b w:val="0"/>
                <w:bCs/>
                <w:color w:val="auto"/>
              </w:rPr>
              <w:t>炭吸附技术的，应定期更换活性炭，废旧活性炭应再生或处理处置。</w:t>
            </w:r>
          </w:p>
          <w:p w14:paraId="117B7250">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rPr>
              <w:t>规范工程设计。采用吸附处理工艺的，应满足《吸附法工业有机废气治理工程技术规范》要求。采用催化燃烧工艺的，应满足《催化燃烧法工业有机废气治理工程技术规范》要求。采用蓄热燃烧等其他处理工艺的，应按相关技术规范要求设计。</w:t>
            </w:r>
          </w:p>
          <w:p w14:paraId="5C3D27F7">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w:t>
            </w:r>
          </w:p>
          <w:p w14:paraId="621238A9">
            <w:pPr>
              <w:ind w:firstLine="480" w:firstLineChars="200"/>
              <w:jc w:val="left"/>
              <w:rPr>
                <w:rFonts w:hint="default" w:ascii="Times New Roman" w:hAnsi="Times New Roman" w:cs="Times New Roman"/>
                <w:b w:val="0"/>
                <w:bCs/>
                <w:color w:val="auto"/>
              </w:rPr>
            </w:pPr>
            <w:r>
              <w:rPr>
                <w:rFonts w:hint="default" w:ascii="Times New Roman" w:hAnsi="Times New Roman" w:cs="Times New Roman"/>
                <w:b w:val="0"/>
                <w:bCs/>
                <w:color w:val="auto"/>
              </w:rPr>
              <w:t>加强企业运行管理。企业应系统梳理VOCs排放主要环节和工序，包括启停机、检维修作业等，制定具体操作规程，落实到具体责任人。健全内部考核制度。加强人员能力培训和技术交流。建立管理台账，记录企业生产和治污设施运行的关键参数，在线监控参数要确保能够实时调取，相关台账记录至少保存三年。”</w:t>
            </w:r>
          </w:p>
          <w:p w14:paraId="71862128">
            <w:pPr>
              <w:pStyle w:val="30"/>
              <w:rPr>
                <w:rFonts w:hint="default" w:ascii="Times New Roman" w:hAnsi="Times New Roman" w:eastAsia="宋体" w:cs="Times New Roman"/>
                <w:color w:val="auto"/>
                <w:lang w:val="en-US" w:eastAsia="zh-CN"/>
              </w:rPr>
            </w:pPr>
            <w:r>
              <w:rPr>
                <w:rFonts w:hint="default" w:ascii="Times New Roman" w:hAnsi="Times New Roman" w:cs="Times New Roman"/>
                <w:b/>
                <w:bCs w:val="0"/>
                <w:color w:val="auto"/>
                <w:lang w:val="en-US" w:eastAsia="zh-CN"/>
              </w:rPr>
              <w:t>相符性分析：</w:t>
            </w:r>
            <w:r>
              <w:rPr>
                <w:rFonts w:hint="default" w:ascii="Times New Roman" w:hAnsi="Times New Roman" w:cs="Times New Roman"/>
                <w:color w:val="auto"/>
                <w:szCs w:val="22"/>
              </w:rPr>
              <w:t>项目使用的</w:t>
            </w:r>
            <w:r>
              <w:rPr>
                <w:rFonts w:hint="default" w:ascii="Times New Roman" w:hAnsi="Times New Roman" w:cs="Times New Roman"/>
                <w:color w:val="auto"/>
                <w:szCs w:val="22"/>
                <w:lang w:val="en-US" w:eastAsia="zh-CN"/>
              </w:rPr>
              <w:t>水性油墨VOC含量符合《油墨中可挥发性有机化合物（VOCs）含量的限值》（GB 38507-2020）中限值要求</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项目塑料粒</w:t>
            </w:r>
            <w:r>
              <w:rPr>
                <w:rFonts w:hint="eastAsia" w:cs="Times New Roman"/>
                <w:color w:val="auto"/>
                <w:szCs w:val="22"/>
                <w:lang w:val="en-US" w:eastAsia="zh-CN"/>
              </w:rPr>
              <w:t>、色粉</w:t>
            </w:r>
            <w:r>
              <w:rPr>
                <w:rFonts w:hint="default" w:ascii="Times New Roman" w:hAnsi="Times New Roman" w:cs="Times New Roman"/>
                <w:color w:val="auto"/>
                <w:szCs w:val="22"/>
                <w:lang w:val="en-US" w:eastAsia="zh-CN"/>
              </w:rPr>
              <w:t>等固体原料储存于密封包装袋中，水性油墨等液态VOC物料储存于密闭容器中，不使用粉状原料，物料转移和输送采用密闭容器，使用过程采取有效收集措施或在密闭车间内操作，废气经收集处理后可达标排放。项目废气处理使用的活性炭吸附装置设计符合技术规范要求，建设单位对活性炭定期更换，更换的废活性炭收集后交由有资质的单位处理，符合要求。</w:t>
            </w:r>
          </w:p>
          <w:p w14:paraId="601BD4CD">
            <w:pPr>
              <w:keepNext w:val="0"/>
              <w:keepLines w:val="0"/>
              <w:pageBreakBefore w:val="0"/>
              <w:suppressLineNumbers w:val="0"/>
              <w:kinsoku/>
              <w:wordWrap/>
              <w:topLinePunct w:val="0"/>
              <w:bidi w:val="0"/>
              <w:adjustRightInd/>
              <w:snapToGrid/>
              <w:spacing w:before="0" w:beforeAutospacing="0" w:after="0" w:afterAutospacing="0" w:line="360" w:lineRule="auto"/>
              <w:ind w:right="0"/>
              <w:rPr>
                <w:rFonts w:hint="default" w:ascii="Times New Roman" w:hAnsi="Times New Roman" w:cs="Times New Roman"/>
                <w:b/>
                <w:color w:val="auto"/>
                <w:sz w:val="24"/>
                <w:szCs w:val="24"/>
                <w:lang w:eastAsia="zh-CN"/>
              </w:rPr>
            </w:pPr>
            <w:r>
              <w:rPr>
                <w:rFonts w:hint="default" w:ascii="Times New Roman" w:hAnsi="Times New Roman" w:cs="Times New Roman"/>
                <w:b/>
                <w:color w:val="auto"/>
              </w:rPr>
              <w:t>（</w:t>
            </w:r>
            <w:r>
              <w:rPr>
                <w:rFonts w:hint="default" w:ascii="Times New Roman" w:hAnsi="Times New Roman" w:cs="Times New Roman"/>
                <w:b/>
                <w:color w:val="auto"/>
                <w:lang w:val="en-US" w:eastAsia="zh-CN"/>
              </w:rPr>
              <w:t>5</w:t>
            </w:r>
            <w:r>
              <w:rPr>
                <w:rFonts w:hint="default" w:ascii="Times New Roman" w:hAnsi="Times New Roman" w:cs="Times New Roman"/>
                <w:b/>
                <w:color w:val="auto"/>
              </w:rPr>
              <w:t>）</w:t>
            </w:r>
            <w:r>
              <w:rPr>
                <w:rFonts w:hint="default" w:ascii="Times New Roman" w:hAnsi="Times New Roman" w:cs="Times New Roman"/>
                <w:b/>
                <w:bCs/>
                <w:color w:val="auto"/>
                <w:szCs w:val="21"/>
              </w:rPr>
              <w:t>项目与《关于印发〈广东省涉</w:t>
            </w:r>
            <w:r>
              <w:rPr>
                <w:rFonts w:hint="default" w:ascii="Times New Roman" w:hAnsi="Times New Roman" w:cs="Times New Roman"/>
                <w:b/>
                <w:bCs/>
                <w:color w:val="auto"/>
                <w:szCs w:val="21"/>
                <w:lang w:eastAsia="zh-CN"/>
              </w:rPr>
              <w:t>VOCs</w:t>
            </w:r>
            <w:r>
              <w:rPr>
                <w:rFonts w:hint="default" w:ascii="Times New Roman" w:hAnsi="Times New Roman" w:cs="Times New Roman"/>
                <w:b/>
                <w:bCs/>
                <w:color w:val="auto"/>
                <w:szCs w:val="21"/>
              </w:rPr>
              <w:t>重点行业治理指引〉的通知》（粤环办[2021]43号）的相符性分析</w:t>
            </w:r>
          </w:p>
          <w:p w14:paraId="222EDCD1">
            <w:pPr>
              <w:wordWrap/>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val="en-US" w:eastAsia="zh-CN"/>
              </w:rPr>
              <w:t>项目</w:t>
            </w:r>
            <w:r>
              <w:rPr>
                <w:rFonts w:hint="eastAsia" w:cs="Times New Roman"/>
                <w:color w:val="auto"/>
                <w:sz w:val="24"/>
                <w:szCs w:val="24"/>
                <w:lang w:val="en-US" w:eastAsia="zh-CN"/>
              </w:rPr>
              <w:t>从事电子器件和模具</w:t>
            </w:r>
            <w:r>
              <w:rPr>
                <w:rFonts w:hint="default" w:ascii="Times New Roman" w:hAnsi="Times New Roman" w:cs="Times New Roman"/>
                <w:color w:val="auto"/>
                <w:sz w:val="24"/>
                <w:szCs w:val="24"/>
                <w:lang w:val="en-US" w:eastAsia="zh-CN"/>
              </w:rPr>
              <w:t>的生产，属于</w:t>
            </w:r>
            <w:r>
              <w:rPr>
                <w:rFonts w:hint="eastAsia" w:cs="Times New Roman"/>
                <w:color w:val="auto"/>
                <w:sz w:val="24"/>
                <w:lang w:val="en-US" w:eastAsia="zh-CN"/>
              </w:rPr>
              <w:t>C3979 其他电子器件制造</w:t>
            </w:r>
            <w:r>
              <w:rPr>
                <w:rFonts w:hint="default" w:ascii="Times New Roman" w:hAnsi="Times New Roman" w:cs="Times New Roman"/>
                <w:color w:val="auto"/>
                <w:sz w:val="24"/>
                <w:lang w:val="en-US" w:eastAsia="zh-CN"/>
              </w:rPr>
              <w:t>和C3525模具制造</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rPr>
              <w:t>根据</w:t>
            </w:r>
            <w:r>
              <w:rPr>
                <w:rFonts w:hint="default" w:ascii="Times New Roman" w:hAnsi="Times New Roman" w:eastAsia="宋体" w:cs="Times New Roman"/>
                <w:bCs/>
                <w:color w:val="auto"/>
                <w:sz w:val="24"/>
                <w:szCs w:val="24"/>
              </w:rPr>
              <w:t>《关于印发〈广东省涉</w:t>
            </w:r>
            <w:r>
              <w:rPr>
                <w:rFonts w:hint="default" w:ascii="Times New Roman" w:hAnsi="Times New Roman" w:eastAsia="宋体" w:cs="Times New Roman"/>
                <w:bCs/>
                <w:color w:val="auto"/>
                <w:sz w:val="24"/>
                <w:szCs w:val="24"/>
                <w:lang w:eastAsia="zh-CN"/>
              </w:rPr>
              <w:t>VOCs</w:t>
            </w:r>
            <w:r>
              <w:rPr>
                <w:rFonts w:hint="default" w:ascii="Times New Roman" w:hAnsi="Times New Roman" w:eastAsia="宋体" w:cs="Times New Roman"/>
                <w:bCs/>
                <w:color w:val="auto"/>
                <w:sz w:val="24"/>
                <w:szCs w:val="24"/>
              </w:rPr>
              <w:t>重点行业治理指引〉的通知》（粤环办[2021]43号）</w:t>
            </w:r>
            <w:r>
              <w:rPr>
                <w:rFonts w:hint="default" w:ascii="Times New Roman" w:hAnsi="Times New Roman" w:cs="Times New Roman"/>
                <w:bCs/>
                <w:color w:val="auto"/>
                <w:sz w:val="24"/>
                <w:szCs w:val="24"/>
                <w:lang w:val="en-US" w:eastAsia="zh-CN"/>
              </w:rPr>
              <w:t>六、橡胶和塑料制品业</w:t>
            </w:r>
            <w:r>
              <w:rPr>
                <w:rFonts w:hint="default" w:ascii="Times New Roman" w:hAnsi="Times New Roman" w:eastAsia="宋体" w:cs="Times New Roman"/>
                <w:bCs/>
                <w:color w:val="auto"/>
                <w:sz w:val="24"/>
                <w:szCs w:val="24"/>
                <w:lang w:eastAsia="zh-CN"/>
              </w:rPr>
              <w:t>VOCs</w:t>
            </w:r>
            <w:r>
              <w:rPr>
                <w:rFonts w:hint="default" w:ascii="Times New Roman" w:hAnsi="Times New Roman" w:eastAsia="宋体" w:cs="Times New Roman"/>
                <w:bCs/>
                <w:color w:val="auto"/>
                <w:sz w:val="24"/>
                <w:szCs w:val="24"/>
              </w:rPr>
              <w:t xml:space="preserve"> 治理指引</w:t>
            </w:r>
            <w:r>
              <w:rPr>
                <w:rFonts w:hint="default" w:ascii="Times New Roman" w:hAnsi="Times New Roman" w:eastAsia="宋体" w:cs="Times New Roman"/>
                <w:color w:val="auto"/>
                <w:sz w:val="24"/>
                <w:szCs w:val="24"/>
              </w:rPr>
              <w:t>：</w:t>
            </w:r>
          </w:p>
          <w:p w14:paraId="2B2DD253">
            <w:pPr>
              <w:wordWrap/>
              <w:spacing w:line="240" w:lineRule="auto"/>
              <w:jc w:val="center"/>
              <w:rPr>
                <w:rFonts w:hint="default" w:ascii="Times New Roman" w:hAnsi="Times New Roman" w:eastAsia="宋体" w:cs="Times New Roman"/>
                <w:b/>
                <w:bCs/>
                <w:color w:val="auto"/>
                <w:sz w:val="24"/>
                <w:szCs w:val="32"/>
              </w:rPr>
            </w:pPr>
            <w:r>
              <w:rPr>
                <w:rFonts w:hint="default" w:ascii="Times New Roman" w:hAnsi="Times New Roman" w:eastAsia="宋体" w:cs="Times New Roman"/>
                <w:b/>
                <w:bCs/>
                <w:color w:val="auto"/>
                <w:sz w:val="24"/>
                <w:szCs w:val="32"/>
              </w:rPr>
              <w:t>表</w:t>
            </w:r>
            <w:r>
              <w:rPr>
                <w:rFonts w:hint="default" w:ascii="Times New Roman" w:hAnsi="Times New Roman" w:cs="Times New Roman"/>
                <w:b/>
                <w:bCs/>
                <w:color w:val="auto"/>
                <w:sz w:val="24"/>
                <w:szCs w:val="32"/>
                <w:lang w:val="en-US" w:eastAsia="zh-CN"/>
              </w:rPr>
              <w:t>1-</w:t>
            </w:r>
            <w:r>
              <w:rPr>
                <w:rFonts w:hint="default" w:ascii="Times New Roman" w:hAnsi="Times New Roman" w:cs="Times New Roman"/>
                <w:b/>
                <w:color w:val="auto"/>
                <w:sz w:val="24"/>
                <w:szCs w:val="24"/>
                <w:lang w:val="en-US" w:eastAsia="zh-CN"/>
              </w:rPr>
              <w:t>11</w:t>
            </w:r>
            <w:r>
              <w:rPr>
                <w:rFonts w:hint="default" w:ascii="Times New Roman" w:hAnsi="Times New Roman" w:eastAsia="宋体" w:cs="Times New Roman"/>
                <w:b/>
                <w:bCs/>
                <w:color w:val="auto"/>
                <w:sz w:val="24"/>
                <w:szCs w:val="32"/>
              </w:rPr>
              <w:t xml:space="preserve"> 与</w:t>
            </w:r>
            <w:r>
              <w:rPr>
                <w:rFonts w:hint="default" w:ascii="Times New Roman" w:hAnsi="Times New Roman" w:eastAsia="宋体" w:cs="Times New Roman"/>
                <w:b/>
                <w:color w:val="auto"/>
                <w:sz w:val="24"/>
                <w:szCs w:val="24"/>
              </w:rPr>
              <w:t>（粤环办[2021]43号）</w:t>
            </w:r>
            <w:r>
              <w:rPr>
                <w:rFonts w:hint="default" w:ascii="Times New Roman" w:hAnsi="Times New Roman" w:eastAsia="宋体" w:cs="Times New Roman"/>
                <w:b/>
                <w:bCs/>
                <w:color w:val="auto"/>
                <w:sz w:val="24"/>
                <w:szCs w:val="24"/>
              </w:rPr>
              <w:t>相符性分析</w:t>
            </w:r>
            <w:r>
              <w:rPr>
                <w:rFonts w:hint="default" w:ascii="Times New Roman" w:hAnsi="Times New Roman" w:eastAsia="宋体" w:cs="Times New Roman"/>
                <w:b/>
                <w:bCs/>
                <w:color w:val="auto"/>
                <w:sz w:val="24"/>
                <w:szCs w:val="32"/>
              </w:rPr>
              <w:t>一览表</w:t>
            </w:r>
          </w:p>
          <w:tbl>
            <w:tblPr>
              <w:tblStyle w:val="22"/>
              <w:tblW w:w="49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4896"/>
              <w:gridCol w:w="2953"/>
            </w:tblGrid>
            <w:tr w14:paraId="7A9B4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1B7F935E">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类别</w:t>
                  </w:r>
                </w:p>
              </w:tc>
              <w:tc>
                <w:tcPr>
                  <w:tcW w:w="2765" w:type="pct"/>
                  <w:noWrap w:val="0"/>
                  <w:vAlign w:val="center"/>
                </w:tcPr>
                <w:p w14:paraId="24D459BE">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要求</w:t>
                  </w:r>
                </w:p>
              </w:tc>
              <w:tc>
                <w:tcPr>
                  <w:tcW w:w="1667" w:type="pct"/>
                  <w:noWrap w:val="0"/>
                  <w:vAlign w:val="center"/>
                </w:tcPr>
                <w:p w14:paraId="471D162F">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相符性分析</w:t>
                  </w:r>
                </w:p>
              </w:tc>
            </w:tr>
            <w:tr w14:paraId="134AB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36F99603">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VOCs物料储存</w:t>
                  </w:r>
                </w:p>
              </w:tc>
              <w:tc>
                <w:tcPr>
                  <w:tcW w:w="2765" w:type="pct"/>
                  <w:noWrap w:val="0"/>
                  <w:vAlign w:val="center"/>
                </w:tcPr>
                <w:p w14:paraId="7A04336C">
                  <w:pPr>
                    <w:widowControl w:val="0"/>
                    <w:adjustRightInd w:val="0"/>
                    <w:snapToGrid w:val="0"/>
                    <w:spacing w:before="36" w:beforeLines="15" w:line="240" w:lineRule="auto"/>
                    <w:ind w:firstLine="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VOCs 物料应储存于密闭的容器、包装袋、储罐、储库、料仓中。</w:t>
                  </w:r>
                </w:p>
              </w:tc>
              <w:tc>
                <w:tcPr>
                  <w:tcW w:w="1667" w:type="pct"/>
                  <w:vMerge w:val="restart"/>
                  <w:noWrap w:val="0"/>
                  <w:vAlign w:val="center"/>
                </w:tcPr>
                <w:p w14:paraId="0F047F06">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w:t>
                  </w:r>
                  <w:r>
                    <w:rPr>
                      <w:rFonts w:hint="eastAsia" w:cs="Times New Roman"/>
                      <w:color w:val="auto"/>
                      <w:kern w:val="2"/>
                      <w:sz w:val="21"/>
                      <w:szCs w:val="21"/>
                      <w:lang w:val="en-US" w:eastAsia="zh-CN" w:bidi="ar-SA"/>
                    </w:rPr>
                    <w:t>色粉、</w:t>
                  </w:r>
                  <w:r>
                    <w:rPr>
                      <w:rFonts w:hint="default" w:ascii="Times New Roman" w:hAnsi="Times New Roman" w:cs="Times New Roman"/>
                      <w:color w:val="auto"/>
                      <w:kern w:val="2"/>
                      <w:sz w:val="21"/>
                      <w:szCs w:val="21"/>
                      <w:lang w:val="en-US" w:eastAsia="zh-CN" w:bidi="ar-SA"/>
                    </w:rPr>
                    <w:t>塑料粒</w:t>
                  </w:r>
                  <w:r>
                    <w:rPr>
                      <w:rFonts w:hint="default" w:ascii="Times New Roman" w:hAnsi="Times New Roman" w:eastAsia="宋体" w:cs="Times New Roman"/>
                      <w:color w:val="auto"/>
                      <w:kern w:val="2"/>
                      <w:sz w:val="21"/>
                      <w:szCs w:val="21"/>
                      <w:lang w:val="en-US" w:eastAsia="zh-CN" w:bidi="ar-SA"/>
                    </w:rPr>
                    <w:t>等固体原料储存于密封包装袋中，</w:t>
                  </w:r>
                  <w:r>
                    <w:rPr>
                      <w:rFonts w:hint="default" w:ascii="Times New Roman" w:hAnsi="Times New Roman" w:cs="Times New Roman"/>
                      <w:color w:val="auto"/>
                      <w:kern w:val="2"/>
                      <w:sz w:val="21"/>
                      <w:szCs w:val="21"/>
                      <w:lang w:val="en-US" w:eastAsia="zh-CN" w:bidi="ar-SA"/>
                    </w:rPr>
                    <w:t>水性油墨</w:t>
                  </w:r>
                  <w:r>
                    <w:rPr>
                      <w:rFonts w:hint="default" w:ascii="Times New Roman" w:hAnsi="Times New Roman" w:eastAsia="宋体" w:cs="Times New Roman"/>
                      <w:color w:val="auto"/>
                      <w:kern w:val="2"/>
                      <w:sz w:val="21"/>
                      <w:szCs w:val="21"/>
                      <w:lang w:val="en-US" w:eastAsia="zh-CN" w:bidi="ar-SA"/>
                    </w:rPr>
                    <w:t>储存于密闭容器中，物料转移和输送采用密闭容器，在非取用状态时加盖、封口，保持密闭，与文件要求相符。</w:t>
                  </w:r>
                </w:p>
              </w:tc>
            </w:tr>
            <w:tr w14:paraId="0D01B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4BD483C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0B17175">
                  <w:pPr>
                    <w:widowControl w:val="0"/>
                    <w:adjustRightInd w:val="0"/>
                    <w:snapToGrid w:val="0"/>
                    <w:spacing w:before="36" w:beforeLines="15" w:line="240" w:lineRule="auto"/>
                    <w:ind w:firstLine="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盛装VOCs物料的容器是否存放于室内，或存放于设置有雨棚、遮阳和防渗设施的专用场地。盛装VOCs物料的容器在非取用状态时应加盖、封口，保持密闭。</w:t>
                  </w:r>
                </w:p>
              </w:tc>
              <w:tc>
                <w:tcPr>
                  <w:tcW w:w="1667" w:type="pct"/>
                  <w:vMerge w:val="continue"/>
                  <w:noWrap w:val="0"/>
                  <w:vAlign w:val="center"/>
                </w:tcPr>
                <w:p w14:paraId="5C2A8FE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522CF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566" w:type="pct"/>
                  <w:vMerge w:val="restart"/>
                  <w:noWrap w:val="0"/>
                  <w:vAlign w:val="center"/>
                </w:tcPr>
                <w:p w14:paraId="3D40A39D">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VOCs物料转移和输送</w:t>
                  </w:r>
                </w:p>
              </w:tc>
              <w:tc>
                <w:tcPr>
                  <w:tcW w:w="2765" w:type="pct"/>
                  <w:noWrap w:val="0"/>
                  <w:vAlign w:val="center"/>
                </w:tcPr>
                <w:p w14:paraId="67116F48">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液体VOCs物料应采用管道密闭输送。采用非管道输送方式转移液态VOCs物料时，应采用密闭容器或罐车。</w:t>
                  </w:r>
                </w:p>
              </w:tc>
              <w:tc>
                <w:tcPr>
                  <w:tcW w:w="1667" w:type="pct"/>
                  <w:vMerge w:val="restart"/>
                  <w:noWrap w:val="0"/>
                  <w:vAlign w:val="center"/>
                </w:tcPr>
                <w:p w14:paraId="5B4D0509">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项目液态VOCs物料使用密闭容器转移，固态VOCs物料使用密闭包装袋转移，与文件要求相符。</w:t>
                  </w:r>
                </w:p>
              </w:tc>
            </w:tr>
            <w:tr w14:paraId="0415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1C89FD2A">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8C54C55">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粉状、粒状 VOCs 物料采用气力输送设备、管状带式输送机、螺旋输送机等密闭输送方式，或者采用密闭的包装袋、容器或罐车进行物料转移。</w:t>
                  </w:r>
                </w:p>
              </w:tc>
              <w:tc>
                <w:tcPr>
                  <w:tcW w:w="1667" w:type="pct"/>
                  <w:vMerge w:val="continue"/>
                  <w:noWrap w:val="0"/>
                  <w:vAlign w:val="center"/>
                </w:tcPr>
                <w:p w14:paraId="6A665B67">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60B2B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27CB7701">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工艺过程</w:t>
                  </w:r>
                </w:p>
              </w:tc>
              <w:tc>
                <w:tcPr>
                  <w:tcW w:w="2765" w:type="pct"/>
                  <w:noWrap w:val="0"/>
                  <w:vAlign w:val="center"/>
                </w:tcPr>
                <w:p w14:paraId="483FADA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液态 VOCs 物料采用密闭管道输送方式或采用高位槽（罐）、桶泵等给料方式密闭投加；无法密闭投加的，在密闭空间内操作，或进行局部气体收集，废气排至 VOCs 废气收集处理系统。</w:t>
                  </w:r>
                </w:p>
              </w:tc>
              <w:tc>
                <w:tcPr>
                  <w:tcW w:w="1667" w:type="pct"/>
                  <w:noWrap w:val="0"/>
                  <w:vAlign w:val="center"/>
                </w:tcPr>
                <w:p w14:paraId="3CA11ADA">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项目液态VOCs物料使用密闭容器转移，局部采取废气收集措施，符合要求。</w:t>
                  </w:r>
                </w:p>
              </w:tc>
            </w:tr>
            <w:tr w14:paraId="5C4C7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677E80CC">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4D2F82A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粉状、粒状 VOCs 物料采用气力输送方式或采用密闭固体投料器等给料方式密闭投加；无法密闭投加的，在密闭空间内操作，或进行局部气体收集，废气排至除尘设施、 VOCs 废气收集处理系统。</w:t>
                  </w:r>
                </w:p>
              </w:tc>
              <w:tc>
                <w:tcPr>
                  <w:tcW w:w="1667" w:type="pct"/>
                  <w:noWrap w:val="0"/>
                  <w:vAlign w:val="center"/>
                </w:tcPr>
                <w:p w14:paraId="20BA9A17">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项目固态VOCs物料使用密闭包装袋转移，投料时不会产生粉尘，投料时为常温条件，不会挥发VOCs，符合要求。</w:t>
                  </w:r>
                </w:p>
              </w:tc>
            </w:tr>
            <w:tr w14:paraId="6F94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01B6B804">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768A662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在混合/混炼、塑炼/塑化/熔化、加工成型（挤出、注射、压制、压延、发泡、纺丝等）、</w:t>
                  </w:r>
                  <w:r>
                    <w:rPr>
                      <w:rFonts w:hint="eastAsia" w:cs="Times New Roman"/>
                      <w:color w:val="auto"/>
                      <w:kern w:val="2"/>
                      <w:sz w:val="21"/>
                      <w:szCs w:val="21"/>
                      <w:lang w:val="en-US" w:eastAsia="zh-CN" w:bidi="ar-SA"/>
                    </w:rPr>
                    <w:t xml:space="preserve"> </w:t>
                  </w:r>
                  <w:r>
                    <w:rPr>
                      <w:rFonts w:hint="default" w:ascii="Times New Roman" w:hAnsi="Times New Roman" w:eastAsia="宋体" w:cs="Times New Roman"/>
                      <w:color w:val="auto"/>
                      <w:kern w:val="2"/>
                      <w:sz w:val="21"/>
                      <w:szCs w:val="21"/>
                      <w:lang w:val="en-US" w:eastAsia="zh-CN" w:bidi="ar-SA"/>
                    </w:rPr>
                    <w:t>等作业中应采用密闭设备或在密闭空间中操作，废气应排至 VOCs 废气收集处理系统；无法密闭的，应采取局部气体收集措施，废气应排至 VOCs 废气收集处理系统。</w:t>
                  </w:r>
                </w:p>
              </w:tc>
              <w:tc>
                <w:tcPr>
                  <w:tcW w:w="1667" w:type="pct"/>
                  <w:noWrap w:val="0"/>
                  <w:vAlign w:val="center"/>
                </w:tcPr>
                <w:p w14:paraId="15C834D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w:t>
                  </w:r>
                  <w:r>
                    <w:rPr>
                      <w:rFonts w:hint="default" w:ascii="Times New Roman" w:hAnsi="Times New Roman" w:cs="Times New Roman"/>
                      <w:color w:val="auto"/>
                      <w:kern w:val="2"/>
                      <w:sz w:val="21"/>
                      <w:szCs w:val="21"/>
                      <w:lang w:val="en-US" w:eastAsia="zh-CN" w:bidi="ar-SA"/>
                    </w:rPr>
                    <w:t>注塑、</w:t>
                  </w:r>
                  <w:r>
                    <w:rPr>
                      <w:rFonts w:hint="eastAsia" w:cs="Times New Roman"/>
                      <w:color w:val="auto"/>
                      <w:kern w:val="2"/>
                      <w:sz w:val="21"/>
                      <w:szCs w:val="21"/>
                      <w:lang w:val="en-US" w:eastAsia="zh-CN" w:bidi="ar-SA"/>
                    </w:rPr>
                    <w:t>移印</w:t>
                  </w:r>
                  <w:r>
                    <w:rPr>
                      <w:rFonts w:hint="default" w:ascii="Times New Roman" w:hAnsi="Times New Roman" w:eastAsia="宋体" w:cs="Times New Roman"/>
                      <w:color w:val="auto"/>
                      <w:kern w:val="2"/>
                      <w:sz w:val="21"/>
                      <w:szCs w:val="21"/>
                      <w:lang w:val="en-US" w:eastAsia="zh-CN" w:bidi="ar-SA"/>
                    </w:rPr>
                    <w:t>工序产生的有机废气经收集处理后可达标排放，符合要求。</w:t>
                  </w:r>
                </w:p>
              </w:tc>
            </w:tr>
            <w:tr w14:paraId="42336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0DBEEA4C">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79A67CE2">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浸胶、胶浆喷涂、涂胶、</w:t>
                  </w:r>
                  <w:r>
                    <w:rPr>
                      <w:rFonts w:hint="default" w:ascii="Times New Roman" w:hAnsi="Times New Roman" w:cs="Times New Roman"/>
                      <w:color w:val="auto"/>
                      <w:kern w:val="2"/>
                      <w:sz w:val="21"/>
                      <w:szCs w:val="21"/>
                      <w:lang w:val="en-US" w:eastAsia="zh-CN" w:bidi="ar-SA"/>
                    </w:rPr>
                    <w:t>密炼</w:t>
                  </w:r>
                  <w:r>
                    <w:rPr>
                      <w:rFonts w:hint="default" w:ascii="Times New Roman" w:hAnsi="Times New Roman" w:eastAsia="宋体" w:cs="Times New Roman"/>
                      <w:color w:val="auto"/>
                      <w:kern w:val="2"/>
                      <w:sz w:val="21"/>
                      <w:szCs w:val="21"/>
                      <w:lang w:val="en-US" w:eastAsia="zh-CN" w:bidi="ar-SA"/>
                    </w:rPr>
                    <w:t>、印刷、清洗等工序使用 VOCs 质量占比大于等于 10%的原辅材料时，其使用过程应采用密闭设备或在密闭空间内操作，废气应排至 VOCs 废气收集处理系统；无法密闭的，应采取局部气体收集措施，废气应排至 VOCs 废气收集处理系统。</w:t>
                  </w:r>
                </w:p>
              </w:tc>
              <w:tc>
                <w:tcPr>
                  <w:tcW w:w="1667" w:type="pct"/>
                  <w:noWrap w:val="0"/>
                  <w:vAlign w:val="center"/>
                </w:tcPr>
                <w:p w14:paraId="4C20A6B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w:t>
                  </w:r>
                  <w:r>
                    <w:rPr>
                      <w:rFonts w:hint="eastAsia" w:cs="Times New Roman"/>
                      <w:color w:val="auto"/>
                      <w:kern w:val="2"/>
                      <w:sz w:val="21"/>
                      <w:szCs w:val="21"/>
                      <w:lang w:val="en-US" w:eastAsia="zh-CN" w:bidi="ar-SA"/>
                    </w:rPr>
                    <w:t>移印、注塑</w:t>
                  </w:r>
                  <w:r>
                    <w:rPr>
                      <w:rFonts w:hint="default" w:ascii="Times New Roman" w:hAnsi="Times New Roman" w:eastAsia="宋体" w:cs="Times New Roman"/>
                      <w:color w:val="auto"/>
                      <w:kern w:val="2"/>
                      <w:sz w:val="21"/>
                      <w:szCs w:val="21"/>
                      <w:lang w:val="en-US" w:eastAsia="zh-CN" w:bidi="ar-SA"/>
                    </w:rPr>
                    <w:t>工序产生的有机废气经收集处理后可达标排放，符合要求。</w:t>
                  </w:r>
                </w:p>
              </w:tc>
            </w:tr>
            <w:tr w14:paraId="0BF51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76F1AE77">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非正常排放</w:t>
                  </w:r>
                </w:p>
              </w:tc>
              <w:tc>
                <w:tcPr>
                  <w:tcW w:w="2765" w:type="pct"/>
                  <w:noWrap w:val="0"/>
                  <w:vAlign w:val="center"/>
                </w:tcPr>
                <w:p w14:paraId="3AC5401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载有 VOCs 物料的设备及其管道在开停工（车）、检维修和清洗时，应在退料阶段将残存物料退净，并用密闭容器盛装，退料过程废气应排至 VOCs 废气收集处理系统；清洗及吹扫过程排气应排至 VOCs废气收集处理系统。</w:t>
                  </w:r>
                </w:p>
              </w:tc>
              <w:tc>
                <w:tcPr>
                  <w:tcW w:w="1667" w:type="pct"/>
                  <w:noWrap w:val="0"/>
                  <w:vAlign w:val="center"/>
                </w:tcPr>
                <w:p w14:paraId="54A5DCA8">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项目使用抹布对</w:t>
                  </w:r>
                  <w:r>
                    <w:rPr>
                      <w:rFonts w:hint="eastAsia" w:cs="Times New Roman"/>
                      <w:color w:val="auto"/>
                      <w:kern w:val="2"/>
                      <w:sz w:val="21"/>
                      <w:szCs w:val="21"/>
                      <w:lang w:val="en-US" w:eastAsia="zh-CN" w:bidi="ar-SA"/>
                    </w:rPr>
                    <w:t>移印钢网进行擦拭</w:t>
                  </w:r>
                  <w:r>
                    <w:rPr>
                      <w:rFonts w:hint="default" w:ascii="Times New Roman" w:hAnsi="Times New Roman" w:eastAsia="宋体" w:cs="Times New Roman"/>
                      <w:color w:val="auto"/>
                      <w:kern w:val="2"/>
                      <w:sz w:val="21"/>
                      <w:szCs w:val="21"/>
                      <w:lang w:val="en-US" w:eastAsia="zh-CN" w:bidi="ar-SA"/>
                    </w:rPr>
                    <w:t>，废抹布作为危险废物进行管理和处置，交由有资质的单位处理，符合要求。</w:t>
                  </w:r>
                </w:p>
              </w:tc>
            </w:tr>
            <w:tr w14:paraId="3ED33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4595AE39">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废气收集</w:t>
                  </w:r>
                </w:p>
              </w:tc>
              <w:tc>
                <w:tcPr>
                  <w:tcW w:w="2765" w:type="pct"/>
                  <w:noWrap w:val="0"/>
                  <w:vAlign w:val="center"/>
                </w:tcPr>
                <w:p w14:paraId="6E663BC7">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采用外部集气罩的，距集气罩开口面最远处的VOCs无组织排放位置，控制风速不低于0.3m/s。</w:t>
                  </w:r>
                </w:p>
              </w:tc>
              <w:tc>
                <w:tcPr>
                  <w:tcW w:w="1667" w:type="pct"/>
                  <w:noWrap w:val="0"/>
                  <w:vAlign w:val="center"/>
                </w:tcPr>
                <w:p w14:paraId="0039408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项目使用的上吸式外部集气罩控制风速为0.5m/s。</w:t>
                  </w:r>
                </w:p>
              </w:tc>
            </w:tr>
            <w:tr w14:paraId="1248E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31A44669">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2B9EA85">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废气收集系统的输送管道应密闭。废气收集系统应在负压下运行，若处于正压状态，应对管道组件的密封点进行泄漏检测，泄漏检测值不应超过500μmol/mol，亦不应有感官可察觉泄漏。</w:t>
                  </w:r>
                </w:p>
              </w:tc>
              <w:tc>
                <w:tcPr>
                  <w:tcW w:w="1667" w:type="pct"/>
                  <w:noWrap w:val="0"/>
                  <w:vAlign w:val="center"/>
                </w:tcPr>
                <w:p w14:paraId="6D867B1A">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项目废气收集系统输送管道密闭，符合要求。</w:t>
                  </w:r>
                </w:p>
              </w:tc>
            </w:tr>
            <w:tr w14:paraId="2CE63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3D48E4D0">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排放水平</w:t>
                  </w:r>
                </w:p>
              </w:tc>
              <w:tc>
                <w:tcPr>
                  <w:tcW w:w="2765" w:type="pct"/>
                  <w:noWrap w:val="0"/>
                  <w:vAlign w:val="center"/>
                </w:tcPr>
                <w:p w14:paraId="7B26C03B">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667" w:type="pct"/>
                  <w:noWrap w:val="0"/>
                  <w:vAlign w:val="center"/>
                </w:tcPr>
                <w:p w14:paraId="7EB59E2C">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项目废气处理使用的二级活性炭吸附装置，活性炭用量和更换频次可以符合技术规范要求。</w:t>
                  </w:r>
                </w:p>
              </w:tc>
            </w:tr>
            <w:tr w14:paraId="37D07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60BDB880">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治理设施设计与运</w:t>
                  </w:r>
                </w:p>
                <w:p w14:paraId="7F14819A">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行管理</w:t>
                  </w:r>
                </w:p>
              </w:tc>
              <w:tc>
                <w:tcPr>
                  <w:tcW w:w="2765" w:type="pct"/>
                  <w:noWrap w:val="0"/>
                  <w:vAlign w:val="center"/>
                </w:tcPr>
                <w:p w14:paraId="0CE6FCD9">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VOCs 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667" w:type="pct"/>
                  <w:noWrap w:val="0"/>
                  <w:vAlign w:val="center"/>
                </w:tcPr>
                <w:p w14:paraId="1A31A181">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项目废气处理设施与生产工艺设备同步运行，VOCs治理设施发生故障或检修时，对应的生产工艺设备停止运行，与文件要求相符。</w:t>
                  </w:r>
                </w:p>
              </w:tc>
            </w:tr>
            <w:tr w14:paraId="23BA2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66" w:type="pct"/>
                  <w:vMerge w:val="restart"/>
                  <w:noWrap w:val="0"/>
                  <w:vAlign w:val="center"/>
                </w:tcPr>
                <w:p w14:paraId="284624A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管理台账</w:t>
                  </w:r>
                </w:p>
              </w:tc>
              <w:tc>
                <w:tcPr>
                  <w:tcW w:w="2765" w:type="pct"/>
                  <w:noWrap w:val="0"/>
                  <w:vAlign w:val="center"/>
                </w:tcPr>
                <w:p w14:paraId="63853696">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1"/>
                      <w:szCs w:val="21"/>
                      <w:lang w:val="en-US" w:eastAsia="zh-CN" w:bidi="ar-SA"/>
                    </w:rPr>
                    <w:t>建立含VOCs原辅材料台账，记录含VOCs原辅材料的名称及其VOCs含量、采购量、使用量、库存量、含VOCs原辅材料回收方式及回收量。</w:t>
                  </w:r>
                </w:p>
              </w:tc>
              <w:tc>
                <w:tcPr>
                  <w:tcW w:w="1667" w:type="pct"/>
                  <w:vMerge w:val="restart"/>
                  <w:noWrap w:val="0"/>
                  <w:vAlign w:val="center"/>
                </w:tcPr>
                <w:p w14:paraId="0DF24C3F">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建设单位将按相应要求管理台账。</w:t>
                  </w:r>
                </w:p>
              </w:tc>
            </w:tr>
            <w:tr w14:paraId="7BFE7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66" w:type="pct"/>
                  <w:vMerge w:val="continue"/>
                  <w:noWrap w:val="0"/>
                  <w:vAlign w:val="center"/>
                </w:tcPr>
                <w:p w14:paraId="79DFB69C">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4"/>
                      <w:szCs w:val="24"/>
                      <w:lang w:val="en-US" w:eastAsia="zh-CN" w:bidi="ar-SA"/>
                    </w:rPr>
                  </w:pPr>
                </w:p>
              </w:tc>
              <w:tc>
                <w:tcPr>
                  <w:tcW w:w="2765" w:type="pct"/>
                  <w:noWrap w:val="0"/>
                  <w:vAlign w:val="center"/>
                </w:tcPr>
                <w:p w14:paraId="3E2D0430">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建立废气收集处理设施台账，记录废气处理设施进出口的监测数据（废气量、浓度、温度、含氧量等）、废气收集与处理设施关键参数、废气处理设施相关耗材（吸收剂、吸附剂、催化剂等）</w:t>
                  </w:r>
                  <w:r>
                    <w:rPr>
                      <w:rFonts w:hint="eastAsia" w:cs="Times New Roman"/>
                      <w:color w:val="auto"/>
                      <w:kern w:val="2"/>
                      <w:sz w:val="21"/>
                      <w:szCs w:val="21"/>
                      <w:lang w:val="en-US" w:eastAsia="zh-CN" w:bidi="ar-SA"/>
                    </w:rPr>
                    <w:t>租用</w:t>
                  </w:r>
                  <w:r>
                    <w:rPr>
                      <w:rFonts w:hint="default" w:ascii="Times New Roman" w:hAnsi="Times New Roman" w:eastAsia="宋体" w:cs="Times New Roman"/>
                      <w:color w:val="auto"/>
                      <w:kern w:val="2"/>
                      <w:sz w:val="21"/>
                      <w:szCs w:val="21"/>
                      <w:lang w:val="en-US" w:eastAsia="zh-CN" w:bidi="ar-SA"/>
                    </w:rPr>
                    <w:t>和处理记录。</w:t>
                  </w:r>
                </w:p>
              </w:tc>
              <w:tc>
                <w:tcPr>
                  <w:tcW w:w="1667" w:type="pct"/>
                  <w:vMerge w:val="continue"/>
                  <w:noWrap w:val="0"/>
                  <w:vAlign w:val="center"/>
                </w:tcPr>
                <w:p w14:paraId="4D234CFF">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7942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66" w:type="pct"/>
                  <w:vMerge w:val="continue"/>
                  <w:noWrap w:val="0"/>
                  <w:vAlign w:val="center"/>
                </w:tcPr>
                <w:p w14:paraId="762EE09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28BB3E7E">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建立危废台账，整理危废处置合同、转移联单及危废处理方资质佐证材料。</w:t>
                  </w:r>
                </w:p>
              </w:tc>
              <w:tc>
                <w:tcPr>
                  <w:tcW w:w="1667" w:type="pct"/>
                  <w:vMerge w:val="continue"/>
                  <w:noWrap w:val="0"/>
                  <w:vAlign w:val="center"/>
                </w:tcPr>
                <w:p w14:paraId="53A8E09F">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76074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66" w:type="pct"/>
                  <w:vMerge w:val="continue"/>
                  <w:noWrap w:val="0"/>
                  <w:vAlign w:val="center"/>
                </w:tcPr>
                <w:p w14:paraId="26C9D49F">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64A9C9A9">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台账保存期限不少于 3 年。</w:t>
                  </w:r>
                </w:p>
              </w:tc>
              <w:tc>
                <w:tcPr>
                  <w:tcW w:w="1667" w:type="pct"/>
                  <w:vMerge w:val="continue"/>
                  <w:noWrap w:val="0"/>
                  <w:vAlign w:val="center"/>
                </w:tcPr>
                <w:p w14:paraId="39DC96F2">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p>
              </w:tc>
            </w:tr>
            <w:tr w14:paraId="1CF78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4085D8A2">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自行监测</w:t>
                  </w:r>
                </w:p>
              </w:tc>
              <w:tc>
                <w:tcPr>
                  <w:tcW w:w="2765" w:type="pct"/>
                  <w:noWrap w:val="0"/>
                  <w:vAlign w:val="center"/>
                </w:tcPr>
                <w:p w14:paraId="19B70755">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橡胶制品行业简化管理排污单位：</w:t>
                  </w:r>
                </w:p>
                <w:p w14:paraId="0600D153">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a）轮胎制品制造、橡胶板、管、带制品制造、橡胶零件制品、运动场地使用塑胶制品和其他橡胶制品制造每年 1 次；</w:t>
                  </w:r>
                </w:p>
                <w:p w14:paraId="6ECCF4F8">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b）厂界每年 1 次。</w:t>
                  </w:r>
                </w:p>
              </w:tc>
              <w:tc>
                <w:tcPr>
                  <w:tcW w:w="1667" w:type="pct"/>
                  <w:noWrap w:val="0"/>
                  <w:vAlign w:val="center"/>
                </w:tcPr>
                <w:p w14:paraId="645D202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项目排污许可类别属于登记类，根据《排污单位自行监测技术指南 总则》（HJ 819-2017）、《排污单位自行监测技术指南 橡胶和塑料制品》（HJ 1207-2021）的监测要求，项目非甲烷总烃每半年监测1次。</w:t>
                  </w:r>
                </w:p>
              </w:tc>
            </w:tr>
            <w:tr w14:paraId="5240C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noWrap w:val="0"/>
                  <w:vAlign w:val="center"/>
                </w:tcPr>
                <w:p w14:paraId="0CF85796">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危废管理</w:t>
                  </w:r>
                </w:p>
              </w:tc>
              <w:tc>
                <w:tcPr>
                  <w:tcW w:w="2765" w:type="pct"/>
                  <w:noWrap w:val="0"/>
                  <w:vAlign w:val="center"/>
                </w:tcPr>
                <w:p w14:paraId="0F21204C">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工艺过程产生的含VOCs废料（渣、液）应按照相关要求进行储存、转移和输送。盛装过VOCs物料的废包装容器应加盖密闭。</w:t>
                  </w:r>
                </w:p>
              </w:tc>
              <w:tc>
                <w:tcPr>
                  <w:tcW w:w="1667" w:type="pct"/>
                  <w:noWrap w:val="0"/>
                  <w:vAlign w:val="center"/>
                </w:tcPr>
                <w:p w14:paraId="05A6CAE4">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项目生产过程中产生的废活性炭按相关要求进行储存、转移和输送。盛装过VOCs物料的废包装容器加盖密闭。</w:t>
                  </w:r>
                </w:p>
              </w:tc>
            </w:tr>
            <w:tr w14:paraId="1C4C3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noWrap w:val="0"/>
                  <w:vAlign w:val="center"/>
                </w:tcPr>
                <w:p w14:paraId="173DB536">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建设项目VOCs总量管理</w:t>
                  </w:r>
                </w:p>
              </w:tc>
              <w:tc>
                <w:tcPr>
                  <w:tcW w:w="2765" w:type="pct"/>
                  <w:noWrap w:val="0"/>
                  <w:vAlign w:val="center"/>
                </w:tcPr>
                <w:p w14:paraId="5A18A320">
                  <w:pPr>
                    <w:widowControl w:val="0"/>
                    <w:autoSpaceDE w:val="0"/>
                    <w:autoSpaceDN w:val="0"/>
                    <w:adjustRightInd w:val="0"/>
                    <w:snapToGrid w:val="0"/>
                    <w:spacing w:line="240" w:lineRule="auto"/>
                    <w:ind w:firstLine="210" w:firstLineChars="100"/>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新、改、扩建项目应执行总量替代制度，明确</w:t>
                  </w:r>
                </w:p>
                <w:p w14:paraId="6235A2D7">
                  <w:pPr>
                    <w:widowControl w:val="0"/>
                    <w:autoSpaceDE w:val="0"/>
                    <w:autoSpaceDN w:val="0"/>
                    <w:adjustRightInd w:val="0"/>
                    <w:snapToGrid w:val="0"/>
                    <w:spacing w:line="240" w:lineRule="auto"/>
                    <w:ind w:firstLine="210" w:firstLineChars="100"/>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 xml:space="preserve"> VOCs 总量指标来源。</w:t>
                  </w:r>
                </w:p>
              </w:tc>
              <w:tc>
                <w:tcPr>
                  <w:tcW w:w="1667" w:type="pct"/>
                  <w:noWrap w:val="0"/>
                  <w:vAlign w:val="center"/>
                </w:tcPr>
                <w:p w14:paraId="5303DB51">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项目总量控制指标由惠州市生态环境局</w:t>
                  </w:r>
                  <w:r>
                    <w:rPr>
                      <w:rFonts w:hint="default" w:ascii="Times New Roman" w:hAnsi="Times New Roman" w:cs="Times New Roman"/>
                      <w:color w:val="auto"/>
                      <w:kern w:val="2"/>
                      <w:sz w:val="21"/>
                      <w:szCs w:val="21"/>
                      <w:lang w:val="en-US" w:eastAsia="zh-CN" w:bidi="ar-SA"/>
                    </w:rPr>
                    <w:t>博罗分局</w:t>
                  </w:r>
                  <w:r>
                    <w:rPr>
                      <w:rFonts w:hint="default" w:ascii="Times New Roman" w:hAnsi="Times New Roman" w:eastAsia="宋体" w:cs="Times New Roman"/>
                      <w:color w:val="auto"/>
                      <w:kern w:val="2"/>
                      <w:sz w:val="21"/>
                      <w:szCs w:val="21"/>
                      <w:lang w:val="en-US" w:eastAsia="zh-CN" w:bidi="ar-SA"/>
                    </w:rPr>
                    <w:t>分配。</w:t>
                  </w:r>
                </w:p>
              </w:tc>
            </w:tr>
            <w:tr w14:paraId="07A9B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noWrap w:val="0"/>
                  <w:vAlign w:val="center"/>
                </w:tcPr>
                <w:p w14:paraId="181293D5">
                  <w:pPr>
                    <w:widowControl w:val="0"/>
                    <w:autoSpaceDE w:val="0"/>
                    <w:autoSpaceDN w:val="0"/>
                    <w:adjustRightInd w:val="0"/>
                    <w:snapToGri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p>
              </w:tc>
              <w:tc>
                <w:tcPr>
                  <w:tcW w:w="2765" w:type="pct"/>
                  <w:noWrap w:val="0"/>
                  <w:vAlign w:val="center"/>
                </w:tcPr>
                <w:p w14:paraId="4391D13A">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新、改、扩建项目和现有企业VOCs基准排放量计算参考《广东省重点行业挥发性有机物排放量计算方法核算》进行核算，若国家和我省出台适用于该行业的VOCs排放量计算方法，则参照其相关规定执行</w:t>
                  </w:r>
                </w:p>
              </w:tc>
              <w:tc>
                <w:tcPr>
                  <w:tcW w:w="1667" w:type="pct"/>
                  <w:noWrap w:val="0"/>
                  <w:vAlign w:val="center"/>
                </w:tcPr>
                <w:p w14:paraId="0E01EF5E">
                  <w:pPr>
                    <w:widowControl w:val="0"/>
                    <w:autoSpaceDE w:val="0"/>
                    <w:autoSpaceDN w:val="0"/>
                    <w:adjustRightInd w:val="0"/>
                    <w:snapToGrid w:val="0"/>
                    <w:spacing w:line="240" w:lineRule="auto"/>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企业VOCs基准排放量计算参考《广东省重点行业挥发性有机物排放量计算方法核算》的</w:t>
                  </w:r>
                  <w:r>
                    <w:rPr>
                      <w:rFonts w:hint="default" w:ascii="Times New Roman" w:hAnsi="Times New Roman" w:cs="Times New Roman"/>
                      <w:color w:val="auto"/>
                      <w:kern w:val="2"/>
                      <w:sz w:val="21"/>
                      <w:szCs w:val="21"/>
                      <w:lang w:val="en-US" w:eastAsia="zh-CN" w:bidi="ar-SA"/>
                    </w:rPr>
                    <w:t>物料衡算</w:t>
                  </w:r>
                  <w:r>
                    <w:rPr>
                      <w:rFonts w:hint="default" w:ascii="Times New Roman" w:hAnsi="Times New Roman" w:eastAsia="宋体" w:cs="Times New Roman"/>
                      <w:color w:val="auto"/>
                      <w:kern w:val="2"/>
                      <w:sz w:val="21"/>
                      <w:szCs w:val="21"/>
                      <w:lang w:val="en-US" w:eastAsia="zh-CN" w:bidi="ar-SA"/>
                    </w:rPr>
                    <w:t>法和系数法进行核算，与文件要求相符。</w:t>
                  </w:r>
                </w:p>
              </w:tc>
            </w:tr>
          </w:tbl>
          <w:p w14:paraId="5D5E7359">
            <w:pPr>
              <w:wordWrap/>
              <w:ind w:firstLine="480" w:firstLineChars="200"/>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综上所述，项目符合《关于印发〈广东省涉VOCs重点行业治理指引〉的通知》（粤环办[2021]43号）的要求。</w:t>
            </w:r>
          </w:p>
          <w:p w14:paraId="11AADE21">
            <w:pPr>
              <w:pStyle w:val="7"/>
              <w:spacing w:before="0" w:after="0" w:line="360" w:lineRule="auto"/>
              <w:ind w:right="0" w:rightChars="0" w:firstLine="360" w:firstLineChars="200"/>
              <w:rPr>
                <w:rFonts w:hint="default" w:ascii="Times New Roman" w:hAnsi="Times New Roman" w:eastAsia="宋体" w:cs="Times New Roman"/>
                <w:color w:val="auto"/>
                <w:kern w:val="0"/>
                <w:sz w:val="18"/>
                <w:szCs w:val="20"/>
                <w:lang w:val="en-US" w:eastAsia="zh-CN" w:bidi="ar-SA"/>
              </w:rPr>
            </w:pPr>
          </w:p>
        </w:tc>
      </w:tr>
    </w:tbl>
    <w:p w14:paraId="3BB63C73">
      <w:pPr>
        <w:tabs>
          <w:tab w:val="left" w:pos="632"/>
        </w:tabs>
        <w:wordWrap/>
        <w:autoSpaceDE w:val="0"/>
        <w:autoSpaceDN w:val="0"/>
        <w:adjustRightInd w:val="0"/>
        <w:snapToGrid w:val="0"/>
        <w:ind w:left="92" w:firstLine="480" w:firstLineChars="200"/>
        <w:jc w:val="left"/>
        <w:rPr>
          <w:rFonts w:hint="default" w:ascii="Times New Roman" w:hAnsi="Times New Roman" w:cs="Times New Roman"/>
          <w:color w:val="auto"/>
          <w:kern w:val="0"/>
        </w:rPr>
        <w:sectPr>
          <w:footerReference r:id="rId8" w:type="default"/>
          <w:pgSz w:w="11906" w:h="16838"/>
          <w:pgMar w:top="1701" w:right="1531" w:bottom="1701" w:left="1531" w:header="851" w:footer="1020" w:gutter="0"/>
          <w:pgNumType w:start="1"/>
          <w:cols w:space="720" w:num="1"/>
          <w:docGrid w:linePitch="312" w:charSpace="0"/>
        </w:sectPr>
      </w:pPr>
    </w:p>
    <w:p w14:paraId="26079794">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二、建设项目工程分析</w:t>
      </w:r>
    </w:p>
    <w:tbl>
      <w:tblPr>
        <w:tblStyle w:val="22"/>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213"/>
      </w:tblGrid>
      <w:tr w14:paraId="3E54AD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51" w:hRule="atLeast"/>
          <w:jc w:val="center"/>
        </w:trPr>
        <w:tc>
          <w:tcPr>
            <w:tcW w:w="401" w:type="dxa"/>
            <w:vAlign w:val="center"/>
          </w:tcPr>
          <w:p w14:paraId="39410A2D">
            <w:pPr>
              <w:pStyle w:val="1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建设内容</w:t>
            </w:r>
          </w:p>
        </w:tc>
        <w:tc>
          <w:tcPr>
            <w:tcW w:w="8670" w:type="dxa"/>
          </w:tcPr>
          <w:p w14:paraId="02FEF55D">
            <w:pPr>
              <w:adjustRightInd w:val="0"/>
              <w:snapToGrid w:val="0"/>
              <w:rPr>
                <w:rFonts w:hint="default" w:ascii="Times New Roman" w:hAnsi="Times New Roman" w:cs="Times New Roman"/>
                <w:b/>
                <w:bCs/>
                <w:color w:val="auto"/>
                <w:spacing w:val="-2"/>
                <w:lang w:bidi="ar"/>
              </w:rPr>
            </w:pPr>
            <w:r>
              <w:rPr>
                <w:rFonts w:hint="default" w:ascii="Times New Roman" w:hAnsi="Times New Roman" w:cs="Times New Roman"/>
                <w:b/>
                <w:bCs/>
                <w:color w:val="auto"/>
                <w:spacing w:val="-2"/>
                <w:lang w:bidi="ar"/>
              </w:rPr>
              <w:t>1、项目概况</w:t>
            </w:r>
          </w:p>
          <w:p w14:paraId="3868BED8">
            <w:pPr>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（1）项目基本概况</w:t>
            </w:r>
          </w:p>
          <w:p w14:paraId="78C4CE4D">
            <w:pPr>
              <w:ind w:firstLine="472" w:firstLineChars="200"/>
              <w:jc w:val="left"/>
              <w:rPr>
                <w:rFonts w:hint="default" w:ascii="Times New Roman" w:hAnsi="Times New Roman" w:eastAsia="宋体" w:cs="Times New Roman"/>
                <w:color w:val="auto"/>
                <w:spacing w:val="-2"/>
                <w:lang w:eastAsia="zh-CN" w:bidi="ar"/>
              </w:rPr>
            </w:pPr>
            <w:r>
              <w:rPr>
                <w:rFonts w:hint="eastAsia" w:cs="Times New Roman"/>
                <w:color w:val="auto"/>
                <w:spacing w:val="-2"/>
                <w:lang w:eastAsia="zh-CN" w:bidi="ar"/>
              </w:rPr>
              <w:t>惠州众亿电子科技有限公司</w:t>
            </w:r>
            <w:r>
              <w:rPr>
                <w:rFonts w:hint="default" w:ascii="Times New Roman" w:hAnsi="Times New Roman" w:cs="Times New Roman"/>
                <w:color w:val="auto"/>
                <w:spacing w:val="-2"/>
                <w:lang w:bidi="ar"/>
              </w:rPr>
              <w:t>拟在</w:t>
            </w:r>
            <w:r>
              <w:rPr>
                <w:rFonts w:hint="eastAsia" w:cs="Times New Roman"/>
                <w:color w:val="auto"/>
                <w:lang w:eastAsia="zh-CN"/>
              </w:rPr>
              <w:t>惠州市博罗县石湾镇滘吓村冯屋工业区南基C栋厂房</w:t>
            </w:r>
            <w:r>
              <w:rPr>
                <w:rFonts w:hint="default" w:ascii="Times New Roman" w:hAnsi="Times New Roman" w:cs="Times New Roman"/>
                <w:color w:val="auto"/>
              </w:rPr>
              <w:t>投资建设，</w:t>
            </w:r>
            <w:r>
              <w:rPr>
                <w:rFonts w:hint="default" w:ascii="Times New Roman" w:hAnsi="Times New Roman" w:cs="Times New Roman"/>
                <w:color w:val="auto"/>
                <w:spacing w:val="-2"/>
                <w:lang w:bidi="ar"/>
              </w:rPr>
              <w:t>其地理位置中心经纬度为：</w:t>
            </w:r>
            <w:r>
              <w:rPr>
                <w:rFonts w:hint="default" w:ascii="Times New Roman" w:hAnsi="Times New Roman" w:cs="Times New Roman"/>
                <w:color w:val="auto"/>
                <w:szCs w:val="22"/>
              </w:rPr>
              <w:t>E</w:t>
            </w:r>
            <w:r>
              <w:rPr>
                <w:rFonts w:hint="default" w:ascii="Times New Roman" w:hAnsi="Times New Roman" w:cs="Times New Roman"/>
                <w:color w:val="auto"/>
                <w:szCs w:val="22"/>
                <w:lang w:eastAsia="zh-CN"/>
              </w:rPr>
              <w:t>113.897265</w:t>
            </w:r>
            <w:r>
              <w:rPr>
                <w:rFonts w:hint="default" w:ascii="Times New Roman" w:hAnsi="Times New Roman" w:cs="Times New Roman"/>
                <w:color w:val="auto"/>
                <w:szCs w:val="22"/>
              </w:rPr>
              <w:t>°（11</w:t>
            </w:r>
            <w:r>
              <w:rPr>
                <w:rFonts w:hint="eastAsia" w:cs="Times New Roman"/>
                <w:color w:val="auto"/>
                <w:szCs w:val="22"/>
                <w:lang w:val="en-US" w:eastAsia="zh-CN"/>
              </w:rPr>
              <w:t>3</w:t>
            </w:r>
            <w:r>
              <w:rPr>
                <w:rFonts w:hint="default" w:ascii="Times New Roman" w:hAnsi="Times New Roman" w:cs="Times New Roman"/>
                <w:color w:val="auto"/>
                <w:szCs w:val="22"/>
              </w:rPr>
              <w:t>°</w:t>
            </w:r>
            <w:r>
              <w:rPr>
                <w:rFonts w:hint="eastAsia" w:cs="Times New Roman"/>
                <w:color w:val="auto"/>
                <w:szCs w:val="22"/>
                <w:lang w:val="en-US" w:eastAsia="zh-CN"/>
              </w:rPr>
              <w:t>53</w:t>
            </w:r>
            <w:r>
              <w:rPr>
                <w:rFonts w:hint="default" w:ascii="Times New Roman" w:hAnsi="Times New Roman" w:cs="Times New Roman"/>
                <w:color w:val="auto"/>
                <w:szCs w:val="22"/>
              </w:rPr>
              <w:t>'</w:t>
            </w:r>
            <w:r>
              <w:rPr>
                <w:rFonts w:hint="eastAsia" w:cs="Times New Roman"/>
                <w:color w:val="auto"/>
                <w:szCs w:val="22"/>
                <w:lang w:val="en-US" w:eastAsia="zh-CN"/>
              </w:rPr>
              <w:t>50.154</w:t>
            </w:r>
            <w:r>
              <w:rPr>
                <w:rFonts w:hint="default" w:ascii="Times New Roman" w:hAnsi="Times New Roman" w:cs="Times New Roman"/>
                <w:color w:val="auto"/>
                <w:szCs w:val="22"/>
              </w:rPr>
              <w:t>"），N</w:t>
            </w:r>
            <w:r>
              <w:rPr>
                <w:rFonts w:hint="default" w:ascii="Times New Roman" w:hAnsi="Times New Roman" w:cs="Times New Roman"/>
                <w:color w:val="auto"/>
                <w:szCs w:val="22"/>
                <w:lang w:val="en-US" w:eastAsia="zh-CN"/>
              </w:rPr>
              <w:t>23.152364</w:t>
            </w:r>
            <w:r>
              <w:rPr>
                <w:rFonts w:hint="default" w:ascii="Times New Roman" w:hAnsi="Times New Roman" w:cs="Times New Roman"/>
                <w:color w:val="auto"/>
                <w:szCs w:val="22"/>
              </w:rPr>
              <w:t>°（2</w:t>
            </w:r>
            <w:r>
              <w:rPr>
                <w:rFonts w:hint="default" w:ascii="Times New Roman" w:hAnsi="Times New Roman" w:cs="Times New Roman"/>
                <w:color w:val="auto"/>
                <w:szCs w:val="22"/>
                <w:lang w:val="en-US" w:eastAsia="zh-CN"/>
              </w:rPr>
              <w:t>3</w:t>
            </w:r>
            <w:r>
              <w:rPr>
                <w:rFonts w:hint="default" w:ascii="Times New Roman" w:hAnsi="Times New Roman" w:cs="Times New Roman"/>
                <w:color w:val="auto"/>
                <w:szCs w:val="22"/>
              </w:rPr>
              <w:t>°</w:t>
            </w:r>
            <w:r>
              <w:rPr>
                <w:rFonts w:hint="eastAsia" w:cs="Times New Roman"/>
                <w:color w:val="auto"/>
                <w:szCs w:val="22"/>
                <w:lang w:val="en-US" w:eastAsia="zh-CN"/>
              </w:rPr>
              <w:t>9</w:t>
            </w:r>
            <w:r>
              <w:rPr>
                <w:rFonts w:hint="default" w:ascii="Times New Roman" w:hAnsi="Times New Roman" w:cs="Times New Roman"/>
                <w:color w:val="auto"/>
                <w:szCs w:val="22"/>
              </w:rPr>
              <w:t>'</w:t>
            </w:r>
            <w:r>
              <w:rPr>
                <w:rFonts w:hint="eastAsia" w:cs="Times New Roman"/>
                <w:color w:val="auto"/>
                <w:szCs w:val="22"/>
                <w:lang w:val="en-US" w:eastAsia="zh-CN"/>
              </w:rPr>
              <w:t>8.512</w:t>
            </w:r>
            <w:r>
              <w:rPr>
                <w:rFonts w:hint="default" w:ascii="Times New Roman" w:hAnsi="Times New Roman" w:cs="Times New Roman"/>
                <w:color w:val="auto"/>
                <w:szCs w:val="22"/>
              </w:rPr>
              <w:t>"）</w:t>
            </w:r>
            <w:r>
              <w:rPr>
                <w:rFonts w:hint="default" w:ascii="Times New Roman" w:hAnsi="Times New Roman" w:cs="Times New Roman"/>
                <w:color w:val="auto"/>
                <w:spacing w:val="-2"/>
                <w:lang w:bidi="ar"/>
              </w:rPr>
              <w:t>，具体地理位置见</w:t>
            </w:r>
            <w:r>
              <w:rPr>
                <w:rFonts w:hint="default" w:ascii="Times New Roman" w:hAnsi="Times New Roman" w:cs="Times New Roman"/>
                <w:b/>
                <w:bCs/>
                <w:color w:val="auto"/>
                <w:spacing w:val="-2"/>
                <w:lang w:bidi="ar"/>
              </w:rPr>
              <w:t>附图1</w:t>
            </w:r>
            <w:r>
              <w:rPr>
                <w:rFonts w:hint="default" w:ascii="Times New Roman" w:hAnsi="Times New Roman" w:cs="Times New Roman"/>
                <w:color w:val="auto"/>
                <w:spacing w:val="-2"/>
                <w:lang w:bidi="ar"/>
              </w:rPr>
              <w:t>。项目</w:t>
            </w:r>
            <w:r>
              <w:rPr>
                <w:rFonts w:hint="eastAsia" w:cs="Times New Roman"/>
                <w:color w:val="auto"/>
                <w:spacing w:val="-2"/>
                <w:lang w:val="en-US" w:eastAsia="zh-CN" w:bidi="ar"/>
              </w:rPr>
              <w:t>从事电子器件和模具的生产，年产电子配件12亿个、电子元器件8千万个、</w:t>
            </w:r>
            <w:r>
              <w:rPr>
                <w:rFonts w:hint="default" w:ascii="Times New Roman" w:hAnsi="Times New Roman" w:cs="Times New Roman"/>
                <w:color w:val="auto"/>
                <w:spacing w:val="-2"/>
                <w:lang w:eastAsia="zh-CN" w:bidi="ar"/>
              </w:rPr>
              <w:t>模具2吨</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自用不外售</w:t>
            </w:r>
            <w:r>
              <w:rPr>
                <w:rFonts w:hint="default" w:ascii="Times New Roman" w:hAnsi="Times New Roman" w:cs="Times New Roman"/>
                <w:color w:val="auto"/>
                <w:lang w:eastAsia="zh-CN"/>
              </w:rPr>
              <w:t>）</w:t>
            </w:r>
            <w:r>
              <w:rPr>
                <w:rFonts w:hint="default" w:ascii="Times New Roman" w:hAnsi="Times New Roman" w:cs="Times New Roman"/>
                <w:color w:val="auto"/>
                <w:spacing w:val="-2"/>
                <w:lang w:bidi="ar"/>
              </w:rPr>
              <w:t>。项目总投资</w:t>
            </w:r>
            <w:r>
              <w:rPr>
                <w:rFonts w:hint="eastAsia" w:cs="Times New Roman"/>
                <w:color w:val="auto"/>
                <w:spacing w:val="-2"/>
                <w:lang w:val="en-US" w:eastAsia="zh-CN" w:bidi="ar"/>
              </w:rPr>
              <w:t>300</w:t>
            </w:r>
            <w:r>
              <w:rPr>
                <w:rFonts w:hint="default" w:ascii="Times New Roman" w:hAnsi="Times New Roman" w:cs="Times New Roman"/>
                <w:color w:val="auto"/>
                <w:spacing w:val="-2"/>
                <w:lang w:bidi="ar"/>
              </w:rPr>
              <w:t>万元，占地面积</w:t>
            </w:r>
            <w:r>
              <w:rPr>
                <w:rFonts w:hint="eastAsia" w:cs="Times New Roman"/>
                <w:color w:val="auto"/>
                <w:spacing w:val="-2"/>
                <w:lang w:val="en-US" w:eastAsia="zh-CN" w:bidi="ar"/>
              </w:rPr>
              <w:t>6491</w:t>
            </w:r>
            <w:r>
              <w:rPr>
                <w:rFonts w:hint="default" w:ascii="Times New Roman" w:hAnsi="Times New Roman" w:cs="Times New Roman"/>
                <w:color w:val="auto"/>
                <w:spacing w:val="-2"/>
                <w:lang w:bidi="ar"/>
              </w:rPr>
              <w:t>m</w:t>
            </w:r>
            <w:r>
              <w:rPr>
                <w:rFonts w:hint="default" w:ascii="Times New Roman" w:hAnsi="Times New Roman" w:cs="Times New Roman"/>
                <w:color w:val="auto"/>
                <w:spacing w:val="-2"/>
                <w:vertAlign w:val="superscript"/>
                <w:lang w:bidi="ar"/>
              </w:rPr>
              <w:t>2</w:t>
            </w:r>
            <w:r>
              <w:rPr>
                <w:rFonts w:hint="default" w:ascii="Times New Roman" w:hAnsi="Times New Roman" w:cs="Times New Roman"/>
                <w:color w:val="auto"/>
                <w:spacing w:val="-2"/>
                <w:lang w:bidi="ar"/>
              </w:rPr>
              <w:t>，建筑面积</w:t>
            </w:r>
            <w:r>
              <w:rPr>
                <w:rFonts w:hint="eastAsia" w:cs="Times New Roman"/>
                <w:color w:val="auto"/>
                <w:spacing w:val="-2"/>
                <w:lang w:val="en-US" w:eastAsia="zh-CN" w:bidi="ar"/>
              </w:rPr>
              <w:t>10507</w:t>
            </w:r>
            <w:r>
              <w:rPr>
                <w:rFonts w:hint="default" w:ascii="Times New Roman" w:hAnsi="Times New Roman" w:cs="Times New Roman"/>
                <w:color w:val="auto"/>
                <w:spacing w:val="-2"/>
                <w:lang w:bidi="ar"/>
              </w:rPr>
              <w:t>m</w:t>
            </w:r>
            <w:r>
              <w:rPr>
                <w:rFonts w:hint="default" w:ascii="Times New Roman" w:hAnsi="Times New Roman" w:cs="Times New Roman"/>
                <w:color w:val="auto"/>
                <w:spacing w:val="-2"/>
                <w:vertAlign w:val="superscript"/>
                <w:lang w:bidi="ar"/>
              </w:rPr>
              <w:t>2</w:t>
            </w:r>
            <w:r>
              <w:rPr>
                <w:rFonts w:hint="default" w:ascii="Times New Roman" w:hAnsi="Times New Roman" w:cs="Times New Roman"/>
                <w:color w:val="auto"/>
                <w:spacing w:val="-2"/>
                <w:lang w:bidi="ar"/>
              </w:rPr>
              <w:t>。</w:t>
            </w:r>
          </w:p>
          <w:p w14:paraId="5581A593">
            <w:pPr>
              <w:keepNext/>
              <w:keepLines/>
              <w:numPr>
                <w:ilvl w:val="0"/>
                <w:numId w:val="3"/>
              </w:numPr>
              <w:spacing w:line="312" w:lineRule="auto"/>
              <w:ind w:firstLine="482" w:firstLineChars="200"/>
              <w:jc w:val="left"/>
              <w:outlineLvl w:val="2"/>
              <w:rPr>
                <w:rFonts w:hint="eastAsia"/>
                <w:color w:val="auto"/>
                <w:lang w:val="en-US" w:eastAsia="zh-CN"/>
              </w:rPr>
            </w:pPr>
            <w:r>
              <w:rPr>
                <w:rFonts w:hint="default" w:ascii="Times New Roman" w:hAnsi="Times New Roman" w:cs="Times New Roman"/>
                <w:b/>
                <w:color w:val="auto"/>
                <w:kern w:val="0"/>
              </w:rPr>
              <w:t>项目工程组成</w:t>
            </w:r>
            <w:r>
              <w:rPr>
                <w:rFonts w:hint="eastAsia" w:cs="Times New Roman"/>
                <w:b/>
                <w:color w:val="auto"/>
                <w:kern w:val="0"/>
                <w:lang w:val="en-US" w:eastAsia="zh-CN"/>
              </w:rPr>
              <w:t xml:space="preserve"> </w:t>
            </w:r>
          </w:p>
          <w:p w14:paraId="31F7BBCC">
            <w:pPr>
              <w:ind w:firstLine="480" w:firstLineChars="200"/>
              <w:rPr>
                <w:rFonts w:hint="default" w:ascii="Times New Roman" w:hAnsi="Times New Roman" w:cs="Times New Roman"/>
                <w:color w:val="auto"/>
              </w:rPr>
            </w:pPr>
            <w:r>
              <w:rPr>
                <w:rFonts w:hint="default" w:ascii="Times New Roman" w:hAnsi="Times New Roman" w:cs="Times New Roman"/>
                <w:bCs/>
                <w:color w:val="auto"/>
                <w:szCs w:val="22"/>
                <w:lang w:bidi="ar"/>
              </w:rPr>
              <w:t>项目建设工程组成见下表。</w:t>
            </w:r>
          </w:p>
          <w:p w14:paraId="714FF2F3">
            <w:pPr>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表</w:t>
            </w:r>
            <w:r>
              <w:rPr>
                <w:rFonts w:hint="default" w:ascii="Times New Roman" w:hAnsi="Times New Roman" w:cs="Times New Roman"/>
                <w:b/>
                <w:bCs/>
                <w:color w:val="auto"/>
                <w:lang w:val="en-US" w:eastAsia="zh-CN"/>
              </w:rPr>
              <w:t>2-1</w:t>
            </w:r>
            <w:r>
              <w:rPr>
                <w:rFonts w:hint="default" w:ascii="Times New Roman" w:hAnsi="Times New Roman" w:cs="Times New Roman"/>
                <w:b/>
                <w:bCs/>
                <w:color w:val="auto"/>
              </w:rPr>
              <w:t xml:space="preserve"> 项目建设工程组成一览表</w:t>
            </w:r>
          </w:p>
          <w:tbl>
            <w:tblPr>
              <w:tblStyle w:val="22"/>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10"/>
              <w:gridCol w:w="870"/>
              <w:gridCol w:w="6685"/>
            </w:tblGrid>
            <w:tr w14:paraId="0E078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Align w:val="center"/>
                </w:tcPr>
                <w:p w14:paraId="23B98B29">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分类</w:t>
                  </w:r>
                </w:p>
              </w:tc>
              <w:tc>
                <w:tcPr>
                  <w:tcW w:w="881" w:type="pct"/>
                  <w:gridSpan w:val="2"/>
                  <w:vAlign w:val="center"/>
                </w:tcPr>
                <w:p w14:paraId="7B6DC086">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功能</w:t>
                  </w:r>
                </w:p>
              </w:tc>
              <w:tc>
                <w:tcPr>
                  <w:tcW w:w="3728" w:type="pct"/>
                  <w:vAlign w:val="center"/>
                </w:tcPr>
                <w:p w14:paraId="4D37E2D3">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color w:val="auto"/>
                      <w:sz w:val="21"/>
                      <w:szCs w:val="21"/>
                      <w:lang w:bidi="ar"/>
                    </w:rPr>
                    <w:t>建设工程组成内容</w:t>
                  </w:r>
                </w:p>
              </w:tc>
            </w:tr>
            <w:tr w14:paraId="00026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9" w:type="pct"/>
                  <w:vMerge w:val="restart"/>
                  <w:vAlign w:val="center"/>
                </w:tcPr>
                <w:p w14:paraId="414B465F">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主体工程</w:t>
                  </w:r>
                </w:p>
              </w:tc>
              <w:tc>
                <w:tcPr>
                  <w:tcW w:w="881" w:type="pct"/>
                  <w:gridSpan w:val="2"/>
                  <w:vAlign w:val="center"/>
                </w:tcPr>
                <w:p w14:paraId="4EDEEF43">
                  <w:pPr>
                    <w:spacing w:line="240" w:lineRule="auto"/>
                    <w:jc w:val="center"/>
                    <w:rPr>
                      <w:rFonts w:hint="default" w:ascii="Times New Roman" w:hAnsi="Times New Roman"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生产车间</w:t>
                  </w:r>
                  <w:r>
                    <w:rPr>
                      <w:rFonts w:hint="eastAsia" w:cs="Times New Roman"/>
                      <w:color w:val="auto"/>
                      <w:sz w:val="21"/>
                      <w:szCs w:val="21"/>
                      <w:lang w:val="en-US" w:eastAsia="zh-CN" w:bidi="ar"/>
                    </w:rPr>
                    <w:t>1</w:t>
                  </w:r>
                </w:p>
              </w:tc>
              <w:tc>
                <w:tcPr>
                  <w:tcW w:w="3728" w:type="pct"/>
                  <w:vAlign w:val="center"/>
                </w:tcPr>
                <w:p w14:paraId="20A2D3FA">
                  <w:pPr>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占地面积1240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建筑面积3720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共3层，总高15m，1F</w:t>
                  </w:r>
                  <w:r>
                    <w:rPr>
                      <w:rFonts w:hint="default" w:ascii="Times New Roman" w:hAnsi="Times New Roman" w:cs="Times New Roman"/>
                      <w:color w:val="auto"/>
                      <w:sz w:val="21"/>
                      <w:szCs w:val="21"/>
                    </w:rPr>
                    <w:t>包括</w:t>
                  </w:r>
                  <w:r>
                    <w:rPr>
                      <w:rFonts w:hint="default" w:ascii="Times New Roman" w:hAnsi="Times New Roman" w:cs="Times New Roman"/>
                      <w:color w:val="auto"/>
                      <w:sz w:val="21"/>
                      <w:szCs w:val="21"/>
                      <w:lang w:val="en-US" w:eastAsia="zh-CN"/>
                    </w:rPr>
                    <w:t>机</w:t>
                  </w:r>
                  <w:r>
                    <w:rPr>
                      <w:rFonts w:hint="eastAsia" w:cs="Times New Roman"/>
                      <w:color w:val="auto"/>
                      <w:sz w:val="21"/>
                      <w:szCs w:val="21"/>
                      <w:lang w:val="en-US" w:eastAsia="zh-CN"/>
                    </w:rPr>
                    <w:t>注塑</w:t>
                  </w:r>
                  <w:r>
                    <w:rPr>
                      <w:rFonts w:hint="default" w:ascii="Times New Roman" w:hAnsi="Times New Roman" w:cs="Times New Roman"/>
                      <w:color w:val="auto"/>
                      <w:sz w:val="21"/>
                      <w:szCs w:val="21"/>
                      <w:lang w:val="en-US" w:eastAsia="zh-CN"/>
                    </w:rPr>
                    <w:t>区、</w:t>
                  </w:r>
                  <w:r>
                    <w:rPr>
                      <w:rFonts w:hint="eastAsia" w:cs="Times New Roman"/>
                      <w:color w:val="auto"/>
                      <w:sz w:val="21"/>
                      <w:szCs w:val="21"/>
                      <w:lang w:val="en-US" w:eastAsia="zh-CN"/>
                    </w:rPr>
                    <w:t>自动组装</w:t>
                  </w:r>
                  <w:r>
                    <w:rPr>
                      <w:rFonts w:hint="default" w:ascii="Times New Roman" w:hAnsi="Times New Roman" w:cs="Times New Roman"/>
                      <w:color w:val="auto"/>
                      <w:sz w:val="21"/>
                      <w:szCs w:val="21"/>
                      <w:lang w:val="en-US" w:eastAsia="zh-CN"/>
                    </w:rPr>
                    <w:t>区、</w:t>
                  </w:r>
                  <w:r>
                    <w:rPr>
                      <w:rFonts w:hint="eastAsia" w:cs="Times New Roman"/>
                      <w:color w:val="auto"/>
                      <w:sz w:val="21"/>
                      <w:szCs w:val="21"/>
                      <w:lang w:val="en-US" w:eastAsia="zh-CN"/>
                    </w:rPr>
                    <w:t>检验</w:t>
                  </w:r>
                  <w:r>
                    <w:rPr>
                      <w:rFonts w:hint="default" w:ascii="Times New Roman" w:hAnsi="Times New Roman" w:cs="Times New Roman"/>
                      <w:color w:val="auto"/>
                      <w:sz w:val="21"/>
                      <w:szCs w:val="21"/>
                      <w:lang w:val="en-US" w:eastAsia="zh-CN"/>
                    </w:rPr>
                    <w:t>区</w:t>
                  </w:r>
                  <w:r>
                    <w:rPr>
                      <w:rFonts w:hint="eastAsia" w:cs="Times New Roman"/>
                      <w:color w:val="auto"/>
                      <w:sz w:val="21"/>
                      <w:szCs w:val="21"/>
                      <w:lang w:eastAsia="zh-CN"/>
                    </w:rPr>
                    <w:t>；</w:t>
                  </w:r>
                  <w:r>
                    <w:rPr>
                      <w:rFonts w:hint="eastAsia" w:cs="Times New Roman"/>
                      <w:color w:val="auto"/>
                      <w:sz w:val="21"/>
                      <w:szCs w:val="21"/>
                      <w:lang w:val="en-US" w:eastAsia="zh-CN"/>
                    </w:rPr>
                    <w:t>2F</w:t>
                  </w:r>
                  <w:r>
                    <w:rPr>
                      <w:rFonts w:hint="default" w:ascii="Times New Roman" w:hAnsi="Times New Roman" w:cs="Times New Roman"/>
                      <w:color w:val="auto"/>
                      <w:sz w:val="21"/>
                      <w:szCs w:val="21"/>
                    </w:rPr>
                    <w:t>包括</w:t>
                  </w:r>
                  <w:r>
                    <w:rPr>
                      <w:rFonts w:hint="default" w:ascii="Times New Roman" w:hAnsi="Times New Roman" w:cs="Times New Roman"/>
                      <w:color w:val="auto"/>
                      <w:sz w:val="21"/>
                      <w:szCs w:val="21"/>
                      <w:lang w:val="en-US" w:eastAsia="zh-CN"/>
                    </w:rPr>
                    <w:t>机</w:t>
                  </w:r>
                  <w:r>
                    <w:rPr>
                      <w:rFonts w:hint="eastAsia" w:cs="Times New Roman"/>
                      <w:color w:val="auto"/>
                      <w:sz w:val="21"/>
                      <w:szCs w:val="21"/>
                      <w:lang w:val="en-US" w:eastAsia="zh-CN"/>
                    </w:rPr>
                    <w:t>成品仓库</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包装房</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检验</w:t>
                  </w:r>
                  <w:r>
                    <w:rPr>
                      <w:rFonts w:hint="default" w:ascii="Times New Roman" w:hAnsi="Times New Roman" w:cs="Times New Roman"/>
                      <w:color w:val="auto"/>
                      <w:sz w:val="21"/>
                      <w:szCs w:val="21"/>
                      <w:lang w:val="en-US" w:eastAsia="zh-CN"/>
                    </w:rPr>
                    <w:t>区</w:t>
                  </w:r>
                  <w:r>
                    <w:rPr>
                      <w:rFonts w:hint="eastAsia" w:cs="Times New Roman"/>
                      <w:color w:val="auto"/>
                      <w:sz w:val="21"/>
                      <w:szCs w:val="21"/>
                      <w:lang w:eastAsia="zh-CN"/>
                    </w:rPr>
                    <w:t>；</w:t>
                  </w:r>
                  <w:r>
                    <w:rPr>
                      <w:rFonts w:hint="eastAsia" w:cs="Times New Roman"/>
                      <w:color w:val="auto"/>
                      <w:sz w:val="21"/>
                      <w:szCs w:val="21"/>
                      <w:lang w:val="en-US" w:eastAsia="zh-CN"/>
                    </w:rPr>
                    <w:t>3F</w:t>
                  </w:r>
                  <w:r>
                    <w:rPr>
                      <w:rFonts w:hint="default" w:ascii="Times New Roman" w:hAnsi="Times New Roman" w:cs="Times New Roman"/>
                      <w:color w:val="auto"/>
                      <w:sz w:val="21"/>
                      <w:szCs w:val="21"/>
                    </w:rPr>
                    <w:t>包括</w:t>
                  </w:r>
                  <w:r>
                    <w:rPr>
                      <w:rFonts w:hint="default" w:ascii="Times New Roman" w:hAnsi="Times New Roman" w:cs="Times New Roman"/>
                      <w:color w:val="auto"/>
                      <w:sz w:val="21"/>
                      <w:szCs w:val="21"/>
                      <w:lang w:val="en-US" w:eastAsia="zh-CN"/>
                    </w:rPr>
                    <w:t>机</w:t>
                  </w:r>
                  <w:r>
                    <w:rPr>
                      <w:rFonts w:hint="eastAsia" w:cs="Times New Roman"/>
                      <w:color w:val="auto"/>
                      <w:sz w:val="21"/>
                      <w:szCs w:val="21"/>
                      <w:lang w:val="en-US" w:eastAsia="zh-CN"/>
                    </w:rPr>
                    <w:t>成品仓库</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包装房</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检验</w:t>
                  </w:r>
                  <w:r>
                    <w:rPr>
                      <w:rFonts w:hint="default" w:ascii="Times New Roman" w:hAnsi="Times New Roman" w:cs="Times New Roman"/>
                      <w:color w:val="auto"/>
                      <w:sz w:val="21"/>
                      <w:szCs w:val="21"/>
                      <w:lang w:val="en-US" w:eastAsia="zh-CN"/>
                    </w:rPr>
                    <w:t>区</w:t>
                  </w:r>
                  <w:r>
                    <w:rPr>
                      <w:rFonts w:hint="default" w:ascii="Times New Roman" w:hAnsi="Times New Roman" w:cs="Times New Roman"/>
                      <w:color w:val="auto"/>
                      <w:sz w:val="21"/>
                      <w:szCs w:val="21"/>
                      <w:lang w:eastAsia="zh-CN"/>
                    </w:rPr>
                    <w:t>。</w:t>
                  </w:r>
                </w:p>
              </w:tc>
            </w:tr>
            <w:tr w14:paraId="026F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386E61A7">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36BB9584">
                  <w:pPr>
                    <w:spacing w:line="240" w:lineRule="auto"/>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生产车间2</w:t>
                  </w:r>
                </w:p>
              </w:tc>
              <w:tc>
                <w:tcPr>
                  <w:tcW w:w="3728" w:type="pct"/>
                  <w:vAlign w:val="center"/>
                </w:tcPr>
                <w:p w14:paraId="7D33A85B">
                  <w:pPr>
                    <w:spacing w:line="240" w:lineRule="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占地面积800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建筑面积800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共1层，总高5m，</w:t>
                  </w:r>
                  <w:r>
                    <w:rPr>
                      <w:rFonts w:hint="default" w:ascii="Times New Roman" w:hAnsi="Times New Roman" w:cs="Times New Roman"/>
                      <w:color w:val="auto"/>
                      <w:sz w:val="21"/>
                      <w:szCs w:val="21"/>
                    </w:rPr>
                    <w:t>包括</w:t>
                  </w:r>
                  <w:r>
                    <w:rPr>
                      <w:rFonts w:hint="default" w:ascii="Times New Roman" w:hAnsi="Times New Roman" w:cs="Times New Roman"/>
                      <w:color w:val="auto"/>
                      <w:sz w:val="21"/>
                      <w:szCs w:val="21"/>
                      <w:lang w:val="en-US" w:eastAsia="zh-CN"/>
                    </w:rPr>
                    <w:t>机</w:t>
                  </w:r>
                  <w:r>
                    <w:rPr>
                      <w:rFonts w:hint="eastAsia" w:cs="Times New Roman"/>
                      <w:color w:val="auto"/>
                      <w:sz w:val="21"/>
                      <w:szCs w:val="21"/>
                      <w:lang w:val="en-US" w:eastAsia="zh-CN"/>
                    </w:rPr>
                    <w:t>注塑</w:t>
                  </w:r>
                  <w:r>
                    <w:rPr>
                      <w:rFonts w:hint="default" w:ascii="Times New Roman" w:hAnsi="Times New Roman" w:cs="Times New Roman"/>
                      <w:color w:val="auto"/>
                      <w:sz w:val="21"/>
                      <w:szCs w:val="21"/>
                      <w:lang w:val="en-US" w:eastAsia="zh-CN"/>
                    </w:rPr>
                    <w:t>区、</w:t>
                  </w:r>
                  <w:r>
                    <w:rPr>
                      <w:rFonts w:hint="eastAsia" w:cs="Times New Roman"/>
                      <w:color w:val="auto"/>
                      <w:sz w:val="21"/>
                      <w:szCs w:val="21"/>
                      <w:lang w:val="en-US" w:eastAsia="zh-CN"/>
                    </w:rPr>
                    <w:t>冲压</w:t>
                  </w:r>
                  <w:r>
                    <w:rPr>
                      <w:rFonts w:hint="default" w:ascii="Times New Roman" w:hAnsi="Times New Roman" w:cs="Times New Roman"/>
                      <w:color w:val="auto"/>
                      <w:sz w:val="21"/>
                      <w:szCs w:val="21"/>
                      <w:lang w:val="en-US" w:eastAsia="zh-CN"/>
                    </w:rPr>
                    <w:t>区</w:t>
                  </w:r>
                  <w:r>
                    <w:rPr>
                      <w:rFonts w:hint="eastAsia" w:cs="Times New Roman"/>
                      <w:color w:val="auto"/>
                      <w:sz w:val="21"/>
                      <w:szCs w:val="21"/>
                      <w:lang w:val="en-US" w:eastAsia="zh-CN"/>
                    </w:rPr>
                    <w:t>。</w:t>
                  </w:r>
                </w:p>
              </w:tc>
            </w:tr>
            <w:tr w14:paraId="67F6A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restart"/>
                  <w:vAlign w:val="center"/>
                </w:tcPr>
                <w:p w14:paraId="4C285049">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公用工程</w:t>
                  </w:r>
                </w:p>
              </w:tc>
              <w:tc>
                <w:tcPr>
                  <w:tcW w:w="881" w:type="pct"/>
                  <w:gridSpan w:val="2"/>
                  <w:vAlign w:val="center"/>
                </w:tcPr>
                <w:p w14:paraId="1812AAD7">
                  <w:pPr>
                    <w:spacing w:line="240" w:lineRule="auto"/>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kern w:val="2"/>
                      <w:sz w:val="21"/>
                      <w:szCs w:val="21"/>
                      <w:lang w:val="en-US" w:eastAsia="zh-CN" w:bidi="ar"/>
                    </w:rPr>
                    <w:t>办公室</w:t>
                  </w:r>
                </w:p>
              </w:tc>
              <w:tc>
                <w:tcPr>
                  <w:tcW w:w="3728" w:type="pct"/>
                  <w:vAlign w:val="center"/>
                </w:tcPr>
                <w:p w14:paraId="07B0CF7B">
                  <w:pPr>
                    <w:spacing w:line="240" w:lineRule="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占地面积300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建筑面积600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共2层</w:t>
                  </w:r>
                  <w:r>
                    <w:rPr>
                      <w:rFonts w:hint="default" w:ascii="Times New Roman" w:hAnsi="Times New Roman" w:cs="Times New Roman"/>
                      <w:color w:val="auto"/>
                      <w:sz w:val="21"/>
                      <w:szCs w:val="21"/>
                      <w:lang w:val="en-US" w:eastAsia="zh-CN"/>
                    </w:rPr>
                    <w:t>，用于员工办公</w:t>
                  </w:r>
                  <w:r>
                    <w:rPr>
                      <w:rFonts w:hint="default" w:ascii="Times New Roman" w:hAnsi="Times New Roman" w:cs="Times New Roman"/>
                      <w:color w:val="auto"/>
                      <w:sz w:val="21"/>
                      <w:szCs w:val="21"/>
                    </w:rPr>
                    <w:t>。</w:t>
                  </w:r>
                </w:p>
              </w:tc>
            </w:tr>
            <w:tr w14:paraId="6ED55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9" w:type="pct"/>
                  <w:vMerge w:val="continue"/>
                  <w:vAlign w:val="center"/>
                </w:tcPr>
                <w:p w14:paraId="633EAB45">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126463B8">
                  <w:pPr>
                    <w:spacing w:line="240" w:lineRule="auto"/>
                    <w:jc w:val="center"/>
                    <w:rPr>
                      <w:rFonts w:hint="eastAsia"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宿舍楼</w:t>
                  </w:r>
                </w:p>
              </w:tc>
              <w:tc>
                <w:tcPr>
                  <w:tcW w:w="3728" w:type="pct"/>
                  <w:vAlign w:val="center"/>
                </w:tcPr>
                <w:p w14:paraId="26FB3520">
                  <w:pPr>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占地面积412</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建筑面积1648</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用于员工日常生活。</w:t>
                  </w:r>
                </w:p>
              </w:tc>
            </w:tr>
            <w:tr w14:paraId="6EC6E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389" w:type="pct"/>
                  <w:vMerge w:val="continue"/>
                  <w:vAlign w:val="center"/>
                </w:tcPr>
                <w:p w14:paraId="59195212">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353EC4D2">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bidi="ar"/>
                    </w:rPr>
                    <w:t>给水工程</w:t>
                  </w:r>
                </w:p>
              </w:tc>
              <w:tc>
                <w:tcPr>
                  <w:tcW w:w="3728" w:type="pct"/>
                  <w:vAlign w:val="center"/>
                </w:tcPr>
                <w:p w14:paraId="4B4885B5">
                  <w:pPr>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市政给水管网供水。</w:t>
                  </w:r>
                </w:p>
              </w:tc>
            </w:tr>
            <w:tr w14:paraId="26BBE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05EDA7F0">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40A41150">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bidi="ar"/>
                    </w:rPr>
                    <w:t>排水工程</w:t>
                  </w:r>
                </w:p>
              </w:tc>
              <w:tc>
                <w:tcPr>
                  <w:tcW w:w="3728" w:type="pct"/>
                  <w:vAlign w:val="center"/>
                </w:tcPr>
                <w:p w14:paraId="54CACD29">
                  <w:pPr>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雨污分流，</w:t>
                  </w:r>
                  <w:r>
                    <w:rPr>
                      <w:rFonts w:hint="default" w:ascii="Times New Roman" w:hAnsi="Times New Roman" w:cs="Times New Roman"/>
                      <w:color w:val="auto"/>
                      <w:sz w:val="21"/>
                      <w:szCs w:val="21"/>
                    </w:rPr>
                    <w:t>市政污水管网排水。</w:t>
                  </w:r>
                </w:p>
              </w:tc>
            </w:tr>
            <w:tr w14:paraId="668A4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72949155">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35C3B706">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bidi="ar"/>
                    </w:rPr>
                    <w:t>供电工程</w:t>
                  </w:r>
                </w:p>
              </w:tc>
              <w:tc>
                <w:tcPr>
                  <w:tcW w:w="3728" w:type="pct"/>
                  <w:vAlign w:val="center"/>
                </w:tcPr>
                <w:p w14:paraId="04A0FDE5">
                  <w:pPr>
                    <w:spacing w:line="240" w:lineRule="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市政供电网供电。</w:t>
                  </w:r>
                </w:p>
              </w:tc>
            </w:tr>
            <w:tr w14:paraId="5905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Align w:val="center"/>
                </w:tcPr>
                <w:p w14:paraId="0B788D4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881" w:type="pct"/>
                  <w:gridSpan w:val="2"/>
                  <w:vAlign w:val="center"/>
                </w:tcPr>
                <w:p w14:paraId="6E7A5C0C">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仓库</w:t>
                  </w:r>
                </w:p>
              </w:tc>
              <w:tc>
                <w:tcPr>
                  <w:tcW w:w="3728" w:type="pct"/>
                  <w:vAlign w:val="center"/>
                </w:tcPr>
                <w:p w14:paraId="7DAEF56F">
                  <w:pPr>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原料仓库占地面积170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用于储存原料物料；成品仓库位于生产车间1三楼，占地面积约200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w:t>
                  </w:r>
                  <w:r>
                    <w:rPr>
                      <w:rFonts w:hint="eastAsia" w:cs="Times New Roman"/>
                      <w:color w:val="auto"/>
                      <w:sz w:val="21"/>
                      <w:szCs w:val="21"/>
                      <w:lang w:val="en-US" w:eastAsia="zh-CN"/>
                    </w:rPr>
                    <w:t>用于储存产品</w:t>
                  </w:r>
                  <w:r>
                    <w:rPr>
                      <w:rFonts w:hint="eastAsia" w:cs="Times New Roman"/>
                      <w:color w:val="auto"/>
                      <w:sz w:val="21"/>
                      <w:szCs w:val="21"/>
                      <w:lang w:eastAsia="zh-CN"/>
                    </w:rPr>
                    <w:t>。</w:t>
                  </w:r>
                </w:p>
              </w:tc>
            </w:tr>
            <w:tr w14:paraId="1FD1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Align w:val="center"/>
                </w:tcPr>
                <w:p w14:paraId="20E6506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依托工程</w:t>
                  </w:r>
                </w:p>
              </w:tc>
              <w:tc>
                <w:tcPr>
                  <w:tcW w:w="881" w:type="pct"/>
                  <w:gridSpan w:val="2"/>
                  <w:vAlign w:val="center"/>
                </w:tcPr>
                <w:p w14:paraId="25999ACD">
                  <w:pPr>
                    <w:spacing w:line="240" w:lineRule="auto"/>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w:t>
                  </w:r>
                </w:p>
              </w:tc>
              <w:tc>
                <w:tcPr>
                  <w:tcW w:w="3728" w:type="pct"/>
                  <w:vAlign w:val="center"/>
                </w:tcPr>
                <w:p w14:paraId="7B21BF4F">
                  <w:pPr>
                    <w:spacing w:line="240" w:lineRule="auto"/>
                    <w:rPr>
                      <w:rFonts w:hint="default" w:ascii="Times New Roman" w:hAnsi="Times New Roman" w:cs="Times New Roman"/>
                      <w:color w:val="auto"/>
                      <w:sz w:val="21"/>
                      <w:szCs w:val="21"/>
                      <w:lang w:val="en-US" w:eastAsia="zh-CN"/>
                    </w:rPr>
                  </w:pPr>
                  <w:r>
                    <w:rPr>
                      <w:rFonts w:hint="eastAsia" w:cs="Times New Roman"/>
                      <w:color w:val="auto"/>
                      <w:sz w:val="21"/>
                      <w:szCs w:val="21"/>
                      <w:lang w:eastAsia="zh-CN"/>
                    </w:rPr>
                    <w:t>博罗县石湾镇大牛垒生活污水处理厂。</w:t>
                  </w:r>
                </w:p>
              </w:tc>
            </w:tr>
            <w:tr w14:paraId="69D1F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restart"/>
                  <w:vAlign w:val="center"/>
                </w:tcPr>
                <w:p w14:paraId="221D8A46">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环保工程</w:t>
                  </w:r>
                </w:p>
              </w:tc>
              <w:tc>
                <w:tcPr>
                  <w:tcW w:w="881" w:type="pct"/>
                  <w:gridSpan w:val="2"/>
                  <w:vAlign w:val="center"/>
                </w:tcPr>
                <w:p w14:paraId="15DCA929">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污水处理</w:t>
                  </w:r>
                </w:p>
              </w:tc>
              <w:tc>
                <w:tcPr>
                  <w:tcW w:w="3728" w:type="pct"/>
                  <w:vAlign w:val="center"/>
                </w:tcPr>
                <w:p w14:paraId="59E7A0BE">
                  <w:pPr>
                    <w:spacing w:line="240" w:lineRule="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项目</w:t>
                  </w:r>
                  <w:r>
                    <w:rPr>
                      <w:rFonts w:hint="default" w:ascii="Times New Roman" w:hAnsi="Times New Roman" w:cs="Times New Roman"/>
                      <w:color w:val="auto"/>
                      <w:sz w:val="21"/>
                      <w:szCs w:val="21"/>
                      <w:lang w:eastAsia="zh-CN"/>
                    </w:rPr>
                    <w:t>间接冷却废水循环使用不外排</w:t>
                  </w:r>
                  <w:r>
                    <w:rPr>
                      <w:rFonts w:hint="default" w:ascii="Times New Roman" w:hAnsi="Times New Roman" w:cs="Times New Roman"/>
                      <w:color w:val="auto"/>
                      <w:sz w:val="21"/>
                      <w:szCs w:val="21"/>
                    </w:rPr>
                    <w:t>，喷淋废水收集后交由有资质的单位处置，生活污水经三级化粪池预处理后纳入市政管网进入</w:t>
                  </w: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处理</w:t>
                  </w:r>
                  <w:r>
                    <w:rPr>
                      <w:rFonts w:hint="default" w:ascii="Times New Roman" w:hAnsi="Times New Roman" w:cs="Times New Roman"/>
                      <w:color w:val="auto"/>
                      <w:sz w:val="21"/>
                      <w:szCs w:val="21"/>
                      <w:lang w:eastAsia="zh-CN"/>
                    </w:rPr>
                    <w:t>。</w:t>
                  </w:r>
                </w:p>
              </w:tc>
            </w:tr>
            <w:tr w14:paraId="10A72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9" w:type="pct"/>
                  <w:vMerge w:val="continue"/>
                  <w:vAlign w:val="center"/>
                </w:tcPr>
                <w:p w14:paraId="34818CC0">
                  <w:pPr>
                    <w:spacing w:line="240" w:lineRule="auto"/>
                    <w:jc w:val="center"/>
                    <w:rPr>
                      <w:rFonts w:hint="default" w:ascii="Times New Roman" w:hAnsi="Times New Roman" w:cs="Times New Roman"/>
                      <w:color w:val="auto"/>
                      <w:sz w:val="21"/>
                      <w:szCs w:val="21"/>
                      <w:lang w:bidi="ar"/>
                    </w:rPr>
                  </w:pPr>
                </w:p>
              </w:tc>
              <w:tc>
                <w:tcPr>
                  <w:tcW w:w="881" w:type="pct"/>
                  <w:gridSpan w:val="2"/>
                  <w:vAlign w:val="center"/>
                </w:tcPr>
                <w:p w14:paraId="15CE090E">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废气处理</w:t>
                  </w:r>
                </w:p>
              </w:tc>
              <w:tc>
                <w:tcPr>
                  <w:tcW w:w="3728" w:type="pct"/>
                  <w:vAlign w:val="center"/>
                </w:tcPr>
                <w:p w14:paraId="36E0EC1B">
                  <w:pPr>
                    <w:spacing w:line="240" w:lineRule="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val="en-US" w:eastAsia="zh-CN"/>
                    </w:rPr>
                    <w:t>项目注塑废气、</w:t>
                  </w:r>
                  <w:r>
                    <w:rPr>
                      <w:rFonts w:hint="eastAsia" w:cs="Times New Roman"/>
                      <w:color w:val="auto"/>
                      <w:sz w:val="21"/>
                      <w:szCs w:val="21"/>
                      <w:lang w:val="en-US" w:eastAsia="zh-CN"/>
                    </w:rPr>
                    <w:t>移印</w:t>
                  </w:r>
                  <w:r>
                    <w:rPr>
                      <w:rFonts w:hint="default" w:ascii="Times New Roman" w:hAnsi="Times New Roman" w:cs="Times New Roman"/>
                      <w:color w:val="auto"/>
                      <w:sz w:val="21"/>
                      <w:szCs w:val="21"/>
                      <w:lang w:val="en-US" w:eastAsia="zh-CN"/>
                    </w:rPr>
                    <w:t>废气</w:t>
                  </w:r>
                  <w:r>
                    <w:rPr>
                      <w:rFonts w:hint="default" w:ascii="Times New Roman" w:hAnsi="Times New Roman" w:cs="Times New Roman"/>
                      <w:color w:val="auto"/>
                      <w:sz w:val="21"/>
                      <w:szCs w:val="20"/>
                      <w:lang w:val="en-US" w:eastAsia="zh-CN"/>
                    </w:rPr>
                    <w:t>收集至</w:t>
                  </w:r>
                  <w:r>
                    <w:rPr>
                      <w:rFonts w:hint="default" w:ascii="Times New Roman" w:hAnsi="Times New Roman" w:cs="Times New Roman"/>
                      <w:color w:val="auto"/>
                      <w:sz w:val="21"/>
                      <w:szCs w:val="20"/>
                    </w:rPr>
                    <w:t>“水喷淋塔+干式过滤棉+</w:t>
                  </w:r>
                  <w:r>
                    <w:rPr>
                      <w:rFonts w:hint="default" w:ascii="Times New Roman" w:hAnsi="Times New Roman" w:cs="Times New Roman"/>
                      <w:color w:val="auto"/>
                      <w:sz w:val="21"/>
                      <w:szCs w:val="20"/>
                      <w:lang w:eastAsia="zh-CN"/>
                    </w:rPr>
                    <w:t>二级活性炭</w:t>
                  </w:r>
                  <w:r>
                    <w:rPr>
                      <w:rFonts w:hint="default" w:ascii="Times New Roman" w:hAnsi="Times New Roman" w:cs="Times New Roman"/>
                      <w:color w:val="auto"/>
                      <w:sz w:val="21"/>
                      <w:szCs w:val="20"/>
                    </w:rPr>
                    <w:t>吸附装置”处理后引至排气筒</w:t>
                  </w:r>
                  <w:r>
                    <w:rPr>
                      <w:rFonts w:hint="eastAsia" w:cs="Times New Roman"/>
                      <w:color w:val="auto"/>
                      <w:sz w:val="21"/>
                      <w:szCs w:val="20"/>
                      <w:lang w:eastAsia="zh-CN"/>
                    </w:rPr>
                    <w:t>DA001</w:t>
                  </w:r>
                  <w:r>
                    <w:rPr>
                      <w:rFonts w:hint="default" w:ascii="Times New Roman" w:hAnsi="Times New Roman" w:cs="Times New Roman"/>
                      <w:color w:val="auto"/>
                      <w:sz w:val="21"/>
                      <w:szCs w:val="20"/>
                    </w:rPr>
                    <w:t>排放</w:t>
                  </w:r>
                  <w:r>
                    <w:rPr>
                      <w:rFonts w:hint="default" w:ascii="Times New Roman" w:hAnsi="Times New Roman" w:cs="Times New Roman"/>
                      <w:color w:val="auto"/>
                      <w:sz w:val="21"/>
                      <w:szCs w:val="20"/>
                      <w:lang w:val="en-US" w:eastAsia="zh-CN"/>
                    </w:rPr>
                    <w:t>，未被收集的有机废气（非甲烷总烃、臭气）以及机加工（油雾）和破碎颗粒物、电火花加工过程废气（颗粒物、非甲烷总烃）在车间无组织排放。</w:t>
                  </w:r>
                </w:p>
              </w:tc>
            </w:tr>
            <w:tr w14:paraId="60CDA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2260E92B">
                  <w:pPr>
                    <w:spacing w:line="240" w:lineRule="auto"/>
                    <w:jc w:val="center"/>
                    <w:rPr>
                      <w:rFonts w:hint="default" w:ascii="Times New Roman" w:hAnsi="Times New Roman" w:cs="Times New Roman"/>
                      <w:color w:val="auto"/>
                      <w:sz w:val="21"/>
                      <w:szCs w:val="21"/>
                    </w:rPr>
                  </w:pPr>
                </w:p>
              </w:tc>
              <w:tc>
                <w:tcPr>
                  <w:tcW w:w="881" w:type="pct"/>
                  <w:gridSpan w:val="2"/>
                  <w:vAlign w:val="center"/>
                </w:tcPr>
                <w:p w14:paraId="27657B4E">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噪声处理</w:t>
                  </w:r>
                </w:p>
              </w:tc>
              <w:tc>
                <w:tcPr>
                  <w:tcW w:w="3728" w:type="pct"/>
                  <w:vAlign w:val="center"/>
                </w:tcPr>
                <w:p w14:paraId="085DBCD8">
                  <w:pPr>
                    <w:spacing w:line="240" w:lineRule="auto"/>
                    <w:rPr>
                      <w:rFonts w:hint="default" w:ascii="Times New Roman" w:hAnsi="Times New Roman" w:eastAsia="宋体" w:cs="Times New Roman"/>
                      <w:color w:val="auto"/>
                      <w:sz w:val="21"/>
                      <w:szCs w:val="21"/>
                      <w:lang w:eastAsia="zh-CN" w:bidi="ar"/>
                    </w:rPr>
                  </w:pPr>
                  <w:r>
                    <w:rPr>
                      <w:rFonts w:hint="default" w:ascii="Times New Roman" w:hAnsi="Times New Roman" w:cs="Times New Roman"/>
                      <w:color w:val="auto"/>
                      <w:sz w:val="21"/>
                      <w:szCs w:val="21"/>
                      <w:lang w:bidi="ar"/>
                    </w:rPr>
                    <w:t>隔声、减振</w:t>
                  </w:r>
                  <w:r>
                    <w:rPr>
                      <w:rFonts w:hint="default" w:ascii="Times New Roman" w:hAnsi="Times New Roman" w:cs="Times New Roman"/>
                      <w:color w:val="auto"/>
                      <w:sz w:val="21"/>
                      <w:szCs w:val="21"/>
                      <w:lang w:eastAsia="zh-CN" w:bidi="ar"/>
                    </w:rPr>
                    <w:t>。</w:t>
                  </w:r>
                </w:p>
              </w:tc>
            </w:tr>
            <w:tr w14:paraId="1A554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0C78AF8B">
                  <w:pPr>
                    <w:spacing w:line="240" w:lineRule="auto"/>
                    <w:jc w:val="center"/>
                    <w:rPr>
                      <w:rFonts w:hint="default" w:ascii="Times New Roman" w:hAnsi="Times New Roman" w:cs="Times New Roman"/>
                      <w:color w:val="auto"/>
                      <w:sz w:val="21"/>
                      <w:szCs w:val="21"/>
                    </w:rPr>
                  </w:pPr>
                </w:p>
              </w:tc>
              <w:tc>
                <w:tcPr>
                  <w:tcW w:w="396" w:type="pct"/>
                  <w:vMerge w:val="restart"/>
                  <w:vAlign w:val="center"/>
                </w:tcPr>
                <w:p w14:paraId="04154AB7">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固体处理</w:t>
                  </w:r>
                </w:p>
              </w:tc>
              <w:tc>
                <w:tcPr>
                  <w:tcW w:w="485" w:type="pct"/>
                  <w:vAlign w:val="center"/>
                </w:tcPr>
                <w:p w14:paraId="5569AA80">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一般固体废物</w:t>
                  </w:r>
                </w:p>
              </w:tc>
              <w:tc>
                <w:tcPr>
                  <w:tcW w:w="3728" w:type="pct"/>
                  <w:vAlign w:val="center"/>
                </w:tcPr>
                <w:p w14:paraId="2E6C251A">
                  <w:pPr>
                    <w:adjustRightInd w:val="0"/>
                    <w:snapToGrid w:val="0"/>
                    <w:spacing w:line="240" w:lineRule="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项目设有一个</w:t>
                  </w:r>
                  <w:r>
                    <w:rPr>
                      <w:rFonts w:hint="eastAsia" w:cs="Times New Roman"/>
                      <w:color w:val="auto"/>
                      <w:sz w:val="21"/>
                      <w:szCs w:val="21"/>
                      <w:lang w:val="en-US" w:eastAsia="zh-CN"/>
                    </w:rPr>
                    <w:t>20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的固废暂存间，位于</w:t>
                  </w:r>
                  <w:r>
                    <w:rPr>
                      <w:rFonts w:hint="eastAsia" w:cs="Times New Roman"/>
                      <w:color w:val="auto"/>
                      <w:sz w:val="21"/>
                      <w:szCs w:val="21"/>
                      <w:lang w:val="en-US" w:eastAsia="zh-CN"/>
                    </w:rPr>
                    <w:t>厂区西北侧</w:t>
                  </w:r>
                  <w:r>
                    <w:rPr>
                      <w:rFonts w:hint="default" w:ascii="Times New Roman" w:hAnsi="Times New Roman" w:cs="Times New Roman"/>
                      <w:color w:val="auto"/>
                      <w:sz w:val="21"/>
                      <w:szCs w:val="21"/>
                    </w:rPr>
                    <w:t>，项目机加工产生的</w:t>
                  </w:r>
                  <w:r>
                    <w:rPr>
                      <w:rFonts w:hint="default" w:ascii="Times New Roman" w:hAnsi="Times New Roman" w:cs="Times New Roman"/>
                      <w:color w:val="auto"/>
                      <w:sz w:val="21"/>
                      <w:szCs w:val="21"/>
                      <w:lang w:val="en-US" w:eastAsia="zh-CN"/>
                    </w:rPr>
                    <w:t>废模具</w:t>
                  </w:r>
                  <w:r>
                    <w:rPr>
                      <w:rFonts w:hint="default" w:ascii="Times New Roman" w:hAnsi="Times New Roman" w:cs="Times New Roman"/>
                      <w:color w:val="auto"/>
                      <w:sz w:val="21"/>
                      <w:szCs w:val="21"/>
                    </w:rPr>
                    <w:t>、</w:t>
                  </w:r>
                  <w:r>
                    <w:rPr>
                      <w:rFonts w:hint="eastAsia" w:cs="Times New Roman"/>
                      <w:color w:val="auto"/>
                      <w:sz w:val="21"/>
                      <w:szCs w:val="21"/>
                      <w:lang w:val="en-US" w:eastAsia="zh-CN"/>
                    </w:rPr>
                    <w:t>冲压产生的金属边角料</w:t>
                  </w:r>
                  <w:r>
                    <w:rPr>
                      <w:rFonts w:hint="default" w:ascii="Times New Roman" w:hAnsi="Times New Roman" w:cs="Times New Roman"/>
                      <w:color w:val="auto"/>
                      <w:sz w:val="21"/>
                      <w:szCs w:val="21"/>
                    </w:rPr>
                    <w:t>和包装产生的废包装材料收集后交由专业回收公司回收处理。</w:t>
                  </w:r>
                </w:p>
              </w:tc>
            </w:tr>
            <w:tr w14:paraId="028F5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0C5D1633">
                  <w:pPr>
                    <w:spacing w:line="240" w:lineRule="auto"/>
                    <w:jc w:val="center"/>
                    <w:rPr>
                      <w:rFonts w:hint="default" w:ascii="Times New Roman" w:hAnsi="Times New Roman" w:cs="Times New Roman"/>
                      <w:color w:val="auto"/>
                      <w:sz w:val="21"/>
                      <w:szCs w:val="21"/>
                    </w:rPr>
                  </w:pPr>
                </w:p>
              </w:tc>
              <w:tc>
                <w:tcPr>
                  <w:tcW w:w="396" w:type="pct"/>
                  <w:vMerge w:val="continue"/>
                  <w:vAlign w:val="center"/>
                </w:tcPr>
                <w:p w14:paraId="1E04CD25">
                  <w:pPr>
                    <w:spacing w:line="240" w:lineRule="auto"/>
                    <w:jc w:val="center"/>
                    <w:rPr>
                      <w:rFonts w:hint="default" w:ascii="Times New Roman" w:hAnsi="Times New Roman" w:cs="Times New Roman"/>
                      <w:color w:val="auto"/>
                      <w:sz w:val="21"/>
                      <w:szCs w:val="21"/>
                      <w:lang w:bidi="ar"/>
                    </w:rPr>
                  </w:pPr>
                </w:p>
              </w:tc>
              <w:tc>
                <w:tcPr>
                  <w:tcW w:w="485" w:type="pct"/>
                  <w:vAlign w:val="center"/>
                </w:tcPr>
                <w:p w14:paraId="27DBD634">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危险废物</w:t>
                  </w:r>
                </w:p>
              </w:tc>
              <w:tc>
                <w:tcPr>
                  <w:tcW w:w="3728" w:type="pct"/>
                  <w:vAlign w:val="center"/>
                </w:tcPr>
                <w:p w14:paraId="65079503">
                  <w:pPr>
                    <w:adjustRightInd w:val="0"/>
                    <w:snapToGrid w:val="0"/>
                    <w:spacing w:line="240" w:lineRule="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项目设有一个10m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的危废暂存间，位于</w:t>
                  </w:r>
                  <w:r>
                    <w:rPr>
                      <w:rFonts w:hint="eastAsia" w:cs="Times New Roman"/>
                      <w:color w:val="auto"/>
                      <w:sz w:val="21"/>
                      <w:szCs w:val="21"/>
                      <w:lang w:val="en-US" w:eastAsia="zh-CN"/>
                    </w:rPr>
                    <w:t>厂区西北侧</w:t>
                  </w:r>
                  <w:r>
                    <w:rPr>
                      <w:rFonts w:hint="default" w:ascii="Times New Roman" w:hAnsi="Times New Roman" w:cs="Times New Roman"/>
                      <w:color w:val="auto"/>
                      <w:sz w:val="21"/>
                      <w:szCs w:val="21"/>
                    </w:rPr>
                    <w:t>，生产过程产生的废原料桶、废抹布及废手套、废矿物油、</w:t>
                  </w:r>
                  <w:r>
                    <w:rPr>
                      <w:rFonts w:hint="default" w:ascii="Times New Roman" w:hAnsi="Times New Roman" w:cs="Times New Roman"/>
                      <w:color w:val="auto"/>
                      <w:sz w:val="21"/>
                      <w:szCs w:val="21"/>
                      <w:lang w:eastAsia="zh-CN"/>
                    </w:rPr>
                    <w:t>喷淋废水</w:t>
                  </w:r>
                  <w:r>
                    <w:rPr>
                      <w:rFonts w:hint="eastAsia" w:cs="Times New Roman"/>
                      <w:color w:val="auto"/>
                      <w:sz w:val="21"/>
                      <w:szCs w:val="21"/>
                      <w:lang w:val="en-US" w:eastAsia="zh-CN"/>
                    </w:rPr>
                    <w:t>、废网版、</w:t>
                  </w:r>
                  <w:r>
                    <w:rPr>
                      <w:rFonts w:hint="default" w:ascii="Times New Roman" w:hAnsi="Times New Roman" w:cs="Times New Roman"/>
                      <w:color w:val="auto"/>
                      <w:sz w:val="21"/>
                      <w:szCs w:val="21"/>
                    </w:rPr>
                    <w:t>含油金属屑</w:t>
                  </w:r>
                  <w:r>
                    <w:rPr>
                      <w:rFonts w:hint="eastAsia" w:cs="Times New Roman"/>
                      <w:color w:val="auto"/>
                      <w:sz w:val="21"/>
                      <w:szCs w:val="21"/>
                      <w:lang w:eastAsia="zh-CN"/>
                    </w:rPr>
                    <w:t>、</w:t>
                  </w:r>
                  <w:r>
                    <w:rPr>
                      <w:rFonts w:hint="default" w:ascii="Times New Roman" w:hAnsi="Times New Roman" w:cs="Times New Roman"/>
                      <w:color w:val="auto"/>
                      <w:sz w:val="21"/>
                      <w:szCs w:val="21"/>
                    </w:rPr>
                    <w:t>废活性炭收集后交由有资质的单位处理。</w:t>
                  </w:r>
                </w:p>
              </w:tc>
            </w:tr>
            <w:tr w14:paraId="1CED2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9" w:type="pct"/>
                  <w:vMerge w:val="continue"/>
                  <w:vAlign w:val="center"/>
                </w:tcPr>
                <w:p w14:paraId="644A7EDB">
                  <w:pPr>
                    <w:spacing w:line="240" w:lineRule="auto"/>
                    <w:jc w:val="center"/>
                    <w:rPr>
                      <w:rFonts w:hint="default" w:ascii="Times New Roman" w:hAnsi="Times New Roman" w:cs="Times New Roman"/>
                      <w:color w:val="auto"/>
                      <w:sz w:val="21"/>
                      <w:szCs w:val="21"/>
                    </w:rPr>
                  </w:pPr>
                </w:p>
              </w:tc>
              <w:tc>
                <w:tcPr>
                  <w:tcW w:w="396" w:type="pct"/>
                  <w:vMerge w:val="continue"/>
                  <w:vAlign w:val="center"/>
                </w:tcPr>
                <w:p w14:paraId="0C9AB75E">
                  <w:pPr>
                    <w:spacing w:line="240" w:lineRule="auto"/>
                    <w:jc w:val="center"/>
                    <w:rPr>
                      <w:rFonts w:hint="default" w:ascii="Times New Roman" w:hAnsi="Times New Roman" w:cs="Times New Roman"/>
                      <w:color w:val="auto"/>
                      <w:sz w:val="21"/>
                      <w:szCs w:val="21"/>
                      <w:lang w:bidi="ar"/>
                    </w:rPr>
                  </w:pPr>
                </w:p>
              </w:tc>
              <w:tc>
                <w:tcPr>
                  <w:tcW w:w="485" w:type="pct"/>
                  <w:vAlign w:val="center"/>
                </w:tcPr>
                <w:p w14:paraId="40AD0810">
                  <w:pPr>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生活垃圾</w:t>
                  </w:r>
                </w:p>
              </w:tc>
              <w:tc>
                <w:tcPr>
                  <w:tcW w:w="3728" w:type="pct"/>
                  <w:vAlign w:val="center"/>
                </w:tcPr>
                <w:p w14:paraId="69AB93B0">
                  <w:pPr>
                    <w:spacing w:line="240" w:lineRule="auto"/>
                    <w:rPr>
                      <w:rFonts w:hint="default" w:ascii="Times New Roman" w:hAnsi="Times New Roman" w:eastAsia="宋体" w:cs="Times New Roman"/>
                      <w:color w:val="auto"/>
                      <w:sz w:val="21"/>
                      <w:szCs w:val="21"/>
                      <w:lang w:eastAsia="zh-CN" w:bidi="ar"/>
                    </w:rPr>
                  </w:pPr>
                  <w:r>
                    <w:rPr>
                      <w:rFonts w:hint="default" w:ascii="Times New Roman" w:hAnsi="Times New Roman" w:cs="Times New Roman"/>
                      <w:color w:val="auto"/>
                      <w:sz w:val="21"/>
                      <w:szCs w:val="21"/>
                    </w:rPr>
                    <w:t>交由环卫部门定期清运</w:t>
                  </w:r>
                  <w:r>
                    <w:rPr>
                      <w:rFonts w:hint="default" w:ascii="Times New Roman" w:hAnsi="Times New Roman" w:cs="Times New Roman"/>
                      <w:color w:val="auto"/>
                      <w:sz w:val="21"/>
                      <w:szCs w:val="21"/>
                      <w:lang w:eastAsia="zh-CN"/>
                    </w:rPr>
                    <w:t>。</w:t>
                  </w:r>
                </w:p>
              </w:tc>
            </w:tr>
          </w:tbl>
          <w:p w14:paraId="64C661FB">
            <w:pPr>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（3）项目产品方案</w:t>
            </w:r>
          </w:p>
          <w:p w14:paraId="23538C60">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项目产品方案见表。</w:t>
            </w:r>
          </w:p>
          <w:p w14:paraId="2894EDC9">
            <w:pPr>
              <w:spacing w:line="240" w:lineRule="auto"/>
              <w:jc w:val="center"/>
              <w:rPr>
                <w:rFonts w:hint="default" w:ascii="Times New Roman" w:hAnsi="Times New Roman" w:cs="Times New Roman"/>
                <w:b/>
                <w:bCs/>
                <w:color w:val="auto"/>
                <w:kern w:val="0"/>
                <w:szCs w:val="22"/>
              </w:rPr>
            </w:pPr>
            <w:r>
              <w:rPr>
                <w:rFonts w:hint="default" w:ascii="Times New Roman" w:hAnsi="Times New Roman" w:cs="Times New Roman"/>
                <w:b/>
                <w:bCs/>
                <w:color w:val="auto"/>
                <w:kern w:val="0"/>
                <w:szCs w:val="22"/>
              </w:rPr>
              <w:t xml:space="preserve">  表</w:t>
            </w:r>
            <w:r>
              <w:rPr>
                <w:rFonts w:hint="default" w:ascii="Times New Roman" w:hAnsi="Times New Roman" w:cs="Times New Roman"/>
                <w:b/>
                <w:bCs/>
                <w:color w:val="auto"/>
                <w:kern w:val="0"/>
                <w:szCs w:val="22"/>
                <w:lang w:val="en-US" w:eastAsia="zh-CN"/>
              </w:rPr>
              <w:t>2-2</w:t>
            </w:r>
            <w:r>
              <w:rPr>
                <w:rFonts w:hint="default" w:ascii="Times New Roman" w:hAnsi="Times New Roman" w:cs="Times New Roman"/>
                <w:b/>
                <w:bCs/>
                <w:color w:val="auto"/>
                <w:kern w:val="0"/>
                <w:szCs w:val="22"/>
              </w:rPr>
              <w:t xml:space="preserve"> 项目产品产能一览表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1149"/>
              <w:gridCol w:w="1357"/>
              <w:gridCol w:w="1573"/>
              <w:gridCol w:w="3196"/>
            </w:tblGrid>
            <w:tr w14:paraId="6CEF7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952" w:type="pct"/>
                  <w:noWrap w:val="0"/>
                  <w:vAlign w:val="center"/>
                </w:tcPr>
                <w:p w14:paraId="35FAB252">
                  <w:pPr>
                    <w:spacing w:line="240" w:lineRule="auto"/>
                    <w:jc w:val="center"/>
                    <w:rPr>
                      <w:b/>
                      <w:bCs/>
                      <w:color w:val="auto"/>
                      <w:sz w:val="21"/>
                      <w:szCs w:val="21"/>
                    </w:rPr>
                  </w:pPr>
                  <w:r>
                    <w:rPr>
                      <w:rFonts w:hint="eastAsia"/>
                      <w:b/>
                      <w:bCs/>
                      <w:color w:val="auto"/>
                      <w:sz w:val="21"/>
                      <w:szCs w:val="21"/>
                    </w:rPr>
                    <w:t>产品名称</w:t>
                  </w:r>
                </w:p>
              </w:tc>
              <w:tc>
                <w:tcPr>
                  <w:tcW w:w="639" w:type="pct"/>
                  <w:noWrap w:val="0"/>
                  <w:vAlign w:val="center"/>
                </w:tcPr>
                <w:p w14:paraId="3A159A67">
                  <w:pPr>
                    <w:adjustRightInd w:val="0"/>
                    <w:snapToGrid w:val="0"/>
                    <w:spacing w:line="240" w:lineRule="auto"/>
                    <w:jc w:val="center"/>
                    <w:rPr>
                      <w:rFonts w:ascii="Times New Roman" w:hAnsi="Times New Roman"/>
                      <w:b/>
                      <w:bCs/>
                      <w:color w:val="auto"/>
                      <w:sz w:val="21"/>
                      <w:szCs w:val="21"/>
                    </w:rPr>
                  </w:pPr>
                  <w:r>
                    <w:rPr>
                      <w:rFonts w:hint="eastAsia" w:ascii="Times New Roman" w:hAnsi="Times New Roman"/>
                      <w:b/>
                      <w:bCs/>
                      <w:color w:val="auto"/>
                      <w:sz w:val="21"/>
                      <w:szCs w:val="21"/>
                    </w:rPr>
                    <w:t>单位</w:t>
                  </w:r>
                </w:p>
              </w:tc>
              <w:tc>
                <w:tcPr>
                  <w:tcW w:w="754" w:type="pct"/>
                  <w:noWrap w:val="0"/>
                  <w:vAlign w:val="center"/>
                </w:tcPr>
                <w:p w14:paraId="7FF15FA9">
                  <w:pPr>
                    <w:spacing w:line="240" w:lineRule="auto"/>
                    <w:jc w:val="center"/>
                    <w:rPr>
                      <w:rFonts w:ascii="Times New Roman" w:hAnsi="Times New Roman"/>
                      <w:b/>
                      <w:bCs/>
                      <w:color w:val="auto"/>
                      <w:sz w:val="21"/>
                      <w:szCs w:val="21"/>
                    </w:rPr>
                  </w:pPr>
                  <w:r>
                    <w:rPr>
                      <w:rFonts w:hint="eastAsia" w:ascii="Times New Roman" w:hAnsi="Times New Roman"/>
                      <w:b/>
                      <w:bCs/>
                      <w:color w:val="auto"/>
                      <w:sz w:val="21"/>
                      <w:szCs w:val="21"/>
                    </w:rPr>
                    <w:t>数量</w:t>
                  </w:r>
                </w:p>
              </w:tc>
              <w:tc>
                <w:tcPr>
                  <w:tcW w:w="875" w:type="pct"/>
                  <w:noWrap w:val="0"/>
                  <w:vAlign w:val="center"/>
                </w:tcPr>
                <w:p w14:paraId="1622FB47">
                  <w:pPr>
                    <w:spacing w:line="240" w:lineRule="auto"/>
                    <w:jc w:val="center"/>
                    <w:rPr>
                      <w:rFonts w:ascii="Times New Roman" w:hAnsi="Times New Roman"/>
                      <w:b/>
                      <w:bCs/>
                      <w:color w:val="auto"/>
                      <w:sz w:val="21"/>
                      <w:szCs w:val="21"/>
                    </w:rPr>
                  </w:pPr>
                  <w:r>
                    <w:rPr>
                      <w:rFonts w:hint="eastAsia" w:ascii="Times New Roman" w:hAnsi="Times New Roman"/>
                      <w:b/>
                      <w:bCs/>
                      <w:color w:val="auto"/>
                      <w:sz w:val="21"/>
                      <w:szCs w:val="21"/>
                    </w:rPr>
                    <w:t>规格（克）</w:t>
                  </w:r>
                </w:p>
              </w:tc>
              <w:tc>
                <w:tcPr>
                  <w:tcW w:w="1778" w:type="pct"/>
                  <w:noWrap w:val="0"/>
                  <w:vAlign w:val="center"/>
                </w:tcPr>
                <w:p w14:paraId="0AD6D646">
                  <w:pPr>
                    <w:spacing w:line="240" w:lineRule="auto"/>
                    <w:jc w:val="center"/>
                    <w:rPr>
                      <w:rFonts w:ascii="Times New Roman" w:hAnsi="Times New Roman"/>
                      <w:b/>
                      <w:bCs/>
                      <w:color w:val="auto"/>
                      <w:sz w:val="21"/>
                      <w:szCs w:val="21"/>
                    </w:rPr>
                  </w:pPr>
                  <w:r>
                    <w:rPr>
                      <w:rFonts w:hint="eastAsia" w:ascii="Times New Roman" w:hAnsi="Times New Roman"/>
                      <w:b/>
                      <w:bCs/>
                      <w:color w:val="auto"/>
                      <w:sz w:val="21"/>
                      <w:szCs w:val="21"/>
                    </w:rPr>
                    <w:t>产品照片</w:t>
                  </w:r>
                </w:p>
              </w:tc>
            </w:tr>
            <w:tr w14:paraId="6D15D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952" w:type="pct"/>
                  <w:noWrap w:val="0"/>
                  <w:vAlign w:val="center"/>
                </w:tcPr>
                <w:p w14:paraId="55C886E4">
                  <w:pPr>
                    <w:spacing w:line="240" w:lineRule="auto"/>
                    <w:jc w:val="center"/>
                    <w:rPr>
                      <w:color w:val="auto"/>
                      <w:sz w:val="21"/>
                      <w:szCs w:val="21"/>
                    </w:rPr>
                  </w:pPr>
                  <w:r>
                    <w:rPr>
                      <w:rFonts w:hint="eastAsia"/>
                      <w:color w:val="auto"/>
                      <w:sz w:val="21"/>
                      <w:szCs w:val="21"/>
                    </w:rPr>
                    <w:t>电子配件</w:t>
                  </w:r>
                </w:p>
              </w:tc>
              <w:tc>
                <w:tcPr>
                  <w:tcW w:w="639" w:type="pct"/>
                  <w:noWrap w:val="0"/>
                  <w:vAlign w:val="center"/>
                </w:tcPr>
                <w:p w14:paraId="1397B870">
                  <w:pPr>
                    <w:adjustRightInd w:val="0"/>
                    <w:snapToGrid w:val="0"/>
                    <w:spacing w:line="240" w:lineRule="auto"/>
                    <w:ind w:firstLine="105" w:firstLineChars="50"/>
                    <w:jc w:val="center"/>
                    <w:rPr>
                      <w:rFonts w:ascii="Times New Roman" w:hAnsi="Times New Roman"/>
                      <w:color w:val="auto"/>
                      <w:sz w:val="21"/>
                      <w:szCs w:val="21"/>
                    </w:rPr>
                  </w:pPr>
                  <w:r>
                    <w:rPr>
                      <w:rFonts w:hint="eastAsia" w:ascii="Times New Roman" w:hAnsi="Times New Roman"/>
                      <w:color w:val="auto"/>
                      <w:sz w:val="21"/>
                      <w:szCs w:val="21"/>
                    </w:rPr>
                    <w:t>PCS</w:t>
                  </w:r>
                </w:p>
              </w:tc>
              <w:tc>
                <w:tcPr>
                  <w:tcW w:w="754" w:type="pct"/>
                  <w:noWrap w:val="0"/>
                  <w:vAlign w:val="center"/>
                </w:tcPr>
                <w:p w14:paraId="51E8915B">
                  <w:pPr>
                    <w:spacing w:line="240" w:lineRule="auto"/>
                    <w:jc w:val="center"/>
                    <w:rPr>
                      <w:rFonts w:hint="default" w:ascii="Times New Roman" w:hAnsi="Times New Roman" w:eastAsia="宋体"/>
                      <w:color w:val="auto"/>
                      <w:sz w:val="21"/>
                      <w:szCs w:val="21"/>
                      <w:u w:val="single"/>
                      <w:lang w:val="en-US" w:eastAsia="zh-CN"/>
                    </w:rPr>
                  </w:pPr>
                  <w:r>
                    <w:rPr>
                      <w:rFonts w:hint="eastAsia" w:ascii="Times New Roman" w:hAnsi="Times New Roman"/>
                      <w:color w:val="auto"/>
                      <w:sz w:val="21"/>
                      <w:szCs w:val="21"/>
                      <w:u w:val="single"/>
                    </w:rPr>
                    <w:t>1200000000</w:t>
                  </w:r>
                  <w:r>
                    <w:rPr>
                      <w:rFonts w:hint="eastAsia" w:ascii="Times New Roman" w:hAnsi="Times New Roman"/>
                      <w:color w:val="auto"/>
                      <w:sz w:val="21"/>
                      <w:szCs w:val="21"/>
                      <w:u w:val="single"/>
                    </w:rPr>
                    <w:br w:type="textWrapping"/>
                  </w:r>
                  <w:r>
                    <w:rPr>
                      <w:rFonts w:hint="eastAsia" w:ascii="Times New Roman" w:hAnsi="Times New Roman"/>
                      <w:color w:val="auto"/>
                      <w:sz w:val="21"/>
                      <w:szCs w:val="21"/>
                      <w:u w:val="single"/>
                      <w:lang w:eastAsia="zh-CN"/>
                    </w:rPr>
                    <w:t>（</w:t>
                  </w:r>
                  <w:r>
                    <w:rPr>
                      <w:rFonts w:hint="eastAsia" w:ascii="Times New Roman" w:hAnsi="Times New Roman"/>
                      <w:color w:val="auto"/>
                      <w:sz w:val="21"/>
                      <w:szCs w:val="21"/>
                      <w:u w:val="single"/>
                      <w:lang w:val="en-US" w:eastAsia="zh-CN"/>
                    </w:rPr>
                    <w:t>约480t)</w:t>
                  </w:r>
                </w:p>
              </w:tc>
              <w:tc>
                <w:tcPr>
                  <w:tcW w:w="875" w:type="pct"/>
                  <w:noWrap w:val="0"/>
                  <w:vAlign w:val="center"/>
                </w:tcPr>
                <w:p w14:paraId="15E46B6F">
                  <w:pPr>
                    <w:spacing w:line="240" w:lineRule="auto"/>
                    <w:jc w:val="center"/>
                    <w:rPr>
                      <w:rFonts w:ascii="Times New Roman" w:hAnsi="Times New Roman"/>
                      <w:color w:val="auto"/>
                      <w:sz w:val="21"/>
                      <w:szCs w:val="21"/>
                    </w:rPr>
                  </w:pPr>
                  <w:r>
                    <w:rPr>
                      <w:rFonts w:hint="eastAsia" w:ascii="Times New Roman" w:hAnsi="Times New Roman"/>
                      <w:color w:val="auto"/>
                      <w:sz w:val="21"/>
                      <w:szCs w:val="21"/>
                    </w:rPr>
                    <w:t>0.40</w:t>
                  </w:r>
                </w:p>
              </w:tc>
              <w:tc>
                <w:tcPr>
                  <w:tcW w:w="1778" w:type="pct"/>
                  <w:noWrap w:val="0"/>
                  <w:vAlign w:val="center"/>
                </w:tcPr>
                <w:p w14:paraId="65990CD7">
                  <w:pPr>
                    <w:spacing w:line="240" w:lineRule="auto"/>
                    <w:jc w:val="center"/>
                    <w:rPr>
                      <w:rFonts w:ascii="Times New Roman" w:hAnsi="Times New Roman"/>
                      <w:color w:val="auto"/>
                      <w:sz w:val="21"/>
                      <w:szCs w:val="21"/>
                    </w:rPr>
                  </w:pPr>
                  <w:r>
                    <w:rPr>
                      <w:rFonts w:hint="eastAsia" w:ascii="Times New Roman" w:hAnsi="Times New Roman"/>
                      <w:color w:val="auto"/>
                      <w:sz w:val="21"/>
                      <w:szCs w:val="21"/>
                    </w:rPr>
                    <w:drawing>
                      <wp:inline distT="0" distB="0" distL="114300" distR="114300">
                        <wp:extent cx="954405" cy="1492250"/>
                        <wp:effectExtent l="0" t="0" r="17145" b="12700"/>
                        <wp:docPr id="125" name="图片 17" descr="1751449786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7" descr="1751449786107"/>
                                <pic:cNvPicPr>
                                  <a:picLocks noChangeAspect="1"/>
                                </pic:cNvPicPr>
                              </pic:nvPicPr>
                              <pic:blipFill>
                                <a:blip r:embed="rId12"/>
                                <a:stretch>
                                  <a:fillRect/>
                                </a:stretch>
                              </pic:blipFill>
                              <pic:spPr>
                                <a:xfrm>
                                  <a:off x="0" y="0"/>
                                  <a:ext cx="954405" cy="1492250"/>
                                </a:xfrm>
                                <a:prstGeom prst="rect">
                                  <a:avLst/>
                                </a:prstGeom>
                                <a:noFill/>
                                <a:ln>
                                  <a:noFill/>
                                </a:ln>
                              </pic:spPr>
                            </pic:pic>
                          </a:graphicData>
                        </a:graphic>
                      </wp:inline>
                    </w:drawing>
                  </w:r>
                </w:p>
              </w:tc>
            </w:tr>
            <w:tr w14:paraId="5F3C4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7" w:hRule="atLeast"/>
                <w:jc w:val="center"/>
              </w:trPr>
              <w:tc>
                <w:tcPr>
                  <w:tcW w:w="952" w:type="pct"/>
                  <w:noWrap w:val="0"/>
                  <w:vAlign w:val="center"/>
                </w:tcPr>
                <w:p w14:paraId="74245264">
                  <w:pPr>
                    <w:spacing w:line="240" w:lineRule="auto"/>
                    <w:jc w:val="center"/>
                    <w:rPr>
                      <w:color w:val="auto"/>
                      <w:sz w:val="21"/>
                      <w:szCs w:val="21"/>
                    </w:rPr>
                  </w:pPr>
                  <w:r>
                    <w:rPr>
                      <w:rFonts w:hint="eastAsia"/>
                      <w:color w:val="auto"/>
                      <w:sz w:val="21"/>
                      <w:szCs w:val="21"/>
                    </w:rPr>
                    <w:t>电子元器件</w:t>
                  </w:r>
                </w:p>
              </w:tc>
              <w:tc>
                <w:tcPr>
                  <w:tcW w:w="639" w:type="pct"/>
                  <w:noWrap w:val="0"/>
                  <w:vAlign w:val="center"/>
                </w:tcPr>
                <w:p w14:paraId="7C090CC2">
                  <w:pPr>
                    <w:adjustRightInd w:val="0"/>
                    <w:snapToGrid w:val="0"/>
                    <w:spacing w:line="240" w:lineRule="auto"/>
                    <w:ind w:firstLine="105" w:firstLineChars="50"/>
                    <w:jc w:val="center"/>
                    <w:rPr>
                      <w:rFonts w:ascii="Times New Roman" w:hAnsi="Times New Roman"/>
                      <w:color w:val="auto"/>
                      <w:sz w:val="21"/>
                      <w:szCs w:val="21"/>
                      <w:u w:val="single"/>
                    </w:rPr>
                  </w:pPr>
                  <w:r>
                    <w:rPr>
                      <w:rFonts w:hint="eastAsia" w:ascii="Times New Roman" w:hAnsi="Times New Roman"/>
                      <w:color w:val="auto"/>
                      <w:sz w:val="21"/>
                      <w:szCs w:val="21"/>
                      <w:u w:val="single"/>
                    </w:rPr>
                    <w:t>PCS</w:t>
                  </w:r>
                </w:p>
              </w:tc>
              <w:tc>
                <w:tcPr>
                  <w:tcW w:w="754" w:type="pct"/>
                  <w:noWrap w:val="0"/>
                  <w:vAlign w:val="center"/>
                </w:tcPr>
                <w:p w14:paraId="67D132E5">
                  <w:pPr>
                    <w:spacing w:line="240" w:lineRule="auto"/>
                    <w:jc w:val="center"/>
                    <w:rPr>
                      <w:rFonts w:hint="default" w:ascii="Times New Roman" w:hAnsi="Times New Roman" w:eastAsia="宋体"/>
                      <w:color w:val="auto"/>
                      <w:sz w:val="21"/>
                      <w:szCs w:val="21"/>
                      <w:u w:val="single"/>
                      <w:lang w:val="en-US" w:eastAsia="zh-CN"/>
                    </w:rPr>
                  </w:pPr>
                  <w:r>
                    <w:rPr>
                      <w:rFonts w:hint="eastAsia" w:ascii="Times New Roman" w:hAnsi="Times New Roman"/>
                      <w:color w:val="auto"/>
                      <w:sz w:val="21"/>
                      <w:szCs w:val="21"/>
                      <w:u w:val="single"/>
                    </w:rPr>
                    <w:t>80000000</w:t>
                  </w:r>
                  <w:r>
                    <w:rPr>
                      <w:rFonts w:hint="eastAsia" w:ascii="Times New Roman" w:hAnsi="Times New Roman"/>
                      <w:color w:val="auto"/>
                      <w:sz w:val="21"/>
                      <w:szCs w:val="21"/>
                      <w:u w:val="single"/>
                    </w:rPr>
                    <w:br w:type="textWrapping"/>
                  </w:r>
                  <w:r>
                    <w:rPr>
                      <w:rFonts w:hint="eastAsia" w:ascii="Times New Roman" w:hAnsi="Times New Roman"/>
                      <w:color w:val="auto"/>
                      <w:sz w:val="21"/>
                      <w:szCs w:val="21"/>
                      <w:u w:val="single"/>
                      <w:lang w:val="en-US" w:eastAsia="zh-CN"/>
                    </w:rPr>
                    <w:t>(约102.4t)</w:t>
                  </w:r>
                </w:p>
              </w:tc>
              <w:tc>
                <w:tcPr>
                  <w:tcW w:w="875" w:type="pct"/>
                  <w:noWrap w:val="0"/>
                  <w:vAlign w:val="center"/>
                </w:tcPr>
                <w:p w14:paraId="5C60ADCC">
                  <w:pPr>
                    <w:spacing w:line="240" w:lineRule="auto"/>
                    <w:jc w:val="center"/>
                    <w:rPr>
                      <w:rFonts w:ascii="Times New Roman" w:hAnsi="Times New Roman"/>
                      <w:color w:val="auto"/>
                      <w:sz w:val="21"/>
                      <w:szCs w:val="21"/>
                    </w:rPr>
                  </w:pPr>
                  <w:r>
                    <w:rPr>
                      <w:rFonts w:hint="eastAsia" w:ascii="Times New Roman" w:hAnsi="Times New Roman"/>
                      <w:color w:val="auto"/>
                      <w:sz w:val="21"/>
                      <w:szCs w:val="21"/>
                    </w:rPr>
                    <w:t>1.28</w:t>
                  </w:r>
                </w:p>
              </w:tc>
              <w:tc>
                <w:tcPr>
                  <w:tcW w:w="1778" w:type="pct"/>
                  <w:noWrap w:val="0"/>
                  <w:vAlign w:val="center"/>
                </w:tcPr>
                <w:p w14:paraId="44ECD6CA">
                  <w:pPr>
                    <w:spacing w:line="240" w:lineRule="auto"/>
                    <w:jc w:val="center"/>
                    <w:rPr>
                      <w:rFonts w:ascii="Times New Roman" w:hAnsi="Times New Roman"/>
                      <w:color w:val="auto"/>
                      <w:sz w:val="21"/>
                      <w:szCs w:val="21"/>
                    </w:rPr>
                  </w:pPr>
                  <w:r>
                    <w:rPr>
                      <w:rFonts w:hint="eastAsia" w:ascii="Times New Roman" w:hAnsi="Times New Roman"/>
                      <w:color w:val="auto"/>
                      <w:sz w:val="21"/>
                      <w:szCs w:val="21"/>
                    </w:rPr>
                    <w:drawing>
                      <wp:inline distT="0" distB="0" distL="114300" distR="114300">
                        <wp:extent cx="1164590" cy="1419860"/>
                        <wp:effectExtent l="0" t="0" r="16510" b="8890"/>
                        <wp:docPr id="126" name="图片 18" descr="1751449796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8" descr="1751449796871"/>
                                <pic:cNvPicPr>
                                  <a:picLocks noChangeAspect="1"/>
                                </pic:cNvPicPr>
                              </pic:nvPicPr>
                              <pic:blipFill>
                                <a:blip r:embed="rId13"/>
                                <a:srcRect l="15263"/>
                                <a:stretch>
                                  <a:fillRect/>
                                </a:stretch>
                              </pic:blipFill>
                              <pic:spPr>
                                <a:xfrm>
                                  <a:off x="0" y="0"/>
                                  <a:ext cx="1164590" cy="1419860"/>
                                </a:xfrm>
                                <a:prstGeom prst="rect">
                                  <a:avLst/>
                                </a:prstGeom>
                                <a:noFill/>
                                <a:ln>
                                  <a:noFill/>
                                </a:ln>
                              </pic:spPr>
                            </pic:pic>
                          </a:graphicData>
                        </a:graphic>
                      </wp:inline>
                    </w:drawing>
                  </w:r>
                </w:p>
              </w:tc>
            </w:tr>
            <w:tr w14:paraId="29E14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2" w:type="pct"/>
                  <w:noWrap w:val="0"/>
                  <w:vAlign w:val="center"/>
                </w:tcPr>
                <w:p w14:paraId="6CF0849B">
                  <w:pPr>
                    <w:spacing w:line="240" w:lineRule="auto"/>
                    <w:jc w:val="center"/>
                    <w:rPr>
                      <w:rFonts w:hint="eastAsia" w:eastAsia="宋体"/>
                      <w:color w:val="auto"/>
                      <w:sz w:val="21"/>
                      <w:szCs w:val="21"/>
                      <w:lang w:val="en-US" w:eastAsia="zh-CN"/>
                    </w:rPr>
                  </w:pPr>
                  <w:r>
                    <w:rPr>
                      <w:rFonts w:hint="eastAsia"/>
                      <w:color w:val="auto"/>
                      <w:sz w:val="21"/>
                      <w:szCs w:val="21"/>
                      <w:lang w:val="en-US" w:eastAsia="zh-CN"/>
                    </w:rPr>
                    <w:t>模具</w:t>
                  </w:r>
                </w:p>
              </w:tc>
              <w:tc>
                <w:tcPr>
                  <w:tcW w:w="639" w:type="pct"/>
                  <w:noWrap w:val="0"/>
                  <w:vAlign w:val="center"/>
                </w:tcPr>
                <w:p w14:paraId="012BA7D5">
                  <w:pPr>
                    <w:adjustRightInd w:val="0"/>
                    <w:snapToGrid w:val="0"/>
                    <w:spacing w:line="240" w:lineRule="auto"/>
                    <w:ind w:firstLine="105" w:firstLineChars="50"/>
                    <w:jc w:val="center"/>
                    <w:rPr>
                      <w:rFonts w:hint="default" w:ascii="Times New Roman" w:hAnsi="Times New Roman" w:eastAsia="宋体"/>
                      <w:color w:val="auto"/>
                      <w:sz w:val="21"/>
                      <w:szCs w:val="21"/>
                      <w:u w:val="single"/>
                      <w:lang w:val="en-US" w:eastAsia="zh-CN"/>
                    </w:rPr>
                  </w:pPr>
                  <w:r>
                    <w:rPr>
                      <w:rFonts w:hint="eastAsia"/>
                      <w:color w:val="auto"/>
                      <w:sz w:val="21"/>
                      <w:szCs w:val="21"/>
                      <w:u w:val="single"/>
                      <w:lang w:val="en-US" w:eastAsia="zh-CN"/>
                    </w:rPr>
                    <w:t>吨</w:t>
                  </w:r>
                </w:p>
              </w:tc>
              <w:tc>
                <w:tcPr>
                  <w:tcW w:w="754" w:type="pct"/>
                  <w:noWrap w:val="0"/>
                  <w:vAlign w:val="center"/>
                </w:tcPr>
                <w:p w14:paraId="5623E21B">
                  <w:pPr>
                    <w:spacing w:line="240" w:lineRule="auto"/>
                    <w:jc w:val="center"/>
                    <w:rPr>
                      <w:rFonts w:hint="eastAsia" w:ascii="Times New Roman" w:hAnsi="Times New Roman" w:eastAsia="宋体"/>
                      <w:color w:val="auto"/>
                      <w:sz w:val="21"/>
                      <w:szCs w:val="21"/>
                      <w:u w:val="single"/>
                      <w:lang w:val="en-US" w:eastAsia="zh-CN"/>
                    </w:rPr>
                  </w:pPr>
                  <w:r>
                    <w:rPr>
                      <w:rFonts w:hint="eastAsia"/>
                      <w:color w:val="auto"/>
                      <w:sz w:val="21"/>
                      <w:szCs w:val="21"/>
                      <w:u w:val="single"/>
                      <w:lang w:val="en-US" w:eastAsia="zh-CN"/>
                    </w:rPr>
                    <w:t>2</w:t>
                  </w:r>
                </w:p>
              </w:tc>
              <w:tc>
                <w:tcPr>
                  <w:tcW w:w="2653" w:type="pct"/>
                  <w:gridSpan w:val="2"/>
                  <w:noWrap w:val="0"/>
                  <w:vAlign w:val="center"/>
                </w:tcPr>
                <w:p w14:paraId="7DC6A742">
                  <w:pPr>
                    <w:spacing w:line="240" w:lineRule="auto"/>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自用，不外售</w:t>
                  </w:r>
                </w:p>
              </w:tc>
            </w:tr>
          </w:tbl>
          <w:p w14:paraId="6BA820DC">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（4）项目原辅材料</w:t>
            </w:r>
          </w:p>
          <w:p w14:paraId="304191D6">
            <w:pPr>
              <w:ind w:firstLine="482" w:firstLineChars="200"/>
              <w:jc w:val="left"/>
              <w:rPr>
                <w:rFonts w:hint="default" w:ascii="Times New Roman" w:hAnsi="Times New Roman" w:cs="Times New Roman"/>
                <w:b/>
                <w:bCs/>
                <w:color w:val="auto"/>
                <w:szCs w:val="20"/>
              </w:rPr>
            </w:pPr>
            <w:r>
              <w:rPr>
                <w:rFonts w:hint="default" w:ascii="Times New Roman" w:hAnsi="Times New Roman" w:cs="Times New Roman"/>
                <w:b/>
                <w:bCs/>
                <w:color w:val="auto"/>
                <w:szCs w:val="20"/>
              </w:rPr>
              <w:t>1）主要原辅材料用量</w:t>
            </w:r>
          </w:p>
          <w:p w14:paraId="3FE8F1A1">
            <w:pPr>
              <w:ind w:firstLine="480" w:firstLineChars="200"/>
              <w:jc w:val="left"/>
              <w:rPr>
                <w:rFonts w:hint="default" w:ascii="Times New Roman" w:hAnsi="Times New Roman" w:cs="Times New Roman"/>
                <w:color w:val="auto"/>
                <w:szCs w:val="20"/>
              </w:rPr>
            </w:pPr>
            <w:r>
              <w:rPr>
                <w:rFonts w:hint="default" w:ascii="Times New Roman" w:hAnsi="Times New Roman" w:cs="Times New Roman"/>
                <w:color w:val="auto"/>
                <w:szCs w:val="20"/>
                <w:lang w:val="en-US" w:eastAsia="zh-CN"/>
              </w:rPr>
              <w:t>项目从事</w:t>
            </w:r>
            <w:r>
              <w:rPr>
                <w:rFonts w:hint="eastAsia" w:cs="Times New Roman"/>
                <w:color w:val="auto"/>
                <w:szCs w:val="20"/>
                <w:lang w:val="en-US" w:eastAsia="zh-CN"/>
              </w:rPr>
              <w:t>电子器件</w:t>
            </w:r>
            <w:r>
              <w:rPr>
                <w:rFonts w:hint="default" w:ascii="Times New Roman" w:hAnsi="Times New Roman" w:cs="Times New Roman"/>
                <w:color w:val="auto"/>
                <w:szCs w:val="20"/>
                <w:lang w:val="en-US" w:eastAsia="zh-CN"/>
              </w:rPr>
              <w:t>和模具的生产，项目使用的塑胶原料均为新料，不涉及废旧塑料加工或再生利用。</w:t>
            </w:r>
            <w:r>
              <w:rPr>
                <w:rFonts w:hint="default" w:ascii="Times New Roman" w:hAnsi="Times New Roman" w:cs="Times New Roman"/>
                <w:color w:val="auto"/>
                <w:szCs w:val="20"/>
              </w:rPr>
              <w:t>项目主要原辅材料</w:t>
            </w:r>
            <w:r>
              <w:rPr>
                <w:rFonts w:hint="default" w:ascii="Times New Roman" w:hAnsi="Times New Roman" w:cs="Times New Roman"/>
                <w:snapToGrid w:val="0"/>
                <w:color w:val="auto"/>
                <w:kern w:val="0"/>
              </w:rPr>
              <w:t>消耗情况</w:t>
            </w:r>
            <w:r>
              <w:rPr>
                <w:rFonts w:hint="default" w:ascii="Times New Roman" w:hAnsi="Times New Roman" w:cs="Times New Roman"/>
                <w:color w:val="auto"/>
                <w:szCs w:val="20"/>
              </w:rPr>
              <w:t>见下表。</w:t>
            </w:r>
          </w:p>
          <w:p w14:paraId="016DA13C">
            <w:pPr>
              <w:wordWrap/>
              <w:adjustRightInd w:val="0"/>
              <w:snapToGrid w:val="0"/>
              <w:spacing w:line="240" w:lineRule="auto"/>
              <w:ind w:firstLine="482" w:firstLineChars="200"/>
              <w:jc w:val="center"/>
              <w:rPr>
                <w:rFonts w:ascii="Times New Roman" w:hAnsi="Times New Roman" w:cs="Times New Roman"/>
                <w:b/>
                <w:bCs/>
                <w:color w:val="auto"/>
                <w:sz w:val="21"/>
              </w:rPr>
            </w:pPr>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2-3</w:t>
            </w:r>
            <w:r>
              <w:rPr>
                <w:rFonts w:hint="default" w:ascii="Times New Roman" w:hAnsi="Times New Roman" w:cs="Times New Roman"/>
                <w:b/>
                <w:color w:val="auto"/>
                <w:kern w:val="0"/>
                <w:szCs w:val="22"/>
                <w:lang w:bidi="ar"/>
              </w:rPr>
              <w:t>项目主要原辅材料消耗一览表</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849"/>
              <w:gridCol w:w="988"/>
              <w:gridCol w:w="1410"/>
              <w:gridCol w:w="950"/>
              <w:gridCol w:w="950"/>
              <w:gridCol w:w="1966"/>
            </w:tblGrid>
            <w:tr w14:paraId="0C66A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484" w:type="pct"/>
                  <w:tcBorders>
                    <w:top w:val="single" w:color="auto" w:sz="4" w:space="0"/>
                    <w:left w:val="single" w:color="auto" w:sz="4" w:space="0"/>
                    <w:bottom w:val="single" w:color="auto" w:sz="4" w:space="0"/>
                    <w:right w:val="single" w:color="auto" w:sz="4" w:space="0"/>
                  </w:tcBorders>
                  <w:noWrap w:val="0"/>
                  <w:vAlign w:val="center"/>
                </w:tcPr>
                <w:p w14:paraId="182CE144">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种类</w:t>
                  </w:r>
                </w:p>
              </w:tc>
              <w:tc>
                <w:tcPr>
                  <w:tcW w:w="1029" w:type="pct"/>
                  <w:tcBorders>
                    <w:top w:val="single" w:color="auto" w:sz="4" w:space="0"/>
                    <w:left w:val="nil"/>
                    <w:bottom w:val="single" w:color="auto" w:sz="4" w:space="0"/>
                    <w:right w:val="single" w:color="auto" w:sz="4" w:space="0"/>
                  </w:tcBorders>
                  <w:noWrap w:val="0"/>
                  <w:vAlign w:val="center"/>
                </w:tcPr>
                <w:p w14:paraId="05CE87DA">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原辅料名称</w:t>
                  </w:r>
                </w:p>
              </w:tc>
              <w:tc>
                <w:tcPr>
                  <w:tcW w:w="549" w:type="pct"/>
                  <w:tcBorders>
                    <w:top w:val="single" w:color="auto" w:sz="4" w:space="0"/>
                    <w:left w:val="nil"/>
                    <w:bottom w:val="single" w:color="auto" w:sz="4" w:space="0"/>
                    <w:right w:val="single" w:color="auto" w:sz="4" w:space="0"/>
                  </w:tcBorders>
                  <w:noWrap w:val="0"/>
                  <w:vAlign w:val="center"/>
                </w:tcPr>
                <w:p w14:paraId="6D642CA9">
                  <w:pPr>
                    <w:wordWrap/>
                    <w:adjustRightInd w:val="0"/>
                    <w:snapToGrid w:val="0"/>
                    <w:spacing w:line="240" w:lineRule="auto"/>
                    <w:jc w:val="center"/>
                    <w:rPr>
                      <w:rFonts w:ascii="Times New Roman" w:hAnsi="Times New Roman" w:cs="Times New Roman"/>
                      <w:b/>
                      <w:bCs/>
                      <w:color w:val="auto"/>
                      <w:sz w:val="21"/>
                    </w:rPr>
                  </w:pPr>
                  <w:r>
                    <w:rPr>
                      <w:rFonts w:hint="eastAsia" w:ascii="Times New Roman" w:hAnsi="Times New Roman" w:cs="Times New Roman"/>
                      <w:b/>
                      <w:bCs/>
                      <w:color w:val="auto"/>
                      <w:sz w:val="21"/>
                    </w:rPr>
                    <w:t>年</w:t>
                  </w:r>
                  <w:r>
                    <w:rPr>
                      <w:rFonts w:ascii="Times New Roman" w:hAnsi="Times New Roman" w:cs="Times New Roman"/>
                      <w:b/>
                      <w:bCs/>
                      <w:color w:val="auto"/>
                      <w:sz w:val="21"/>
                    </w:rPr>
                    <w:t>用量</w:t>
                  </w:r>
                </w:p>
              </w:tc>
              <w:tc>
                <w:tcPr>
                  <w:tcW w:w="784" w:type="pct"/>
                  <w:tcBorders>
                    <w:top w:val="single" w:color="auto" w:sz="4" w:space="0"/>
                    <w:left w:val="nil"/>
                    <w:bottom w:val="single" w:color="auto" w:sz="4" w:space="0"/>
                    <w:right w:val="single" w:color="auto" w:sz="4" w:space="0"/>
                  </w:tcBorders>
                  <w:noWrap w:val="0"/>
                  <w:vAlign w:val="center"/>
                </w:tcPr>
                <w:p w14:paraId="33177FA6">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最大储存量</w:t>
                  </w:r>
                </w:p>
              </w:tc>
              <w:tc>
                <w:tcPr>
                  <w:tcW w:w="528" w:type="pct"/>
                  <w:tcBorders>
                    <w:top w:val="single" w:color="auto" w:sz="4" w:space="0"/>
                    <w:left w:val="nil"/>
                    <w:bottom w:val="single" w:color="auto" w:sz="4" w:space="0"/>
                    <w:right w:val="single" w:color="auto" w:sz="4" w:space="0"/>
                  </w:tcBorders>
                  <w:noWrap w:val="0"/>
                  <w:vAlign w:val="center"/>
                </w:tcPr>
                <w:p w14:paraId="5BE5E49E">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单位</w:t>
                  </w:r>
                </w:p>
              </w:tc>
              <w:tc>
                <w:tcPr>
                  <w:tcW w:w="528" w:type="pct"/>
                  <w:tcBorders>
                    <w:top w:val="single" w:color="auto" w:sz="4" w:space="0"/>
                    <w:left w:val="nil"/>
                    <w:bottom w:val="single" w:color="auto" w:sz="4" w:space="0"/>
                    <w:right w:val="single" w:color="auto" w:sz="4" w:space="0"/>
                  </w:tcBorders>
                  <w:noWrap w:val="0"/>
                  <w:vAlign w:val="center"/>
                </w:tcPr>
                <w:p w14:paraId="638551FF">
                  <w:pPr>
                    <w:wordWrap/>
                    <w:adjustRightInd w:val="0"/>
                    <w:snapToGrid w:val="0"/>
                    <w:spacing w:line="240" w:lineRule="auto"/>
                    <w:jc w:val="center"/>
                    <w:rPr>
                      <w:rFonts w:ascii="Times New Roman" w:hAnsi="Times New Roman" w:cs="Times New Roman"/>
                      <w:b/>
                      <w:bCs/>
                      <w:color w:val="auto"/>
                      <w:sz w:val="21"/>
                    </w:rPr>
                  </w:pPr>
                  <w:r>
                    <w:rPr>
                      <w:rFonts w:hint="eastAsia" w:ascii="Times New Roman" w:hAnsi="Times New Roman" w:cs="Times New Roman"/>
                      <w:b/>
                      <w:bCs/>
                      <w:color w:val="auto"/>
                      <w:sz w:val="21"/>
                    </w:rPr>
                    <w:t>形态</w:t>
                  </w:r>
                </w:p>
              </w:tc>
              <w:tc>
                <w:tcPr>
                  <w:tcW w:w="1094" w:type="pct"/>
                  <w:tcBorders>
                    <w:top w:val="single" w:color="auto" w:sz="4" w:space="0"/>
                    <w:left w:val="nil"/>
                    <w:bottom w:val="single" w:color="auto" w:sz="4" w:space="0"/>
                    <w:right w:val="single" w:color="auto" w:sz="4" w:space="0"/>
                  </w:tcBorders>
                  <w:noWrap w:val="0"/>
                  <w:vAlign w:val="center"/>
                </w:tcPr>
                <w:p w14:paraId="5C882E82">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主要产生工艺</w:t>
                  </w:r>
                </w:p>
              </w:tc>
            </w:tr>
            <w:tr w14:paraId="06126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484" w:type="pct"/>
                  <w:vMerge w:val="restart"/>
                  <w:tcBorders>
                    <w:top w:val="nil"/>
                    <w:left w:val="single" w:color="auto" w:sz="4" w:space="0"/>
                    <w:right w:val="single" w:color="auto" w:sz="4" w:space="0"/>
                  </w:tcBorders>
                  <w:noWrap w:val="0"/>
                  <w:vAlign w:val="center"/>
                </w:tcPr>
                <w:p w14:paraId="4DAD77E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原料</w:t>
                  </w:r>
                </w:p>
              </w:tc>
              <w:tc>
                <w:tcPr>
                  <w:tcW w:w="1029" w:type="pct"/>
                  <w:tcBorders>
                    <w:top w:val="single" w:color="auto" w:sz="4" w:space="0"/>
                    <w:left w:val="nil"/>
                    <w:bottom w:val="single" w:color="auto" w:sz="4" w:space="0"/>
                    <w:right w:val="single" w:color="auto" w:sz="4" w:space="0"/>
                  </w:tcBorders>
                  <w:noWrap w:val="0"/>
                  <w:vAlign w:val="center"/>
                </w:tcPr>
                <w:p w14:paraId="280766A5">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PA66</w:t>
                  </w:r>
                </w:p>
              </w:tc>
              <w:tc>
                <w:tcPr>
                  <w:tcW w:w="549" w:type="pct"/>
                  <w:tcBorders>
                    <w:top w:val="single" w:color="auto" w:sz="4" w:space="0"/>
                    <w:left w:val="nil"/>
                    <w:right w:val="single" w:color="auto" w:sz="4" w:space="0"/>
                  </w:tcBorders>
                  <w:noWrap w:val="0"/>
                  <w:vAlign w:val="center"/>
                </w:tcPr>
                <w:p w14:paraId="02A64FD4">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5</w:t>
                  </w:r>
                  <w:r>
                    <w:rPr>
                      <w:rFonts w:hint="eastAsia" w:ascii="Times New Roman" w:hAnsi="Times New Roman" w:cs="Times New Roman"/>
                      <w:color w:val="auto"/>
                      <w:sz w:val="21"/>
                    </w:rPr>
                    <w:t>0</w:t>
                  </w:r>
                </w:p>
              </w:tc>
              <w:tc>
                <w:tcPr>
                  <w:tcW w:w="784" w:type="pct"/>
                  <w:tcBorders>
                    <w:top w:val="single" w:color="auto" w:sz="4" w:space="0"/>
                    <w:left w:val="nil"/>
                    <w:right w:val="single" w:color="auto" w:sz="4" w:space="0"/>
                  </w:tcBorders>
                  <w:noWrap w:val="0"/>
                  <w:vAlign w:val="center"/>
                </w:tcPr>
                <w:p w14:paraId="6F0C8C5D">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1</w:t>
                  </w:r>
                </w:p>
              </w:tc>
              <w:tc>
                <w:tcPr>
                  <w:tcW w:w="528" w:type="pct"/>
                  <w:tcBorders>
                    <w:top w:val="single" w:color="auto" w:sz="4" w:space="0"/>
                    <w:left w:val="nil"/>
                    <w:right w:val="single" w:color="auto" w:sz="4" w:space="0"/>
                  </w:tcBorders>
                  <w:noWrap w:val="0"/>
                  <w:vAlign w:val="center"/>
                </w:tcPr>
                <w:p w14:paraId="4330A222">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right w:val="single" w:color="auto" w:sz="4" w:space="0"/>
                  </w:tcBorders>
                  <w:noWrap w:val="0"/>
                  <w:vAlign w:val="center"/>
                </w:tcPr>
                <w:p w14:paraId="36E93833">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颗粒</w:t>
                  </w:r>
                </w:p>
              </w:tc>
              <w:tc>
                <w:tcPr>
                  <w:tcW w:w="1094" w:type="pct"/>
                  <w:vMerge w:val="restart"/>
                  <w:tcBorders>
                    <w:top w:val="single" w:color="auto" w:sz="4" w:space="0"/>
                    <w:left w:val="nil"/>
                    <w:right w:val="single" w:color="auto" w:sz="4" w:space="0"/>
                  </w:tcBorders>
                  <w:noWrap w:val="0"/>
                  <w:vAlign w:val="center"/>
                </w:tcPr>
                <w:p w14:paraId="7DD0A4B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搅拌、烘干、注塑</w:t>
                  </w:r>
                </w:p>
              </w:tc>
            </w:tr>
            <w:tr w14:paraId="546D5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484" w:type="pct"/>
                  <w:vMerge w:val="continue"/>
                  <w:tcBorders>
                    <w:left w:val="single" w:color="auto" w:sz="4" w:space="0"/>
                    <w:right w:val="single" w:color="auto" w:sz="4" w:space="0"/>
                  </w:tcBorders>
                  <w:noWrap w:val="0"/>
                  <w:vAlign w:val="center"/>
                </w:tcPr>
                <w:p w14:paraId="0E9DD15E">
                  <w:pPr>
                    <w:wordWrap/>
                    <w:adjustRightInd w:val="0"/>
                    <w:snapToGrid w:val="0"/>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27163821">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PBT</w:t>
                  </w:r>
                </w:p>
              </w:tc>
              <w:tc>
                <w:tcPr>
                  <w:tcW w:w="549" w:type="pct"/>
                  <w:tcBorders>
                    <w:left w:val="nil"/>
                    <w:right w:val="single" w:color="auto" w:sz="4" w:space="0"/>
                  </w:tcBorders>
                  <w:noWrap w:val="0"/>
                  <w:vAlign w:val="center"/>
                </w:tcPr>
                <w:p w14:paraId="0CBF69D4">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150</w:t>
                  </w:r>
                </w:p>
              </w:tc>
              <w:tc>
                <w:tcPr>
                  <w:tcW w:w="784" w:type="pct"/>
                  <w:tcBorders>
                    <w:left w:val="nil"/>
                    <w:right w:val="single" w:color="auto" w:sz="4" w:space="0"/>
                  </w:tcBorders>
                  <w:noWrap w:val="0"/>
                  <w:vAlign w:val="center"/>
                </w:tcPr>
                <w:p w14:paraId="01B2D785">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20</w:t>
                  </w:r>
                </w:p>
              </w:tc>
              <w:tc>
                <w:tcPr>
                  <w:tcW w:w="528" w:type="pct"/>
                  <w:tcBorders>
                    <w:left w:val="nil"/>
                    <w:right w:val="single" w:color="auto" w:sz="4" w:space="0"/>
                  </w:tcBorders>
                  <w:noWrap w:val="0"/>
                  <w:vAlign w:val="center"/>
                </w:tcPr>
                <w:p w14:paraId="75DC7739">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left w:val="nil"/>
                    <w:right w:val="single" w:color="auto" w:sz="4" w:space="0"/>
                  </w:tcBorders>
                  <w:noWrap w:val="0"/>
                  <w:vAlign w:val="center"/>
                </w:tcPr>
                <w:p w14:paraId="464D22B3">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颗粒</w:t>
                  </w:r>
                </w:p>
              </w:tc>
              <w:tc>
                <w:tcPr>
                  <w:tcW w:w="1094" w:type="pct"/>
                  <w:vMerge w:val="continue"/>
                  <w:tcBorders>
                    <w:left w:val="nil"/>
                    <w:right w:val="single" w:color="auto" w:sz="4" w:space="0"/>
                  </w:tcBorders>
                  <w:noWrap w:val="0"/>
                  <w:vAlign w:val="center"/>
                </w:tcPr>
                <w:p w14:paraId="777AC272">
                  <w:pPr>
                    <w:wordWrap/>
                    <w:adjustRightInd w:val="0"/>
                    <w:snapToGrid w:val="0"/>
                    <w:spacing w:line="240" w:lineRule="auto"/>
                    <w:jc w:val="center"/>
                    <w:rPr>
                      <w:rFonts w:ascii="Times New Roman" w:hAnsi="Times New Roman" w:cs="Times New Roman"/>
                      <w:color w:val="auto"/>
                      <w:sz w:val="21"/>
                    </w:rPr>
                  </w:pPr>
                </w:p>
              </w:tc>
            </w:tr>
            <w:tr w14:paraId="6C19C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484" w:type="pct"/>
                  <w:vMerge w:val="continue"/>
                  <w:tcBorders>
                    <w:left w:val="single" w:color="auto" w:sz="4" w:space="0"/>
                    <w:right w:val="single" w:color="auto" w:sz="4" w:space="0"/>
                  </w:tcBorders>
                  <w:noWrap w:val="0"/>
                  <w:vAlign w:val="center"/>
                </w:tcPr>
                <w:p w14:paraId="01ABA62E">
                  <w:pPr>
                    <w:wordWrap/>
                    <w:adjustRightInd w:val="0"/>
                    <w:snapToGrid w:val="0"/>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7B7E2AE0">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ABS</w:t>
                  </w:r>
                </w:p>
              </w:tc>
              <w:tc>
                <w:tcPr>
                  <w:tcW w:w="549" w:type="pct"/>
                  <w:tcBorders>
                    <w:left w:val="nil"/>
                    <w:right w:val="single" w:color="auto" w:sz="4" w:space="0"/>
                  </w:tcBorders>
                  <w:noWrap w:val="0"/>
                  <w:vAlign w:val="center"/>
                </w:tcPr>
                <w:p w14:paraId="2B9CA3E2">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6</w:t>
                  </w:r>
                </w:p>
              </w:tc>
              <w:tc>
                <w:tcPr>
                  <w:tcW w:w="784" w:type="pct"/>
                  <w:tcBorders>
                    <w:left w:val="nil"/>
                    <w:right w:val="single" w:color="auto" w:sz="4" w:space="0"/>
                  </w:tcBorders>
                  <w:noWrap w:val="0"/>
                  <w:vAlign w:val="center"/>
                </w:tcPr>
                <w:p w14:paraId="00367867">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1</w:t>
                  </w:r>
                </w:p>
              </w:tc>
              <w:tc>
                <w:tcPr>
                  <w:tcW w:w="528" w:type="pct"/>
                  <w:tcBorders>
                    <w:left w:val="nil"/>
                    <w:right w:val="single" w:color="auto" w:sz="4" w:space="0"/>
                  </w:tcBorders>
                  <w:noWrap w:val="0"/>
                  <w:vAlign w:val="center"/>
                </w:tcPr>
                <w:p w14:paraId="24D37232">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left w:val="nil"/>
                    <w:right w:val="single" w:color="auto" w:sz="4" w:space="0"/>
                  </w:tcBorders>
                  <w:noWrap w:val="0"/>
                  <w:vAlign w:val="center"/>
                </w:tcPr>
                <w:p w14:paraId="6C9FA3A5">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颗粒</w:t>
                  </w:r>
                </w:p>
              </w:tc>
              <w:tc>
                <w:tcPr>
                  <w:tcW w:w="1094" w:type="pct"/>
                  <w:vMerge w:val="continue"/>
                  <w:tcBorders>
                    <w:left w:val="nil"/>
                    <w:right w:val="single" w:color="auto" w:sz="4" w:space="0"/>
                  </w:tcBorders>
                  <w:noWrap w:val="0"/>
                  <w:vAlign w:val="center"/>
                </w:tcPr>
                <w:p w14:paraId="470248A6">
                  <w:pPr>
                    <w:wordWrap/>
                    <w:adjustRightInd w:val="0"/>
                    <w:snapToGrid w:val="0"/>
                    <w:spacing w:line="240" w:lineRule="auto"/>
                    <w:jc w:val="center"/>
                    <w:rPr>
                      <w:rFonts w:ascii="Times New Roman" w:hAnsi="Times New Roman" w:cs="Times New Roman"/>
                      <w:color w:val="auto"/>
                      <w:sz w:val="21"/>
                    </w:rPr>
                  </w:pPr>
                </w:p>
              </w:tc>
            </w:tr>
            <w:tr w14:paraId="7799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484" w:type="pct"/>
                  <w:vMerge w:val="continue"/>
                  <w:tcBorders>
                    <w:left w:val="single" w:color="auto" w:sz="4" w:space="0"/>
                    <w:right w:val="single" w:color="auto" w:sz="4" w:space="0"/>
                  </w:tcBorders>
                  <w:noWrap w:val="0"/>
                  <w:vAlign w:val="center"/>
                </w:tcPr>
                <w:p w14:paraId="5ADB4A47">
                  <w:pPr>
                    <w:wordWrap/>
                    <w:adjustRightInd w:val="0"/>
                    <w:snapToGrid w:val="0"/>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6D7C19A9">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POM</w:t>
                  </w:r>
                </w:p>
              </w:tc>
              <w:tc>
                <w:tcPr>
                  <w:tcW w:w="549" w:type="pct"/>
                  <w:tcBorders>
                    <w:left w:val="nil"/>
                    <w:bottom w:val="single" w:color="auto" w:sz="4" w:space="0"/>
                    <w:right w:val="single" w:color="auto" w:sz="4" w:space="0"/>
                  </w:tcBorders>
                  <w:noWrap w:val="0"/>
                  <w:vAlign w:val="center"/>
                </w:tcPr>
                <w:p w14:paraId="2D87EE3F">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120</w:t>
                  </w:r>
                </w:p>
              </w:tc>
              <w:tc>
                <w:tcPr>
                  <w:tcW w:w="784" w:type="pct"/>
                  <w:tcBorders>
                    <w:left w:val="nil"/>
                    <w:bottom w:val="single" w:color="auto" w:sz="4" w:space="0"/>
                    <w:right w:val="single" w:color="auto" w:sz="4" w:space="0"/>
                  </w:tcBorders>
                  <w:noWrap w:val="0"/>
                  <w:vAlign w:val="center"/>
                </w:tcPr>
                <w:p w14:paraId="384F1462">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30</w:t>
                  </w:r>
                </w:p>
              </w:tc>
              <w:tc>
                <w:tcPr>
                  <w:tcW w:w="528" w:type="pct"/>
                  <w:tcBorders>
                    <w:left w:val="nil"/>
                    <w:bottom w:val="single" w:color="auto" w:sz="4" w:space="0"/>
                    <w:right w:val="single" w:color="auto" w:sz="4" w:space="0"/>
                  </w:tcBorders>
                  <w:noWrap w:val="0"/>
                  <w:vAlign w:val="center"/>
                </w:tcPr>
                <w:p w14:paraId="730A100C">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left w:val="nil"/>
                    <w:bottom w:val="single" w:color="auto" w:sz="4" w:space="0"/>
                    <w:right w:val="single" w:color="auto" w:sz="4" w:space="0"/>
                  </w:tcBorders>
                  <w:noWrap w:val="0"/>
                  <w:vAlign w:val="center"/>
                </w:tcPr>
                <w:p w14:paraId="6D7BBD3F">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颗粒</w:t>
                  </w:r>
                </w:p>
              </w:tc>
              <w:tc>
                <w:tcPr>
                  <w:tcW w:w="1094" w:type="pct"/>
                  <w:vMerge w:val="continue"/>
                  <w:tcBorders>
                    <w:left w:val="nil"/>
                    <w:right w:val="single" w:color="auto" w:sz="4" w:space="0"/>
                  </w:tcBorders>
                  <w:noWrap w:val="0"/>
                  <w:vAlign w:val="center"/>
                </w:tcPr>
                <w:p w14:paraId="66E738DC">
                  <w:pPr>
                    <w:wordWrap/>
                    <w:adjustRightInd w:val="0"/>
                    <w:snapToGrid w:val="0"/>
                    <w:spacing w:line="240" w:lineRule="auto"/>
                    <w:jc w:val="center"/>
                    <w:rPr>
                      <w:rFonts w:ascii="Times New Roman" w:hAnsi="Times New Roman" w:cs="Times New Roman"/>
                      <w:color w:val="auto"/>
                      <w:sz w:val="21"/>
                    </w:rPr>
                  </w:pPr>
                </w:p>
              </w:tc>
            </w:tr>
            <w:tr w14:paraId="7FDA5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47554AB8">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0EEC375F">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色粉</w:t>
                  </w:r>
                </w:p>
              </w:tc>
              <w:tc>
                <w:tcPr>
                  <w:tcW w:w="549" w:type="pct"/>
                  <w:tcBorders>
                    <w:top w:val="single" w:color="auto" w:sz="4" w:space="0"/>
                    <w:left w:val="nil"/>
                    <w:bottom w:val="single" w:color="auto" w:sz="4" w:space="0"/>
                    <w:right w:val="single" w:color="auto" w:sz="4" w:space="0"/>
                  </w:tcBorders>
                  <w:noWrap w:val="0"/>
                  <w:vAlign w:val="center"/>
                </w:tcPr>
                <w:p w14:paraId="679CEF5E">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0.01</w:t>
                  </w:r>
                </w:p>
              </w:tc>
              <w:tc>
                <w:tcPr>
                  <w:tcW w:w="784" w:type="pct"/>
                  <w:tcBorders>
                    <w:top w:val="single" w:color="auto" w:sz="4" w:space="0"/>
                    <w:left w:val="nil"/>
                    <w:bottom w:val="single" w:color="auto" w:sz="4" w:space="0"/>
                    <w:right w:val="single" w:color="auto" w:sz="4" w:space="0"/>
                  </w:tcBorders>
                  <w:noWrap w:val="0"/>
                  <w:vAlign w:val="center"/>
                </w:tcPr>
                <w:p w14:paraId="3140BD9D">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0.01</w:t>
                  </w:r>
                </w:p>
              </w:tc>
              <w:tc>
                <w:tcPr>
                  <w:tcW w:w="528" w:type="pct"/>
                  <w:tcBorders>
                    <w:top w:val="single" w:color="auto" w:sz="4" w:space="0"/>
                    <w:left w:val="nil"/>
                    <w:bottom w:val="single" w:color="auto" w:sz="4" w:space="0"/>
                    <w:right w:val="single" w:color="auto" w:sz="4" w:space="0"/>
                  </w:tcBorders>
                  <w:noWrap w:val="0"/>
                  <w:vAlign w:val="center"/>
                </w:tcPr>
                <w:p w14:paraId="27F355C4">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3E05DFDF">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粉末</w:t>
                  </w:r>
                </w:p>
              </w:tc>
              <w:tc>
                <w:tcPr>
                  <w:tcW w:w="1094" w:type="pct"/>
                  <w:vMerge w:val="continue"/>
                  <w:tcBorders>
                    <w:left w:val="nil"/>
                    <w:bottom w:val="single" w:color="auto" w:sz="4" w:space="0"/>
                    <w:right w:val="single" w:color="auto" w:sz="4" w:space="0"/>
                  </w:tcBorders>
                  <w:noWrap w:val="0"/>
                  <w:vAlign w:val="center"/>
                </w:tcPr>
                <w:p w14:paraId="435FD9F3">
                  <w:pPr>
                    <w:wordWrap/>
                    <w:adjustRightInd w:val="0"/>
                    <w:snapToGrid w:val="0"/>
                    <w:spacing w:line="240" w:lineRule="auto"/>
                    <w:jc w:val="center"/>
                    <w:rPr>
                      <w:rFonts w:ascii="Times New Roman" w:hAnsi="Times New Roman" w:cs="Times New Roman"/>
                      <w:color w:val="auto"/>
                      <w:sz w:val="21"/>
                    </w:rPr>
                  </w:pPr>
                </w:p>
              </w:tc>
            </w:tr>
            <w:tr w14:paraId="78517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2C81130C">
                  <w:pPr>
                    <w:wordWrap/>
                    <w:adjustRightInd w:val="0"/>
                    <w:snapToGrid w:val="0"/>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12974144">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铁卷材</w:t>
                  </w:r>
                </w:p>
              </w:tc>
              <w:tc>
                <w:tcPr>
                  <w:tcW w:w="549" w:type="pct"/>
                  <w:tcBorders>
                    <w:top w:val="single" w:color="auto" w:sz="4" w:space="0"/>
                    <w:left w:val="nil"/>
                    <w:bottom w:val="single" w:color="auto" w:sz="4" w:space="0"/>
                    <w:right w:val="single" w:color="auto" w:sz="4" w:space="0"/>
                  </w:tcBorders>
                  <w:noWrap w:val="0"/>
                  <w:vAlign w:val="center"/>
                </w:tcPr>
                <w:p w14:paraId="3B22AEF5">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8</w:t>
                  </w:r>
                  <w:r>
                    <w:rPr>
                      <w:rFonts w:ascii="Times New Roman" w:hAnsi="Times New Roman" w:cs="Times New Roman"/>
                      <w:color w:val="auto"/>
                      <w:sz w:val="21"/>
                    </w:rPr>
                    <w:t>00</w:t>
                  </w:r>
                </w:p>
              </w:tc>
              <w:tc>
                <w:tcPr>
                  <w:tcW w:w="784" w:type="pct"/>
                  <w:tcBorders>
                    <w:top w:val="single" w:color="auto" w:sz="4" w:space="0"/>
                    <w:left w:val="nil"/>
                    <w:bottom w:val="single" w:color="auto" w:sz="4" w:space="0"/>
                    <w:right w:val="single" w:color="auto" w:sz="4" w:space="0"/>
                  </w:tcBorders>
                  <w:noWrap w:val="0"/>
                  <w:vAlign w:val="center"/>
                </w:tcPr>
                <w:p w14:paraId="3AA4A6E3">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7</w:t>
                  </w:r>
                  <w:r>
                    <w:rPr>
                      <w:rFonts w:ascii="Times New Roman" w:hAnsi="Times New Roman" w:cs="Times New Roman"/>
                      <w:color w:val="auto"/>
                      <w:sz w:val="21"/>
                    </w:rPr>
                    <w:t>0</w:t>
                  </w:r>
                </w:p>
              </w:tc>
              <w:tc>
                <w:tcPr>
                  <w:tcW w:w="528" w:type="pct"/>
                  <w:tcBorders>
                    <w:top w:val="single" w:color="auto" w:sz="4" w:space="0"/>
                    <w:left w:val="nil"/>
                    <w:bottom w:val="single" w:color="auto" w:sz="4" w:space="0"/>
                    <w:right w:val="single" w:color="auto" w:sz="4" w:space="0"/>
                  </w:tcBorders>
                  <w:noWrap w:val="0"/>
                  <w:vAlign w:val="center"/>
                </w:tcPr>
                <w:p w14:paraId="3A20289E">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4B22AC7E">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固态</w:t>
                  </w:r>
                </w:p>
              </w:tc>
              <w:tc>
                <w:tcPr>
                  <w:tcW w:w="1094" w:type="pct"/>
                  <w:vMerge w:val="restart"/>
                  <w:tcBorders>
                    <w:top w:val="single" w:color="auto" w:sz="4" w:space="0"/>
                    <w:left w:val="nil"/>
                    <w:right w:val="single" w:color="auto" w:sz="4" w:space="0"/>
                  </w:tcBorders>
                  <w:noWrap w:val="0"/>
                  <w:vAlign w:val="center"/>
                </w:tcPr>
                <w:p w14:paraId="7A8F9077">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冲压</w:t>
                  </w:r>
                </w:p>
              </w:tc>
            </w:tr>
            <w:tr w14:paraId="4DB69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646B3A6E">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55C3EB33">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铝卷材</w:t>
                  </w:r>
                </w:p>
              </w:tc>
              <w:tc>
                <w:tcPr>
                  <w:tcW w:w="549" w:type="pct"/>
                  <w:tcBorders>
                    <w:top w:val="single" w:color="auto" w:sz="4" w:space="0"/>
                    <w:left w:val="nil"/>
                    <w:bottom w:val="single" w:color="auto" w:sz="4" w:space="0"/>
                    <w:right w:val="single" w:color="auto" w:sz="4" w:space="0"/>
                  </w:tcBorders>
                  <w:noWrap w:val="0"/>
                  <w:vAlign w:val="center"/>
                </w:tcPr>
                <w:p w14:paraId="4B292C4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50</w:t>
                  </w:r>
                </w:p>
              </w:tc>
              <w:tc>
                <w:tcPr>
                  <w:tcW w:w="784" w:type="pct"/>
                  <w:tcBorders>
                    <w:top w:val="single" w:color="auto" w:sz="4" w:space="0"/>
                    <w:left w:val="nil"/>
                    <w:bottom w:val="single" w:color="auto" w:sz="4" w:space="0"/>
                    <w:right w:val="single" w:color="auto" w:sz="4" w:space="0"/>
                  </w:tcBorders>
                  <w:noWrap w:val="0"/>
                  <w:vAlign w:val="center"/>
                </w:tcPr>
                <w:p w14:paraId="3D98276C">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5</w:t>
                  </w:r>
                </w:p>
              </w:tc>
              <w:tc>
                <w:tcPr>
                  <w:tcW w:w="528" w:type="pct"/>
                  <w:tcBorders>
                    <w:top w:val="single" w:color="auto" w:sz="4" w:space="0"/>
                    <w:left w:val="nil"/>
                    <w:bottom w:val="single" w:color="auto" w:sz="4" w:space="0"/>
                    <w:right w:val="single" w:color="auto" w:sz="4" w:space="0"/>
                  </w:tcBorders>
                  <w:noWrap w:val="0"/>
                  <w:vAlign w:val="center"/>
                </w:tcPr>
                <w:p w14:paraId="020F2A9C">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1092ADB4">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固态</w:t>
                  </w:r>
                </w:p>
              </w:tc>
              <w:tc>
                <w:tcPr>
                  <w:tcW w:w="1094" w:type="pct"/>
                  <w:vMerge w:val="continue"/>
                  <w:tcBorders>
                    <w:left w:val="nil"/>
                    <w:right w:val="single" w:color="auto" w:sz="4" w:space="0"/>
                  </w:tcBorders>
                  <w:noWrap w:val="0"/>
                  <w:vAlign w:val="center"/>
                </w:tcPr>
                <w:p w14:paraId="654A829C">
                  <w:pPr>
                    <w:wordWrap/>
                    <w:adjustRightInd w:val="0"/>
                    <w:snapToGrid w:val="0"/>
                    <w:spacing w:line="240" w:lineRule="auto"/>
                    <w:jc w:val="center"/>
                    <w:rPr>
                      <w:rFonts w:ascii="Times New Roman" w:hAnsi="Times New Roman" w:cs="Times New Roman"/>
                      <w:color w:val="auto"/>
                      <w:sz w:val="21"/>
                    </w:rPr>
                  </w:pPr>
                </w:p>
              </w:tc>
            </w:tr>
            <w:tr w14:paraId="36BCA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46E9C48E">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2B3FD93C">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铜卷材</w:t>
                  </w:r>
                </w:p>
              </w:tc>
              <w:tc>
                <w:tcPr>
                  <w:tcW w:w="549" w:type="pct"/>
                  <w:tcBorders>
                    <w:top w:val="single" w:color="auto" w:sz="4" w:space="0"/>
                    <w:left w:val="nil"/>
                    <w:bottom w:val="single" w:color="auto" w:sz="4" w:space="0"/>
                    <w:right w:val="single" w:color="auto" w:sz="4" w:space="0"/>
                  </w:tcBorders>
                  <w:noWrap w:val="0"/>
                  <w:vAlign w:val="center"/>
                </w:tcPr>
                <w:p w14:paraId="4CFD9337">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300</w:t>
                  </w:r>
                </w:p>
              </w:tc>
              <w:tc>
                <w:tcPr>
                  <w:tcW w:w="784" w:type="pct"/>
                  <w:tcBorders>
                    <w:top w:val="single" w:color="auto" w:sz="4" w:space="0"/>
                    <w:left w:val="nil"/>
                    <w:bottom w:val="single" w:color="auto" w:sz="4" w:space="0"/>
                    <w:right w:val="single" w:color="auto" w:sz="4" w:space="0"/>
                  </w:tcBorders>
                  <w:noWrap w:val="0"/>
                  <w:vAlign w:val="center"/>
                </w:tcPr>
                <w:p w14:paraId="4F34E83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22</w:t>
                  </w:r>
                </w:p>
              </w:tc>
              <w:tc>
                <w:tcPr>
                  <w:tcW w:w="528" w:type="pct"/>
                  <w:tcBorders>
                    <w:top w:val="single" w:color="auto" w:sz="4" w:space="0"/>
                    <w:left w:val="nil"/>
                    <w:bottom w:val="single" w:color="auto" w:sz="4" w:space="0"/>
                    <w:right w:val="single" w:color="auto" w:sz="4" w:space="0"/>
                  </w:tcBorders>
                  <w:noWrap w:val="0"/>
                  <w:vAlign w:val="center"/>
                </w:tcPr>
                <w:p w14:paraId="7A002AA0">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6D242F00">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固态</w:t>
                  </w:r>
                </w:p>
              </w:tc>
              <w:tc>
                <w:tcPr>
                  <w:tcW w:w="1094" w:type="pct"/>
                  <w:vMerge w:val="continue"/>
                  <w:tcBorders>
                    <w:left w:val="nil"/>
                    <w:right w:val="single" w:color="auto" w:sz="4" w:space="0"/>
                  </w:tcBorders>
                  <w:noWrap w:val="0"/>
                  <w:vAlign w:val="center"/>
                </w:tcPr>
                <w:p w14:paraId="04F183FF">
                  <w:pPr>
                    <w:wordWrap/>
                    <w:adjustRightInd w:val="0"/>
                    <w:snapToGrid w:val="0"/>
                    <w:spacing w:line="240" w:lineRule="auto"/>
                    <w:jc w:val="center"/>
                    <w:rPr>
                      <w:rFonts w:ascii="Times New Roman" w:hAnsi="Times New Roman" w:cs="Times New Roman"/>
                      <w:color w:val="auto"/>
                      <w:sz w:val="21"/>
                    </w:rPr>
                  </w:pPr>
                </w:p>
              </w:tc>
            </w:tr>
            <w:tr w14:paraId="6CD7A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20831335">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04E25E23">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不锈钢卷材</w:t>
                  </w:r>
                </w:p>
              </w:tc>
              <w:tc>
                <w:tcPr>
                  <w:tcW w:w="549" w:type="pct"/>
                  <w:tcBorders>
                    <w:top w:val="single" w:color="auto" w:sz="4" w:space="0"/>
                    <w:left w:val="nil"/>
                    <w:bottom w:val="single" w:color="auto" w:sz="4" w:space="0"/>
                    <w:right w:val="single" w:color="auto" w:sz="4" w:space="0"/>
                  </w:tcBorders>
                  <w:noWrap w:val="0"/>
                  <w:vAlign w:val="center"/>
                </w:tcPr>
                <w:p w14:paraId="2EE641F9">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100</w:t>
                  </w:r>
                </w:p>
              </w:tc>
              <w:tc>
                <w:tcPr>
                  <w:tcW w:w="784" w:type="pct"/>
                  <w:tcBorders>
                    <w:top w:val="single" w:color="auto" w:sz="4" w:space="0"/>
                    <w:left w:val="nil"/>
                    <w:bottom w:val="single" w:color="auto" w:sz="4" w:space="0"/>
                    <w:right w:val="single" w:color="auto" w:sz="4" w:space="0"/>
                  </w:tcBorders>
                  <w:noWrap w:val="0"/>
                  <w:vAlign w:val="center"/>
                </w:tcPr>
                <w:p w14:paraId="0EE9E105">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10</w:t>
                  </w:r>
                </w:p>
              </w:tc>
              <w:tc>
                <w:tcPr>
                  <w:tcW w:w="528" w:type="pct"/>
                  <w:tcBorders>
                    <w:top w:val="single" w:color="auto" w:sz="4" w:space="0"/>
                    <w:left w:val="nil"/>
                    <w:bottom w:val="single" w:color="auto" w:sz="4" w:space="0"/>
                    <w:right w:val="single" w:color="auto" w:sz="4" w:space="0"/>
                  </w:tcBorders>
                  <w:noWrap w:val="0"/>
                  <w:vAlign w:val="center"/>
                </w:tcPr>
                <w:p w14:paraId="20BDF21F">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257A6E02">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固态</w:t>
                  </w:r>
                </w:p>
              </w:tc>
              <w:tc>
                <w:tcPr>
                  <w:tcW w:w="1094" w:type="pct"/>
                  <w:vMerge w:val="continue"/>
                  <w:tcBorders>
                    <w:left w:val="nil"/>
                    <w:bottom w:val="single" w:color="auto" w:sz="4" w:space="0"/>
                    <w:right w:val="single" w:color="auto" w:sz="4" w:space="0"/>
                  </w:tcBorders>
                  <w:noWrap w:val="0"/>
                  <w:vAlign w:val="center"/>
                </w:tcPr>
                <w:p w14:paraId="7E519074">
                  <w:pPr>
                    <w:wordWrap/>
                    <w:adjustRightInd w:val="0"/>
                    <w:snapToGrid w:val="0"/>
                    <w:spacing w:line="240" w:lineRule="auto"/>
                    <w:jc w:val="center"/>
                    <w:rPr>
                      <w:rFonts w:ascii="Times New Roman" w:hAnsi="Times New Roman" w:cs="Times New Roman"/>
                      <w:color w:val="auto"/>
                      <w:sz w:val="21"/>
                    </w:rPr>
                  </w:pPr>
                </w:p>
              </w:tc>
            </w:tr>
            <w:tr w14:paraId="494B8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58374DA0">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788B0A77">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水性油墨</w:t>
                  </w:r>
                </w:p>
              </w:tc>
              <w:tc>
                <w:tcPr>
                  <w:tcW w:w="549" w:type="pct"/>
                  <w:tcBorders>
                    <w:top w:val="single" w:color="auto" w:sz="4" w:space="0"/>
                    <w:left w:val="nil"/>
                    <w:bottom w:val="single" w:color="auto" w:sz="4" w:space="0"/>
                    <w:right w:val="single" w:color="auto" w:sz="4" w:space="0"/>
                  </w:tcBorders>
                  <w:noWrap w:val="0"/>
                  <w:vAlign w:val="center"/>
                </w:tcPr>
                <w:p w14:paraId="275D8DB1">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0.6</w:t>
                  </w:r>
                </w:p>
              </w:tc>
              <w:tc>
                <w:tcPr>
                  <w:tcW w:w="784" w:type="pct"/>
                  <w:tcBorders>
                    <w:top w:val="single" w:color="auto" w:sz="4" w:space="0"/>
                    <w:left w:val="nil"/>
                    <w:bottom w:val="single" w:color="auto" w:sz="4" w:space="0"/>
                    <w:right w:val="single" w:color="auto" w:sz="4" w:space="0"/>
                  </w:tcBorders>
                  <w:noWrap w:val="0"/>
                  <w:vAlign w:val="center"/>
                </w:tcPr>
                <w:p w14:paraId="20C57BB9">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0.1</w:t>
                  </w:r>
                </w:p>
              </w:tc>
              <w:tc>
                <w:tcPr>
                  <w:tcW w:w="528" w:type="pct"/>
                  <w:tcBorders>
                    <w:top w:val="single" w:color="auto" w:sz="4" w:space="0"/>
                    <w:left w:val="nil"/>
                    <w:bottom w:val="single" w:color="auto" w:sz="4" w:space="0"/>
                    <w:right w:val="single" w:color="auto" w:sz="4" w:space="0"/>
                  </w:tcBorders>
                  <w:noWrap w:val="0"/>
                  <w:vAlign w:val="center"/>
                </w:tcPr>
                <w:p w14:paraId="64846E8E">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t/a</w:t>
                  </w:r>
                </w:p>
              </w:tc>
              <w:tc>
                <w:tcPr>
                  <w:tcW w:w="528" w:type="pct"/>
                  <w:tcBorders>
                    <w:top w:val="single" w:color="auto" w:sz="4" w:space="0"/>
                    <w:left w:val="nil"/>
                    <w:bottom w:val="single" w:color="auto" w:sz="4" w:space="0"/>
                    <w:right w:val="single" w:color="auto" w:sz="4" w:space="0"/>
                  </w:tcBorders>
                  <w:noWrap w:val="0"/>
                  <w:vAlign w:val="center"/>
                </w:tcPr>
                <w:p w14:paraId="238C4031">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液态</w:t>
                  </w:r>
                </w:p>
              </w:tc>
              <w:tc>
                <w:tcPr>
                  <w:tcW w:w="1094" w:type="pct"/>
                  <w:tcBorders>
                    <w:top w:val="single" w:color="auto" w:sz="4" w:space="0"/>
                    <w:left w:val="nil"/>
                    <w:bottom w:val="single" w:color="auto" w:sz="4" w:space="0"/>
                    <w:right w:val="single" w:color="auto" w:sz="4" w:space="0"/>
                  </w:tcBorders>
                  <w:noWrap w:val="0"/>
                  <w:vAlign w:val="center"/>
                </w:tcPr>
                <w:p w14:paraId="281FD068">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移印</w:t>
                  </w:r>
                </w:p>
              </w:tc>
            </w:tr>
            <w:tr w14:paraId="2056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771FD067">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06499A38">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线路板</w:t>
                  </w:r>
                </w:p>
              </w:tc>
              <w:tc>
                <w:tcPr>
                  <w:tcW w:w="549" w:type="pct"/>
                  <w:tcBorders>
                    <w:top w:val="single" w:color="auto" w:sz="4" w:space="0"/>
                    <w:left w:val="nil"/>
                    <w:bottom w:val="single" w:color="auto" w:sz="4" w:space="0"/>
                    <w:right w:val="single" w:color="auto" w:sz="4" w:space="0"/>
                  </w:tcBorders>
                  <w:noWrap w:val="0"/>
                  <w:vAlign w:val="center"/>
                </w:tcPr>
                <w:p w14:paraId="5E71CFC0">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1</w:t>
                  </w:r>
                </w:p>
              </w:tc>
              <w:tc>
                <w:tcPr>
                  <w:tcW w:w="784" w:type="pct"/>
                  <w:tcBorders>
                    <w:top w:val="single" w:color="auto" w:sz="4" w:space="0"/>
                    <w:left w:val="nil"/>
                    <w:bottom w:val="single" w:color="auto" w:sz="4" w:space="0"/>
                    <w:right w:val="single" w:color="auto" w:sz="4" w:space="0"/>
                  </w:tcBorders>
                  <w:noWrap w:val="0"/>
                  <w:vAlign w:val="center"/>
                </w:tcPr>
                <w:p w14:paraId="42EDCE23">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0.1</w:t>
                  </w:r>
                </w:p>
              </w:tc>
              <w:tc>
                <w:tcPr>
                  <w:tcW w:w="528" w:type="pct"/>
                  <w:tcBorders>
                    <w:top w:val="single" w:color="auto" w:sz="4" w:space="0"/>
                    <w:left w:val="nil"/>
                    <w:bottom w:val="single" w:color="auto" w:sz="4" w:space="0"/>
                    <w:right w:val="single" w:color="auto" w:sz="4" w:space="0"/>
                  </w:tcBorders>
                  <w:noWrap w:val="0"/>
                  <w:vAlign w:val="center"/>
                </w:tcPr>
                <w:p w14:paraId="0AE70BA0">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亿片/a</w:t>
                  </w:r>
                </w:p>
              </w:tc>
              <w:tc>
                <w:tcPr>
                  <w:tcW w:w="528" w:type="pct"/>
                  <w:tcBorders>
                    <w:top w:val="single" w:color="auto" w:sz="4" w:space="0"/>
                    <w:left w:val="nil"/>
                    <w:bottom w:val="single" w:color="auto" w:sz="4" w:space="0"/>
                    <w:right w:val="single" w:color="auto" w:sz="4" w:space="0"/>
                  </w:tcBorders>
                  <w:noWrap w:val="0"/>
                  <w:vAlign w:val="center"/>
                </w:tcPr>
                <w:p w14:paraId="1B2FE6A8">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固态</w:t>
                  </w:r>
                </w:p>
              </w:tc>
              <w:tc>
                <w:tcPr>
                  <w:tcW w:w="1094" w:type="pct"/>
                  <w:tcBorders>
                    <w:top w:val="single" w:color="auto" w:sz="4" w:space="0"/>
                    <w:left w:val="nil"/>
                    <w:bottom w:val="single" w:color="auto" w:sz="4" w:space="0"/>
                    <w:right w:val="single" w:color="auto" w:sz="4" w:space="0"/>
                  </w:tcBorders>
                  <w:noWrap w:val="0"/>
                  <w:vAlign w:val="center"/>
                </w:tcPr>
                <w:p w14:paraId="71637F1C">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装配</w:t>
                  </w:r>
                </w:p>
              </w:tc>
            </w:tr>
            <w:tr w14:paraId="2ADE6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bottom w:val="single" w:color="auto" w:sz="4" w:space="0"/>
                    <w:right w:val="single" w:color="auto" w:sz="4" w:space="0"/>
                  </w:tcBorders>
                  <w:noWrap w:val="0"/>
                  <w:vAlign w:val="center"/>
                </w:tcPr>
                <w:p w14:paraId="156A3FBF">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43603B49">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钢板</w:t>
                  </w:r>
                </w:p>
              </w:tc>
              <w:tc>
                <w:tcPr>
                  <w:tcW w:w="549" w:type="pct"/>
                  <w:tcBorders>
                    <w:top w:val="single" w:color="auto" w:sz="4" w:space="0"/>
                    <w:left w:val="nil"/>
                    <w:bottom w:val="single" w:color="auto" w:sz="4" w:space="0"/>
                    <w:right w:val="single" w:color="auto" w:sz="4" w:space="0"/>
                  </w:tcBorders>
                  <w:noWrap w:val="0"/>
                  <w:vAlign w:val="center"/>
                </w:tcPr>
                <w:p w14:paraId="09B2187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2</w:t>
                  </w:r>
                </w:p>
              </w:tc>
              <w:tc>
                <w:tcPr>
                  <w:tcW w:w="784" w:type="pct"/>
                  <w:tcBorders>
                    <w:top w:val="single" w:color="auto" w:sz="4" w:space="0"/>
                    <w:left w:val="nil"/>
                    <w:bottom w:val="single" w:color="auto" w:sz="4" w:space="0"/>
                    <w:right w:val="single" w:color="auto" w:sz="4" w:space="0"/>
                  </w:tcBorders>
                  <w:noWrap w:val="0"/>
                  <w:vAlign w:val="center"/>
                </w:tcPr>
                <w:p w14:paraId="7892C780">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0.2</w:t>
                  </w:r>
                </w:p>
              </w:tc>
              <w:tc>
                <w:tcPr>
                  <w:tcW w:w="528" w:type="pct"/>
                  <w:tcBorders>
                    <w:top w:val="single" w:color="auto" w:sz="4" w:space="0"/>
                    <w:left w:val="nil"/>
                    <w:bottom w:val="single" w:color="auto" w:sz="4" w:space="0"/>
                    <w:right w:val="single" w:color="auto" w:sz="4" w:space="0"/>
                  </w:tcBorders>
                  <w:noWrap w:val="0"/>
                  <w:vAlign w:val="center"/>
                </w:tcPr>
                <w:p w14:paraId="2C13A004">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3BBB905E">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固态</w:t>
                  </w:r>
                </w:p>
              </w:tc>
              <w:tc>
                <w:tcPr>
                  <w:tcW w:w="1094" w:type="pct"/>
                  <w:vMerge w:val="restart"/>
                  <w:tcBorders>
                    <w:top w:val="single" w:color="auto" w:sz="4" w:space="0"/>
                    <w:left w:val="nil"/>
                    <w:right w:val="single" w:color="auto" w:sz="4" w:space="0"/>
                  </w:tcBorders>
                  <w:noWrap w:val="0"/>
                  <w:vAlign w:val="center"/>
                </w:tcPr>
                <w:p w14:paraId="6E250BE8">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机加工</w:t>
                  </w:r>
                </w:p>
              </w:tc>
            </w:tr>
            <w:tr w14:paraId="0E1D9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restart"/>
                  <w:tcBorders>
                    <w:top w:val="single" w:color="auto" w:sz="4" w:space="0"/>
                    <w:left w:val="single" w:color="auto" w:sz="4" w:space="0"/>
                    <w:right w:val="single" w:color="auto" w:sz="4" w:space="0"/>
                  </w:tcBorders>
                  <w:noWrap w:val="0"/>
                  <w:vAlign w:val="center"/>
                </w:tcPr>
                <w:p w14:paraId="36211A0F">
                  <w:pPr>
                    <w:wordWrap/>
                    <w:spacing w:line="240" w:lineRule="auto"/>
                    <w:jc w:val="center"/>
                    <w:rPr>
                      <w:rFonts w:ascii="Times New Roman" w:hAnsi="Times New Roman" w:cs="Times New Roman"/>
                      <w:color w:val="auto"/>
                      <w:sz w:val="21"/>
                    </w:rPr>
                  </w:pPr>
                  <w:r>
                    <w:rPr>
                      <w:rFonts w:ascii="Times New Roman" w:hAnsi="Times New Roman" w:cs="Times New Roman"/>
                      <w:color w:val="auto"/>
                      <w:sz w:val="21"/>
                    </w:rPr>
                    <w:t>辅料</w:t>
                  </w:r>
                </w:p>
              </w:tc>
              <w:tc>
                <w:tcPr>
                  <w:tcW w:w="1029" w:type="pct"/>
                  <w:tcBorders>
                    <w:top w:val="single" w:color="auto" w:sz="4" w:space="0"/>
                    <w:left w:val="nil"/>
                    <w:bottom w:val="single" w:color="auto" w:sz="4" w:space="0"/>
                    <w:right w:val="single" w:color="auto" w:sz="4" w:space="0"/>
                  </w:tcBorders>
                  <w:noWrap w:val="0"/>
                  <w:vAlign w:val="center"/>
                </w:tcPr>
                <w:p w14:paraId="28137CF8">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切削液</w:t>
                  </w:r>
                </w:p>
              </w:tc>
              <w:tc>
                <w:tcPr>
                  <w:tcW w:w="549" w:type="pct"/>
                  <w:tcBorders>
                    <w:top w:val="single" w:color="auto" w:sz="4" w:space="0"/>
                    <w:left w:val="nil"/>
                    <w:bottom w:val="single" w:color="auto" w:sz="4" w:space="0"/>
                    <w:right w:val="single" w:color="auto" w:sz="4" w:space="0"/>
                  </w:tcBorders>
                  <w:noWrap w:val="0"/>
                  <w:vAlign w:val="center"/>
                </w:tcPr>
                <w:p w14:paraId="26685EA2">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0.2</w:t>
                  </w:r>
                </w:p>
              </w:tc>
              <w:tc>
                <w:tcPr>
                  <w:tcW w:w="784" w:type="pct"/>
                  <w:tcBorders>
                    <w:top w:val="single" w:color="auto" w:sz="4" w:space="0"/>
                    <w:left w:val="nil"/>
                    <w:bottom w:val="single" w:color="auto" w:sz="4" w:space="0"/>
                    <w:right w:val="single" w:color="auto" w:sz="4" w:space="0"/>
                  </w:tcBorders>
                  <w:noWrap w:val="0"/>
                  <w:vAlign w:val="center"/>
                </w:tcPr>
                <w:p w14:paraId="458F1920">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0.02</w:t>
                  </w:r>
                </w:p>
              </w:tc>
              <w:tc>
                <w:tcPr>
                  <w:tcW w:w="528" w:type="pct"/>
                  <w:tcBorders>
                    <w:top w:val="single" w:color="auto" w:sz="4" w:space="0"/>
                    <w:left w:val="nil"/>
                    <w:bottom w:val="single" w:color="auto" w:sz="4" w:space="0"/>
                    <w:right w:val="single" w:color="auto" w:sz="4" w:space="0"/>
                  </w:tcBorders>
                  <w:noWrap w:val="0"/>
                  <w:vAlign w:val="center"/>
                </w:tcPr>
                <w:p w14:paraId="52BA5542">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702CE6D8">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液态</w:t>
                  </w:r>
                </w:p>
              </w:tc>
              <w:tc>
                <w:tcPr>
                  <w:tcW w:w="1094" w:type="pct"/>
                  <w:vMerge w:val="continue"/>
                  <w:tcBorders>
                    <w:left w:val="nil"/>
                    <w:bottom w:val="single" w:color="auto" w:sz="4" w:space="0"/>
                    <w:right w:val="single" w:color="auto" w:sz="4" w:space="0"/>
                  </w:tcBorders>
                  <w:noWrap w:val="0"/>
                  <w:vAlign w:val="center"/>
                </w:tcPr>
                <w:p w14:paraId="08E21B8B">
                  <w:pPr>
                    <w:wordWrap/>
                    <w:adjustRightInd w:val="0"/>
                    <w:snapToGrid w:val="0"/>
                    <w:spacing w:line="240" w:lineRule="auto"/>
                    <w:jc w:val="center"/>
                    <w:rPr>
                      <w:rFonts w:ascii="Times New Roman" w:hAnsi="Times New Roman" w:cs="Times New Roman"/>
                      <w:color w:val="auto"/>
                      <w:sz w:val="21"/>
                    </w:rPr>
                  </w:pPr>
                </w:p>
              </w:tc>
            </w:tr>
            <w:tr w14:paraId="1AFC5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5AD6CFA8">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2E34E2E1">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火花油</w:t>
                  </w:r>
                </w:p>
              </w:tc>
              <w:tc>
                <w:tcPr>
                  <w:tcW w:w="549" w:type="pct"/>
                  <w:tcBorders>
                    <w:top w:val="single" w:color="auto" w:sz="4" w:space="0"/>
                    <w:left w:val="nil"/>
                    <w:bottom w:val="single" w:color="auto" w:sz="4" w:space="0"/>
                    <w:right w:val="single" w:color="auto" w:sz="4" w:space="0"/>
                  </w:tcBorders>
                  <w:noWrap w:val="0"/>
                  <w:vAlign w:val="center"/>
                </w:tcPr>
                <w:p w14:paraId="3D71775B">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0.2</w:t>
                  </w:r>
                </w:p>
              </w:tc>
              <w:tc>
                <w:tcPr>
                  <w:tcW w:w="784" w:type="pct"/>
                  <w:tcBorders>
                    <w:top w:val="single" w:color="auto" w:sz="4" w:space="0"/>
                    <w:left w:val="nil"/>
                    <w:bottom w:val="single" w:color="auto" w:sz="4" w:space="0"/>
                    <w:right w:val="single" w:color="auto" w:sz="4" w:space="0"/>
                  </w:tcBorders>
                  <w:noWrap w:val="0"/>
                  <w:vAlign w:val="center"/>
                </w:tcPr>
                <w:p w14:paraId="5F63A479">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0.02</w:t>
                  </w:r>
                </w:p>
              </w:tc>
              <w:tc>
                <w:tcPr>
                  <w:tcW w:w="528" w:type="pct"/>
                  <w:tcBorders>
                    <w:top w:val="single" w:color="auto" w:sz="4" w:space="0"/>
                    <w:left w:val="nil"/>
                    <w:bottom w:val="single" w:color="auto" w:sz="4" w:space="0"/>
                    <w:right w:val="single" w:color="auto" w:sz="4" w:space="0"/>
                  </w:tcBorders>
                  <w:shd w:val="clear" w:color="auto" w:fill="auto"/>
                  <w:noWrap w:val="0"/>
                  <w:vAlign w:val="center"/>
                </w:tcPr>
                <w:p w14:paraId="1406E131">
                  <w:pPr>
                    <w:wordWrap/>
                    <w:adjustRightInd w:val="0"/>
                    <w:snapToGrid w:val="0"/>
                    <w:spacing w:line="240" w:lineRule="auto"/>
                    <w:jc w:val="center"/>
                    <w:rPr>
                      <w:rFonts w:ascii="Times New Roman" w:hAnsi="Times New Roman" w:eastAsia="宋体" w:cs="Times New Roman"/>
                      <w:color w:val="auto"/>
                      <w:kern w:val="2"/>
                      <w:sz w:val="21"/>
                      <w:szCs w:val="24"/>
                      <w:lang w:val="en-US" w:eastAsia="zh-CN" w:bidi="ar-SA"/>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shd w:val="clear" w:color="auto" w:fill="auto"/>
                  <w:noWrap w:val="0"/>
                  <w:vAlign w:val="center"/>
                </w:tcPr>
                <w:p w14:paraId="0C775378">
                  <w:pPr>
                    <w:wordWrap/>
                    <w:adjustRightInd w:val="0"/>
                    <w:snapToGrid w:val="0"/>
                    <w:spacing w:line="24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sz w:val="21"/>
                    </w:rPr>
                    <w:t>液态</w:t>
                  </w:r>
                </w:p>
              </w:tc>
              <w:tc>
                <w:tcPr>
                  <w:tcW w:w="1094" w:type="pct"/>
                  <w:tcBorders>
                    <w:left w:val="nil"/>
                    <w:bottom w:val="single" w:color="auto" w:sz="4" w:space="0"/>
                    <w:right w:val="single" w:color="auto" w:sz="4" w:space="0"/>
                  </w:tcBorders>
                  <w:noWrap w:val="0"/>
                  <w:vAlign w:val="center"/>
                </w:tcPr>
                <w:p w14:paraId="09B8C10E">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电火花加工</w:t>
                  </w:r>
                </w:p>
              </w:tc>
            </w:tr>
            <w:tr w14:paraId="20484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2F62FAF5">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63CD6858">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润滑油</w:t>
                  </w:r>
                </w:p>
              </w:tc>
              <w:tc>
                <w:tcPr>
                  <w:tcW w:w="549" w:type="pct"/>
                  <w:tcBorders>
                    <w:top w:val="single" w:color="auto" w:sz="4" w:space="0"/>
                    <w:left w:val="nil"/>
                    <w:bottom w:val="single" w:color="auto" w:sz="4" w:space="0"/>
                    <w:right w:val="single" w:color="auto" w:sz="4" w:space="0"/>
                  </w:tcBorders>
                  <w:noWrap w:val="0"/>
                  <w:vAlign w:val="center"/>
                </w:tcPr>
                <w:p w14:paraId="45C62CCD">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0.1</w:t>
                  </w:r>
                </w:p>
              </w:tc>
              <w:tc>
                <w:tcPr>
                  <w:tcW w:w="784" w:type="pct"/>
                  <w:tcBorders>
                    <w:top w:val="single" w:color="auto" w:sz="4" w:space="0"/>
                    <w:left w:val="nil"/>
                    <w:bottom w:val="single" w:color="auto" w:sz="4" w:space="0"/>
                    <w:right w:val="single" w:color="auto" w:sz="4" w:space="0"/>
                  </w:tcBorders>
                  <w:noWrap w:val="0"/>
                  <w:vAlign w:val="center"/>
                </w:tcPr>
                <w:p w14:paraId="11B19DFD">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0.01</w:t>
                  </w:r>
                </w:p>
              </w:tc>
              <w:tc>
                <w:tcPr>
                  <w:tcW w:w="528" w:type="pct"/>
                  <w:tcBorders>
                    <w:top w:val="single" w:color="auto" w:sz="4" w:space="0"/>
                    <w:left w:val="nil"/>
                    <w:bottom w:val="single" w:color="auto" w:sz="4" w:space="0"/>
                    <w:right w:val="single" w:color="auto" w:sz="4" w:space="0"/>
                  </w:tcBorders>
                  <w:noWrap w:val="0"/>
                  <w:vAlign w:val="center"/>
                </w:tcPr>
                <w:p w14:paraId="4B015093">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66955FB4">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液态</w:t>
                  </w:r>
                </w:p>
              </w:tc>
              <w:tc>
                <w:tcPr>
                  <w:tcW w:w="1094" w:type="pct"/>
                  <w:tcBorders>
                    <w:top w:val="single" w:color="auto" w:sz="4" w:space="0"/>
                    <w:left w:val="nil"/>
                    <w:bottom w:val="single" w:color="auto" w:sz="4" w:space="0"/>
                    <w:right w:val="single" w:color="auto" w:sz="4" w:space="0"/>
                  </w:tcBorders>
                  <w:noWrap w:val="0"/>
                  <w:vAlign w:val="center"/>
                </w:tcPr>
                <w:p w14:paraId="50845C4F">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装配</w:t>
                  </w:r>
                </w:p>
              </w:tc>
            </w:tr>
            <w:tr w14:paraId="61480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4" w:type="pct"/>
                  <w:vMerge w:val="continue"/>
                  <w:tcBorders>
                    <w:left w:val="single" w:color="auto" w:sz="4" w:space="0"/>
                    <w:right w:val="single" w:color="auto" w:sz="4" w:space="0"/>
                  </w:tcBorders>
                  <w:noWrap w:val="0"/>
                  <w:vAlign w:val="center"/>
                </w:tcPr>
                <w:p w14:paraId="579C94C4">
                  <w:pPr>
                    <w:wordWrap/>
                    <w:spacing w:line="240" w:lineRule="auto"/>
                    <w:jc w:val="center"/>
                    <w:rPr>
                      <w:rFonts w:ascii="Times New Roman" w:hAnsi="Times New Roman" w:cs="Times New Roman"/>
                      <w:color w:val="auto"/>
                      <w:sz w:val="21"/>
                    </w:rPr>
                  </w:pPr>
                </w:p>
              </w:tc>
              <w:tc>
                <w:tcPr>
                  <w:tcW w:w="1029" w:type="pct"/>
                  <w:tcBorders>
                    <w:top w:val="single" w:color="auto" w:sz="4" w:space="0"/>
                    <w:left w:val="nil"/>
                    <w:bottom w:val="single" w:color="auto" w:sz="4" w:space="0"/>
                    <w:right w:val="single" w:color="auto" w:sz="4" w:space="0"/>
                  </w:tcBorders>
                  <w:noWrap w:val="0"/>
                  <w:vAlign w:val="center"/>
                </w:tcPr>
                <w:p w14:paraId="55F3C0E3">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包装材料</w:t>
                  </w:r>
                </w:p>
              </w:tc>
              <w:tc>
                <w:tcPr>
                  <w:tcW w:w="549" w:type="pct"/>
                  <w:tcBorders>
                    <w:top w:val="single" w:color="auto" w:sz="4" w:space="0"/>
                    <w:left w:val="nil"/>
                    <w:bottom w:val="single" w:color="auto" w:sz="4" w:space="0"/>
                    <w:right w:val="single" w:color="auto" w:sz="4" w:space="0"/>
                  </w:tcBorders>
                  <w:noWrap w:val="0"/>
                  <w:vAlign w:val="center"/>
                </w:tcPr>
                <w:p w14:paraId="62FB369E">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10</w:t>
                  </w:r>
                </w:p>
              </w:tc>
              <w:tc>
                <w:tcPr>
                  <w:tcW w:w="784" w:type="pct"/>
                  <w:tcBorders>
                    <w:top w:val="single" w:color="auto" w:sz="4" w:space="0"/>
                    <w:left w:val="nil"/>
                    <w:bottom w:val="single" w:color="auto" w:sz="4" w:space="0"/>
                    <w:right w:val="single" w:color="auto" w:sz="4" w:space="0"/>
                  </w:tcBorders>
                  <w:noWrap w:val="0"/>
                  <w:vAlign w:val="center"/>
                </w:tcPr>
                <w:p w14:paraId="50B28AD6">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1</w:t>
                  </w:r>
                </w:p>
              </w:tc>
              <w:tc>
                <w:tcPr>
                  <w:tcW w:w="528" w:type="pct"/>
                  <w:tcBorders>
                    <w:top w:val="single" w:color="auto" w:sz="4" w:space="0"/>
                    <w:left w:val="nil"/>
                    <w:bottom w:val="single" w:color="auto" w:sz="4" w:space="0"/>
                    <w:right w:val="single" w:color="auto" w:sz="4" w:space="0"/>
                  </w:tcBorders>
                  <w:noWrap w:val="0"/>
                  <w:vAlign w:val="center"/>
                </w:tcPr>
                <w:p w14:paraId="1F403E95">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t/a</w:t>
                  </w:r>
                </w:p>
              </w:tc>
              <w:tc>
                <w:tcPr>
                  <w:tcW w:w="528" w:type="pct"/>
                  <w:tcBorders>
                    <w:top w:val="single" w:color="auto" w:sz="4" w:space="0"/>
                    <w:left w:val="nil"/>
                    <w:bottom w:val="single" w:color="auto" w:sz="4" w:space="0"/>
                    <w:right w:val="single" w:color="auto" w:sz="4" w:space="0"/>
                  </w:tcBorders>
                  <w:noWrap w:val="0"/>
                  <w:vAlign w:val="center"/>
                </w:tcPr>
                <w:p w14:paraId="20E09B74">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固态</w:t>
                  </w:r>
                </w:p>
              </w:tc>
              <w:tc>
                <w:tcPr>
                  <w:tcW w:w="1094" w:type="pct"/>
                  <w:tcBorders>
                    <w:top w:val="single" w:color="auto" w:sz="4" w:space="0"/>
                    <w:left w:val="nil"/>
                    <w:bottom w:val="single" w:color="auto" w:sz="4" w:space="0"/>
                    <w:right w:val="single" w:color="auto" w:sz="4" w:space="0"/>
                  </w:tcBorders>
                  <w:noWrap w:val="0"/>
                  <w:vAlign w:val="center"/>
                </w:tcPr>
                <w:p w14:paraId="718D963C">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包装</w:t>
                  </w:r>
                </w:p>
              </w:tc>
            </w:tr>
          </w:tbl>
          <w:p w14:paraId="08F9F651">
            <w:pPr>
              <w:ind w:firstLine="482" w:firstLineChars="200"/>
              <w:jc w:val="left"/>
              <w:rPr>
                <w:rFonts w:hint="default" w:ascii="Times New Roman" w:hAnsi="Times New Roman" w:cs="Times New Roman"/>
                <w:b/>
                <w:bCs/>
                <w:color w:val="auto"/>
                <w:szCs w:val="20"/>
              </w:rPr>
            </w:pPr>
            <w:r>
              <w:rPr>
                <w:rFonts w:hint="default" w:ascii="Times New Roman" w:hAnsi="Times New Roman" w:cs="Times New Roman"/>
                <w:b/>
                <w:bCs/>
                <w:color w:val="auto"/>
                <w:szCs w:val="20"/>
              </w:rPr>
              <w:t>2）主要原辅材料理化性质</w:t>
            </w:r>
          </w:p>
          <w:p w14:paraId="4D39788B">
            <w:pPr>
              <w:ind w:firstLine="480" w:firstLineChars="200"/>
              <w:jc w:val="left"/>
              <w:rPr>
                <w:rFonts w:hint="default" w:ascii="Times New Roman" w:hAnsi="Times New Roman" w:cs="Times New Roman"/>
                <w:color w:val="auto"/>
                <w:szCs w:val="20"/>
              </w:rPr>
            </w:pPr>
            <w:r>
              <w:rPr>
                <w:rFonts w:hint="default" w:ascii="Times New Roman" w:hAnsi="Times New Roman" w:cs="Times New Roman"/>
                <w:color w:val="auto"/>
                <w:szCs w:val="20"/>
              </w:rPr>
              <w:t>项目主要原辅材料理化性质见下表。</w:t>
            </w:r>
          </w:p>
          <w:p w14:paraId="0F030888">
            <w:pPr>
              <w:wordWrap/>
              <w:adjustRightInd w:val="0"/>
              <w:snapToGrid w:val="0"/>
              <w:spacing w:line="240" w:lineRule="auto"/>
              <w:ind w:firstLine="2409" w:firstLineChars="1000"/>
              <w:rPr>
                <w:rFonts w:ascii="Times New Roman" w:hAnsi="Times New Roman" w:cs="Times New Roman"/>
                <w:b/>
                <w:bCs/>
                <w:color w:val="auto"/>
                <w:sz w:val="21"/>
              </w:rPr>
            </w:pPr>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2-4</w:t>
            </w:r>
            <w:r>
              <w:rPr>
                <w:rFonts w:hint="default" w:ascii="Times New Roman" w:hAnsi="Times New Roman" w:cs="Times New Roman"/>
                <w:b/>
                <w:color w:val="auto"/>
                <w:szCs w:val="22"/>
              </w:rPr>
              <w:t xml:space="preserve">  项目主要原辅材料理化性质</w:t>
            </w:r>
          </w:p>
          <w:tbl>
            <w:tblPr>
              <w:tblStyle w:val="22"/>
              <w:tblW w:w="8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813"/>
              <w:gridCol w:w="566"/>
              <w:gridCol w:w="1120"/>
              <w:gridCol w:w="5985"/>
            </w:tblGrid>
            <w:tr w14:paraId="0EE4B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34" w:type="dxa"/>
                  <w:tcBorders>
                    <w:top w:val="single" w:color="auto" w:sz="4" w:space="0"/>
                    <w:left w:val="single" w:color="auto" w:sz="4" w:space="0"/>
                    <w:bottom w:val="single" w:color="auto" w:sz="4" w:space="0"/>
                    <w:right w:val="single" w:color="auto" w:sz="4" w:space="0"/>
                  </w:tcBorders>
                  <w:noWrap w:val="0"/>
                  <w:vAlign w:val="center"/>
                </w:tcPr>
                <w:p w14:paraId="5A4EAADA">
                  <w:pPr>
                    <w:wordWrap/>
                    <w:autoSpaceDE w:val="0"/>
                    <w:spacing w:line="24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序号</w:t>
                  </w:r>
                </w:p>
              </w:tc>
              <w:tc>
                <w:tcPr>
                  <w:tcW w:w="813" w:type="dxa"/>
                  <w:tcBorders>
                    <w:top w:val="single" w:color="auto" w:sz="4" w:space="0"/>
                    <w:left w:val="nil"/>
                    <w:bottom w:val="single" w:color="auto" w:sz="4" w:space="0"/>
                    <w:right w:val="single" w:color="auto" w:sz="4" w:space="0"/>
                  </w:tcBorders>
                  <w:noWrap w:val="0"/>
                  <w:vAlign w:val="center"/>
                </w:tcPr>
                <w:p w14:paraId="0DD6A3D9">
                  <w:pPr>
                    <w:wordWrap/>
                    <w:autoSpaceDE w:val="0"/>
                    <w:spacing w:line="24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原辅材料</w:t>
                  </w:r>
                </w:p>
              </w:tc>
              <w:tc>
                <w:tcPr>
                  <w:tcW w:w="566" w:type="dxa"/>
                  <w:tcBorders>
                    <w:top w:val="single" w:color="auto" w:sz="4" w:space="0"/>
                    <w:left w:val="nil"/>
                    <w:bottom w:val="single" w:color="auto" w:sz="4" w:space="0"/>
                    <w:right w:val="single" w:color="auto" w:sz="4" w:space="0"/>
                  </w:tcBorders>
                  <w:noWrap w:val="0"/>
                  <w:vAlign w:val="center"/>
                </w:tcPr>
                <w:p w14:paraId="05EC20CB">
                  <w:pPr>
                    <w:wordWrap/>
                    <w:autoSpaceDE w:val="0"/>
                    <w:spacing w:line="24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形态</w:t>
                  </w:r>
                </w:p>
              </w:tc>
              <w:tc>
                <w:tcPr>
                  <w:tcW w:w="1120" w:type="dxa"/>
                  <w:tcBorders>
                    <w:top w:val="single" w:color="auto" w:sz="4" w:space="0"/>
                    <w:left w:val="nil"/>
                    <w:bottom w:val="single" w:color="auto" w:sz="4" w:space="0"/>
                    <w:right w:val="single" w:color="auto" w:sz="4" w:space="0"/>
                  </w:tcBorders>
                  <w:noWrap w:val="0"/>
                  <w:vAlign w:val="center"/>
                </w:tcPr>
                <w:p w14:paraId="1138954C">
                  <w:pPr>
                    <w:wordWrap/>
                    <w:autoSpaceDE w:val="0"/>
                    <w:spacing w:line="24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危险特性</w:t>
                  </w:r>
                </w:p>
              </w:tc>
              <w:tc>
                <w:tcPr>
                  <w:tcW w:w="5985" w:type="dxa"/>
                  <w:tcBorders>
                    <w:top w:val="single" w:color="auto" w:sz="4" w:space="0"/>
                    <w:left w:val="nil"/>
                    <w:bottom w:val="single" w:color="auto" w:sz="4" w:space="0"/>
                    <w:right w:val="single" w:color="auto" w:sz="4" w:space="0"/>
                  </w:tcBorders>
                  <w:noWrap w:val="0"/>
                  <w:vAlign w:val="center"/>
                </w:tcPr>
                <w:p w14:paraId="4EA2F8C2">
                  <w:pPr>
                    <w:wordWrap/>
                    <w:autoSpaceDE w:val="0"/>
                    <w:spacing w:line="24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理化性质</w:t>
                  </w:r>
                </w:p>
              </w:tc>
            </w:tr>
            <w:tr w14:paraId="411A0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434" w:type="dxa"/>
                  <w:tcBorders>
                    <w:top w:val="single" w:color="auto" w:sz="4" w:space="0"/>
                    <w:left w:val="single" w:color="auto" w:sz="4" w:space="0"/>
                    <w:bottom w:val="single" w:color="auto" w:sz="4" w:space="0"/>
                    <w:right w:val="single" w:color="auto" w:sz="4" w:space="0"/>
                  </w:tcBorders>
                  <w:noWrap w:val="0"/>
                  <w:vAlign w:val="center"/>
                </w:tcPr>
                <w:p w14:paraId="477D3CA1">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1</w:t>
                  </w:r>
                </w:p>
              </w:tc>
              <w:tc>
                <w:tcPr>
                  <w:tcW w:w="813" w:type="dxa"/>
                  <w:tcBorders>
                    <w:top w:val="single" w:color="auto" w:sz="4" w:space="0"/>
                    <w:left w:val="nil"/>
                    <w:bottom w:val="single" w:color="auto" w:sz="4" w:space="0"/>
                    <w:right w:val="single" w:color="auto" w:sz="4" w:space="0"/>
                  </w:tcBorders>
                  <w:noWrap w:val="0"/>
                  <w:vAlign w:val="center"/>
                </w:tcPr>
                <w:p w14:paraId="4BED1785">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塑胶颗粒</w:t>
                  </w:r>
                </w:p>
              </w:tc>
              <w:tc>
                <w:tcPr>
                  <w:tcW w:w="566" w:type="dxa"/>
                  <w:tcBorders>
                    <w:top w:val="single" w:color="auto" w:sz="4" w:space="0"/>
                    <w:left w:val="nil"/>
                    <w:bottom w:val="single" w:color="auto" w:sz="4" w:space="0"/>
                    <w:right w:val="single" w:color="auto" w:sz="4" w:space="0"/>
                  </w:tcBorders>
                  <w:noWrap w:val="0"/>
                  <w:vAlign w:val="center"/>
                </w:tcPr>
                <w:p w14:paraId="11E69D81">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颗粒状</w:t>
                  </w:r>
                </w:p>
              </w:tc>
              <w:tc>
                <w:tcPr>
                  <w:tcW w:w="1120" w:type="dxa"/>
                  <w:tcBorders>
                    <w:top w:val="single" w:color="auto" w:sz="4" w:space="0"/>
                    <w:left w:val="nil"/>
                    <w:bottom w:val="single" w:color="auto" w:sz="4" w:space="0"/>
                    <w:right w:val="single" w:color="auto" w:sz="4" w:space="0"/>
                  </w:tcBorders>
                  <w:noWrap w:val="0"/>
                  <w:vAlign w:val="center"/>
                </w:tcPr>
                <w:p w14:paraId="012A4EF7">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非危险品</w:t>
                  </w:r>
                </w:p>
              </w:tc>
              <w:tc>
                <w:tcPr>
                  <w:tcW w:w="5985" w:type="dxa"/>
                  <w:tcBorders>
                    <w:top w:val="single" w:color="auto" w:sz="4" w:space="0"/>
                    <w:left w:val="nil"/>
                    <w:bottom w:val="single" w:color="auto" w:sz="4" w:space="0"/>
                    <w:right w:val="single" w:color="auto" w:sz="4" w:space="0"/>
                  </w:tcBorders>
                  <w:noWrap w:val="0"/>
                  <w:vAlign w:val="center"/>
                </w:tcPr>
                <w:p w14:paraId="7F3756F9">
                  <w:pPr>
                    <w:keepNext w:val="0"/>
                    <w:keepLines w:val="0"/>
                    <w:pageBreakBefore w:val="0"/>
                    <w:widowControl/>
                    <w:kinsoku/>
                    <w:wordWrap/>
                    <w:overflowPunct/>
                    <w:topLinePunct w:val="0"/>
                    <w:autoSpaceDE w:val="0"/>
                    <w:autoSpaceDN/>
                    <w:bidi w:val="0"/>
                    <w:adjustRightInd w:val="0"/>
                    <w:snapToGrid w:val="0"/>
                    <w:spacing w:line="240" w:lineRule="auto"/>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b/>
                      <w:bCs/>
                      <w:color w:val="auto"/>
                      <w:sz w:val="21"/>
                      <w:szCs w:val="21"/>
                    </w:rPr>
                    <w:t>PA66：</w:t>
                  </w:r>
                  <w:r>
                    <w:rPr>
                      <w:rFonts w:hint="default" w:ascii="Times New Roman" w:hAnsi="Times New Roman" w:eastAsia="Arial" w:cs="Times New Roman"/>
                      <w:i w:val="0"/>
                      <w:iCs w:val="0"/>
                      <w:caps w:val="0"/>
                      <w:color w:val="auto"/>
                      <w:spacing w:val="0"/>
                      <w:sz w:val="21"/>
                      <w:szCs w:val="21"/>
                      <w:shd w:val="clear" w:fill="FFFFFF"/>
                    </w:rPr>
                    <w:t>PA66（聚己二酰己二胺）是一种半透明或不透明的乳白色结晶聚合物，密度为1.10-1.15g/cm³，具有优异的机械强度和刚性（抗拉强度70-120MPa，抗弯强度100-250MPa）。其熔点高达260-270℃，热分解温度超过350℃，连续耐热温度80-120℃，脆化温度-30℃，表现出良好的高温稳定性和低温韧性。该材料吸水性较强（饱和吸水率2.5-8%），尺寸稳定性受湿度影响较大，但通过玻璃纤维增强可显著改善。化学性能方面耐油、耐弱酸碱及有机溶剂，但易溶于苯酚、甲酸等极性溶剂。此外，PA66还具有突出的耐磨性（摩擦系数0.1-0.3）、自润滑性和电气绝缘性（体积电阻率10¹⁴-10¹⁶Ω·cm），注塑加工温度范围260-290℃</w:t>
                  </w:r>
                  <w:r>
                    <w:rPr>
                      <w:rFonts w:hint="eastAsia" w:ascii="Times New Roman" w:hAnsi="Times New Roman" w:eastAsia="宋体" w:cs="Times New Roman"/>
                      <w:i w:val="0"/>
                      <w:iCs w:val="0"/>
                      <w:caps w:val="0"/>
                      <w:color w:val="auto"/>
                      <w:spacing w:val="0"/>
                      <w:sz w:val="21"/>
                      <w:szCs w:val="21"/>
                      <w:shd w:val="clear" w:fill="FFFFFF"/>
                      <w:lang w:eastAsia="zh-CN"/>
                    </w:rPr>
                    <w:t>。</w:t>
                  </w:r>
                </w:p>
                <w:p w14:paraId="1928F7A2">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N/>
                    <w:bidi w:val="0"/>
                    <w:spacing w:before="0" w:beforeAutospacing="0" w:after="0" w:afterAutospacing="0" w:line="240" w:lineRule="auto"/>
                    <w:ind w:left="0" w:right="0"/>
                    <w:textAlignment w:val="auto"/>
                    <w:rPr>
                      <w:rFonts w:hint="eastAsia"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rPr>
                    <w:t>PBT</w:t>
                  </w:r>
                  <w:r>
                    <w:rPr>
                      <w:rFonts w:ascii="Times New Roman" w:hAnsi="Times New Roman" w:cs="Times New Roman"/>
                      <w:b/>
                      <w:bCs/>
                      <w:color w:val="auto"/>
                      <w:sz w:val="21"/>
                      <w:szCs w:val="21"/>
                    </w:rPr>
                    <w:t>塑胶：</w:t>
                  </w:r>
                  <w:r>
                    <w:rPr>
                      <w:rFonts w:hint="default" w:ascii="Times New Roman" w:hAnsi="Times New Roman" w:eastAsia="Arial" w:cs="Times New Roman"/>
                      <w:i w:val="0"/>
                      <w:iCs w:val="0"/>
                      <w:caps w:val="0"/>
                      <w:color w:val="auto"/>
                      <w:spacing w:val="0"/>
                      <w:sz w:val="21"/>
                      <w:szCs w:val="21"/>
                      <w:shd w:val="clear" w:fill="FFFFFF"/>
                    </w:rPr>
                    <w:t>PBT是一种乳白色或半透明的结晶性热塑性聚酯，密度1.30-1.38g/cm³，具有优异的机械性能（抗拉强度50-60MPa，弯曲强度80-120MPa）和尺寸稳定性。成型温度为230-270℃，热变形温度（1.82MPa）可达60-200℃（经玻璃纤维增强后提升至200℃以上），</w:t>
                  </w:r>
                  <w:r>
                    <w:rPr>
                      <w:rFonts w:hint="eastAsia" w:ascii="Times New Roman" w:hAnsi="Times New Roman" w:eastAsia="Arial" w:cs="Times New Roman"/>
                      <w:i w:val="0"/>
                      <w:iCs w:val="0"/>
                      <w:caps w:val="0"/>
                      <w:color w:val="auto"/>
                      <w:spacing w:val="0"/>
                      <w:sz w:val="21"/>
                      <w:szCs w:val="21"/>
                      <w:shd w:val="clear" w:fill="FFFFFF"/>
                      <w:lang w:val="en-US" w:eastAsia="zh-CN"/>
                    </w:rPr>
                    <w:t>热分解温度为280-300</w:t>
                  </w:r>
                  <w:r>
                    <w:rPr>
                      <w:rFonts w:hint="default" w:ascii="Times New Roman" w:hAnsi="Times New Roman" w:eastAsia="Arial" w:cs="Times New Roman"/>
                      <w:i w:val="0"/>
                      <w:iCs w:val="0"/>
                      <w:caps w:val="0"/>
                      <w:color w:val="auto"/>
                      <w:spacing w:val="0"/>
                      <w:sz w:val="21"/>
                      <w:szCs w:val="21"/>
                      <w:shd w:val="clear" w:fill="FFFFFF"/>
                      <w:lang w:val="en-US" w:eastAsia="zh-CN"/>
                    </w:rPr>
                    <w:t>℃</w:t>
                  </w:r>
                  <w:r>
                    <w:rPr>
                      <w:rFonts w:hint="eastAsia" w:ascii="Times New Roman" w:hAnsi="Times New Roman" w:eastAsia="宋体" w:cs="Times New Roman"/>
                      <w:i w:val="0"/>
                      <w:iCs w:val="0"/>
                      <w:caps w:val="0"/>
                      <w:color w:val="auto"/>
                      <w:spacing w:val="0"/>
                      <w:sz w:val="21"/>
                      <w:szCs w:val="21"/>
                      <w:shd w:val="clear" w:fill="FFFFFF"/>
                      <w:lang w:val="en-US" w:eastAsia="zh-CN"/>
                    </w:rPr>
                    <w:t>，</w:t>
                  </w:r>
                  <w:r>
                    <w:rPr>
                      <w:rFonts w:hint="default" w:ascii="Times New Roman" w:hAnsi="Times New Roman" w:eastAsia="Arial" w:cs="Times New Roman"/>
                      <w:i w:val="0"/>
                      <w:iCs w:val="0"/>
                      <w:caps w:val="0"/>
                      <w:color w:val="auto"/>
                      <w:spacing w:val="0"/>
                      <w:sz w:val="21"/>
                      <w:szCs w:val="21"/>
                      <w:shd w:val="clear" w:fill="FFFFFF"/>
                    </w:rPr>
                    <w:t>长期使用温度范围-40℃至120℃。该材料吸水率低（0.1-0.3%），耐水解性优于其他聚酯，同时具备良好的耐化学性（耐油、弱酸、弱碱及有机溶剂）。电绝缘性能突出（体积电阻率10¹⁶Ω·cm），介电强度20-30kV/mm，且摩擦系数低（0.15-0.35），兼具自润滑性和耐磨性。注塑加工温度建议控制在240-270℃，收缩率0.5-2.2%（增强后降至0.2-0.8%）。此外，PBT还表现出良好的耐候性和抗紫外线性能，但需避免长期接触强酸强碱</w:t>
                  </w:r>
                  <w:r>
                    <w:rPr>
                      <w:rFonts w:hint="eastAsia" w:ascii="Times New Roman" w:hAnsi="Times New Roman" w:eastAsia="宋体" w:cs="Times New Roman"/>
                      <w:i w:val="0"/>
                      <w:iCs w:val="0"/>
                      <w:caps w:val="0"/>
                      <w:color w:val="auto"/>
                      <w:spacing w:val="0"/>
                      <w:sz w:val="21"/>
                      <w:szCs w:val="21"/>
                      <w:shd w:val="clear" w:fill="FFFFFF"/>
                      <w:lang w:eastAsia="zh-CN"/>
                    </w:rPr>
                    <w:t>。</w:t>
                  </w:r>
                </w:p>
                <w:p w14:paraId="1DB70521">
                  <w:pPr>
                    <w:keepNext w:val="0"/>
                    <w:keepLines w:val="0"/>
                    <w:pageBreakBefore w:val="0"/>
                    <w:widowControl/>
                    <w:kinsoku/>
                    <w:wordWrap/>
                    <w:overflowPunct/>
                    <w:topLinePunct w:val="0"/>
                    <w:autoSpaceDE w:val="0"/>
                    <w:autoSpaceDN/>
                    <w:bidi w:val="0"/>
                    <w:adjustRightInd w:val="0"/>
                    <w:snapToGrid w:val="0"/>
                    <w:spacing w:line="240" w:lineRule="auto"/>
                    <w:textAlignment w:val="auto"/>
                    <w:rPr>
                      <w:rFonts w:hint="default" w:ascii="Times New Roman" w:hAnsi="Times New Roman" w:cs="Times New Roman"/>
                      <w:color w:val="auto"/>
                      <w:sz w:val="21"/>
                      <w:szCs w:val="21"/>
                    </w:rPr>
                  </w:pPr>
                  <w:r>
                    <w:rPr>
                      <w:rFonts w:ascii="Times New Roman" w:hAnsi="Times New Roman" w:cs="Times New Roman"/>
                      <w:b/>
                      <w:bCs/>
                      <w:color w:val="auto"/>
                      <w:sz w:val="21"/>
                      <w:szCs w:val="21"/>
                    </w:rPr>
                    <w:t>ABS塑胶：</w:t>
                  </w:r>
                  <w:r>
                    <w:rPr>
                      <w:rFonts w:hint="default" w:ascii="Times New Roman" w:hAnsi="Times New Roman" w:cs="Times New Roman"/>
                      <w:color w:val="auto"/>
                      <w:sz w:val="21"/>
                      <w:szCs w:val="21"/>
                    </w:rPr>
                    <w:t>是丙烯腈（A）、丁二烯（B）、苯乙烯（S）三种单体的三元共聚物，兼有三种组元的共同性能，丙烯腈可以使其耐化学腐蚀、耐热，并具有一定的表面硬度，丁二烯可以使其具有高弹性和韧性，苯乙烯可以使其具有热塑性塑料的加工成型特性，并改善电性能，因此，ABS塑料是一种原料易得、综合性能良好、价格便宜、用途广泛的材料，应用于机械、电气、纺织、汽车、飞机、轮船等行业。ABS塑料无毒无味，</w:t>
                  </w:r>
                  <w:r>
                    <w:rPr>
                      <w:rFonts w:hint="default" w:ascii="Times New Roman" w:hAnsi="Times New Roman" w:cs="Times New Roman"/>
                      <w:color w:val="auto"/>
                      <w:sz w:val="21"/>
                      <w:szCs w:val="21"/>
                      <w:lang w:val="en-US" w:eastAsia="zh-CN"/>
                    </w:rPr>
                    <w:t>外观呈象牙色半透明或透明颗粒</w:t>
                  </w:r>
                  <w:r>
                    <w:rPr>
                      <w:rFonts w:hint="default" w:ascii="Times New Roman" w:hAnsi="Times New Roman" w:cs="Times New Roman"/>
                      <w:color w:val="auto"/>
                      <w:sz w:val="21"/>
                      <w:szCs w:val="21"/>
                    </w:rPr>
                    <w:t>，具有高光泽度，吸水率低，易燃，火焰呈黄色，有黑烟，烧焦后不滴落并有特殊肉桂味。ABS冲击强度高，耐磨耐油，无明显熔点，溶体粘度较高，流动性查，热</w:t>
                  </w:r>
                  <w:r>
                    <w:rPr>
                      <w:rFonts w:hint="eastAsia" w:cs="Times New Roman"/>
                      <w:color w:val="auto"/>
                      <w:sz w:val="21"/>
                      <w:szCs w:val="21"/>
                      <w:lang w:val="en-US" w:eastAsia="zh-CN"/>
                    </w:rPr>
                    <w:t>成型</w:t>
                  </w:r>
                  <w:r>
                    <w:rPr>
                      <w:rFonts w:hint="default" w:ascii="Times New Roman" w:hAnsi="Times New Roman" w:cs="Times New Roman"/>
                      <w:color w:val="auto"/>
                      <w:sz w:val="21"/>
                      <w:szCs w:val="21"/>
                    </w:rPr>
                    <w:t>温度为</w:t>
                  </w:r>
                  <w:r>
                    <w:rPr>
                      <w:rFonts w:hint="eastAsia" w:cs="Times New Roman"/>
                      <w:color w:val="auto"/>
                      <w:sz w:val="21"/>
                      <w:szCs w:val="21"/>
                      <w:lang w:val="en-US" w:eastAsia="zh-CN"/>
                    </w:rPr>
                    <w:t>180-220</w:t>
                  </w:r>
                  <w:r>
                    <w:rPr>
                      <w:rFonts w:hint="default" w:ascii="Times New Roman" w:hAnsi="Times New Roman" w:cs="Times New Roman"/>
                      <w:color w:val="auto"/>
                      <w:sz w:val="21"/>
                      <w:szCs w:val="21"/>
                    </w:rPr>
                    <w:t>°C，分解温度为2</w:t>
                  </w:r>
                  <w:r>
                    <w:rPr>
                      <w:rFonts w:hint="eastAsia" w:cs="Times New Roman"/>
                      <w:color w:val="auto"/>
                      <w:sz w:val="21"/>
                      <w:szCs w:val="21"/>
                      <w:lang w:val="en-US" w:eastAsia="zh-CN"/>
                    </w:rPr>
                    <w:t>7</w:t>
                  </w:r>
                  <w:r>
                    <w:rPr>
                      <w:rFonts w:hint="default" w:ascii="Times New Roman" w:hAnsi="Times New Roman" w:cs="Times New Roman"/>
                      <w:color w:val="auto"/>
                      <w:sz w:val="21"/>
                      <w:szCs w:val="21"/>
                    </w:rPr>
                    <w:t>0°C以上，成型温度为180-240℃，电绝缘性较好，可溶于酮类、醛类及氯代烃。</w:t>
                  </w:r>
                </w:p>
                <w:p w14:paraId="18B265F2">
                  <w:pPr>
                    <w:keepNext w:val="0"/>
                    <w:keepLines w:val="0"/>
                    <w:pageBreakBefore w:val="0"/>
                    <w:widowControl/>
                    <w:kinsoku/>
                    <w:wordWrap/>
                    <w:overflowPunct/>
                    <w:topLinePunct w:val="0"/>
                    <w:autoSpaceDE w:val="0"/>
                    <w:autoSpaceDN/>
                    <w:bidi w:val="0"/>
                    <w:adjustRightInd w:val="0"/>
                    <w:snapToGrid w:val="0"/>
                    <w:spacing w:line="240" w:lineRule="auto"/>
                    <w:textAlignment w:val="auto"/>
                    <w:rPr>
                      <w:rFonts w:hint="eastAsia" w:ascii="Times New Roman" w:hAnsi="Times New Roman" w:eastAsia="宋体" w:cs="Times New Roman"/>
                      <w:color w:val="auto"/>
                      <w:sz w:val="21"/>
                      <w:szCs w:val="21"/>
                      <w:lang w:val="en-US" w:eastAsia="zh-CN"/>
                    </w:rPr>
                  </w:pPr>
                  <w:r>
                    <w:rPr>
                      <w:rFonts w:hint="eastAsia" w:cs="Times New Roman"/>
                      <w:b/>
                      <w:bCs/>
                      <w:color w:val="auto"/>
                      <w:sz w:val="21"/>
                      <w:szCs w:val="21"/>
                      <w:lang w:val="en-US" w:eastAsia="zh-CN"/>
                    </w:rPr>
                    <w:t>POM：</w:t>
                  </w:r>
                  <w:r>
                    <w:rPr>
                      <w:rFonts w:hint="default" w:ascii="Times New Roman" w:hAnsi="Times New Roman" w:eastAsia="Arial" w:cs="Times New Roman"/>
                      <w:i w:val="0"/>
                      <w:iCs w:val="0"/>
                      <w:caps w:val="0"/>
                      <w:color w:val="auto"/>
                      <w:spacing w:val="0"/>
                      <w:sz w:val="21"/>
                      <w:szCs w:val="21"/>
                      <w:shd w:val="clear" w:fill="FFFFFF"/>
                    </w:rPr>
                    <w:t>POM是一种高结晶度的乳白色或浅黄色工程塑料，密度1.41-1.43g/cm³，分解温度为240-280°C，成型温度为165-170℃</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Arial" w:cs="Times New Roman"/>
                      <w:i w:val="0"/>
                      <w:iCs w:val="0"/>
                      <w:caps w:val="0"/>
                      <w:color w:val="auto"/>
                      <w:spacing w:val="0"/>
                      <w:sz w:val="21"/>
                      <w:szCs w:val="21"/>
                      <w:shd w:val="clear" w:fill="FFFFFF"/>
                    </w:rPr>
                    <w:t>具有优异的机械强度（抗拉强度60-70MPa，弯曲模量2.5-3.5GPa）和刚性，被誉为"金属替代者"。其熔点为165-175℃，</w:t>
                  </w:r>
                  <w:r>
                    <w:rPr>
                      <w:rFonts w:hint="eastAsia" w:ascii="Times New Roman" w:hAnsi="Times New Roman" w:eastAsia="宋体" w:cs="Times New Roman"/>
                      <w:i w:val="0"/>
                      <w:iCs w:val="0"/>
                      <w:caps w:val="0"/>
                      <w:color w:val="auto"/>
                      <w:spacing w:val="0"/>
                      <w:sz w:val="21"/>
                      <w:szCs w:val="21"/>
                      <w:shd w:val="clear" w:fill="FFFFFF"/>
                      <w:lang w:val="en-US" w:eastAsia="zh-CN"/>
                    </w:rPr>
                    <w:t>热分解温度为240-280</w:t>
                  </w:r>
                  <w:r>
                    <w:rPr>
                      <w:rFonts w:hint="default" w:ascii="Times New Roman" w:hAnsi="Times New Roman" w:eastAsia="Arial" w:cs="Times New Roman"/>
                      <w:i w:val="0"/>
                      <w:iCs w:val="0"/>
                      <w:caps w:val="0"/>
                      <w:color w:val="auto"/>
                      <w:spacing w:val="0"/>
                      <w:sz w:val="21"/>
                      <w:szCs w:val="21"/>
                      <w:shd w:val="clear" w:fill="FFFFFF"/>
                    </w:rPr>
                    <w:t>℃。该材料吸水率极低（0.2-0.3%），尺寸稳定性出色，但耐候性较差，易受紫外线影响。化学性能方面耐烃类、醇类及弱酸碱，但在强酸、强氧化剂和酚类溶剂中易降解。摩擦系数极低（0.1-0.3），自润滑性优于多数工程塑料，耐磨性为PA66的3倍。电绝缘性能优良（体积电阻率10¹⁴Ω·cm），介电强度20kV/mm。注塑加工温度建议190-210℃，收缩率1.5-3.0%</w:t>
                  </w:r>
                  <w:r>
                    <w:rPr>
                      <w:rFonts w:hint="eastAsia" w:ascii="Times New Roman" w:hAnsi="Times New Roman" w:eastAsia="宋体" w:cs="Times New Roman"/>
                      <w:i w:val="0"/>
                      <w:iCs w:val="0"/>
                      <w:caps w:val="0"/>
                      <w:color w:val="auto"/>
                      <w:spacing w:val="0"/>
                      <w:sz w:val="21"/>
                      <w:szCs w:val="21"/>
                      <w:shd w:val="clear" w:fill="FFFFFF"/>
                      <w:lang w:eastAsia="zh-CN"/>
                    </w:rPr>
                    <w:t>。</w:t>
                  </w:r>
                </w:p>
              </w:tc>
            </w:tr>
            <w:tr w14:paraId="7DCB5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434" w:type="dxa"/>
                  <w:tcBorders>
                    <w:top w:val="single" w:color="auto" w:sz="4" w:space="0"/>
                    <w:left w:val="single" w:color="auto" w:sz="4" w:space="0"/>
                    <w:bottom w:val="single" w:color="auto" w:sz="4" w:space="0"/>
                    <w:right w:val="single" w:color="auto" w:sz="4" w:space="0"/>
                  </w:tcBorders>
                  <w:noWrap w:val="0"/>
                  <w:vAlign w:val="center"/>
                </w:tcPr>
                <w:p w14:paraId="6663F57A">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2</w:t>
                  </w:r>
                </w:p>
              </w:tc>
              <w:tc>
                <w:tcPr>
                  <w:tcW w:w="813" w:type="dxa"/>
                  <w:tcBorders>
                    <w:top w:val="single" w:color="auto" w:sz="4" w:space="0"/>
                    <w:left w:val="nil"/>
                    <w:bottom w:val="single" w:color="auto" w:sz="4" w:space="0"/>
                    <w:right w:val="single" w:color="auto" w:sz="4" w:space="0"/>
                  </w:tcBorders>
                  <w:noWrap w:val="0"/>
                  <w:vAlign w:val="center"/>
                </w:tcPr>
                <w:p w14:paraId="754478E1">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色粉</w:t>
                  </w:r>
                </w:p>
              </w:tc>
              <w:tc>
                <w:tcPr>
                  <w:tcW w:w="566" w:type="dxa"/>
                  <w:tcBorders>
                    <w:top w:val="single" w:color="auto" w:sz="4" w:space="0"/>
                    <w:left w:val="nil"/>
                    <w:bottom w:val="single" w:color="auto" w:sz="4" w:space="0"/>
                    <w:right w:val="single" w:color="auto" w:sz="4" w:space="0"/>
                  </w:tcBorders>
                  <w:noWrap w:val="0"/>
                  <w:vAlign w:val="center"/>
                </w:tcPr>
                <w:p w14:paraId="12AB72F9">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粉末状</w:t>
                  </w:r>
                </w:p>
              </w:tc>
              <w:tc>
                <w:tcPr>
                  <w:tcW w:w="1120" w:type="dxa"/>
                  <w:tcBorders>
                    <w:top w:val="single" w:color="auto" w:sz="4" w:space="0"/>
                    <w:left w:val="nil"/>
                    <w:bottom w:val="single" w:color="auto" w:sz="4" w:space="0"/>
                    <w:right w:val="single" w:color="auto" w:sz="4" w:space="0"/>
                  </w:tcBorders>
                  <w:noWrap w:val="0"/>
                  <w:vAlign w:val="center"/>
                </w:tcPr>
                <w:p w14:paraId="2281DED8">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非危险品</w:t>
                  </w:r>
                </w:p>
              </w:tc>
              <w:tc>
                <w:tcPr>
                  <w:tcW w:w="5985" w:type="dxa"/>
                  <w:tcBorders>
                    <w:top w:val="single" w:color="auto" w:sz="4" w:space="0"/>
                    <w:left w:val="nil"/>
                    <w:bottom w:val="single" w:color="auto" w:sz="4" w:space="0"/>
                    <w:right w:val="single" w:color="auto" w:sz="4" w:space="0"/>
                  </w:tcBorders>
                  <w:noWrap w:val="0"/>
                  <w:vAlign w:val="center"/>
                </w:tcPr>
                <w:p w14:paraId="4CC2D4F2">
                  <w:pPr>
                    <w:wordWrap/>
                    <w:spacing w:line="240" w:lineRule="auto"/>
                    <w:rPr>
                      <w:rFonts w:ascii="Times New Roman" w:hAnsi="Times New Roman" w:cs="Times New Roman"/>
                      <w:color w:val="auto"/>
                      <w:sz w:val="21"/>
                      <w:szCs w:val="21"/>
                    </w:rPr>
                  </w:pPr>
                  <w:r>
                    <w:rPr>
                      <w:rFonts w:ascii="Times New Roman" w:hAnsi="Times New Roman" w:cs="Times New Roman"/>
                      <w:color w:val="auto"/>
                      <w:sz w:val="21"/>
                      <w:szCs w:val="21"/>
                    </w:rPr>
                    <w:t>色粉：是一种新型高分子</w:t>
                  </w:r>
                  <w:r>
                    <w:rPr>
                      <w:rFonts w:ascii="Times New Roman" w:hAnsi="Times New Roman" w:cs="Times New Roman"/>
                      <w:color w:val="auto"/>
                      <w:sz w:val="21"/>
                      <w:szCs w:val="21"/>
                    </w:rPr>
                    <w:fldChar w:fldCharType="begin"/>
                  </w:r>
                  <w:r>
                    <w:rPr>
                      <w:rFonts w:ascii="Times New Roman" w:hAnsi="Times New Roman" w:cs="Times New Roman"/>
                      <w:color w:val="auto"/>
                      <w:sz w:val="21"/>
                      <w:szCs w:val="21"/>
                    </w:rPr>
                    <w:instrText xml:space="preserve"> HYPERLINK "https://baike.baidu.com/item/%E6%9D%90%E6%96%99" \t "https://baike.baidu.com/item/%E8%89%B2%E6%AF%8D/_blank" </w:instrText>
                  </w:r>
                  <w:r>
                    <w:rPr>
                      <w:rFonts w:ascii="Times New Roman" w:hAnsi="Times New Roman" w:cs="Times New Roman"/>
                      <w:color w:val="auto"/>
                      <w:sz w:val="21"/>
                      <w:szCs w:val="21"/>
                    </w:rPr>
                    <w:fldChar w:fldCharType="separate"/>
                  </w:r>
                  <w:r>
                    <w:rPr>
                      <w:rFonts w:ascii="Times New Roman" w:hAnsi="Times New Roman" w:cs="Times New Roman"/>
                      <w:color w:val="auto"/>
                      <w:sz w:val="21"/>
                      <w:szCs w:val="21"/>
                    </w:rPr>
                    <w:t>材料</w:t>
                  </w:r>
                  <w:r>
                    <w:rPr>
                      <w:rFonts w:ascii="Times New Roman" w:hAnsi="Times New Roman" w:cs="Times New Roman"/>
                      <w:color w:val="auto"/>
                      <w:sz w:val="21"/>
                      <w:szCs w:val="21"/>
                    </w:rPr>
                    <w:fldChar w:fldCharType="end"/>
                  </w:r>
                  <w:r>
                    <w:rPr>
                      <w:rFonts w:ascii="Times New Roman" w:hAnsi="Times New Roman" w:cs="Times New Roman"/>
                      <w:color w:val="auto"/>
                      <w:sz w:val="21"/>
                      <w:szCs w:val="21"/>
                    </w:rPr>
                    <w:t>专用</w:t>
                  </w:r>
                  <w:r>
                    <w:rPr>
                      <w:rFonts w:ascii="Times New Roman" w:hAnsi="Times New Roman" w:cs="Times New Roman"/>
                      <w:color w:val="auto"/>
                      <w:sz w:val="21"/>
                      <w:szCs w:val="21"/>
                    </w:rPr>
                    <w:fldChar w:fldCharType="begin"/>
                  </w:r>
                  <w:r>
                    <w:rPr>
                      <w:rFonts w:ascii="Times New Roman" w:hAnsi="Times New Roman" w:cs="Times New Roman"/>
                      <w:color w:val="auto"/>
                      <w:sz w:val="21"/>
                      <w:szCs w:val="21"/>
                    </w:rPr>
                    <w:instrText xml:space="preserve"> HYPERLINK "https://baike.baidu.com/item/%E7%9D%80%E8%89%B2%E5%89%82/2531263" \t "https://baike.baidu.com/item/%E8%89%B2%E6%AF%8D/_blank" </w:instrText>
                  </w:r>
                  <w:r>
                    <w:rPr>
                      <w:rFonts w:ascii="Times New Roman" w:hAnsi="Times New Roman" w:cs="Times New Roman"/>
                      <w:color w:val="auto"/>
                      <w:sz w:val="21"/>
                      <w:szCs w:val="21"/>
                    </w:rPr>
                    <w:fldChar w:fldCharType="separate"/>
                  </w:r>
                  <w:r>
                    <w:rPr>
                      <w:rFonts w:ascii="Times New Roman" w:hAnsi="Times New Roman" w:cs="Times New Roman"/>
                      <w:color w:val="auto"/>
                      <w:sz w:val="21"/>
                      <w:szCs w:val="21"/>
                    </w:rPr>
                    <w:t>着色剂</w:t>
                  </w:r>
                  <w:r>
                    <w:rPr>
                      <w:rFonts w:ascii="Times New Roman" w:hAnsi="Times New Roman" w:cs="Times New Roman"/>
                      <w:color w:val="auto"/>
                      <w:sz w:val="21"/>
                      <w:szCs w:val="21"/>
                    </w:rPr>
                    <w:fldChar w:fldCharType="end"/>
                  </w:r>
                  <w:r>
                    <w:rPr>
                      <w:rFonts w:ascii="Times New Roman" w:hAnsi="Times New Roman" w:cs="Times New Roman"/>
                      <w:color w:val="auto"/>
                      <w:sz w:val="21"/>
                      <w:szCs w:val="21"/>
                    </w:rPr>
                    <w:t>，亦称颜料制备物。主要用在塑料上。</w:t>
                  </w:r>
                </w:p>
              </w:tc>
            </w:tr>
            <w:tr w14:paraId="7C065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434" w:type="dxa"/>
                  <w:tcBorders>
                    <w:top w:val="single" w:color="auto" w:sz="4" w:space="0"/>
                    <w:left w:val="single" w:color="auto" w:sz="4" w:space="0"/>
                    <w:bottom w:val="single" w:color="auto" w:sz="4" w:space="0"/>
                    <w:right w:val="single" w:color="auto" w:sz="4" w:space="0"/>
                  </w:tcBorders>
                  <w:noWrap w:val="0"/>
                  <w:vAlign w:val="center"/>
                </w:tcPr>
                <w:p w14:paraId="7CBA8DF7">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3</w:t>
                  </w:r>
                </w:p>
              </w:tc>
              <w:tc>
                <w:tcPr>
                  <w:tcW w:w="813" w:type="dxa"/>
                  <w:tcBorders>
                    <w:top w:val="single" w:color="auto" w:sz="4" w:space="0"/>
                    <w:left w:val="nil"/>
                    <w:bottom w:val="single" w:color="auto" w:sz="4" w:space="0"/>
                    <w:right w:val="single" w:color="auto" w:sz="4" w:space="0"/>
                  </w:tcBorders>
                  <w:noWrap w:val="0"/>
                  <w:vAlign w:val="center"/>
                </w:tcPr>
                <w:p w14:paraId="458EA581">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切削液</w:t>
                  </w:r>
                </w:p>
              </w:tc>
              <w:tc>
                <w:tcPr>
                  <w:tcW w:w="566" w:type="dxa"/>
                  <w:tcBorders>
                    <w:top w:val="single" w:color="auto" w:sz="4" w:space="0"/>
                    <w:left w:val="nil"/>
                    <w:bottom w:val="single" w:color="auto" w:sz="4" w:space="0"/>
                    <w:right w:val="single" w:color="auto" w:sz="4" w:space="0"/>
                  </w:tcBorders>
                  <w:noWrap w:val="0"/>
                  <w:vAlign w:val="center"/>
                </w:tcPr>
                <w:p w14:paraId="62ECDBE1">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液态</w:t>
                  </w:r>
                </w:p>
              </w:tc>
              <w:tc>
                <w:tcPr>
                  <w:tcW w:w="1120" w:type="dxa"/>
                  <w:tcBorders>
                    <w:top w:val="single" w:color="auto" w:sz="4" w:space="0"/>
                    <w:left w:val="nil"/>
                    <w:bottom w:val="single" w:color="auto" w:sz="4" w:space="0"/>
                    <w:right w:val="single" w:color="auto" w:sz="4" w:space="0"/>
                  </w:tcBorders>
                  <w:noWrap w:val="0"/>
                  <w:vAlign w:val="center"/>
                </w:tcPr>
                <w:p w14:paraId="7E1D1700">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非危险品</w:t>
                  </w:r>
                </w:p>
              </w:tc>
              <w:tc>
                <w:tcPr>
                  <w:tcW w:w="5985" w:type="dxa"/>
                  <w:tcBorders>
                    <w:top w:val="single" w:color="auto" w:sz="4" w:space="0"/>
                    <w:left w:val="nil"/>
                    <w:bottom w:val="single" w:color="auto" w:sz="4" w:space="0"/>
                    <w:right w:val="single" w:color="auto" w:sz="4" w:space="0"/>
                  </w:tcBorders>
                  <w:noWrap w:val="0"/>
                  <w:vAlign w:val="center"/>
                </w:tcPr>
                <w:p w14:paraId="2DBC80CF">
                  <w:pPr>
                    <w:wordWrap/>
                    <w:spacing w:line="240" w:lineRule="auto"/>
                    <w:rPr>
                      <w:rFonts w:ascii="Times New Roman" w:hAnsi="Times New Roman" w:cs="Times New Roman"/>
                      <w:color w:val="auto"/>
                      <w:sz w:val="21"/>
                      <w:szCs w:val="21"/>
                    </w:rPr>
                  </w:pPr>
                  <w:r>
                    <w:rPr>
                      <w:rFonts w:hint="eastAsia" w:ascii="Times New Roman" w:hAnsi="Times New Roman" w:cs="Times New Roman"/>
                      <w:color w:val="auto"/>
                      <w:sz w:val="21"/>
                      <w:szCs w:val="21"/>
                    </w:rPr>
                    <w:t>是一种用在金属开料、冲压、机加工等过程中，用来冷却和润滑刀具和加工件的工业用液体，切削液由多种超强功能助剂经科学复合配合而成，同时具备良好的冷却性能、润滑性能、防锈性能、除油清洗功能、防腐功能、易稀释特点。克服了传统皂基乳化液夏天易臭、冬天难稀释、防锈效果差的的毛病，对车床漆也无不良影响，适用于黑色金属的切削及磨加工，属当前最领先的磨削产品。</w:t>
                  </w:r>
                </w:p>
              </w:tc>
            </w:tr>
            <w:tr w14:paraId="22C03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434" w:type="dxa"/>
                  <w:tcBorders>
                    <w:top w:val="single" w:color="auto" w:sz="4" w:space="0"/>
                    <w:left w:val="single" w:color="auto" w:sz="4" w:space="0"/>
                    <w:bottom w:val="single" w:color="auto" w:sz="4" w:space="0"/>
                    <w:right w:val="single" w:color="auto" w:sz="4" w:space="0"/>
                  </w:tcBorders>
                  <w:noWrap w:val="0"/>
                  <w:vAlign w:val="center"/>
                </w:tcPr>
                <w:p w14:paraId="185480E4">
                  <w:pPr>
                    <w:wordWrap/>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813" w:type="dxa"/>
                  <w:tcBorders>
                    <w:top w:val="single" w:color="auto" w:sz="4" w:space="0"/>
                    <w:left w:val="nil"/>
                    <w:bottom w:val="single" w:color="auto" w:sz="4" w:space="0"/>
                    <w:right w:val="single" w:color="auto" w:sz="4" w:space="0"/>
                  </w:tcBorders>
                  <w:noWrap w:val="0"/>
                  <w:vAlign w:val="center"/>
                </w:tcPr>
                <w:p w14:paraId="33EB2100">
                  <w:pPr>
                    <w:wordWrap/>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火花油</w:t>
                  </w:r>
                </w:p>
              </w:tc>
              <w:tc>
                <w:tcPr>
                  <w:tcW w:w="566" w:type="dxa"/>
                  <w:tcBorders>
                    <w:top w:val="single" w:color="auto" w:sz="4" w:space="0"/>
                    <w:left w:val="nil"/>
                    <w:bottom w:val="single" w:color="auto" w:sz="4" w:space="0"/>
                    <w:right w:val="single" w:color="auto" w:sz="4" w:space="0"/>
                  </w:tcBorders>
                  <w:shd w:val="clear" w:color="auto" w:fill="auto"/>
                  <w:noWrap w:val="0"/>
                  <w:vAlign w:val="center"/>
                </w:tcPr>
                <w:p w14:paraId="56898E68">
                  <w:pPr>
                    <w:wordWrap/>
                    <w:spacing w:line="240" w:lineRule="auto"/>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 w:val="21"/>
                      <w:szCs w:val="21"/>
                    </w:rPr>
                    <w:t>液态</w:t>
                  </w:r>
                </w:p>
              </w:tc>
              <w:tc>
                <w:tcPr>
                  <w:tcW w:w="1120" w:type="dxa"/>
                  <w:tcBorders>
                    <w:top w:val="single" w:color="auto" w:sz="4" w:space="0"/>
                    <w:left w:val="nil"/>
                    <w:bottom w:val="single" w:color="auto" w:sz="4" w:space="0"/>
                    <w:right w:val="single" w:color="auto" w:sz="4" w:space="0"/>
                  </w:tcBorders>
                  <w:shd w:val="clear" w:color="auto" w:fill="auto"/>
                  <w:noWrap w:val="0"/>
                  <w:vAlign w:val="center"/>
                </w:tcPr>
                <w:p w14:paraId="414266C0">
                  <w:pPr>
                    <w:wordWrap/>
                    <w:spacing w:line="240" w:lineRule="auto"/>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 w:val="21"/>
                      <w:szCs w:val="21"/>
                    </w:rPr>
                    <w:t>非危险品</w:t>
                  </w:r>
                </w:p>
              </w:tc>
              <w:tc>
                <w:tcPr>
                  <w:tcW w:w="5985" w:type="dxa"/>
                  <w:tcBorders>
                    <w:top w:val="single" w:color="auto" w:sz="4" w:space="0"/>
                    <w:left w:val="nil"/>
                    <w:bottom w:val="single" w:color="auto" w:sz="4" w:space="0"/>
                    <w:right w:val="single" w:color="auto" w:sz="4" w:space="0"/>
                  </w:tcBorders>
                  <w:noWrap w:val="0"/>
                  <w:vAlign w:val="center"/>
                </w:tcPr>
                <w:p w14:paraId="46EE0F2C">
                  <w:pPr>
                    <w:wordWrap/>
                    <w:spacing w:line="240" w:lineRule="auto"/>
                    <w:rPr>
                      <w:rFonts w:ascii="Times New Roman" w:hAnsi="Times New Roman" w:cs="Times New Roman"/>
                      <w:color w:val="auto"/>
                      <w:sz w:val="21"/>
                      <w:szCs w:val="21"/>
                    </w:rPr>
                  </w:pPr>
                  <w:r>
                    <w:rPr>
                      <w:rFonts w:hint="eastAsia" w:ascii="Times New Roman" w:hAnsi="Times New Roman" w:cs="Times New Roman"/>
                      <w:color w:val="auto"/>
                      <w:sz w:val="21"/>
                      <w:szCs w:val="21"/>
                    </w:rPr>
                    <w:t>是一种电火花机加工不可缺少的放电介质液体，电火花机油能够绝缘消电离、冷却电火花机加工时的高温、排除碳渣。火花油的成分通常是由经过高度精炼的煤油组分或合成基础油组成，具有低粘度，高闪点（大于110℃）等特征。</w:t>
                  </w:r>
                </w:p>
              </w:tc>
            </w:tr>
            <w:tr w14:paraId="34751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434" w:type="dxa"/>
                  <w:tcBorders>
                    <w:top w:val="single" w:color="auto" w:sz="4" w:space="0"/>
                    <w:left w:val="single" w:color="auto" w:sz="4" w:space="0"/>
                    <w:bottom w:val="single" w:color="auto" w:sz="4" w:space="0"/>
                    <w:right w:val="single" w:color="auto" w:sz="4" w:space="0"/>
                  </w:tcBorders>
                  <w:noWrap w:val="0"/>
                  <w:vAlign w:val="center"/>
                </w:tcPr>
                <w:p w14:paraId="3C76BEDD">
                  <w:pPr>
                    <w:wordWrap/>
                    <w:spacing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5</w:t>
                  </w:r>
                </w:p>
              </w:tc>
              <w:tc>
                <w:tcPr>
                  <w:tcW w:w="813" w:type="dxa"/>
                  <w:tcBorders>
                    <w:top w:val="single" w:color="auto" w:sz="4" w:space="0"/>
                    <w:left w:val="nil"/>
                    <w:bottom w:val="single" w:color="auto" w:sz="4" w:space="0"/>
                    <w:right w:val="single" w:color="auto" w:sz="4" w:space="0"/>
                  </w:tcBorders>
                  <w:noWrap w:val="0"/>
                  <w:vAlign w:val="center"/>
                </w:tcPr>
                <w:p w14:paraId="15634626">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润滑油</w:t>
                  </w:r>
                </w:p>
              </w:tc>
              <w:tc>
                <w:tcPr>
                  <w:tcW w:w="566" w:type="dxa"/>
                  <w:tcBorders>
                    <w:top w:val="single" w:color="auto" w:sz="4" w:space="0"/>
                    <w:left w:val="nil"/>
                    <w:bottom w:val="single" w:color="auto" w:sz="4" w:space="0"/>
                    <w:right w:val="single" w:color="auto" w:sz="4" w:space="0"/>
                  </w:tcBorders>
                  <w:noWrap w:val="0"/>
                  <w:vAlign w:val="center"/>
                </w:tcPr>
                <w:p w14:paraId="2A745AAC">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液态</w:t>
                  </w:r>
                </w:p>
              </w:tc>
              <w:tc>
                <w:tcPr>
                  <w:tcW w:w="1120" w:type="dxa"/>
                  <w:tcBorders>
                    <w:top w:val="single" w:color="auto" w:sz="4" w:space="0"/>
                    <w:left w:val="nil"/>
                    <w:bottom w:val="single" w:color="auto" w:sz="4" w:space="0"/>
                    <w:right w:val="single" w:color="auto" w:sz="4" w:space="0"/>
                  </w:tcBorders>
                  <w:noWrap w:val="0"/>
                  <w:vAlign w:val="center"/>
                </w:tcPr>
                <w:p w14:paraId="3BBDEDFB">
                  <w:pPr>
                    <w:wordWrap/>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非危险品</w:t>
                  </w:r>
                </w:p>
              </w:tc>
              <w:tc>
                <w:tcPr>
                  <w:tcW w:w="5985" w:type="dxa"/>
                  <w:tcBorders>
                    <w:top w:val="single" w:color="auto" w:sz="4" w:space="0"/>
                    <w:left w:val="nil"/>
                    <w:bottom w:val="single" w:color="auto" w:sz="4" w:space="0"/>
                    <w:right w:val="single" w:color="auto" w:sz="4" w:space="0"/>
                  </w:tcBorders>
                  <w:noWrap w:val="0"/>
                  <w:vAlign w:val="center"/>
                </w:tcPr>
                <w:p w14:paraId="0547F120">
                  <w:pPr>
                    <w:wordWrap/>
                    <w:spacing w:line="240" w:lineRule="auto"/>
                    <w:rPr>
                      <w:rFonts w:ascii="Times New Roman" w:hAnsi="Times New Roman" w:cs="Times New Roman"/>
                      <w:color w:val="auto"/>
                      <w:sz w:val="21"/>
                      <w:szCs w:val="21"/>
                    </w:rPr>
                  </w:pPr>
                  <w:r>
                    <w:rPr>
                      <w:rFonts w:ascii="Times New Roman" w:hAnsi="Times New Roman" w:cs="Times New Roman"/>
                      <w:color w:val="auto"/>
                      <w:sz w:val="21"/>
                      <w:szCs w:val="21"/>
                    </w:rPr>
                    <w:t>成份为基础油和添加剂；基础油由原油提炼而成,一般为烷烃（直链、支链、多支链）、环烷烃（单环、双环、多环）、芳烃（单环芳烃、多环芳烃）、环烷基芳烃以及含氧、含氮、含硫有机化合物和胶质、沥青质等非烃类化合物。添加剂合理加入，可改善其物理化学性质，对润滑油赋予新的特殊性能，或加强其原来具有的某种性能，满足更高的要求。</w:t>
                  </w:r>
                </w:p>
              </w:tc>
            </w:tr>
          </w:tbl>
          <w:p w14:paraId="690BDC97">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（5）项目设备清单</w:t>
            </w:r>
          </w:p>
          <w:p w14:paraId="48561EF8">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项目主要设备清单详见下表。</w:t>
            </w:r>
          </w:p>
          <w:p w14:paraId="2F172A92">
            <w:pPr>
              <w:spacing w:line="240" w:lineRule="auto"/>
              <w:jc w:val="center"/>
              <w:rPr>
                <w:rFonts w:hint="default" w:ascii="Times New Roman" w:hAnsi="Times New Roman" w:cs="Times New Roman"/>
                <w:b/>
                <w:color w:val="auto"/>
                <w:szCs w:val="22"/>
              </w:rPr>
            </w:pPr>
            <w:bookmarkStart w:id="3" w:name="项目主要设备清单"/>
            <w:r>
              <w:rPr>
                <w:rFonts w:hint="default" w:ascii="Times New Roman" w:hAnsi="Times New Roman" w:cs="Times New Roman"/>
                <w:b/>
                <w:color w:val="auto"/>
                <w:szCs w:val="22"/>
              </w:rPr>
              <w:t>表</w:t>
            </w:r>
            <w:r>
              <w:rPr>
                <w:rFonts w:hint="default" w:ascii="Times New Roman" w:hAnsi="Times New Roman" w:cs="Times New Roman"/>
                <w:b/>
                <w:color w:val="auto"/>
                <w:szCs w:val="22"/>
                <w:lang w:val="en-US" w:eastAsia="zh-CN"/>
              </w:rPr>
              <w:t>2-7</w:t>
            </w:r>
            <w:r>
              <w:rPr>
                <w:rFonts w:hint="default" w:ascii="Times New Roman" w:hAnsi="Times New Roman" w:cs="Times New Roman"/>
                <w:b/>
                <w:color w:val="auto"/>
                <w:szCs w:val="22"/>
              </w:rPr>
              <w:t xml:space="preserve"> 项目主要设备清单</w:t>
            </w:r>
          </w:p>
          <w:bookmarkEnd w:id="3"/>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746"/>
              <w:gridCol w:w="2236"/>
              <w:gridCol w:w="2536"/>
              <w:gridCol w:w="835"/>
            </w:tblGrid>
            <w:tr w14:paraId="58E63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07" w:type="pct"/>
                  <w:tcBorders>
                    <w:top w:val="single" w:color="auto" w:sz="4" w:space="0"/>
                    <w:left w:val="single" w:color="auto" w:sz="4" w:space="0"/>
                    <w:bottom w:val="single" w:color="auto" w:sz="4" w:space="0"/>
                    <w:right w:val="single" w:color="auto" w:sz="4" w:space="0"/>
                  </w:tcBorders>
                  <w:noWrap w:val="0"/>
                  <w:vAlign w:val="center"/>
                </w:tcPr>
                <w:p w14:paraId="191B75F3">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主要生产单元</w:t>
                  </w:r>
                </w:p>
              </w:tc>
              <w:tc>
                <w:tcPr>
                  <w:tcW w:w="971" w:type="pct"/>
                  <w:tcBorders>
                    <w:top w:val="single" w:color="auto" w:sz="4" w:space="0"/>
                    <w:left w:val="nil"/>
                    <w:bottom w:val="single" w:color="auto" w:sz="4" w:space="0"/>
                    <w:right w:val="single" w:color="auto" w:sz="4" w:space="0"/>
                  </w:tcBorders>
                  <w:noWrap w:val="0"/>
                  <w:vAlign w:val="center"/>
                </w:tcPr>
                <w:p w14:paraId="1CE3F81F">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主要工艺</w:t>
                  </w:r>
                </w:p>
              </w:tc>
              <w:tc>
                <w:tcPr>
                  <w:tcW w:w="1244" w:type="pct"/>
                  <w:tcBorders>
                    <w:top w:val="single" w:color="auto" w:sz="4" w:space="0"/>
                    <w:left w:val="nil"/>
                    <w:bottom w:val="single" w:color="auto" w:sz="4" w:space="0"/>
                    <w:right w:val="single" w:color="auto" w:sz="4" w:space="0"/>
                  </w:tcBorders>
                  <w:noWrap w:val="0"/>
                  <w:vAlign w:val="center"/>
                </w:tcPr>
                <w:p w14:paraId="03C69CB6">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生产设备</w:t>
                  </w:r>
                </w:p>
              </w:tc>
              <w:tc>
                <w:tcPr>
                  <w:tcW w:w="1411" w:type="pct"/>
                  <w:tcBorders>
                    <w:top w:val="single" w:color="auto" w:sz="4" w:space="0"/>
                    <w:left w:val="nil"/>
                    <w:bottom w:val="single" w:color="auto" w:sz="4" w:space="0"/>
                    <w:right w:val="single" w:color="auto" w:sz="4" w:space="0"/>
                  </w:tcBorders>
                  <w:noWrap w:val="0"/>
                  <w:vAlign w:val="center"/>
                </w:tcPr>
                <w:p w14:paraId="2F363CFF">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设施参数</w:t>
                  </w:r>
                </w:p>
              </w:tc>
              <w:tc>
                <w:tcPr>
                  <w:tcW w:w="464" w:type="pct"/>
                  <w:tcBorders>
                    <w:top w:val="single" w:color="auto" w:sz="4" w:space="0"/>
                    <w:left w:val="nil"/>
                    <w:bottom w:val="single" w:color="auto" w:sz="4" w:space="0"/>
                    <w:right w:val="single" w:color="auto" w:sz="4" w:space="0"/>
                  </w:tcBorders>
                  <w:noWrap w:val="0"/>
                  <w:vAlign w:val="center"/>
                </w:tcPr>
                <w:p w14:paraId="6EF5F738">
                  <w:pPr>
                    <w:wordWrap/>
                    <w:adjustRightInd w:val="0"/>
                    <w:snapToGrid w:val="0"/>
                    <w:spacing w:line="240" w:lineRule="auto"/>
                    <w:jc w:val="center"/>
                    <w:rPr>
                      <w:rFonts w:ascii="Times New Roman" w:hAnsi="Times New Roman" w:cs="Times New Roman"/>
                      <w:b/>
                      <w:bCs/>
                      <w:color w:val="auto"/>
                      <w:sz w:val="21"/>
                    </w:rPr>
                  </w:pPr>
                  <w:r>
                    <w:rPr>
                      <w:rFonts w:ascii="Times New Roman" w:hAnsi="Times New Roman" w:cs="Times New Roman"/>
                      <w:b/>
                      <w:bCs/>
                      <w:color w:val="auto"/>
                      <w:sz w:val="21"/>
                    </w:rPr>
                    <w:t>数量</w:t>
                  </w:r>
                </w:p>
              </w:tc>
            </w:tr>
            <w:tr w14:paraId="7B5A1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07" w:type="pct"/>
                  <w:vMerge w:val="restart"/>
                  <w:tcBorders>
                    <w:left w:val="single" w:color="auto" w:sz="4" w:space="0"/>
                    <w:right w:val="single" w:color="auto" w:sz="4" w:space="0"/>
                  </w:tcBorders>
                  <w:noWrap w:val="0"/>
                  <w:vAlign w:val="center"/>
                </w:tcPr>
                <w:p w14:paraId="607047AC">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注塑单元</w:t>
                  </w:r>
                </w:p>
              </w:tc>
              <w:tc>
                <w:tcPr>
                  <w:tcW w:w="971" w:type="pct"/>
                  <w:tcBorders>
                    <w:top w:val="single" w:color="auto" w:sz="4" w:space="0"/>
                    <w:left w:val="nil"/>
                    <w:bottom w:val="single" w:color="auto" w:sz="4" w:space="0"/>
                    <w:right w:val="single" w:color="auto" w:sz="4" w:space="0"/>
                  </w:tcBorders>
                  <w:noWrap w:val="0"/>
                  <w:vAlign w:val="center"/>
                </w:tcPr>
                <w:p w14:paraId="737E4CD1">
                  <w:pPr>
                    <w:wordWrap/>
                    <w:adjustRightInd w:val="0"/>
                    <w:snapToGrid w:val="0"/>
                    <w:spacing w:line="240" w:lineRule="auto"/>
                    <w:jc w:val="center"/>
                    <w:rPr>
                      <w:rFonts w:hint="eastAsia" w:ascii="Times New Roman" w:hAnsi="Times New Roman" w:eastAsia="宋体" w:cs="Times New Roman"/>
                      <w:color w:val="auto"/>
                      <w:sz w:val="21"/>
                      <w:lang w:eastAsia="zh-CN"/>
                    </w:rPr>
                  </w:pPr>
                  <w:r>
                    <w:rPr>
                      <w:rFonts w:hint="eastAsia" w:ascii="Times New Roman" w:hAnsi="Times New Roman" w:cs="Times New Roman"/>
                      <w:color w:val="auto"/>
                      <w:sz w:val="21"/>
                      <w:lang w:val="en-US" w:eastAsia="zh-CN"/>
                    </w:rPr>
                    <w:t>拌料</w:t>
                  </w:r>
                </w:p>
              </w:tc>
              <w:tc>
                <w:tcPr>
                  <w:tcW w:w="1244" w:type="pct"/>
                  <w:tcBorders>
                    <w:top w:val="single" w:color="auto" w:sz="4" w:space="0"/>
                    <w:left w:val="nil"/>
                    <w:bottom w:val="single" w:color="auto" w:sz="4" w:space="0"/>
                    <w:right w:val="single" w:color="auto" w:sz="4" w:space="0"/>
                  </w:tcBorders>
                  <w:noWrap w:val="0"/>
                  <w:vAlign w:val="center"/>
                </w:tcPr>
                <w:p w14:paraId="19A1DC99">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lang w:val="en-US" w:eastAsia="zh-CN"/>
                    </w:rPr>
                    <w:t>拌料</w:t>
                  </w:r>
                  <w:r>
                    <w:rPr>
                      <w:rFonts w:ascii="Times New Roman" w:hAnsi="Times New Roman" w:cs="Times New Roman"/>
                      <w:color w:val="auto"/>
                      <w:sz w:val="21"/>
                    </w:rPr>
                    <w:t>机</w:t>
                  </w:r>
                </w:p>
              </w:tc>
              <w:tc>
                <w:tcPr>
                  <w:tcW w:w="1411" w:type="pct"/>
                  <w:tcBorders>
                    <w:top w:val="single" w:color="auto" w:sz="4" w:space="0"/>
                    <w:left w:val="nil"/>
                    <w:bottom w:val="single" w:color="auto" w:sz="4" w:space="0"/>
                    <w:right w:val="single" w:color="auto" w:sz="4" w:space="0"/>
                  </w:tcBorders>
                  <w:noWrap w:val="0"/>
                  <w:vAlign w:val="center"/>
                </w:tcPr>
                <w:p w14:paraId="51B1E16A">
                  <w:pPr>
                    <w:wordWrap/>
                    <w:adjustRightInd w:val="0"/>
                    <w:snapToGrid w:val="0"/>
                    <w:spacing w:line="240" w:lineRule="auto"/>
                    <w:jc w:val="center"/>
                    <w:rPr>
                      <w:rFonts w:ascii="Times New Roman" w:hAnsi="Times New Roman" w:cs="Times New Roman"/>
                      <w:color w:val="auto"/>
                      <w:sz w:val="21"/>
                    </w:rPr>
                  </w:pPr>
                  <w:r>
                    <w:rPr>
                      <w:rFonts w:hint="eastAsia" w:cs="Times New Roman"/>
                      <w:color w:val="auto"/>
                      <w:sz w:val="21"/>
                      <w:lang w:val="en-US" w:eastAsia="zh-CN"/>
                    </w:rPr>
                    <w:t>容量：</w:t>
                  </w:r>
                  <w:r>
                    <w:rPr>
                      <w:rFonts w:hint="eastAsia" w:ascii="Times New Roman" w:hAnsi="Times New Roman" w:cs="Times New Roman"/>
                      <w:color w:val="auto"/>
                      <w:sz w:val="21"/>
                    </w:rPr>
                    <w:t>50-500kg</w:t>
                  </w:r>
                </w:p>
              </w:tc>
              <w:tc>
                <w:tcPr>
                  <w:tcW w:w="464" w:type="pct"/>
                  <w:tcBorders>
                    <w:top w:val="single" w:color="auto" w:sz="4" w:space="0"/>
                    <w:left w:val="nil"/>
                    <w:bottom w:val="single" w:color="auto" w:sz="4" w:space="0"/>
                    <w:right w:val="single" w:color="auto" w:sz="4" w:space="0"/>
                  </w:tcBorders>
                  <w:noWrap w:val="0"/>
                  <w:vAlign w:val="center"/>
                </w:tcPr>
                <w:p w14:paraId="5DC69E0D">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8</w:t>
                  </w:r>
                  <w:r>
                    <w:rPr>
                      <w:rFonts w:ascii="Times New Roman" w:hAnsi="Times New Roman" w:cs="Times New Roman"/>
                      <w:color w:val="auto"/>
                      <w:sz w:val="21"/>
                    </w:rPr>
                    <w:t>台</w:t>
                  </w:r>
                </w:p>
              </w:tc>
            </w:tr>
            <w:tr w14:paraId="6890F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07" w:type="pct"/>
                  <w:vMerge w:val="continue"/>
                  <w:tcBorders>
                    <w:left w:val="single" w:color="auto" w:sz="4" w:space="0"/>
                    <w:right w:val="single" w:color="auto" w:sz="4" w:space="0"/>
                  </w:tcBorders>
                  <w:noWrap w:val="0"/>
                  <w:vAlign w:val="center"/>
                </w:tcPr>
                <w:p w14:paraId="3235696E">
                  <w:pPr>
                    <w:wordWrap/>
                    <w:adjustRightInd w:val="0"/>
                    <w:snapToGrid w:val="0"/>
                    <w:spacing w:line="240" w:lineRule="auto"/>
                    <w:jc w:val="center"/>
                    <w:rPr>
                      <w:rFonts w:ascii="Times New Roman" w:hAnsi="Times New Roman" w:cs="Times New Roman"/>
                      <w:color w:val="auto"/>
                      <w:sz w:val="21"/>
                    </w:rPr>
                  </w:pPr>
                </w:p>
              </w:tc>
              <w:tc>
                <w:tcPr>
                  <w:tcW w:w="971" w:type="pct"/>
                  <w:tcBorders>
                    <w:top w:val="single" w:color="auto" w:sz="4" w:space="0"/>
                    <w:left w:val="nil"/>
                    <w:bottom w:val="single" w:color="auto" w:sz="4" w:space="0"/>
                    <w:right w:val="single" w:color="auto" w:sz="4" w:space="0"/>
                  </w:tcBorders>
                  <w:noWrap w:val="0"/>
                  <w:vAlign w:val="center"/>
                </w:tcPr>
                <w:p w14:paraId="7EC23C8A">
                  <w:pPr>
                    <w:wordWrap/>
                    <w:adjustRightInd w:val="0"/>
                    <w:snapToGrid w:val="0"/>
                    <w:spacing w:line="240" w:lineRule="auto"/>
                    <w:jc w:val="center"/>
                    <w:rPr>
                      <w:rFonts w:hint="eastAsia" w:ascii="Times New Roman" w:hAnsi="Times New Roman" w:eastAsia="宋体" w:cs="Times New Roman"/>
                      <w:color w:val="auto"/>
                      <w:sz w:val="21"/>
                      <w:lang w:eastAsia="zh-CN"/>
                    </w:rPr>
                  </w:pPr>
                  <w:r>
                    <w:rPr>
                      <w:rFonts w:hint="eastAsia" w:ascii="Times New Roman" w:hAnsi="Times New Roman" w:cs="Times New Roman"/>
                      <w:color w:val="auto"/>
                      <w:sz w:val="21"/>
                      <w:lang w:val="en-US" w:eastAsia="zh-CN"/>
                    </w:rPr>
                    <w:t>烘料</w:t>
                  </w:r>
                </w:p>
              </w:tc>
              <w:tc>
                <w:tcPr>
                  <w:tcW w:w="1244" w:type="pct"/>
                  <w:tcBorders>
                    <w:top w:val="single" w:color="auto" w:sz="4" w:space="0"/>
                    <w:left w:val="nil"/>
                    <w:bottom w:val="single" w:color="auto" w:sz="4" w:space="0"/>
                    <w:right w:val="single" w:color="auto" w:sz="4" w:space="0"/>
                  </w:tcBorders>
                  <w:noWrap w:val="0"/>
                  <w:vAlign w:val="center"/>
                </w:tcPr>
                <w:p w14:paraId="7717F91C">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lang w:val="en-US" w:eastAsia="zh-CN"/>
                    </w:rPr>
                    <w:t>烘料</w:t>
                  </w:r>
                  <w:r>
                    <w:rPr>
                      <w:rFonts w:ascii="Times New Roman" w:hAnsi="Times New Roman" w:cs="Times New Roman"/>
                      <w:color w:val="auto"/>
                      <w:sz w:val="21"/>
                    </w:rPr>
                    <w:t>机</w:t>
                  </w:r>
                </w:p>
              </w:tc>
              <w:tc>
                <w:tcPr>
                  <w:tcW w:w="1411" w:type="pct"/>
                  <w:tcBorders>
                    <w:top w:val="single" w:color="auto" w:sz="4" w:space="0"/>
                    <w:left w:val="nil"/>
                    <w:bottom w:val="single" w:color="auto" w:sz="4" w:space="0"/>
                    <w:right w:val="single" w:color="auto" w:sz="4" w:space="0"/>
                  </w:tcBorders>
                  <w:noWrap w:val="0"/>
                  <w:vAlign w:val="center"/>
                </w:tcPr>
                <w:p w14:paraId="5BC6A587">
                  <w:pPr>
                    <w:wordWrap/>
                    <w:adjustRightInd w:val="0"/>
                    <w:snapToGrid w:val="0"/>
                    <w:spacing w:line="240" w:lineRule="auto"/>
                    <w:jc w:val="center"/>
                    <w:rPr>
                      <w:rFonts w:ascii="Times New Roman" w:hAnsi="Times New Roman" w:cs="Times New Roman"/>
                      <w:color w:val="auto"/>
                      <w:sz w:val="21"/>
                    </w:rPr>
                  </w:pPr>
                  <w:r>
                    <w:rPr>
                      <w:rFonts w:hint="eastAsia" w:cs="Times New Roman"/>
                      <w:color w:val="auto"/>
                      <w:sz w:val="21"/>
                      <w:lang w:val="en-US" w:eastAsia="zh-CN"/>
                    </w:rPr>
                    <w:t>容量：</w:t>
                  </w:r>
                  <w:r>
                    <w:rPr>
                      <w:rFonts w:hint="eastAsia" w:ascii="Times New Roman" w:hAnsi="Times New Roman" w:cs="Times New Roman"/>
                      <w:color w:val="auto"/>
                      <w:sz w:val="21"/>
                    </w:rPr>
                    <w:t>50-1000kg</w:t>
                  </w:r>
                </w:p>
              </w:tc>
              <w:tc>
                <w:tcPr>
                  <w:tcW w:w="464" w:type="pct"/>
                  <w:tcBorders>
                    <w:top w:val="single" w:color="auto" w:sz="4" w:space="0"/>
                    <w:left w:val="nil"/>
                    <w:bottom w:val="single" w:color="auto" w:sz="4" w:space="0"/>
                    <w:right w:val="single" w:color="auto" w:sz="4" w:space="0"/>
                  </w:tcBorders>
                  <w:noWrap w:val="0"/>
                  <w:vAlign w:val="center"/>
                </w:tcPr>
                <w:p w14:paraId="0369DEAC">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10</w:t>
                  </w:r>
                  <w:r>
                    <w:rPr>
                      <w:rFonts w:ascii="Times New Roman" w:hAnsi="Times New Roman" w:cs="Times New Roman"/>
                      <w:color w:val="auto"/>
                      <w:sz w:val="21"/>
                    </w:rPr>
                    <w:t>台</w:t>
                  </w:r>
                </w:p>
              </w:tc>
            </w:tr>
            <w:tr w14:paraId="0D533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07" w:type="pct"/>
                  <w:vMerge w:val="continue"/>
                  <w:tcBorders>
                    <w:left w:val="single" w:color="auto" w:sz="4" w:space="0"/>
                    <w:right w:val="single" w:color="auto" w:sz="4" w:space="0"/>
                  </w:tcBorders>
                  <w:noWrap w:val="0"/>
                  <w:vAlign w:val="center"/>
                </w:tcPr>
                <w:p w14:paraId="2F84B922">
                  <w:pPr>
                    <w:wordWrap/>
                    <w:adjustRightInd w:val="0"/>
                    <w:snapToGrid w:val="0"/>
                    <w:spacing w:line="240" w:lineRule="auto"/>
                    <w:jc w:val="center"/>
                    <w:rPr>
                      <w:rFonts w:ascii="Times New Roman" w:hAnsi="Times New Roman" w:cs="Times New Roman"/>
                      <w:color w:val="auto"/>
                      <w:sz w:val="21"/>
                    </w:rPr>
                  </w:pPr>
                </w:p>
              </w:tc>
              <w:tc>
                <w:tcPr>
                  <w:tcW w:w="971" w:type="pct"/>
                  <w:tcBorders>
                    <w:top w:val="single" w:color="auto" w:sz="4" w:space="0"/>
                    <w:left w:val="nil"/>
                    <w:bottom w:val="single" w:color="auto" w:sz="4" w:space="0"/>
                    <w:right w:val="single" w:color="auto" w:sz="4" w:space="0"/>
                  </w:tcBorders>
                  <w:noWrap w:val="0"/>
                  <w:vAlign w:val="center"/>
                </w:tcPr>
                <w:p w14:paraId="07E1B68B">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注塑</w:t>
                  </w:r>
                </w:p>
              </w:tc>
              <w:tc>
                <w:tcPr>
                  <w:tcW w:w="1244" w:type="pct"/>
                  <w:tcBorders>
                    <w:top w:val="single" w:color="auto" w:sz="4" w:space="0"/>
                    <w:left w:val="nil"/>
                    <w:bottom w:val="single" w:color="auto" w:sz="4" w:space="0"/>
                    <w:right w:val="single" w:color="auto" w:sz="4" w:space="0"/>
                  </w:tcBorders>
                  <w:noWrap w:val="0"/>
                  <w:vAlign w:val="center"/>
                </w:tcPr>
                <w:p w14:paraId="2F4B8F69">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立式</w:t>
                  </w:r>
                  <w:r>
                    <w:rPr>
                      <w:rFonts w:ascii="Times New Roman" w:hAnsi="Times New Roman" w:cs="Times New Roman"/>
                      <w:color w:val="auto"/>
                      <w:sz w:val="21"/>
                    </w:rPr>
                    <w:t>注塑机</w:t>
                  </w:r>
                </w:p>
              </w:tc>
              <w:tc>
                <w:tcPr>
                  <w:tcW w:w="1411" w:type="pct"/>
                  <w:tcBorders>
                    <w:top w:val="single" w:color="auto" w:sz="4" w:space="0"/>
                    <w:left w:val="nil"/>
                    <w:bottom w:val="single" w:color="auto" w:sz="4" w:space="0"/>
                    <w:right w:val="single" w:color="auto" w:sz="4" w:space="0"/>
                  </w:tcBorders>
                  <w:noWrap w:val="0"/>
                  <w:vAlign w:val="center"/>
                </w:tcPr>
                <w:p w14:paraId="346FC406">
                  <w:pPr>
                    <w:wordWrap/>
                    <w:adjustRightInd w:val="0"/>
                    <w:snapToGrid w:val="0"/>
                    <w:spacing w:line="240" w:lineRule="auto"/>
                    <w:jc w:val="center"/>
                    <w:rPr>
                      <w:rFonts w:ascii="Times New Roman" w:hAnsi="Times New Roman" w:cs="Times New Roman"/>
                      <w:color w:val="auto"/>
                      <w:sz w:val="21"/>
                    </w:rPr>
                  </w:pPr>
                  <w:r>
                    <w:rPr>
                      <w:rFonts w:hint="eastAsia" w:cs="Times New Roman"/>
                      <w:b w:val="0"/>
                      <w:bCs w:val="0"/>
                      <w:color w:val="auto"/>
                      <w:sz w:val="21"/>
                      <w:szCs w:val="21"/>
                      <w:vertAlign w:val="baseline"/>
                      <w:lang w:val="en-US" w:eastAsia="zh-CN"/>
                    </w:rPr>
                    <w:t>处理能力：0.8</w:t>
                  </w:r>
                  <w:r>
                    <w:rPr>
                      <w:rFonts w:hint="default" w:ascii="Times New Roman" w:hAnsi="Times New Roman" w:cs="Times New Roman"/>
                      <w:b w:val="0"/>
                      <w:bCs w:val="0"/>
                      <w:color w:val="auto"/>
                      <w:sz w:val="21"/>
                      <w:szCs w:val="21"/>
                      <w:vertAlign w:val="baseline"/>
                      <w:lang w:val="en-US" w:eastAsia="zh-CN"/>
                    </w:rPr>
                    <w:t>kg/h</w:t>
                  </w:r>
                </w:p>
              </w:tc>
              <w:tc>
                <w:tcPr>
                  <w:tcW w:w="464" w:type="pct"/>
                  <w:tcBorders>
                    <w:top w:val="single" w:color="auto" w:sz="4" w:space="0"/>
                    <w:left w:val="nil"/>
                    <w:bottom w:val="single" w:color="auto" w:sz="4" w:space="0"/>
                    <w:right w:val="single" w:color="auto" w:sz="4" w:space="0"/>
                  </w:tcBorders>
                  <w:noWrap w:val="0"/>
                  <w:vAlign w:val="center"/>
                </w:tcPr>
                <w:p w14:paraId="2A74F169">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40</w:t>
                  </w:r>
                  <w:r>
                    <w:rPr>
                      <w:rFonts w:ascii="Times New Roman" w:hAnsi="Times New Roman" w:cs="Times New Roman"/>
                      <w:color w:val="auto"/>
                      <w:sz w:val="21"/>
                    </w:rPr>
                    <w:t>台</w:t>
                  </w:r>
                </w:p>
              </w:tc>
            </w:tr>
            <w:tr w14:paraId="40D61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07" w:type="pct"/>
                  <w:vMerge w:val="continue"/>
                  <w:tcBorders>
                    <w:left w:val="single" w:color="auto" w:sz="4" w:space="0"/>
                    <w:right w:val="single" w:color="auto" w:sz="4" w:space="0"/>
                  </w:tcBorders>
                  <w:noWrap w:val="0"/>
                  <w:vAlign w:val="center"/>
                </w:tcPr>
                <w:p w14:paraId="3AED6881">
                  <w:pPr>
                    <w:wordWrap/>
                    <w:adjustRightInd w:val="0"/>
                    <w:snapToGrid w:val="0"/>
                    <w:spacing w:line="240" w:lineRule="auto"/>
                    <w:jc w:val="center"/>
                    <w:rPr>
                      <w:rFonts w:ascii="Times New Roman" w:hAnsi="Times New Roman" w:cs="Times New Roman"/>
                      <w:color w:val="auto"/>
                      <w:sz w:val="21"/>
                    </w:rPr>
                  </w:pPr>
                </w:p>
              </w:tc>
              <w:tc>
                <w:tcPr>
                  <w:tcW w:w="971" w:type="pct"/>
                  <w:tcBorders>
                    <w:top w:val="single" w:color="auto" w:sz="4" w:space="0"/>
                    <w:left w:val="nil"/>
                    <w:bottom w:val="single" w:color="auto" w:sz="4" w:space="0"/>
                    <w:right w:val="single" w:color="auto" w:sz="4" w:space="0"/>
                  </w:tcBorders>
                  <w:noWrap w:val="0"/>
                  <w:vAlign w:val="center"/>
                </w:tcPr>
                <w:p w14:paraId="10EB55B3">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注塑</w:t>
                  </w:r>
                </w:p>
              </w:tc>
              <w:tc>
                <w:tcPr>
                  <w:tcW w:w="1244" w:type="pct"/>
                  <w:tcBorders>
                    <w:top w:val="single" w:color="auto" w:sz="4" w:space="0"/>
                    <w:left w:val="nil"/>
                    <w:bottom w:val="single" w:color="auto" w:sz="4" w:space="0"/>
                    <w:right w:val="single" w:color="auto" w:sz="4" w:space="0"/>
                  </w:tcBorders>
                  <w:noWrap w:val="0"/>
                  <w:vAlign w:val="center"/>
                </w:tcPr>
                <w:p w14:paraId="70CA52A6">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卧式注塑机</w:t>
                  </w:r>
                </w:p>
              </w:tc>
              <w:tc>
                <w:tcPr>
                  <w:tcW w:w="1411" w:type="pct"/>
                  <w:tcBorders>
                    <w:top w:val="single" w:color="auto" w:sz="4" w:space="0"/>
                    <w:left w:val="nil"/>
                    <w:bottom w:val="single" w:color="auto" w:sz="4" w:space="0"/>
                    <w:right w:val="single" w:color="auto" w:sz="4" w:space="0"/>
                  </w:tcBorders>
                  <w:noWrap w:val="0"/>
                  <w:vAlign w:val="center"/>
                </w:tcPr>
                <w:p w14:paraId="39F16894">
                  <w:pPr>
                    <w:wordWrap/>
                    <w:adjustRightInd w:val="0"/>
                    <w:snapToGrid w:val="0"/>
                    <w:spacing w:line="240" w:lineRule="auto"/>
                    <w:jc w:val="center"/>
                    <w:rPr>
                      <w:rFonts w:ascii="Times New Roman" w:hAnsi="Times New Roman" w:cs="Times New Roman"/>
                      <w:color w:val="auto"/>
                      <w:sz w:val="21"/>
                    </w:rPr>
                  </w:pPr>
                  <w:r>
                    <w:rPr>
                      <w:rFonts w:hint="eastAsia" w:cs="Times New Roman"/>
                      <w:b w:val="0"/>
                      <w:bCs w:val="0"/>
                      <w:color w:val="auto"/>
                      <w:sz w:val="21"/>
                      <w:szCs w:val="21"/>
                      <w:vertAlign w:val="baseline"/>
                      <w:lang w:val="en-US" w:eastAsia="zh-CN"/>
                    </w:rPr>
                    <w:t>处理能力：0.8</w:t>
                  </w:r>
                  <w:r>
                    <w:rPr>
                      <w:rFonts w:hint="default" w:ascii="Times New Roman" w:hAnsi="Times New Roman" w:cs="Times New Roman"/>
                      <w:b w:val="0"/>
                      <w:bCs w:val="0"/>
                      <w:color w:val="auto"/>
                      <w:sz w:val="21"/>
                      <w:szCs w:val="21"/>
                      <w:vertAlign w:val="baseline"/>
                      <w:lang w:val="en-US" w:eastAsia="zh-CN"/>
                    </w:rPr>
                    <w:t>kg/h</w:t>
                  </w:r>
                </w:p>
              </w:tc>
              <w:tc>
                <w:tcPr>
                  <w:tcW w:w="464" w:type="pct"/>
                  <w:tcBorders>
                    <w:top w:val="single" w:color="auto" w:sz="4" w:space="0"/>
                    <w:left w:val="nil"/>
                    <w:bottom w:val="single" w:color="auto" w:sz="4" w:space="0"/>
                    <w:right w:val="single" w:color="auto" w:sz="4" w:space="0"/>
                  </w:tcBorders>
                  <w:noWrap w:val="0"/>
                  <w:vAlign w:val="center"/>
                </w:tcPr>
                <w:p w14:paraId="4FBF4E4B">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3</w:t>
                  </w:r>
                  <w:r>
                    <w:rPr>
                      <w:rFonts w:hint="eastAsia" w:cs="Times New Roman"/>
                      <w:color w:val="auto"/>
                      <w:sz w:val="21"/>
                      <w:lang w:val="en-US" w:eastAsia="zh-CN"/>
                    </w:rPr>
                    <w:t>2</w:t>
                  </w:r>
                  <w:r>
                    <w:rPr>
                      <w:rFonts w:hint="eastAsia" w:ascii="Times New Roman" w:hAnsi="Times New Roman" w:cs="Times New Roman"/>
                      <w:color w:val="auto"/>
                      <w:sz w:val="21"/>
                    </w:rPr>
                    <w:t>台</w:t>
                  </w:r>
                </w:p>
              </w:tc>
            </w:tr>
            <w:tr w14:paraId="12F80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07" w:type="pct"/>
                  <w:vMerge w:val="continue"/>
                  <w:tcBorders>
                    <w:left w:val="single" w:color="auto" w:sz="4" w:space="0"/>
                    <w:right w:val="single" w:color="auto" w:sz="4" w:space="0"/>
                  </w:tcBorders>
                  <w:noWrap w:val="0"/>
                  <w:vAlign w:val="center"/>
                </w:tcPr>
                <w:p w14:paraId="0EA84F80">
                  <w:pPr>
                    <w:wordWrap/>
                    <w:adjustRightInd w:val="0"/>
                    <w:snapToGrid w:val="0"/>
                    <w:spacing w:line="240" w:lineRule="auto"/>
                    <w:jc w:val="center"/>
                    <w:rPr>
                      <w:rFonts w:ascii="Times New Roman" w:hAnsi="Times New Roman" w:cs="Times New Roman"/>
                      <w:color w:val="auto"/>
                      <w:sz w:val="21"/>
                    </w:rPr>
                  </w:pPr>
                </w:p>
              </w:tc>
              <w:tc>
                <w:tcPr>
                  <w:tcW w:w="971" w:type="pct"/>
                  <w:tcBorders>
                    <w:top w:val="single" w:color="auto" w:sz="4" w:space="0"/>
                    <w:left w:val="nil"/>
                    <w:bottom w:val="single" w:color="auto" w:sz="4" w:space="0"/>
                    <w:right w:val="single" w:color="auto" w:sz="4" w:space="0"/>
                  </w:tcBorders>
                  <w:noWrap w:val="0"/>
                  <w:vAlign w:val="center"/>
                </w:tcPr>
                <w:p w14:paraId="7BC61430">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破碎</w:t>
                  </w:r>
                </w:p>
              </w:tc>
              <w:tc>
                <w:tcPr>
                  <w:tcW w:w="1244" w:type="pct"/>
                  <w:tcBorders>
                    <w:top w:val="single" w:color="auto" w:sz="4" w:space="0"/>
                    <w:left w:val="nil"/>
                    <w:bottom w:val="single" w:color="auto" w:sz="4" w:space="0"/>
                    <w:right w:val="single" w:color="auto" w:sz="4" w:space="0"/>
                  </w:tcBorders>
                  <w:noWrap w:val="0"/>
                  <w:vAlign w:val="center"/>
                </w:tcPr>
                <w:p w14:paraId="0C212D13">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破碎机</w:t>
                  </w:r>
                </w:p>
              </w:tc>
              <w:tc>
                <w:tcPr>
                  <w:tcW w:w="1411" w:type="pct"/>
                  <w:tcBorders>
                    <w:top w:val="single" w:color="auto" w:sz="4" w:space="0"/>
                    <w:left w:val="nil"/>
                    <w:bottom w:val="single" w:color="auto" w:sz="4" w:space="0"/>
                    <w:right w:val="single" w:color="auto" w:sz="4" w:space="0"/>
                  </w:tcBorders>
                  <w:noWrap w:val="0"/>
                  <w:vAlign w:val="center"/>
                </w:tcPr>
                <w:p w14:paraId="51BC8A33">
                  <w:pPr>
                    <w:wordWrap/>
                    <w:adjustRightInd w:val="0"/>
                    <w:snapToGrid w:val="0"/>
                    <w:spacing w:line="240" w:lineRule="auto"/>
                    <w:jc w:val="center"/>
                    <w:rPr>
                      <w:rFonts w:ascii="Times New Roman" w:hAnsi="Times New Roman" w:cs="Times New Roman"/>
                      <w:color w:val="auto"/>
                      <w:sz w:val="21"/>
                    </w:rPr>
                  </w:pPr>
                  <w:r>
                    <w:rPr>
                      <w:bCs/>
                      <w:color w:val="auto"/>
                      <w:sz w:val="21"/>
                      <w:szCs w:val="21"/>
                    </w:rPr>
                    <w:t>功率：6KW</w:t>
                  </w:r>
                </w:p>
              </w:tc>
              <w:tc>
                <w:tcPr>
                  <w:tcW w:w="464" w:type="pct"/>
                  <w:tcBorders>
                    <w:top w:val="single" w:color="auto" w:sz="4" w:space="0"/>
                    <w:left w:val="nil"/>
                    <w:bottom w:val="single" w:color="auto" w:sz="4" w:space="0"/>
                    <w:right w:val="single" w:color="auto" w:sz="4" w:space="0"/>
                  </w:tcBorders>
                  <w:noWrap w:val="0"/>
                  <w:vAlign w:val="center"/>
                </w:tcPr>
                <w:p w14:paraId="432E0801">
                  <w:pPr>
                    <w:wordWrap/>
                    <w:adjustRightInd w:val="0"/>
                    <w:snapToGrid w:val="0"/>
                    <w:spacing w:line="240" w:lineRule="auto"/>
                    <w:jc w:val="center"/>
                    <w:rPr>
                      <w:rFonts w:ascii="Times New Roman" w:hAnsi="Times New Roman" w:cs="Times New Roman"/>
                      <w:color w:val="auto"/>
                      <w:sz w:val="21"/>
                    </w:rPr>
                  </w:pPr>
                  <w:r>
                    <w:rPr>
                      <w:rFonts w:hint="eastAsia" w:cs="Times New Roman"/>
                      <w:color w:val="auto"/>
                      <w:sz w:val="21"/>
                      <w:lang w:val="en-US" w:eastAsia="zh-CN"/>
                    </w:rPr>
                    <w:t>72</w:t>
                  </w:r>
                  <w:r>
                    <w:rPr>
                      <w:rFonts w:ascii="Times New Roman" w:hAnsi="Times New Roman" w:cs="Times New Roman"/>
                      <w:color w:val="auto"/>
                      <w:sz w:val="21"/>
                    </w:rPr>
                    <w:t>台</w:t>
                  </w:r>
                </w:p>
              </w:tc>
            </w:tr>
            <w:tr w14:paraId="51FAD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07" w:type="pct"/>
                  <w:tcBorders>
                    <w:left w:val="single" w:color="auto" w:sz="4" w:space="0"/>
                    <w:right w:val="single" w:color="auto" w:sz="4" w:space="0"/>
                  </w:tcBorders>
                  <w:noWrap w:val="0"/>
                  <w:vAlign w:val="center"/>
                </w:tcPr>
                <w:p w14:paraId="201FCCAE">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冲压单元</w:t>
                  </w:r>
                </w:p>
              </w:tc>
              <w:tc>
                <w:tcPr>
                  <w:tcW w:w="971" w:type="pct"/>
                  <w:tcBorders>
                    <w:top w:val="single" w:color="auto" w:sz="4" w:space="0"/>
                    <w:left w:val="nil"/>
                    <w:right w:val="single" w:color="auto" w:sz="4" w:space="0"/>
                  </w:tcBorders>
                  <w:noWrap w:val="0"/>
                  <w:vAlign w:val="center"/>
                </w:tcPr>
                <w:p w14:paraId="25A315A5">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冲压</w:t>
                  </w:r>
                </w:p>
              </w:tc>
              <w:tc>
                <w:tcPr>
                  <w:tcW w:w="1244" w:type="pct"/>
                  <w:tcBorders>
                    <w:top w:val="single" w:color="auto" w:sz="4" w:space="0"/>
                    <w:left w:val="nil"/>
                    <w:right w:val="single" w:color="auto" w:sz="4" w:space="0"/>
                  </w:tcBorders>
                  <w:noWrap w:val="0"/>
                  <w:vAlign w:val="center"/>
                </w:tcPr>
                <w:p w14:paraId="2D133B72">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冲床</w:t>
                  </w:r>
                </w:p>
              </w:tc>
              <w:tc>
                <w:tcPr>
                  <w:tcW w:w="1411" w:type="pct"/>
                  <w:tcBorders>
                    <w:top w:val="single" w:color="auto" w:sz="4" w:space="0"/>
                    <w:left w:val="nil"/>
                    <w:bottom w:val="single" w:color="auto" w:sz="4" w:space="0"/>
                    <w:right w:val="single" w:color="auto" w:sz="4" w:space="0"/>
                  </w:tcBorders>
                  <w:noWrap w:val="0"/>
                  <w:vAlign w:val="center"/>
                </w:tcPr>
                <w:p w14:paraId="3366E493">
                  <w:pPr>
                    <w:wordWrap/>
                    <w:adjustRightInd w:val="0"/>
                    <w:snapToGrid w:val="0"/>
                    <w:spacing w:line="240" w:lineRule="auto"/>
                    <w:jc w:val="center"/>
                    <w:rPr>
                      <w:rFonts w:ascii="Times New Roman" w:hAnsi="Times New Roman" w:cs="Times New Roman"/>
                      <w:color w:val="auto"/>
                      <w:sz w:val="21"/>
                    </w:rPr>
                  </w:pPr>
                  <w:r>
                    <w:rPr>
                      <w:rFonts w:hint="eastAsia" w:cs="Times New Roman"/>
                      <w:b w:val="0"/>
                      <w:bCs w:val="0"/>
                      <w:color w:val="auto"/>
                      <w:sz w:val="21"/>
                      <w:szCs w:val="21"/>
                      <w:vertAlign w:val="baseline"/>
                      <w:lang w:val="en-US" w:eastAsia="zh-CN"/>
                    </w:rPr>
                    <w:t>处理能力：</w:t>
                  </w:r>
                  <w:r>
                    <w:rPr>
                      <w:rFonts w:hint="eastAsia" w:cs="Times New Roman"/>
                      <w:b w:val="0"/>
                      <w:bCs w:val="0"/>
                      <w:color w:val="auto"/>
                      <w:kern w:val="2"/>
                      <w:sz w:val="21"/>
                      <w:szCs w:val="21"/>
                      <w:vertAlign w:val="baseline"/>
                      <w:lang w:val="en-US" w:eastAsia="zh-CN" w:bidi="ar-SA"/>
                    </w:rPr>
                    <w:t>40</w:t>
                  </w:r>
                  <w:r>
                    <w:rPr>
                      <w:rFonts w:hint="default" w:ascii="Times New Roman" w:hAnsi="Times New Roman" w:cs="Times New Roman"/>
                      <w:b w:val="0"/>
                      <w:bCs w:val="0"/>
                      <w:color w:val="auto"/>
                      <w:sz w:val="21"/>
                      <w:szCs w:val="21"/>
                      <w:vertAlign w:val="baseline"/>
                      <w:lang w:val="en-US" w:eastAsia="zh-CN"/>
                    </w:rPr>
                    <w:t>kg/h</w:t>
                  </w:r>
                </w:p>
              </w:tc>
              <w:tc>
                <w:tcPr>
                  <w:tcW w:w="464" w:type="pct"/>
                  <w:tcBorders>
                    <w:top w:val="single" w:color="auto" w:sz="4" w:space="0"/>
                    <w:left w:val="nil"/>
                    <w:bottom w:val="single" w:color="auto" w:sz="4" w:space="0"/>
                    <w:right w:val="single" w:color="auto" w:sz="4" w:space="0"/>
                  </w:tcBorders>
                  <w:noWrap w:val="0"/>
                  <w:vAlign w:val="center"/>
                </w:tcPr>
                <w:p w14:paraId="5FB7836F">
                  <w:pPr>
                    <w:wordWrap/>
                    <w:adjustRightInd w:val="0"/>
                    <w:snapToGrid w:val="0"/>
                    <w:spacing w:line="240" w:lineRule="auto"/>
                    <w:jc w:val="center"/>
                    <w:rPr>
                      <w:rFonts w:ascii="Times New Roman" w:hAnsi="Times New Roman" w:cs="Times New Roman"/>
                      <w:color w:val="auto"/>
                      <w:sz w:val="21"/>
                    </w:rPr>
                  </w:pPr>
                  <w:r>
                    <w:rPr>
                      <w:rFonts w:hint="eastAsia" w:cs="Times New Roman"/>
                      <w:color w:val="auto"/>
                      <w:sz w:val="21"/>
                      <w:lang w:val="en-US" w:eastAsia="zh-CN"/>
                    </w:rPr>
                    <w:t>3</w:t>
                  </w:r>
                  <w:r>
                    <w:rPr>
                      <w:rFonts w:hint="eastAsia" w:ascii="Times New Roman" w:hAnsi="Times New Roman" w:cs="Times New Roman"/>
                      <w:color w:val="auto"/>
                      <w:sz w:val="21"/>
                    </w:rPr>
                    <w:t>8</w:t>
                  </w:r>
                  <w:r>
                    <w:rPr>
                      <w:rFonts w:ascii="Times New Roman" w:hAnsi="Times New Roman" w:cs="Times New Roman"/>
                      <w:color w:val="auto"/>
                      <w:sz w:val="21"/>
                    </w:rPr>
                    <w:t>台</w:t>
                  </w:r>
                </w:p>
              </w:tc>
            </w:tr>
            <w:tr w14:paraId="168C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907" w:type="pct"/>
                  <w:tcBorders>
                    <w:left w:val="single" w:color="auto" w:sz="4" w:space="0"/>
                    <w:right w:val="single" w:color="auto" w:sz="4" w:space="0"/>
                  </w:tcBorders>
                  <w:noWrap w:val="0"/>
                  <w:vAlign w:val="center"/>
                </w:tcPr>
                <w:p w14:paraId="57CB09DE">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装配单元</w:t>
                  </w:r>
                </w:p>
              </w:tc>
              <w:tc>
                <w:tcPr>
                  <w:tcW w:w="971" w:type="pct"/>
                  <w:tcBorders>
                    <w:left w:val="nil"/>
                    <w:right w:val="single" w:color="auto" w:sz="4" w:space="0"/>
                  </w:tcBorders>
                  <w:noWrap w:val="0"/>
                  <w:vAlign w:val="center"/>
                </w:tcPr>
                <w:p w14:paraId="2ACF133B">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装配</w:t>
                  </w:r>
                </w:p>
              </w:tc>
              <w:tc>
                <w:tcPr>
                  <w:tcW w:w="1244" w:type="pct"/>
                  <w:tcBorders>
                    <w:left w:val="nil"/>
                    <w:right w:val="single" w:color="auto" w:sz="4" w:space="0"/>
                  </w:tcBorders>
                  <w:noWrap w:val="0"/>
                  <w:vAlign w:val="center"/>
                </w:tcPr>
                <w:p w14:paraId="0F378AAD">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rPr>
                    <w:t>自动化</w:t>
                  </w:r>
                  <w:r>
                    <w:rPr>
                      <w:rFonts w:hint="eastAsia" w:ascii="Times New Roman" w:hAnsi="Times New Roman" w:cs="Times New Roman"/>
                      <w:color w:val="auto"/>
                      <w:sz w:val="21"/>
                      <w:lang w:val="en-US" w:eastAsia="zh-CN"/>
                    </w:rPr>
                    <w:t>组装机</w:t>
                  </w:r>
                </w:p>
              </w:tc>
              <w:tc>
                <w:tcPr>
                  <w:tcW w:w="1411" w:type="pct"/>
                  <w:tcBorders>
                    <w:top w:val="single" w:color="auto" w:sz="4" w:space="0"/>
                    <w:left w:val="nil"/>
                    <w:right w:val="single" w:color="auto" w:sz="4" w:space="0"/>
                  </w:tcBorders>
                  <w:noWrap w:val="0"/>
                  <w:vAlign w:val="top"/>
                </w:tcPr>
                <w:p w14:paraId="1717E876">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w:t>
                  </w:r>
                </w:p>
              </w:tc>
              <w:tc>
                <w:tcPr>
                  <w:tcW w:w="464" w:type="pct"/>
                  <w:tcBorders>
                    <w:top w:val="single" w:color="auto" w:sz="4" w:space="0"/>
                    <w:left w:val="nil"/>
                    <w:bottom w:val="single" w:color="auto" w:sz="4" w:space="0"/>
                    <w:right w:val="single" w:color="auto" w:sz="4" w:space="0"/>
                  </w:tcBorders>
                  <w:noWrap w:val="0"/>
                  <w:vAlign w:val="center"/>
                </w:tcPr>
                <w:p w14:paraId="5241FCB8">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lang w:val="en-US" w:eastAsia="zh-CN"/>
                    </w:rPr>
                    <w:t>140</w:t>
                  </w:r>
                  <w:r>
                    <w:rPr>
                      <w:rFonts w:hint="eastAsia" w:ascii="Times New Roman" w:hAnsi="Times New Roman" w:cs="Times New Roman"/>
                      <w:color w:val="auto"/>
                      <w:sz w:val="21"/>
                    </w:rPr>
                    <w:t>台</w:t>
                  </w:r>
                </w:p>
              </w:tc>
            </w:tr>
            <w:tr w14:paraId="48A28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907" w:type="pct"/>
                  <w:tcBorders>
                    <w:left w:val="single" w:color="auto" w:sz="4" w:space="0"/>
                    <w:right w:val="single" w:color="auto" w:sz="4" w:space="0"/>
                  </w:tcBorders>
                  <w:noWrap w:val="0"/>
                  <w:vAlign w:val="center"/>
                </w:tcPr>
                <w:p w14:paraId="3CD79DAB">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移印单元</w:t>
                  </w:r>
                </w:p>
              </w:tc>
              <w:tc>
                <w:tcPr>
                  <w:tcW w:w="971" w:type="pct"/>
                  <w:tcBorders>
                    <w:top w:val="single" w:color="auto" w:sz="4" w:space="0"/>
                    <w:left w:val="nil"/>
                    <w:right w:val="single" w:color="auto" w:sz="4" w:space="0"/>
                  </w:tcBorders>
                  <w:noWrap w:val="0"/>
                  <w:vAlign w:val="center"/>
                </w:tcPr>
                <w:p w14:paraId="0DAA2B12">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移印</w:t>
                  </w:r>
                </w:p>
              </w:tc>
              <w:tc>
                <w:tcPr>
                  <w:tcW w:w="1244" w:type="pct"/>
                  <w:tcBorders>
                    <w:top w:val="single" w:color="auto" w:sz="4" w:space="0"/>
                    <w:left w:val="nil"/>
                    <w:bottom w:val="single" w:color="auto" w:sz="4" w:space="0"/>
                    <w:right w:val="single" w:color="auto" w:sz="4" w:space="0"/>
                  </w:tcBorders>
                  <w:noWrap w:val="0"/>
                  <w:vAlign w:val="center"/>
                </w:tcPr>
                <w:p w14:paraId="55084136">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移印机</w:t>
                  </w:r>
                </w:p>
              </w:tc>
              <w:tc>
                <w:tcPr>
                  <w:tcW w:w="1411" w:type="pct"/>
                  <w:tcBorders>
                    <w:top w:val="single" w:color="auto" w:sz="4" w:space="0"/>
                    <w:left w:val="nil"/>
                    <w:bottom w:val="single" w:color="auto" w:sz="4" w:space="0"/>
                    <w:right w:val="single" w:color="auto" w:sz="4" w:space="0"/>
                  </w:tcBorders>
                  <w:noWrap w:val="0"/>
                  <w:vAlign w:val="center"/>
                </w:tcPr>
                <w:p w14:paraId="750A4568">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cs="Times New Roman"/>
                      <w:b w:val="0"/>
                      <w:bCs w:val="0"/>
                      <w:color w:val="auto"/>
                      <w:kern w:val="2"/>
                      <w:sz w:val="21"/>
                      <w:szCs w:val="21"/>
                      <w:vertAlign w:val="baseline"/>
                      <w:lang w:val="en-US" w:eastAsia="zh-CN" w:bidi="ar-SA"/>
                    </w:rPr>
                    <w:t>处理能力：32000</w:t>
                  </w:r>
                  <w:r>
                    <w:rPr>
                      <w:rFonts w:hint="default" w:ascii="Times New Roman" w:hAnsi="Times New Roman" w:cs="Times New Roman"/>
                      <w:b w:val="0"/>
                      <w:bCs w:val="0"/>
                      <w:color w:val="auto"/>
                      <w:kern w:val="2"/>
                      <w:sz w:val="21"/>
                      <w:szCs w:val="21"/>
                      <w:vertAlign w:val="baseline"/>
                      <w:lang w:val="en-US" w:eastAsia="zh-CN" w:bidi="ar-SA"/>
                    </w:rPr>
                    <w:t>个/h</w:t>
                  </w:r>
                </w:p>
              </w:tc>
              <w:tc>
                <w:tcPr>
                  <w:tcW w:w="464" w:type="pct"/>
                  <w:tcBorders>
                    <w:top w:val="single" w:color="auto" w:sz="4" w:space="0"/>
                    <w:left w:val="nil"/>
                    <w:bottom w:val="single" w:color="auto" w:sz="4" w:space="0"/>
                    <w:right w:val="single" w:color="auto" w:sz="4" w:space="0"/>
                  </w:tcBorders>
                  <w:noWrap w:val="0"/>
                  <w:vAlign w:val="center"/>
                </w:tcPr>
                <w:p w14:paraId="0FEB6138">
                  <w:pPr>
                    <w:wordWrap/>
                    <w:adjustRightInd w:val="0"/>
                    <w:snapToGrid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10台</w:t>
                  </w:r>
                </w:p>
              </w:tc>
            </w:tr>
            <w:tr w14:paraId="4F442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907" w:type="pct"/>
                  <w:vMerge w:val="restart"/>
                  <w:tcBorders>
                    <w:left w:val="single" w:color="auto" w:sz="4" w:space="0"/>
                    <w:right w:val="single" w:color="auto" w:sz="4" w:space="0"/>
                  </w:tcBorders>
                  <w:noWrap w:val="0"/>
                  <w:vAlign w:val="center"/>
                </w:tcPr>
                <w:p w14:paraId="19E73344">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模具制造单元</w:t>
                  </w:r>
                </w:p>
              </w:tc>
              <w:tc>
                <w:tcPr>
                  <w:tcW w:w="971" w:type="pct"/>
                  <w:vMerge w:val="restart"/>
                  <w:tcBorders>
                    <w:top w:val="single" w:color="auto" w:sz="4" w:space="0"/>
                    <w:left w:val="nil"/>
                    <w:right w:val="single" w:color="auto" w:sz="4" w:space="0"/>
                  </w:tcBorders>
                  <w:noWrap w:val="0"/>
                  <w:vAlign w:val="center"/>
                </w:tcPr>
                <w:p w14:paraId="24B14573">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机加工</w:t>
                  </w:r>
                </w:p>
              </w:tc>
              <w:tc>
                <w:tcPr>
                  <w:tcW w:w="1244" w:type="pct"/>
                  <w:tcBorders>
                    <w:top w:val="single" w:color="auto" w:sz="4" w:space="0"/>
                    <w:left w:val="nil"/>
                    <w:bottom w:val="single" w:color="auto" w:sz="4" w:space="0"/>
                    <w:right w:val="single" w:color="auto" w:sz="4" w:space="0"/>
                  </w:tcBorders>
                  <w:noWrap w:val="0"/>
                  <w:vAlign w:val="center"/>
                </w:tcPr>
                <w:p w14:paraId="698FD624">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车床</w:t>
                  </w:r>
                </w:p>
              </w:tc>
              <w:tc>
                <w:tcPr>
                  <w:tcW w:w="1411" w:type="pct"/>
                  <w:tcBorders>
                    <w:top w:val="single" w:color="auto" w:sz="4" w:space="0"/>
                    <w:left w:val="nil"/>
                    <w:bottom w:val="single" w:color="auto" w:sz="4" w:space="0"/>
                    <w:right w:val="single" w:color="auto" w:sz="4" w:space="0"/>
                  </w:tcBorders>
                  <w:noWrap w:val="0"/>
                  <w:vAlign w:val="center"/>
                </w:tcPr>
                <w:p w14:paraId="1CAE0265">
                  <w:pPr>
                    <w:wordWrap/>
                    <w:adjustRightInd w:val="0"/>
                    <w:snapToGrid w:val="0"/>
                    <w:spacing w:line="240" w:lineRule="auto"/>
                    <w:jc w:val="center"/>
                    <w:rPr>
                      <w:rFonts w:ascii="Times New Roman" w:hAnsi="Times New Roman" w:cs="Times New Roman"/>
                      <w:color w:val="auto"/>
                      <w:sz w:val="21"/>
                    </w:rPr>
                  </w:pPr>
                  <w:r>
                    <w:rPr>
                      <w:bCs/>
                      <w:color w:val="auto"/>
                      <w:sz w:val="21"/>
                      <w:szCs w:val="21"/>
                    </w:rPr>
                    <w:t>功率：6KW</w:t>
                  </w:r>
                </w:p>
              </w:tc>
              <w:tc>
                <w:tcPr>
                  <w:tcW w:w="464" w:type="pct"/>
                  <w:tcBorders>
                    <w:top w:val="single" w:color="auto" w:sz="4" w:space="0"/>
                    <w:left w:val="nil"/>
                    <w:bottom w:val="single" w:color="auto" w:sz="4" w:space="0"/>
                    <w:right w:val="single" w:color="auto" w:sz="4" w:space="0"/>
                  </w:tcBorders>
                  <w:noWrap w:val="0"/>
                  <w:vAlign w:val="center"/>
                </w:tcPr>
                <w:p w14:paraId="6B2BDD94">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1台</w:t>
                  </w:r>
                </w:p>
              </w:tc>
            </w:tr>
            <w:tr w14:paraId="1AC74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07" w:type="pct"/>
                  <w:vMerge w:val="continue"/>
                  <w:tcBorders>
                    <w:left w:val="single" w:color="auto" w:sz="4" w:space="0"/>
                    <w:right w:val="single" w:color="auto" w:sz="4" w:space="0"/>
                  </w:tcBorders>
                  <w:noWrap w:val="0"/>
                  <w:vAlign w:val="center"/>
                </w:tcPr>
                <w:p w14:paraId="2576EBC1">
                  <w:pPr>
                    <w:wordWrap/>
                    <w:adjustRightInd w:val="0"/>
                    <w:snapToGrid w:val="0"/>
                    <w:spacing w:line="240" w:lineRule="auto"/>
                    <w:jc w:val="center"/>
                    <w:rPr>
                      <w:rFonts w:ascii="Times New Roman" w:hAnsi="Times New Roman" w:cs="Times New Roman"/>
                      <w:color w:val="auto"/>
                      <w:sz w:val="21"/>
                    </w:rPr>
                  </w:pPr>
                </w:p>
              </w:tc>
              <w:tc>
                <w:tcPr>
                  <w:tcW w:w="971" w:type="pct"/>
                  <w:vMerge w:val="continue"/>
                  <w:tcBorders>
                    <w:left w:val="nil"/>
                    <w:right w:val="single" w:color="auto" w:sz="4" w:space="0"/>
                  </w:tcBorders>
                  <w:noWrap w:val="0"/>
                  <w:vAlign w:val="center"/>
                </w:tcPr>
                <w:p w14:paraId="705947F3">
                  <w:pPr>
                    <w:wordWrap/>
                    <w:adjustRightInd w:val="0"/>
                    <w:snapToGrid w:val="0"/>
                    <w:spacing w:line="240" w:lineRule="auto"/>
                    <w:jc w:val="center"/>
                    <w:rPr>
                      <w:rFonts w:ascii="Times New Roman" w:hAnsi="Times New Roman" w:cs="Times New Roman"/>
                      <w:color w:val="auto"/>
                      <w:sz w:val="21"/>
                    </w:rPr>
                  </w:pPr>
                </w:p>
              </w:tc>
              <w:tc>
                <w:tcPr>
                  <w:tcW w:w="1244" w:type="pct"/>
                  <w:tcBorders>
                    <w:top w:val="single" w:color="auto" w:sz="4" w:space="0"/>
                    <w:left w:val="nil"/>
                    <w:bottom w:val="single" w:color="auto" w:sz="4" w:space="0"/>
                    <w:right w:val="single" w:color="auto" w:sz="4" w:space="0"/>
                  </w:tcBorders>
                  <w:noWrap w:val="0"/>
                  <w:vAlign w:val="center"/>
                </w:tcPr>
                <w:p w14:paraId="148D261F">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铣</w:t>
                  </w:r>
                  <w:r>
                    <w:rPr>
                      <w:rFonts w:ascii="Times New Roman" w:hAnsi="Times New Roman" w:cs="Times New Roman"/>
                      <w:color w:val="auto"/>
                      <w:sz w:val="21"/>
                    </w:rPr>
                    <w:t>床</w:t>
                  </w:r>
                </w:p>
              </w:tc>
              <w:tc>
                <w:tcPr>
                  <w:tcW w:w="1411" w:type="pct"/>
                  <w:tcBorders>
                    <w:top w:val="single" w:color="auto" w:sz="4" w:space="0"/>
                    <w:left w:val="nil"/>
                    <w:bottom w:val="single" w:color="auto" w:sz="4" w:space="0"/>
                    <w:right w:val="single" w:color="auto" w:sz="4" w:space="0"/>
                  </w:tcBorders>
                  <w:noWrap w:val="0"/>
                  <w:vAlign w:val="center"/>
                </w:tcPr>
                <w:p w14:paraId="378891B1">
                  <w:pPr>
                    <w:wordWrap/>
                    <w:adjustRightInd w:val="0"/>
                    <w:snapToGrid w:val="0"/>
                    <w:spacing w:line="240" w:lineRule="auto"/>
                    <w:jc w:val="center"/>
                    <w:rPr>
                      <w:rFonts w:ascii="Times New Roman" w:hAnsi="Times New Roman" w:cs="Times New Roman"/>
                      <w:color w:val="auto"/>
                      <w:sz w:val="21"/>
                    </w:rPr>
                  </w:pPr>
                  <w:r>
                    <w:rPr>
                      <w:bCs/>
                      <w:color w:val="auto"/>
                      <w:sz w:val="21"/>
                      <w:szCs w:val="21"/>
                    </w:rPr>
                    <w:t>功率：</w:t>
                  </w:r>
                  <w:r>
                    <w:rPr>
                      <w:rFonts w:hint="eastAsia"/>
                      <w:bCs/>
                      <w:color w:val="auto"/>
                      <w:sz w:val="21"/>
                      <w:szCs w:val="21"/>
                      <w:lang w:val="en-US" w:eastAsia="zh-CN"/>
                    </w:rPr>
                    <w:t>8</w:t>
                  </w:r>
                  <w:r>
                    <w:rPr>
                      <w:bCs/>
                      <w:color w:val="auto"/>
                      <w:sz w:val="21"/>
                      <w:szCs w:val="21"/>
                    </w:rPr>
                    <w:t>KW</w:t>
                  </w:r>
                </w:p>
              </w:tc>
              <w:tc>
                <w:tcPr>
                  <w:tcW w:w="464" w:type="pct"/>
                  <w:tcBorders>
                    <w:top w:val="single" w:color="auto" w:sz="4" w:space="0"/>
                    <w:left w:val="nil"/>
                    <w:bottom w:val="single" w:color="auto" w:sz="4" w:space="0"/>
                    <w:right w:val="single" w:color="auto" w:sz="4" w:space="0"/>
                  </w:tcBorders>
                  <w:noWrap w:val="0"/>
                  <w:vAlign w:val="center"/>
                </w:tcPr>
                <w:p w14:paraId="71D78DC7">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2台</w:t>
                  </w:r>
                </w:p>
              </w:tc>
            </w:tr>
            <w:tr w14:paraId="5FEF2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07" w:type="pct"/>
                  <w:vMerge w:val="continue"/>
                  <w:tcBorders>
                    <w:left w:val="single" w:color="auto" w:sz="4" w:space="0"/>
                    <w:right w:val="single" w:color="auto" w:sz="4" w:space="0"/>
                  </w:tcBorders>
                  <w:noWrap w:val="0"/>
                  <w:vAlign w:val="center"/>
                </w:tcPr>
                <w:p w14:paraId="1B938896">
                  <w:pPr>
                    <w:wordWrap/>
                    <w:adjustRightInd w:val="0"/>
                    <w:snapToGrid w:val="0"/>
                    <w:spacing w:line="240" w:lineRule="auto"/>
                    <w:jc w:val="center"/>
                    <w:rPr>
                      <w:rFonts w:ascii="Times New Roman" w:hAnsi="Times New Roman" w:cs="Times New Roman"/>
                      <w:color w:val="auto"/>
                      <w:sz w:val="21"/>
                    </w:rPr>
                  </w:pPr>
                </w:p>
              </w:tc>
              <w:tc>
                <w:tcPr>
                  <w:tcW w:w="971" w:type="pct"/>
                  <w:vMerge w:val="continue"/>
                  <w:tcBorders>
                    <w:left w:val="nil"/>
                    <w:right w:val="single" w:color="auto" w:sz="4" w:space="0"/>
                  </w:tcBorders>
                  <w:noWrap w:val="0"/>
                  <w:vAlign w:val="center"/>
                </w:tcPr>
                <w:p w14:paraId="63ACF8F3">
                  <w:pPr>
                    <w:wordWrap/>
                    <w:adjustRightInd w:val="0"/>
                    <w:snapToGrid w:val="0"/>
                    <w:spacing w:line="240" w:lineRule="auto"/>
                    <w:jc w:val="center"/>
                    <w:rPr>
                      <w:rFonts w:ascii="Times New Roman" w:hAnsi="Times New Roman" w:cs="Times New Roman"/>
                      <w:color w:val="auto"/>
                      <w:sz w:val="21"/>
                    </w:rPr>
                  </w:pPr>
                </w:p>
              </w:tc>
              <w:tc>
                <w:tcPr>
                  <w:tcW w:w="1244" w:type="pct"/>
                  <w:tcBorders>
                    <w:top w:val="single" w:color="auto" w:sz="4" w:space="0"/>
                    <w:left w:val="nil"/>
                    <w:bottom w:val="single" w:color="auto" w:sz="4" w:space="0"/>
                    <w:right w:val="single" w:color="auto" w:sz="4" w:space="0"/>
                  </w:tcBorders>
                  <w:noWrap w:val="0"/>
                  <w:vAlign w:val="center"/>
                </w:tcPr>
                <w:p w14:paraId="7BE914D5">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线切割机</w:t>
                  </w:r>
                </w:p>
              </w:tc>
              <w:tc>
                <w:tcPr>
                  <w:tcW w:w="1411" w:type="pct"/>
                  <w:tcBorders>
                    <w:top w:val="single" w:color="auto" w:sz="4" w:space="0"/>
                    <w:left w:val="nil"/>
                    <w:bottom w:val="single" w:color="auto" w:sz="4" w:space="0"/>
                    <w:right w:val="single" w:color="auto" w:sz="4" w:space="0"/>
                  </w:tcBorders>
                  <w:noWrap w:val="0"/>
                  <w:vAlign w:val="center"/>
                </w:tcPr>
                <w:p w14:paraId="13686CC8">
                  <w:pPr>
                    <w:wordWrap/>
                    <w:adjustRightInd w:val="0"/>
                    <w:snapToGrid w:val="0"/>
                    <w:spacing w:line="240" w:lineRule="auto"/>
                    <w:jc w:val="center"/>
                    <w:rPr>
                      <w:rFonts w:ascii="Times New Roman" w:hAnsi="Times New Roman" w:cs="Times New Roman"/>
                      <w:color w:val="auto"/>
                      <w:sz w:val="21"/>
                    </w:rPr>
                  </w:pPr>
                  <w:r>
                    <w:rPr>
                      <w:bCs/>
                      <w:color w:val="auto"/>
                      <w:sz w:val="21"/>
                      <w:szCs w:val="21"/>
                    </w:rPr>
                    <w:t>功率：6KW</w:t>
                  </w:r>
                </w:p>
              </w:tc>
              <w:tc>
                <w:tcPr>
                  <w:tcW w:w="464" w:type="pct"/>
                  <w:tcBorders>
                    <w:top w:val="single" w:color="auto" w:sz="4" w:space="0"/>
                    <w:left w:val="nil"/>
                    <w:bottom w:val="single" w:color="auto" w:sz="4" w:space="0"/>
                    <w:right w:val="single" w:color="auto" w:sz="4" w:space="0"/>
                  </w:tcBorders>
                  <w:noWrap w:val="0"/>
                  <w:vAlign w:val="center"/>
                </w:tcPr>
                <w:p w14:paraId="20436E59">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3</w:t>
                  </w:r>
                  <w:r>
                    <w:rPr>
                      <w:rFonts w:ascii="Times New Roman" w:hAnsi="Times New Roman" w:cs="Times New Roman"/>
                      <w:color w:val="auto"/>
                      <w:sz w:val="21"/>
                    </w:rPr>
                    <w:t>台</w:t>
                  </w:r>
                </w:p>
              </w:tc>
            </w:tr>
            <w:tr w14:paraId="42829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7" w:type="pct"/>
                  <w:vMerge w:val="continue"/>
                  <w:tcBorders>
                    <w:left w:val="single" w:color="auto" w:sz="4" w:space="0"/>
                    <w:bottom w:val="single" w:color="auto" w:sz="4" w:space="0"/>
                    <w:right w:val="single" w:color="auto" w:sz="4" w:space="0"/>
                  </w:tcBorders>
                  <w:noWrap w:val="0"/>
                  <w:vAlign w:val="center"/>
                </w:tcPr>
                <w:p w14:paraId="490F979A">
                  <w:pPr>
                    <w:wordWrap/>
                    <w:adjustRightInd w:val="0"/>
                    <w:snapToGrid w:val="0"/>
                    <w:spacing w:line="240" w:lineRule="auto"/>
                    <w:jc w:val="center"/>
                    <w:rPr>
                      <w:rFonts w:ascii="Times New Roman" w:hAnsi="Times New Roman" w:cs="Times New Roman"/>
                      <w:color w:val="auto"/>
                      <w:sz w:val="21"/>
                    </w:rPr>
                  </w:pPr>
                </w:p>
              </w:tc>
              <w:tc>
                <w:tcPr>
                  <w:tcW w:w="971" w:type="pct"/>
                  <w:vMerge w:val="continue"/>
                  <w:tcBorders>
                    <w:left w:val="nil"/>
                    <w:bottom w:val="single" w:color="auto" w:sz="4" w:space="0"/>
                    <w:right w:val="single" w:color="auto" w:sz="4" w:space="0"/>
                  </w:tcBorders>
                  <w:noWrap w:val="0"/>
                  <w:vAlign w:val="center"/>
                </w:tcPr>
                <w:p w14:paraId="50DAF753">
                  <w:pPr>
                    <w:wordWrap/>
                    <w:adjustRightInd w:val="0"/>
                    <w:snapToGrid w:val="0"/>
                    <w:spacing w:line="240" w:lineRule="auto"/>
                    <w:jc w:val="center"/>
                    <w:rPr>
                      <w:rFonts w:ascii="Times New Roman" w:hAnsi="Times New Roman" w:cs="Times New Roman"/>
                      <w:color w:val="auto"/>
                      <w:sz w:val="21"/>
                    </w:rPr>
                  </w:pPr>
                </w:p>
              </w:tc>
              <w:tc>
                <w:tcPr>
                  <w:tcW w:w="1244" w:type="pct"/>
                  <w:tcBorders>
                    <w:top w:val="single" w:color="auto" w:sz="4" w:space="0"/>
                    <w:left w:val="nil"/>
                    <w:bottom w:val="single" w:color="auto" w:sz="4" w:space="0"/>
                    <w:right w:val="single" w:color="auto" w:sz="4" w:space="0"/>
                  </w:tcBorders>
                  <w:noWrap w:val="0"/>
                  <w:vAlign w:val="center"/>
                </w:tcPr>
                <w:p w14:paraId="75D63064">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火花机</w:t>
                  </w:r>
                </w:p>
              </w:tc>
              <w:tc>
                <w:tcPr>
                  <w:tcW w:w="1411" w:type="pct"/>
                  <w:tcBorders>
                    <w:top w:val="single" w:color="auto" w:sz="4" w:space="0"/>
                    <w:left w:val="nil"/>
                    <w:right w:val="single" w:color="auto" w:sz="4" w:space="0"/>
                  </w:tcBorders>
                  <w:noWrap w:val="0"/>
                  <w:vAlign w:val="center"/>
                </w:tcPr>
                <w:p w14:paraId="6124BBD3">
                  <w:pPr>
                    <w:wordWrap/>
                    <w:adjustRightInd w:val="0"/>
                    <w:snapToGrid w:val="0"/>
                    <w:spacing w:line="240" w:lineRule="auto"/>
                    <w:jc w:val="center"/>
                    <w:rPr>
                      <w:rFonts w:ascii="Times New Roman" w:hAnsi="Times New Roman" w:cs="Times New Roman"/>
                      <w:color w:val="auto"/>
                      <w:sz w:val="21"/>
                    </w:rPr>
                  </w:pPr>
                  <w:r>
                    <w:rPr>
                      <w:bCs/>
                      <w:color w:val="auto"/>
                      <w:sz w:val="21"/>
                      <w:szCs w:val="21"/>
                    </w:rPr>
                    <w:t>功率：</w:t>
                  </w:r>
                  <w:r>
                    <w:rPr>
                      <w:rFonts w:hint="eastAsia"/>
                      <w:bCs/>
                      <w:color w:val="auto"/>
                      <w:sz w:val="21"/>
                      <w:szCs w:val="21"/>
                      <w:lang w:val="en-US" w:eastAsia="zh-CN"/>
                    </w:rPr>
                    <w:t>0.8</w:t>
                  </w:r>
                  <w:r>
                    <w:rPr>
                      <w:bCs/>
                      <w:color w:val="auto"/>
                      <w:sz w:val="21"/>
                      <w:szCs w:val="21"/>
                    </w:rPr>
                    <w:t>KW</w:t>
                  </w:r>
                </w:p>
              </w:tc>
              <w:tc>
                <w:tcPr>
                  <w:tcW w:w="464" w:type="pct"/>
                  <w:tcBorders>
                    <w:top w:val="single" w:color="auto" w:sz="4" w:space="0"/>
                    <w:left w:val="nil"/>
                    <w:right w:val="single" w:color="auto" w:sz="4" w:space="0"/>
                  </w:tcBorders>
                  <w:noWrap w:val="0"/>
                  <w:vAlign w:val="center"/>
                </w:tcPr>
                <w:p w14:paraId="0FBAFA0F">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2台</w:t>
                  </w:r>
                </w:p>
              </w:tc>
            </w:tr>
            <w:tr w14:paraId="5389F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7" w:type="pct"/>
                  <w:vMerge w:val="continue"/>
                  <w:tcBorders>
                    <w:left w:val="single" w:color="auto" w:sz="4" w:space="0"/>
                    <w:bottom w:val="single" w:color="auto" w:sz="4" w:space="0"/>
                    <w:right w:val="single" w:color="auto" w:sz="4" w:space="0"/>
                  </w:tcBorders>
                  <w:noWrap w:val="0"/>
                  <w:vAlign w:val="center"/>
                </w:tcPr>
                <w:p w14:paraId="26390B19">
                  <w:pPr>
                    <w:wordWrap/>
                    <w:adjustRightInd w:val="0"/>
                    <w:snapToGrid w:val="0"/>
                    <w:spacing w:line="240" w:lineRule="auto"/>
                    <w:jc w:val="center"/>
                    <w:rPr>
                      <w:rFonts w:ascii="Times New Roman" w:hAnsi="Times New Roman" w:cs="Times New Roman"/>
                      <w:color w:val="auto"/>
                      <w:sz w:val="21"/>
                    </w:rPr>
                  </w:pPr>
                </w:p>
              </w:tc>
              <w:tc>
                <w:tcPr>
                  <w:tcW w:w="971" w:type="pct"/>
                  <w:vMerge w:val="continue"/>
                  <w:tcBorders>
                    <w:left w:val="nil"/>
                    <w:bottom w:val="single" w:color="auto" w:sz="4" w:space="0"/>
                    <w:right w:val="single" w:color="auto" w:sz="4" w:space="0"/>
                  </w:tcBorders>
                  <w:noWrap w:val="0"/>
                  <w:vAlign w:val="center"/>
                </w:tcPr>
                <w:p w14:paraId="5BA5BC78">
                  <w:pPr>
                    <w:wordWrap/>
                    <w:adjustRightInd w:val="0"/>
                    <w:snapToGrid w:val="0"/>
                    <w:spacing w:line="240" w:lineRule="auto"/>
                    <w:jc w:val="center"/>
                    <w:rPr>
                      <w:rFonts w:ascii="Times New Roman" w:hAnsi="Times New Roman" w:cs="Times New Roman"/>
                      <w:color w:val="auto"/>
                      <w:sz w:val="21"/>
                    </w:rPr>
                  </w:pPr>
                </w:p>
              </w:tc>
              <w:tc>
                <w:tcPr>
                  <w:tcW w:w="1244" w:type="pct"/>
                  <w:tcBorders>
                    <w:top w:val="single" w:color="auto" w:sz="4" w:space="0"/>
                    <w:left w:val="nil"/>
                    <w:bottom w:val="single" w:color="auto" w:sz="4" w:space="0"/>
                    <w:right w:val="single" w:color="auto" w:sz="4" w:space="0"/>
                  </w:tcBorders>
                  <w:noWrap w:val="0"/>
                  <w:vAlign w:val="center"/>
                </w:tcPr>
                <w:p w14:paraId="3461F496">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磨床</w:t>
                  </w:r>
                </w:p>
              </w:tc>
              <w:tc>
                <w:tcPr>
                  <w:tcW w:w="1411" w:type="pct"/>
                  <w:tcBorders>
                    <w:left w:val="nil"/>
                    <w:bottom w:val="single" w:color="auto" w:sz="4" w:space="0"/>
                    <w:right w:val="single" w:color="auto" w:sz="4" w:space="0"/>
                  </w:tcBorders>
                  <w:noWrap w:val="0"/>
                  <w:vAlign w:val="center"/>
                </w:tcPr>
                <w:p w14:paraId="40C92CFD">
                  <w:pPr>
                    <w:wordWrap/>
                    <w:adjustRightInd w:val="0"/>
                    <w:snapToGrid w:val="0"/>
                    <w:spacing w:line="240" w:lineRule="auto"/>
                    <w:jc w:val="center"/>
                    <w:rPr>
                      <w:rFonts w:ascii="Times New Roman" w:hAnsi="Times New Roman" w:cs="Times New Roman"/>
                      <w:color w:val="auto"/>
                      <w:sz w:val="21"/>
                    </w:rPr>
                  </w:pPr>
                  <w:r>
                    <w:rPr>
                      <w:bCs/>
                      <w:color w:val="auto"/>
                      <w:sz w:val="21"/>
                      <w:szCs w:val="21"/>
                    </w:rPr>
                    <w:t>功率：</w:t>
                  </w:r>
                  <w:r>
                    <w:rPr>
                      <w:rFonts w:hint="eastAsia"/>
                      <w:bCs/>
                      <w:color w:val="auto"/>
                      <w:sz w:val="21"/>
                      <w:szCs w:val="21"/>
                      <w:lang w:val="en-US" w:eastAsia="zh-CN"/>
                    </w:rPr>
                    <w:t>5</w:t>
                  </w:r>
                  <w:r>
                    <w:rPr>
                      <w:bCs/>
                      <w:color w:val="auto"/>
                      <w:sz w:val="21"/>
                      <w:szCs w:val="21"/>
                    </w:rPr>
                    <w:t>KW</w:t>
                  </w:r>
                </w:p>
              </w:tc>
              <w:tc>
                <w:tcPr>
                  <w:tcW w:w="464" w:type="pct"/>
                  <w:tcBorders>
                    <w:left w:val="nil"/>
                    <w:bottom w:val="single" w:color="auto" w:sz="4" w:space="0"/>
                    <w:right w:val="single" w:color="auto" w:sz="4" w:space="0"/>
                  </w:tcBorders>
                  <w:noWrap w:val="0"/>
                  <w:vAlign w:val="center"/>
                </w:tcPr>
                <w:p w14:paraId="734570A5">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8</w:t>
                  </w:r>
                  <w:r>
                    <w:rPr>
                      <w:rFonts w:ascii="Times New Roman" w:hAnsi="Times New Roman" w:cs="Times New Roman"/>
                      <w:color w:val="auto"/>
                      <w:sz w:val="21"/>
                    </w:rPr>
                    <w:t>台</w:t>
                  </w:r>
                </w:p>
              </w:tc>
            </w:tr>
            <w:tr w14:paraId="1EFDC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07" w:type="pct"/>
                  <w:tcBorders>
                    <w:left w:val="single" w:color="auto" w:sz="4" w:space="0"/>
                    <w:bottom w:val="single" w:color="auto" w:sz="4" w:space="0"/>
                    <w:right w:val="single" w:color="auto" w:sz="4" w:space="0"/>
                  </w:tcBorders>
                  <w:noWrap w:val="0"/>
                  <w:vAlign w:val="center"/>
                </w:tcPr>
                <w:p w14:paraId="4F40F07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辅助单元</w:t>
                  </w:r>
                </w:p>
              </w:tc>
              <w:tc>
                <w:tcPr>
                  <w:tcW w:w="971" w:type="pct"/>
                  <w:tcBorders>
                    <w:top w:val="single" w:color="auto" w:sz="4" w:space="0"/>
                    <w:left w:val="nil"/>
                    <w:bottom w:val="single" w:color="auto" w:sz="4" w:space="0"/>
                    <w:right w:val="single" w:color="auto" w:sz="4" w:space="0"/>
                  </w:tcBorders>
                  <w:noWrap w:val="0"/>
                  <w:vAlign w:val="center"/>
                </w:tcPr>
                <w:p w14:paraId="579FD3AB">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冷却</w:t>
                  </w:r>
                </w:p>
              </w:tc>
              <w:tc>
                <w:tcPr>
                  <w:tcW w:w="1244" w:type="pct"/>
                  <w:tcBorders>
                    <w:top w:val="single" w:color="auto" w:sz="4" w:space="0"/>
                    <w:left w:val="nil"/>
                    <w:bottom w:val="single" w:color="auto" w:sz="4" w:space="0"/>
                    <w:right w:val="single" w:color="auto" w:sz="4" w:space="0"/>
                  </w:tcBorders>
                  <w:noWrap w:val="0"/>
                  <w:vAlign w:val="center"/>
                </w:tcPr>
                <w:p w14:paraId="2A58F345">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冷却塔</w:t>
                  </w:r>
                </w:p>
              </w:tc>
              <w:tc>
                <w:tcPr>
                  <w:tcW w:w="1411" w:type="pct"/>
                  <w:tcBorders>
                    <w:top w:val="single" w:color="auto" w:sz="4" w:space="0"/>
                    <w:left w:val="nil"/>
                    <w:bottom w:val="single" w:color="auto" w:sz="4" w:space="0"/>
                    <w:right w:val="single" w:color="auto" w:sz="4" w:space="0"/>
                  </w:tcBorders>
                  <w:noWrap w:val="0"/>
                  <w:vAlign w:val="center"/>
                </w:tcPr>
                <w:p w14:paraId="3CDB344D">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20</w:t>
                  </w:r>
                  <w:r>
                    <w:rPr>
                      <w:rFonts w:hint="eastAsia" w:ascii="Times New Roman" w:hAnsi="Times New Roman" w:cs="Times New Roman"/>
                      <w:color w:val="auto"/>
                      <w:sz w:val="21"/>
                    </w:rPr>
                    <w:t>-</w:t>
                  </w:r>
                  <w:r>
                    <w:rPr>
                      <w:rFonts w:ascii="Times New Roman" w:hAnsi="Times New Roman" w:cs="Times New Roman"/>
                      <w:color w:val="auto"/>
                      <w:sz w:val="21"/>
                    </w:rPr>
                    <w:t>80t</w:t>
                  </w:r>
                </w:p>
              </w:tc>
              <w:tc>
                <w:tcPr>
                  <w:tcW w:w="464" w:type="pct"/>
                  <w:tcBorders>
                    <w:top w:val="single" w:color="auto" w:sz="4" w:space="0"/>
                    <w:left w:val="nil"/>
                    <w:bottom w:val="single" w:color="auto" w:sz="4" w:space="0"/>
                    <w:right w:val="single" w:color="auto" w:sz="4" w:space="0"/>
                  </w:tcBorders>
                  <w:noWrap w:val="0"/>
                  <w:vAlign w:val="center"/>
                </w:tcPr>
                <w:p w14:paraId="4014683D">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5台</w:t>
                  </w:r>
                </w:p>
              </w:tc>
            </w:tr>
            <w:tr w14:paraId="3463D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07" w:type="pct"/>
                  <w:tcBorders>
                    <w:left w:val="single" w:color="auto" w:sz="4" w:space="0"/>
                    <w:right w:val="single" w:color="auto" w:sz="4" w:space="0"/>
                  </w:tcBorders>
                  <w:noWrap w:val="0"/>
                  <w:vAlign w:val="center"/>
                </w:tcPr>
                <w:p w14:paraId="6562D110">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公共单元</w:t>
                  </w:r>
                </w:p>
              </w:tc>
              <w:tc>
                <w:tcPr>
                  <w:tcW w:w="971" w:type="pct"/>
                  <w:tcBorders>
                    <w:top w:val="single" w:color="auto" w:sz="4" w:space="0"/>
                    <w:left w:val="nil"/>
                    <w:bottom w:val="single" w:color="auto" w:sz="4" w:space="0"/>
                    <w:right w:val="single" w:color="auto" w:sz="4" w:space="0"/>
                  </w:tcBorders>
                  <w:noWrap w:val="0"/>
                  <w:vAlign w:val="center"/>
                </w:tcPr>
                <w:p w14:paraId="1A1FC8F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废气处理系统</w:t>
                  </w:r>
                </w:p>
              </w:tc>
              <w:tc>
                <w:tcPr>
                  <w:tcW w:w="1244" w:type="pct"/>
                  <w:tcBorders>
                    <w:top w:val="single" w:color="auto" w:sz="4" w:space="0"/>
                    <w:left w:val="nil"/>
                    <w:bottom w:val="single" w:color="auto" w:sz="4" w:space="0"/>
                    <w:right w:val="single" w:color="auto" w:sz="4" w:space="0"/>
                  </w:tcBorders>
                  <w:noWrap w:val="0"/>
                  <w:vAlign w:val="center"/>
                </w:tcPr>
                <w:p w14:paraId="3A66AB9A">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布袋除尘+活性炭吸附装置</w:t>
                  </w:r>
                </w:p>
              </w:tc>
              <w:tc>
                <w:tcPr>
                  <w:tcW w:w="1411" w:type="pct"/>
                  <w:tcBorders>
                    <w:top w:val="single" w:color="auto" w:sz="4" w:space="0"/>
                    <w:left w:val="nil"/>
                    <w:bottom w:val="single" w:color="auto" w:sz="4" w:space="0"/>
                    <w:right w:val="single" w:color="auto" w:sz="4" w:space="0"/>
                  </w:tcBorders>
                  <w:noWrap w:val="0"/>
                  <w:vAlign w:val="center"/>
                </w:tcPr>
                <w:p w14:paraId="1547FD22">
                  <w:pPr>
                    <w:wordWrap/>
                    <w:adjustRightInd w:val="0"/>
                    <w:snapToGrid w:val="0"/>
                    <w:spacing w:line="240" w:lineRule="auto"/>
                    <w:jc w:val="center"/>
                    <w:rPr>
                      <w:rFonts w:ascii="Times New Roman" w:hAnsi="Times New Roman" w:cs="Times New Roman"/>
                      <w:color w:val="auto"/>
                      <w:sz w:val="21"/>
                    </w:rPr>
                  </w:pPr>
                  <w:r>
                    <w:rPr>
                      <w:rFonts w:hint="eastAsia" w:ascii="Times New Roman" w:hAnsi="Times New Roman" w:cs="Times New Roman"/>
                      <w:color w:val="auto"/>
                      <w:sz w:val="21"/>
                    </w:rPr>
                    <w:t>/</w:t>
                  </w:r>
                </w:p>
              </w:tc>
              <w:tc>
                <w:tcPr>
                  <w:tcW w:w="464" w:type="pct"/>
                  <w:tcBorders>
                    <w:top w:val="single" w:color="auto" w:sz="4" w:space="0"/>
                    <w:left w:val="nil"/>
                    <w:bottom w:val="single" w:color="auto" w:sz="4" w:space="0"/>
                    <w:right w:val="single" w:color="auto" w:sz="4" w:space="0"/>
                  </w:tcBorders>
                  <w:noWrap w:val="0"/>
                  <w:vAlign w:val="center"/>
                </w:tcPr>
                <w:p w14:paraId="1725AB28">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1套</w:t>
                  </w:r>
                </w:p>
              </w:tc>
            </w:tr>
            <w:tr w14:paraId="42B51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07" w:type="pct"/>
                  <w:tcBorders>
                    <w:left w:val="single" w:color="auto" w:sz="4" w:space="0"/>
                    <w:right w:val="single" w:color="auto" w:sz="4" w:space="0"/>
                  </w:tcBorders>
                  <w:noWrap w:val="0"/>
                  <w:vAlign w:val="center"/>
                </w:tcPr>
                <w:p w14:paraId="5256FAD1">
                  <w:pPr>
                    <w:wordWrap/>
                    <w:adjustRightInd w:val="0"/>
                    <w:snapToGrid w:val="0"/>
                    <w:spacing w:line="240" w:lineRule="auto"/>
                    <w:jc w:val="center"/>
                    <w:rPr>
                      <w:rFonts w:ascii="Times New Roman" w:hAnsi="Times New Roman" w:cs="Times New Roman"/>
                      <w:color w:val="auto"/>
                      <w:sz w:val="21"/>
                    </w:rPr>
                  </w:pPr>
                  <w:r>
                    <w:rPr>
                      <w:rFonts w:ascii="Times New Roman" w:hAnsi="Times New Roman" w:cs="Times New Roman"/>
                      <w:color w:val="auto"/>
                      <w:sz w:val="21"/>
                    </w:rPr>
                    <w:t>辅助单元</w:t>
                  </w:r>
                </w:p>
              </w:tc>
              <w:tc>
                <w:tcPr>
                  <w:tcW w:w="971" w:type="pct"/>
                  <w:tcBorders>
                    <w:top w:val="single" w:color="auto" w:sz="4" w:space="0"/>
                    <w:left w:val="nil"/>
                    <w:right w:val="single" w:color="auto" w:sz="4" w:space="0"/>
                  </w:tcBorders>
                  <w:noWrap w:val="0"/>
                  <w:vAlign w:val="center"/>
                </w:tcPr>
                <w:p w14:paraId="442E605E">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辅助设备</w:t>
                  </w:r>
                </w:p>
              </w:tc>
              <w:tc>
                <w:tcPr>
                  <w:tcW w:w="1244" w:type="pct"/>
                  <w:tcBorders>
                    <w:top w:val="single" w:color="auto" w:sz="4" w:space="0"/>
                    <w:left w:val="nil"/>
                    <w:right w:val="single" w:color="auto" w:sz="4" w:space="0"/>
                  </w:tcBorders>
                  <w:noWrap w:val="0"/>
                  <w:vAlign w:val="center"/>
                </w:tcPr>
                <w:p w14:paraId="5B5248E2">
                  <w:pPr>
                    <w:wordWrap/>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空压机</w:t>
                  </w:r>
                </w:p>
              </w:tc>
              <w:tc>
                <w:tcPr>
                  <w:tcW w:w="1411" w:type="pct"/>
                  <w:tcBorders>
                    <w:top w:val="single" w:color="auto" w:sz="4" w:space="0"/>
                    <w:left w:val="nil"/>
                    <w:right w:val="single" w:color="auto" w:sz="4" w:space="0"/>
                  </w:tcBorders>
                  <w:noWrap w:val="0"/>
                  <w:vAlign w:val="center"/>
                </w:tcPr>
                <w:p w14:paraId="38D9473A">
                  <w:pPr>
                    <w:wordWrap/>
                    <w:adjustRightInd w:val="0"/>
                    <w:snapToGrid w:val="0"/>
                    <w:spacing w:line="240" w:lineRule="auto"/>
                    <w:jc w:val="center"/>
                    <w:rPr>
                      <w:rFonts w:hint="eastAsia" w:ascii="Times New Roman" w:hAnsi="Times New Roman" w:cs="Times New Roman"/>
                      <w:color w:val="auto"/>
                      <w:sz w:val="21"/>
                    </w:rPr>
                  </w:pPr>
                  <w:r>
                    <w:rPr>
                      <w:rFonts w:hint="default" w:ascii="Times New Roman" w:hAnsi="Times New Roman" w:cs="Times New Roman"/>
                      <w:b w:val="0"/>
                      <w:bCs w:val="0"/>
                      <w:color w:val="auto"/>
                      <w:kern w:val="2"/>
                      <w:sz w:val="21"/>
                      <w:szCs w:val="21"/>
                      <w:lang w:val="en-US" w:eastAsia="zh-CN" w:bidi="ar-SA"/>
                    </w:rPr>
                    <w:t>功率：</w:t>
                  </w:r>
                  <w:r>
                    <w:rPr>
                      <w:rFonts w:hint="default" w:ascii="Times New Roman" w:hAnsi="Times New Roman" w:eastAsia="宋体" w:cs="Times New Roman"/>
                      <w:b w:val="0"/>
                      <w:bCs w:val="0"/>
                      <w:color w:val="auto"/>
                      <w:kern w:val="2"/>
                      <w:sz w:val="21"/>
                      <w:szCs w:val="21"/>
                      <w:lang w:val="en-US" w:eastAsia="zh-CN" w:bidi="ar-SA"/>
                    </w:rPr>
                    <w:t>5</w:t>
                  </w:r>
                  <w:r>
                    <w:rPr>
                      <w:rFonts w:hint="default" w:ascii="Times New Roman" w:hAnsi="Times New Roman" w:cs="Times New Roman"/>
                      <w:b w:val="0"/>
                      <w:bCs w:val="0"/>
                      <w:color w:val="auto"/>
                      <w:kern w:val="2"/>
                      <w:sz w:val="21"/>
                      <w:szCs w:val="21"/>
                      <w:lang w:val="en-US" w:eastAsia="zh-CN" w:bidi="ar-SA"/>
                    </w:rPr>
                    <w:t>k</w:t>
                  </w:r>
                  <w:r>
                    <w:rPr>
                      <w:rFonts w:hint="default" w:ascii="Times New Roman" w:hAnsi="Times New Roman" w:eastAsia="宋体" w:cs="Times New Roman"/>
                      <w:b w:val="0"/>
                      <w:bCs w:val="0"/>
                      <w:color w:val="auto"/>
                      <w:kern w:val="2"/>
                      <w:sz w:val="21"/>
                      <w:szCs w:val="21"/>
                      <w:lang w:val="en-US" w:eastAsia="zh-CN" w:bidi="ar-SA"/>
                    </w:rPr>
                    <w:t>W</w:t>
                  </w:r>
                </w:p>
              </w:tc>
              <w:tc>
                <w:tcPr>
                  <w:tcW w:w="464" w:type="pct"/>
                  <w:tcBorders>
                    <w:top w:val="single" w:color="auto" w:sz="4" w:space="0"/>
                    <w:left w:val="nil"/>
                    <w:bottom w:val="single" w:color="auto" w:sz="4" w:space="0"/>
                    <w:right w:val="single" w:color="auto" w:sz="4" w:space="0"/>
                  </w:tcBorders>
                  <w:noWrap w:val="0"/>
                  <w:vAlign w:val="center"/>
                </w:tcPr>
                <w:p w14:paraId="4C0991F1">
                  <w:pPr>
                    <w:wordWrap/>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2台</w:t>
                  </w:r>
                </w:p>
              </w:tc>
            </w:tr>
          </w:tbl>
          <w:p w14:paraId="656CFB48">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设备与产能匹配性分析：</w:t>
            </w:r>
          </w:p>
          <w:p w14:paraId="00CADAC2">
            <w:pPr>
              <w:keepNext/>
              <w:keepLines/>
              <w:ind w:firstLine="480" w:firstLineChars="200"/>
              <w:jc w:val="left"/>
              <w:outlineLvl w:val="2"/>
              <w:rPr>
                <w:rFonts w:hint="default" w:ascii="Times New Roman" w:hAnsi="Times New Roman" w:cs="Times New Roman"/>
                <w:bCs/>
                <w:color w:val="auto"/>
                <w:szCs w:val="22"/>
              </w:rPr>
            </w:pPr>
            <w:r>
              <w:rPr>
                <w:rFonts w:hint="default" w:ascii="Times New Roman" w:hAnsi="Times New Roman" w:cs="Times New Roman"/>
                <w:bCs/>
                <w:color w:val="auto"/>
                <w:szCs w:val="22"/>
              </w:rPr>
              <w:t>项目</w:t>
            </w:r>
            <w:r>
              <w:rPr>
                <w:rFonts w:hint="eastAsia" w:cs="Times New Roman"/>
                <w:bCs/>
                <w:color w:val="auto"/>
                <w:szCs w:val="22"/>
                <w:lang w:val="en-US" w:eastAsia="zh-CN"/>
              </w:rPr>
              <w:t>电子器件</w:t>
            </w:r>
            <w:r>
              <w:rPr>
                <w:rFonts w:hint="default" w:ascii="Times New Roman" w:hAnsi="Times New Roman" w:cs="Times New Roman"/>
                <w:bCs/>
                <w:color w:val="auto"/>
                <w:szCs w:val="22"/>
                <w:lang w:val="en-US" w:eastAsia="zh-CN"/>
              </w:rPr>
              <w:t>主要生产设备为</w:t>
            </w:r>
            <w:r>
              <w:rPr>
                <w:rFonts w:hint="eastAsia" w:cs="Times New Roman"/>
                <w:bCs/>
                <w:color w:val="auto"/>
                <w:szCs w:val="22"/>
                <w:lang w:val="en-US" w:eastAsia="zh-CN"/>
              </w:rPr>
              <w:t>注塑机</w:t>
            </w:r>
            <w:r>
              <w:rPr>
                <w:rFonts w:hint="default" w:ascii="Times New Roman" w:hAnsi="Times New Roman" w:cs="Times New Roman"/>
                <w:bCs/>
                <w:color w:val="auto"/>
                <w:szCs w:val="22"/>
                <w:lang w:val="en-US" w:eastAsia="zh-CN"/>
              </w:rPr>
              <w:t>和平</w:t>
            </w:r>
            <w:r>
              <w:rPr>
                <w:rFonts w:hint="eastAsia" w:cs="Times New Roman"/>
                <w:bCs/>
                <w:color w:val="auto"/>
                <w:szCs w:val="22"/>
                <w:lang w:val="en-US" w:eastAsia="zh-CN"/>
              </w:rPr>
              <w:t>冲压机</w:t>
            </w:r>
            <w:r>
              <w:rPr>
                <w:rFonts w:hint="default" w:ascii="Times New Roman" w:hAnsi="Times New Roman" w:cs="Times New Roman"/>
                <w:bCs/>
                <w:color w:val="auto"/>
                <w:szCs w:val="22"/>
                <w:lang w:val="en-US" w:eastAsia="zh-CN"/>
              </w:rPr>
              <w:t>，移印工序主要设备为移印机。</w:t>
            </w:r>
            <w:r>
              <w:rPr>
                <w:rFonts w:hint="default" w:ascii="Times New Roman" w:hAnsi="Times New Roman" w:cs="Times New Roman"/>
                <w:bCs/>
                <w:color w:val="auto"/>
                <w:szCs w:val="22"/>
              </w:rPr>
              <w:t>据不同设备处理方式的不同，项目按下列</w:t>
            </w:r>
            <w:r>
              <w:rPr>
                <w:rFonts w:hint="default" w:ascii="Times New Roman" w:hAnsi="Times New Roman" w:cs="Times New Roman"/>
                <w:bCs/>
                <w:color w:val="auto"/>
                <w:szCs w:val="22"/>
                <w:lang w:val="en-US" w:eastAsia="zh-CN"/>
              </w:rPr>
              <w:t>两</w:t>
            </w:r>
            <w:r>
              <w:rPr>
                <w:rFonts w:hint="default" w:ascii="Times New Roman" w:hAnsi="Times New Roman" w:cs="Times New Roman"/>
                <w:bCs/>
                <w:color w:val="auto"/>
                <w:szCs w:val="22"/>
              </w:rPr>
              <w:t>表分析设备与产能匹配性。由下表可以看出，项目主要生产设备实际产能均未超过设计最大处理能力，具有匹配性。</w:t>
            </w:r>
          </w:p>
          <w:p w14:paraId="69323B4E">
            <w:pPr>
              <w:pStyle w:val="82"/>
              <w:numPr>
                <w:ilvl w:val="0"/>
                <w:numId w:val="0"/>
              </w:numPr>
              <w:bidi w:val="0"/>
              <w:spacing w:line="240" w:lineRule="auto"/>
              <w:ind w:leftChars="0"/>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color w:val="auto"/>
                <w:sz w:val="24"/>
                <w:szCs w:val="24"/>
                <w:lang w:val="en-US" w:eastAsia="zh-CN"/>
              </w:rPr>
              <w:t>表2-8 项目主要生产</w:t>
            </w:r>
            <w:bookmarkStart w:id="4" w:name="项目主要原辅材料理化性质"/>
            <w:bookmarkStart w:id="5" w:name="设备与产能匹配性分析"/>
            <w:r>
              <w:rPr>
                <w:rFonts w:hint="default" w:ascii="Times New Roman" w:hAnsi="Times New Roman" w:cs="Times New Roman"/>
                <w:b/>
                <w:color w:val="auto"/>
                <w:sz w:val="24"/>
                <w:szCs w:val="24"/>
                <w:lang w:val="en-US" w:eastAsia="zh-CN"/>
              </w:rPr>
              <w:t>设备与产能匹配性</w:t>
            </w:r>
            <w:bookmarkEnd w:id="4"/>
            <w:bookmarkEnd w:id="5"/>
            <w:r>
              <w:rPr>
                <w:rFonts w:hint="default" w:ascii="Times New Roman" w:hAnsi="Times New Roman" w:cs="Times New Roman"/>
                <w:b/>
                <w:color w:val="auto"/>
                <w:sz w:val="24"/>
                <w:szCs w:val="24"/>
                <w:lang w:val="en-US" w:eastAsia="zh-CN"/>
              </w:rPr>
              <w:t>一览表</w:t>
            </w:r>
          </w:p>
          <w:tbl>
            <w:tblPr>
              <w:tblStyle w:val="23"/>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976"/>
              <w:gridCol w:w="1230"/>
              <w:gridCol w:w="555"/>
              <w:gridCol w:w="996"/>
              <w:gridCol w:w="1011"/>
              <w:gridCol w:w="1087"/>
              <w:gridCol w:w="964"/>
              <w:gridCol w:w="848"/>
              <w:gridCol w:w="706"/>
            </w:tblGrid>
            <w:tr w14:paraId="20D82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465" w:type="dxa"/>
                  <w:noWrap w:val="0"/>
                  <w:vAlign w:val="center"/>
                </w:tcPr>
                <w:p w14:paraId="607E7D98">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序号</w:t>
                  </w:r>
                </w:p>
              </w:tc>
              <w:tc>
                <w:tcPr>
                  <w:tcW w:w="976" w:type="dxa"/>
                  <w:noWrap w:val="0"/>
                  <w:vAlign w:val="center"/>
                </w:tcPr>
                <w:p w14:paraId="2545715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设备名称</w:t>
                  </w:r>
                </w:p>
              </w:tc>
              <w:tc>
                <w:tcPr>
                  <w:tcW w:w="1230" w:type="dxa"/>
                  <w:noWrap w:val="0"/>
                  <w:vAlign w:val="center"/>
                </w:tcPr>
                <w:p w14:paraId="7846BAA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产品/原料</w:t>
                  </w:r>
                </w:p>
              </w:tc>
              <w:tc>
                <w:tcPr>
                  <w:tcW w:w="555" w:type="dxa"/>
                  <w:noWrap w:val="0"/>
                  <w:vAlign w:val="center"/>
                </w:tcPr>
                <w:p w14:paraId="583E837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数量/台</w:t>
                  </w:r>
                </w:p>
              </w:tc>
              <w:tc>
                <w:tcPr>
                  <w:tcW w:w="996" w:type="dxa"/>
                  <w:noWrap w:val="0"/>
                  <w:vAlign w:val="center"/>
                </w:tcPr>
                <w:p w14:paraId="6E7C52C3">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sz w:val="21"/>
                      <w:szCs w:val="21"/>
                      <w:vertAlign w:val="baseline"/>
                      <w:lang w:val="en-US" w:eastAsia="zh-CN"/>
                    </w:rPr>
                    <w:t>设备年工作时间</w:t>
                  </w:r>
                </w:p>
              </w:tc>
              <w:tc>
                <w:tcPr>
                  <w:tcW w:w="1011" w:type="dxa"/>
                  <w:noWrap w:val="0"/>
                  <w:vAlign w:val="center"/>
                </w:tcPr>
                <w:p w14:paraId="018F80FC">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cs="Times New Roman"/>
                      <w:b/>
                      <w:bCs/>
                      <w:color w:val="auto"/>
                      <w:sz w:val="21"/>
                      <w:szCs w:val="21"/>
                      <w:lang w:val="en-US" w:eastAsia="zh-CN"/>
                    </w:rPr>
                    <w:t>单台设备设计处理能力</w:t>
                  </w:r>
                </w:p>
              </w:tc>
              <w:tc>
                <w:tcPr>
                  <w:tcW w:w="1087" w:type="dxa"/>
                  <w:noWrap w:val="0"/>
                  <w:vAlign w:val="center"/>
                </w:tcPr>
                <w:p w14:paraId="34C4A574">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bCs/>
                      <w:color w:val="auto"/>
                      <w:sz w:val="21"/>
                      <w:szCs w:val="21"/>
                      <w:lang w:val="en-US" w:eastAsia="zh-CN"/>
                    </w:rPr>
                    <w:t>最大理论产能/处理能力</w:t>
                  </w:r>
                </w:p>
              </w:tc>
              <w:tc>
                <w:tcPr>
                  <w:tcW w:w="964" w:type="dxa"/>
                  <w:noWrap w:val="0"/>
                  <w:vAlign w:val="center"/>
                </w:tcPr>
                <w:p w14:paraId="7B5DBF6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sz w:val="21"/>
                      <w:szCs w:val="21"/>
                      <w:lang w:val="en-US" w:eastAsia="zh-CN"/>
                    </w:rPr>
                    <w:t>实际产能/处理原料量</w:t>
                  </w:r>
                </w:p>
              </w:tc>
              <w:tc>
                <w:tcPr>
                  <w:tcW w:w="848" w:type="dxa"/>
                  <w:noWrap w:val="0"/>
                  <w:vAlign w:val="center"/>
                </w:tcPr>
                <w:p w14:paraId="1D3FE7A2">
                  <w:pPr>
                    <w:pStyle w:val="3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比例</w:t>
                  </w:r>
                </w:p>
              </w:tc>
              <w:tc>
                <w:tcPr>
                  <w:tcW w:w="706" w:type="dxa"/>
                  <w:noWrap w:val="0"/>
                  <w:vAlign w:val="center"/>
                </w:tcPr>
                <w:p w14:paraId="72D2A8FF">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匹配性</w:t>
                  </w:r>
                </w:p>
              </w:tc>
            </w:tr>
            <w:tr w14:paraId="324C3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14925716">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976" w:type="dxa"/>
                  <w:noWrap w:val="0"/>
                  <w:vAlign w:val="center"/>
                </w:tcPr>
                <w:p w14:paraId="2154676E">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注塑机</w:t>
                  </w:r>
                </w:p>
              </w:tc>
              <w:tc>
                <w:tcPr>
                  <w:tcW w:w="1230" w:type="dxa"/>
                  <w:noWrap w:val="0"/>
                  <w:vAlign w:val="center"/>
                </w:tcPr>
                <w:p w14:paraId="6EB8E138">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塑胶粒、尼龙、</w:t>
                  </w:r>
                  <w:r>
                    <w:rPr>
                      <w:rFonts w:hint="eastAsia" w:cs="Times New Roman"/>
                      <w:b w:val="0"/>
                      <w:bCs w:val="0"/>
                      <w:color w:val="auto"/>
                      <w:sz w:val="21"/>
                      <w:szCs w:val="21"/>
                      <w:vertAlign w:val="baseline"/>
                      <w:lang w:val="en-US" w:eastAsia="zh-CN"/>
                    </w:rPr>
                    <w:t>色粉</w:t>
                  </w:r>
                  <w:r>
                    <w:rPr>
                      <w:rFonts w:hint="default" w:ascii="Times New Roman" w:hAnsi="Times New Roman" w:cs="Times New Roman"/>
                      <w:b w:val="0"/>
                      <w:bCs w:val="0"/>
                      <w:color w:val="auto"/>
                      <w:sz w:val="21"/>
                      <w:szCs w:val="21"/>
                      <w:vertAlign w:val="baseline"/>
                      <w:lang w:val="en-US" w:eastAsia="zh-CN"/>
                    </w:rPr>
                    <w:t xml:space="preserve"> </w:t>
                  </w:r>
                </w:p>
              </w:tc>
              <w:tc>
                <w:tcPr>
                  <w:tcW w:w="555" w:type="dxa"/>
                  <w:noWrap w:val="0"/>
                  <w:vAlign w:val="center"/>
                </w:tcPr>
                <w:p w14:paraId="686AF2D4">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72</w:t>
                  </w:r>
                </w:p>
              </w:tc>
              <w:tc>
                <w:tcPr>
                  <w:tcW w:w="996" w:type="dxa"/>
                  <w:noWrap w:val="0"/>
                  <w:vAlign w:val="center"/>
                </w:tcPr>
                <w:p w14:paraId="26A5E6D4">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1AF2906C">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0.8</w:t>
                  </w:r>
                  <w:r>
                    <w:rPr>
                      <w:rFonts w:hint="default" w:ascii="Times New Roman" w:hAnsi="Times New Roman" w:cs="Times New Roman"/>
                      <w:b w:val="0"/>
                      <w:bCs w:val="0"/>
                      <w:color w:val="auto"/>
                      <w:sz w:val="21"/>
                      <w:szCs w:val="21"/>
                      <w:vertAlign w:val="baseline"/>
                      <w:lang w:val="en-US" w:eastAsia="zh-CN"/>
                    </w:rPr>
                    <w:t>kg/h</w:t>
                  </w:r>
                </w:p>
              </w:tc>
              <w:tc>
                <w:tcPr>
                  <w:tcW w:w="1087" w:type="dxa"/>
                  <w:noWrap w:val="0"/>
                  <w:vAlign w:val="center"/>
                </w:tcPr>
                <w:p w14:paraId="0A17EA75">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276</w:t>
                  </w:r>
                  <w:r>
                    <w:rPr>
                      <w:rFonts w:hint="default" w:ascii="Times New Roman" w:hAnsi="Times New Roman" w:cs="Times New Roman"/>
                      <w:b w:val="0"/>
                      <w:bCs w:val="0"/>
                      <w:color w:val="auto"/>
                      <w:sz w:val="21"/>
                      <w:szCs w:val="21"/>
                      <w:vertAlign w:val="baseline"/>
                      <w:lang w:val="en-US" w:eastAsia="zh-CN"/>
                    </w:rPr>
                    <w:t>t/a</w:t>
                  </w:r>
                </w:p>
              </w:tc>
              <w:tc>
                <w:tcPr>
                  <w:tcW w:w="964" w:type="dxa"/>
                  <w:noWrap w:val="0"/>
                  <w:vAlign w:val="center"/>
                </w:tcPr>
                <w:p w14:paraId="2E2A4F2E">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218</w:t>
                  </w:r>
                  <w:r>
                    <w:rPr>
                      <w:rFonts w:hint="default" w:ascii="Times New Roman" w:hAnsi="Times New Roman" w:cs="Times New Roman"/>
                      <w:b w:val="0"/>
                      <w:bCs w:val="0"/>
                      <w:color w:val="auto"/>
                      <w:sz w:val="21"/>
                      <w:szCs w:val="21"/>
                      <w:vertAlign w:val="baseline"/>
                      <w:lang w:val="en-US" w:eastAsia="zh-CN"/>
                    </w:rPr>
                    <w:t>t/a</w:t>
                  </w:r>
                </w:p>
              </w:tc>
              <w:tc>
                <w:tcPr>
                  <w:tcW w:w="848" w:type="dxa"/>
                  <w:noWrap w:val="0"/>
                  <w:vAlign w:val="center"/>
                </w:tcPr>
                <w:p w14:paraId="467F3C75">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79</w:t>
                  </w:r>
                  <w:r>
                    <w:rPr>
                      <w:rFonts w:hint="default" w:ascii="Times New Roman" w:hAnsi="Times New Roman" w:cs="Times New Roman"/>
                      <w:b w:val="0"/>
                      <w:bCs w:val="0"/>
                      <w:color w:val="auto"/>
                      <w:sz w:val="21"/>
                      <w:szCs w:val="21"/>
                      <w:vertAlign w:val="baseline"/>
                      <w:lang w:val="en-US" w:eastAsia="zh-CN"/>
                    </w:rPr>
                    <w:t>%</w:t>
                  </w:r>
                </w:p>
              </w:tc>
              <w:tc>
                <w:tcPr>
                  <w:tcW w:w="706" w:type="dxa"/>
                  <w:noWrap w:val="0"/>
                  <w:vAlign w:val="center"/>
                </w:tcPr>
                <w:p w14:paraId="3CD1E3FD">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匹配</w:t>
                  </w:r>
                </w:p>
              </w:tc>
            </w:tr>
            <w:tr w14:paraId="3BBD8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34B542D5">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976" w:type="dxa"/>
                  <w:noWrap w:val="0"/>
                  <w:vAlign w:val="center"/>
                </w:tcPr>
                <w:p w14:paraId="7987466A">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冲压机</w:t>
                  </w:r>
                </w:p>
              </w:tc>
              <w:tc>
                <w:tcPr>
                  <w:tcW w:w="1230" w:type="dxa"/>
                  <w:noWrap w:val="0"/>
                  <w:vAlign w:val="center"/>
                </w:tcPr>
                <w:p w14:paraId="66BF9B6C">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卷材</w:t>
                  </w:r>
                </w:p>
              </w:tc>
              <w:tc>
                <w:tcPr>
                  <w:tcW w:w="555" w:type="dxa"/>
                  <w:noWrap w:val="0"/>
                  <w:vAlign w:val="center"/>
                </w:tcPr>
                <w:p w14:paraId="73C87EBB">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8</w:t>
                  </w:r>
                </w:p>
              </w:tc>
              <w:tc>
                <w:tcPr>
                  <w:tcW w:w="996" w:type="dxa"/>
                  <w:noWrap w:val="0"/>
                  <w:vAlign w:val="center"/>
                </w:tcPr>
                <w:p w14:paraId="42AC51A8">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526A5EC8">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40</w:t>
                  </w:r>
                  <w:r>
                    <w:rPr>
                      <w:rFonts w:hint="default" w:ascii="Times New Roman" w:hAnsi="Times New Roman" w:cs="Times New Roman"/>
                      <w:b w:val="0"/>
                      <w:bCs w:val="0"/>
                      <w:color w:val="auto"/>
                      <w:sz w:val="21"/>
                      <w:szCs w:val="21"/>
                      <w:vertAlign w:val="baseline"/>
                      <w:lang w:val="en-US" w:eastAsia="zh-CN"/>
                    </w:rPr>
                    <w:t>kg/h</w:t>
                  </w:r>
                </w:p>
              </w:tc>
              <w:tc>
                <w:tcPr>
                  <w:tcW w:w="1087" w:type="dxa"/>
                  <w:noWrap w:val="0"/>
                  <w:vAlign w:val="center"/>
                </w:tcPr>
                <w:p w14:paraId="6D38A0E6">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1536</w:t>
                  </w:r>
                </w:p>
              </w:tc>
              <w:tc>
                <w:tcPr>
                  <w:tcW w:w="964" w:type="dxa"/>
                  <w:noWrap w:val="0"/>
                  <w:vAlign w:val="center"/>
                </w:tcPr>
                <w:p w14:paraId="7E80DF10">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1250t/a</w:t>
                  </w:r>
                </w:p>
              </w:tc>
              <w:tc>
                <w:tcPr>
                  <w:tcW w:w="848" w:type="dxa"/>
                  <w:noWrap w:val="0"/>
                  <w:vAlign w:val="center"/>
                </w:tcPr>
                <w:p w14:paraId="40219C20">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81.8%</w:t>
                  </w:r>
                </w:p>
              </w:tc>
              <w:tc>
                <w:tcPr>
                  <w:tcW w:w="706" w:type="dxa"/>
                  <w:noWrap w:val="0"/>
                  <w:vAlign w:val="center"/>
                </w:tcPr>
                <w:p w14:paraId="2953A797">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匹配</w:t>
                  </w:r>
                </w:p>
              </w:tc>
            </w:tr>
            <w:tr w14:paraId="0D653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65" w:type="dxa"/>
                  <w:noWrap w:val="0"/>
                  <w:vAlign w:val="center"/>
                </w:tcPr>
                <w:p w14:paraId="4C485B88">
                  <w:pPr>
                    <w:keepNext w:val="0"/>
                    <w:keepLines w:val="0"/>
                    <w:pageBreakBefore w:val="0"/>
                    <w:widowControl w:val="0"/>
                    <w:numPr>
                      <w:ilvl w:val="0"/>
                      <w:numId w:val="0"/>
                    </w:numPr>
                    <w:kinsoku/>
                    <w:wordWrap/>
                    <w:overflowPunct/>
                    <w:topLinePunct w:val="0"/>
                    <w:autoSpaceDE/>
                    <w:autoSpaceDN/>
                    <w:bidi w:val="0"/>
                    <w:spacing w:line="240" w:lineRule="auto"/>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3</w:t>
                  </w:r>
                </w:p>
              </w:tc>
              <w:tc>
                <w:tcPr>
                  <w:tcW w:w="976" w:type="dxa"/>
                  <w:noWrap w:val="0"/>
                  <w:vAlign w:val="center"/>
                </w:tcPr>
                <w:p w14:paraId="0D895D4C">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移印机</w:t>
                  </w:r>
                </w:p>
              </w:tc>
              <w:tc>
                <w:tcPr>
                  <w:tcW w:w="1230" w:type="dxa"/>
                  <w:noWrap w:val="0"/>
                  <w:vAlign w:val="center"/>
                </w:tcPr>
                <w:p w14:paraId="226FE0DC">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电子配件、电子元器件</w:t>
                  </w:r>
                </w:p>
              </w:tc>
              <w:tc>
                <w:tcPr>
                  <w:tcW w:w="555" w:type="dxa"/>
                  <w:noWrap w:val="0"/>
                  <w:vAlign w:val="center"/>
                </w:tcPr>
                <w:p w14:paraId="4BFEF1C5">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10</w:t>
                  </w:r>
                </w:p>
              </w:tc>
              <w:tc>
                <w:tcPr>
                  <w:tcW w:w="996" w:type="dxa"/>
                  <w:noWrap w:val="0"/>
                  <w:vAlign w:val="center"/>
                </w:tcPr>
                <w:p w14:paraId="112D2766">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4800h/a</w:t>
                  </w:r>
                </w:p>
              </w:tc>
              <w:tc>
                <w:tcPr>
                  <w:tcW w:w="1011" w:type="dxa"/>
                  <w:noWrap w:val="0"/>
                  <w:vAlign w:val="center"/>
                </w:tcPr>
                <w:p w14:paraId="7A8B271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32000</w:t>
                  </w:r>
                  <w:r>
                    <w:rPr>
                      <w:rFonts w:hint="default" w:ascii="Times New Roman" w:hAnsi="Times New Roman" w:cs="Times New Roman"/>
                      <w:b w:val="0"/>
                      <w:bCs w:val="0"/>
                      <w:color w:val="auto"/>
                      <w:kern w:val="2"/>
                      <w:sz w:val="21"/>
                      <w:szCs w:val="21"/>
                      <w:vertAlign w:val="baseline"/>
                      <w:lang w:val="en-US" w:eastAsia="zh-CN" w:bidi="ar-SA"/>
                    </w:rPr>
                    <w:t>个/h</w:t>
                  </w:r>
                </w:p>
              </w:tc>
              <w:tc>
                <w:tcPr>
                  <w:tcW w:w="1087" w:type="dxa"/>
                  <w:noWrap w:val="0"/>
                  <w:vAlign w:val="center"/>
                </w:tcPr>
                <w:p w14:paraId="77C17CA6">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15.36</w:t>
                  </w:r>
                  <w:r>
                    <w:rPr>
                      <w:rFonts w:hint="default" w:ascii="Times New Roman" w:hAnsi="Times New Roman" w:cs="Times New Roman"/>
                      <w:b w:val="0"/>
                      <w:bCs w:val="0"/>
                      <w:color w:val="auto"/>
                      <w:kern w:val="2"/>
                      <w:sz w:val="21"/>
                      <w:szCs w:val="21"/>
                      <w:vertAlign w:val="baseline"/>
                      <w:lang w:val="en-US" w:eastAsia="zh-CN" w:bidi="ar-SA"/>
                    </w:rPr>
                    <w:t>亿个/a</w:t>
                  </w:r>
                </w:p>
              </w:tc>
              <w:tc>
                <w:tcPr>
                  <w:tcW w:w="964" w:type="dxa"/>
                  <w:noWrap w:val="0"/>
                  <w:vAlign w:val="center"/>
                </w:tcPr>
                <w:p w14:paraId="07047624">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12.8</w:t>
                  </w:r>
                  <w:r>
                    <w:rPr>
                      <w:rFonts w:hint="default" w:ascii="Times New Roman" w:hAnsi="Times New Roman" w:cs="Times New Roman"/>
                      <w:b w:val="0"/>
                      <w:bCs w:val="0"/>
                      <w:color w:val="auto"/>
                      <w:kern w:val="2"/>
                      <w:sz w:val="21"/>
                      <w:szCs w:val="21"/>
                      <w:vertAlign w:val="baseline"/>
                      <w:lang w:val="en-US" w:eastAsia="zh-CN" w:bidi="ar-SA"/>
                    </w:rPr>
                    <w:t>亿个/a</w:t>
                  </w:r>
                </w:p>
              </w:tc>
              <w:tc>
                <w:tcPr>
                  <w:tcW w:w="848" w:type="dxa"/>
                  <w:noWrap w:val="0"/>
                  <w:vAlign w:val="center"/>
                </w:tcPr>
                <w:p w14:paraId="52C2F86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83.3%</w:t>
                  </w:r>
                </w:p>
              </w:tc>
              <w:tc>
                <w:tcPr>
                  <w:tcW w:w="706" w:type="dxa"/>
                  <w:noWrap w:val="0"/>
                  <w:vAlign w:val="center"/>
                </w:tcPr>
                <w:p w14:paraId="1AC4ABC1">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匹配</w:t>
                  </w:r>
                </w:p>
              </w:tc>
            </w:tr>
          </w:tbl>
          <w:p w14:paraId="4664B4D2">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（6）项目能耗情况</w:t>
            </w:r>
          </w:p>
          <w:p w14:paraId="4B43C0FC">
            <w:pPr>
              <w:keepNext/>
              <w:keepLines/>
              <w:ind w:firstLine="480" w:firstLineChars="200"/>
              <w:jc w:val="left"/>
              <w:outlineLvl w:val="2"/>
              <w:rPr>
                <w:rFonts w:hint="default" w:ascii="Times New Roman" w:hAnsi="Times New Roman" w:cs="Times New Roman"/>
                <w:color w:val="auto"/>
                <w:szCs w:val="22"/>
              </w:rPr>
            </w:pPr>
            <w:r>
              <w:rPr>
                <w:rFonts w:hint="default" w:ascii="Times New Roman" w:hAnsi="Times New Roman" w:cs="Times New Roman"/>
                <w:color w:val="auto"/>
                <w:szCs w:val="22"/>
              </w:rPr>
              <w:t>项目用电由当地供电局统一供应，主要用于照明、设备运行和日常生活等；项目用电量约为</w:t>
            </w:r>
            <w:r>
              <w:rPr>
                <w:rFonts w:hint="eastAsia" w:cs="Times New Roman"/>
                <w:color w:val="auto"/>
                <w:szCs w:val="22"/>
                <w:lang w:val="en-US" w:eastAsia="zh-CN"/>
              </w:rPr>
              <w:t>100</w:t>
            </w:r>
            <w:r>
              <w:rPr>
                <w:rFonts w:hint="default" w:ascii="Times New Roman" w:hAnsi="Times New Roman" w:cs="Times New Roman"/>
                <w:color w:val="auto"/>
                <w:szCs w:val="22"/>
              </w:rPr>
              <w:t>万kW·h/a，不设备用发电机。</w:t>
            </w:r>
          </w:p>
          <w:p w14:paraId="5DDE880F">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（7）劳动定员及工作制度</w:t>
            </w:r>
          </w:p>
          <w:p w14:paraId="43D36112">
            <w:pPr>
              <w:ind w:firstLine="480" w:firstLineChars="200"/>
              <w:jc w:val="left"/>
              <w:rPr>
                <w:rFonts w:hint="default" w:ascii="Times New Roman" w:hAnsi="Times New Roman" w:cs="Times New Roman"/>
                <w:color w:val="auto"/>
                <w:kern w:val="0"/>
              </w:rPr>
            </w:pPr>
            <w:r>
              <w:rPr>
                <w:rFonts w:hint="default" w:ascii="Times New Roman" w:hAnsi="Times New Roman" w:cs="Times New Roman"/>
                <w:color w:val="auto"/>
                <w:kern w:val="0"/>
              </w:rPr>
              <w:t>项目拟招员工</w:t>
            </w:r>
            <w:r>
              <w:rPr>
                <w:rFonts w:hint="eastAsia" w:cs="Times New Roman"/>
                <w:color w:val="auto"/>
                <w:kern w:val="0"/>
                <w:lang w:val="en-US" w:eastAsia="zh-CN"/>
              </w:rPr>
              <w:t>100</w:t>
            </w:r>
            <w:r>
              <w:rPr>
                <w:rFonts w:hint="default" w:ascii="Times New Roman" w:hAnsi="Times New Roman" w:cs="Times New Roman"/>
                <w:color w:val="auto"/>
                <w:kern w:val="0"/>
              </w:rPr>
              <w:t>人，</w:t>
            </w:r>
            <w:r>
              <w:rPr>
                <w:rFonts w:hint="eastAsia" w:cs="Times New Roman"/>
                <w:color w:val="auto"/>
                <w:kern w:val="0"/>
                <w:lang w:val="en-US" w:eastAsia="zh-CN"/>
              </w:rPr>
              <w:t>在厂区住</w:t>
            </w:r>
            <w:r>
              <w:rPr>
                <w:rFonts w:hint="default" w:ascii="Times New Roman" w:hAnsi="Times New Roman" w:cs="Times New Roman"/>
                <w:color w:val="auto"/>
                <w:kern w:val="0"/>
              </w:rPr>
              <w:t>宿，全年工作</w:t>
            </w:r>
            <w:r>
              <w:rPr>
                <w:rFonts w:hint="default" w:ascii="Times New Roman" w:hAnsi="Times New Roman" w:cs="Times New Roman"/>
                <w:color w:val="auto"/>
                <w:kern w:val="0"/>
                <w:lang w:val="en-US" w:eastAsia="zh-CN"/>
              </w:rPr>
              <w:t>300</w:t>
            </w:r>
            <w:r>
              <w:rPr>
                <w:rFonts w:hint="default" w:ascii="Times New Roman" w:hAnsi="Times New Roman" w:cs="Times New Roman"/>
                <w:color w:val="auto"/>
                <w:kern w:val="0"/>
              </w:rPr>
              <w:t>天，每天</w:t>
            </w:r>
            <w:r>
              <w:rPr>
                <w:rFonts w:hint="default" w:ascii="Times New Roman" w:hAnsi="Times New Roman" w:cs="Times New Roman"/>
                <w:color w:val="auto"/>
                <w:kern w:val="0"/>
                <w:lang w:eastAsia="zh-CN"/>
              </w:rPr>
              <w:t>两班制</w:t>
            </w:r>
            <w:r>
              <w:rPr>
                <w:rFonts w:hint="default" w:ascii="Times New Roman" w:hAnsi="Times New Roman" w:cs="Times New Roman"/>
                <w:color w:val="auto"/>
                <w:kern w:val="0"/>
              </w:rPr>
              <w:t>，每班8小时。</w:t>
            </w:r>
          </w:p>
          <w:p w14:paraId="1D01D411">
            <w:pPr>
              <w:keepNext/>
              <w:keepLines/>
              <w:ind w:firstLine="482" w:firstLineChars="200"/>
              <w:jc w:val="left"/>
              <w:outlineLvl w:val="2"/>
              <w:rPr>
                <w:rFonts w:hint="default" w:ascii="Times New Roman" w:hAnsi="Times New Roman" w:cs="Times New Roman"/>
                <w:b/>
                <w:color w:val="auto"/>
                <w:szCs w:val="22"/>
              </w:rPr>
            </w:pPr>
            <w:r>
              <w:rPr>
                <w:rFonts w:hint="default" w:ascii="Times New Roman" w:hAnsi="Times New Roman" w:cs="Times New Roman"/>
                <w:b/>
                <w:color w:val="auto"/>
                <w:szCs w:val="22"/>
              </w:rPr>
              <w:t>（8）</w:t>
            </w:r>
            <w:r>
              <w:rPr>
                <w:rFonts w:hint="default" w:ascii="Times New Roman" w:hAnsi="Times New Roman" w:cs="Times New Roman"/>
                <w:b/>
                <w:color w:val="auto"/>
                <w:lang w:bidi="ar"/>
              </w:rPr>
              <w:t>给、排水情况</w:t>
            </w:r>
          </w:p>
          <w:p w14:paraId="528C0287">
            <w:pPr>
              <w:ind w:firstLine="482" w:firstLineChars="200"/>
              <w:jc w:val="left"/>
              <w:rPr>
                <w:rFonts w:hint="default" w:ascii="Times New Roman" w:hAnsi="Times New Roman" w:cs="Times New Roman"/>
                <w:b/>
                <w:color w:val="auto"/>
                <w:kern w:val="0"/>
              </w:rPr>
            </w:pPr>
            <w:r>
              <w:rPr>
                <w:rFonts w:hint="default" w:ascii="Times New Roman" w:hAnsi="Times New Roman" w:cs="Times New Roman"/>
                <w:b/>
                <w:color w:val="auto"/>
                <w:kern w:val="0"/>
              </w:rPr>
              <w:t>1）给水情况</w:t>
            </w:r>
          </w:p>
          <w:p w14:paraId="125A8CCA">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项目用水均全部由市政自来水厂供给。</w:t>
            </w:r>
          </w:p>
          <w:p w14:paraId="14323E35">
            <w:pPr>
              <w:autoSpaceDE w:val="0"/>
              <w:autoSpaceDN w:val="0"/>
              <w:ind w:firstLine="482" w:firstLineChars="200"/>
              <w:rPr>
                <w:rFonts w:hint="default" w:ascii="Times New Roman" w:hAnsi="Times New Roman" w:eastAsia="宋体" w:cs="Times New Roman"/>
                <w:b/>
                <w:color w:val="auto"/>
                <w:lang w:val="en-US" w:eastAsia="zh-CN"/>
              </w:rPr>
            </w:pPr>
            <w:r>
              <w:rPr>
                <w:rFonts w:hint="default" w:ascii="Times New Roman" w:hAnsi="Times New Roman" w:cs="Times New Roman"/>
                <w:b/>
                <w:bCs/>
                <w:iCs/>
                <w:color w:val="auto"/>
              </w:rPr>
              <w:t>①</w:t>
            </w:r>
            <w:r>
              <w:rPr>
                <w:rFonts w:hint="default" w:ascii="Times New Roman" w:hAnsi="Times New Roman" w:cs="Times New Roman"/>
                <w:b/>
                <w:color w:val="auto"/>
                <w:lang w:val="en-US" w:eastAsia="zh-CN"/>
              </w:rPr>
              <w:t>冷却用水</w:t>
            </w:r>
          </w:p>
          <w:p w14:paraId="1D61F48A">
            <w:pPr>
              <w:keepNext w:val="0"/>
              <w:keepLines w:val="0"/>
              <w:suppressLineNumbers w:val="0"/>
              <w:spacing w:before="0" w:beforeAutospacing="0" w:after="0" w:afterAutospacing="0"/>
              <w:ind w:left="0" w:right="0"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项目注塑过程需使用冷却水进行间接冷却，建设单位设有</w:t>
            </w:r>
            <w:r>
              <w:rPr>
                <w:rFonts w:hint="eastAsia" w:cs="Times New Roman"/>
                <w:bCs/>
                <w:color w:val="auto"/>
                <w:szCs w:val="21"/>
                <w:lang w:val="en-US" w:eastAsia="zh-CN"/>
              </w:rPr>
              <w:t>5</w:t>
            </w:r>
            <w:r>
              <w:rPr>
                <w:rFonts w:hint="default" w:ascii="Times New Roman" w:hAnsi="Times New Roman" w:cs="Times New Roman"/>
                <w:bCs/>
                <w:color w:val="auto"/>
                <w:szCs w:val="21"/>
              </w:rPr>
              <w:t>台冷却塔，循环水量为</w:t>
            </w:r>
            <w:r>
              <w:rPr>
                <w:rFonts w:hint="default" w:ascii="Times New Roman" w:hAnsi="Times New Roman" w:cs="Times New Roman"/>
                <w:bCs/>
                <w:color w:val="auto"/>
                <w:szCs w:val="21"/>
                <w:lang w:val="en-US" w:eastAsia="zh-CN"/>
              </w:rPr>
              <w:t>2</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冷却过程无需添加任何药剂，循环水循环使用不外排。冷却水循环过程中会因蒸发造成损耗，需定期补充冷却水，参考《工业循环冷却水处理设计规范》（GB/T50050-2017），开式冷却塔蒸发损耗水量计算公式如下：</w:t>
            </w:r>
          </w:p>
          <w:p w14:paraId="3C19D859">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position w:val="-12"/>
                <w:szCs w:val="21"/>
              </w:rPr>
              <w:object>
                <v:shape id="_x0000_i1025" o:spt="75" type="#_x0000_t75" style="height:18pt;width:56.25pt;" o:ole="t" filled="f" o:preferrelative="t" stroked="f" coordsize="21600,21600">
                  <v:path/>
                  <v:fill on="f" focussize="0,0"/>
                  <v:stroke on="f"/>
                  <v:imagedata r:id="rId15" o:title=""/>
                  <o:lock v:ext="edit" aspectratio="t"/>
                  <w10:wrap type="none"/>
                  <w10:anchorlock/>
                </v:shape>
                <o:OLEObject Type="Embed" ProgID="Equation.KSEE3" ShapeID="_x0000_i1025" DrawAspect="Content" ObjectID="_1468075725" r:id="rId14">
                  <o:LockedField>false</o:LockedField>
                </o:OLEObject>
              </w:object>
            </w:r>
          </w:p>
          <w:p w14:paraId="4EF940C2">
            <w:pPr>
              <w:keepNext w:val="0"/>
              <w:keepLines w:val="0"/>
              <w:suppressLineNumbers w:val="0"/>
              <w:spacing w:before="0" w:beforeAutospacing="0" w:after="0" w:afterAutospacing="0"/>
              <w:ind w:left="0" w:right="0"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式中：Qe—蒸发水量，m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w:t>
            </w:r>
          </w:p>
          <w:p w14:paraId="17B936C2">
            <w:pPr>
              <w:keepNext w:val="0"/>
              <w:keepLines w:val="0"/>
              <w:suppressLineNumbers w:val="0"/>
              <w:spacing w:before="0" w:beforeAutospacing="0" w:after="0" w:afterAutospacing="0"/>
              <w:ind w:left="0" w:right="0" w:firstLine="1200" w:firstLineChars="500"/>
              <w:rPr>
                <w:rFonts w:hint="default" w:ascii="Times New Roman" w:hAnsi="Times New Roman" w:cs="Times New Roman"/>
                <w:bCs/>
                <w:color w:val="auto"/>
                <w:szCs w:val="21"/>
              </w:rPr>
            </w:pPr>
            <w:r>
              <w:rPr>
                <w:rFonts w:hint="default" w:ascii="Times New Roman" w:hAnsi="Times New Roman" w:cs="Times New Roman"/>
                <w:bCs/>
                <w:color w:val="auto"/>
                <w:szCs w:val="21"/>
              </w:rPr>
              <w:t>Qr—循环冷却水量，m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w:t>
            </w:r>
          </w:p>
          <w:p w14:paraId="0F09BF69">
            <w:pPr>
              <w:keepNext w:val="0"/>
              <w:keepLines w:val="0"/>
              <w:suppressLineNumbers w:val="0"/>
              <w:spacing w:before="0" w:beforeAutospacing="0" w:after="0" w:afterAutospacing="0"/>
              <w:ind w:left="0" w:right="0" w:firstLine="1200" w:firstLineChars="500"/>
              <w:rPr>
                <w:rFonts w:hint="default" w:ascii="Times New Roman" w:hAnsi="Times New Roman" w:cs="Times New Roman"/>
                <w:bCs/>
                <w:color w:val="auto"/>
                <w:szCs w:val="21"/>
              </w:rPr>
            </w:pPr>
            <w:r>
              <w:rPr>
                <w:rFonts w:hint="default" w:ascii="Times New Roman" w:hAnsi="Times New Roman" w:cs="Times New Roman"/>
                <w:bCs/>
                <w:color w:val="auto"/>
                <w:szCs w:val="21"/>
              </w:rPr>
              <w:t>Δt—循环冷却水进出冷却塔温差，°C，项目冷却水进塔温度为</w:t>
            </w:r>
            <w:r>
              <w:rPr>
                <w:rFonts w:hint="default" w:ascii="Times New Roman" w:hAnsi="Times New Roman" w:cs="Times New Roman"/>
                <w:bCs/>
                <w:color w:val="auto"/>
                <w:szCs w:val="21"/>
                <w:lang w:val="en-US" w:eastAsia="zh-CN"/>
              </w:rPr>
              <w:t>37</w:t>
            </w:r>
            <w:r>
              <w:rPr>
                <w:rFonts w:hint="default" w:ascii="Times New Roman" w:hAnsi="Times New Roman" w:cs="Times New Roman"/>
                <w:bCs/>
                <w:color w:val="auto"/>
                <w:szCs w:val="21"/>
              </w:rPr>
              <w:t>°C，出塔温度为</w:t>
            </w:r>
            <w:r>
              <w:rPr>
                <w:rFonts w:hint="default" w:ascii="Times New Roman" w:hAnsi="Times New Roman" w:cs="Times New Roman"/>
                <w:bCs/>
                <w:color w:val="auto"/>
                <w:szCs w:val="21"/>
                <w:lang w:val="en-US" w:eastAsia="zh-CN"/>
              </w:rPr>
              <w:t>27</w:t>
            </w:r>
            <w:r>
              <w:rPr>
                <w:rFonts w:hint="default" w:ascii="Times New Roman" w:hAnsi="Times New Roman" w:cs="Times New Roman"/>
                <w:bCs/>
                <w:color w:val="auto"/>
                <w:szCs w:val="21"/>
              </w:rPr>
              <w:t>°C，温差为</w:t>
            </w:r>
            <w:r>
              <w:rPr>
                <w:rFonts w:hint="default" w:ascii="Times New Roman" w:hAnsi="Times New Roman" w:cs="Times New Roman"/>
                <w:bCs/>
                <w:color w:val="auto"/>
                <w:szCs w:val="21"/>
                <w:lang w:val="en-US" w:eastAsia="zh-CN"/>
              </w:rPr>
              <w:t>10</w:t>
            </w:r>
            <w:r>
              <w:rPr>
                <w:rFonts w:hint="default" w:ascii="Times New Roman" w:hAnsi="Times New Roman" w:cs="Times New Roman"/>
                <w:bCs/>
                <w:color w:val="auto"/>
                <w:szCs w:val="21"/>
              </w:rPr>
              <w:t>°C；</w:t>
            </w:r>
          </w:p>
          <w:p w14:paraId="6CA1042F">
            <w:pPr>
              <w:keepNext w:val="0"/>
              <w:keepLines w:val="0"/>
              <w:suppressLineNumbers w:val="0"/>
              <w:spacing w:before="0" w:beforeAutospacing="0" w:after="0" w:afterAutospacing="0"/>
              <w:ind w:left="0" w:right="0" w:firstLine="1200" w:firstLineChars="500"/>
              <w:rPr>
                <w:rFonts w:hint="default" w:ascii="Times New Roman" w:hAnsi="Times New Roman" w:cs="Times New Roman"/>
                <w:bCs/>
                <w:color w:val="auto"/>
                <w:szCs w:val="21"/>
              </w:rPr>
            </w:pPr>
            <w:r>
              <w:rPr>
                <w:rFonts w:hint="default" w:ascii="Times New Roman" w:hAnsi="Times New Roman" w:cs="Times New Roman"/>
                <w:bCs/>
                <w:color w:val="auto"/>
                <w:szCs w:val="21"/>
              </w:rPr>
              <w:t>k—蒸发损失系数，1/°C，进塔温度为</w:t>
            </w:r>
            <w:r>
              <w:rPr>
                <w:rFonts w:hint="default" w:ascii="Times New Roman" w:hAnsi="Times New Roman" w:cs="Times New Roman"/>
                <w:bCs/>
                <w:color w:val="auto"/>
                <w:szCs w:val="21"/>
                <w:lang w:val="en-US" w:eastAsia="zh-CN"/>
              </w:rPr>
              <w:t>10</w:t>
            </w:r>
            <w:r>
              <w:rPr>
                <w:rFonts w:hint="default" w:ascii="Times New Roman" w:hAnsi="Times New Roman" w:cs="Times New Roman"/>
                <w:bCs/>
                <w:color w:val="auto"/>
                <w:szCs w:val="21"/>
              </w:rPr>
              <w:t>°C时按内插法计算得出k取值为0.001</w:t>
            </w:r>
            <w:r>
              <w:rPr>
                <w:rFonts w:hint="default" w:ascii="Times New Roman" w:hAnsi="Times New Roman" w:cs="Times New Roman"/>
                <w:bCs/>
                <w:color w:val="auto"/>
                <w:szCs w:val="21"/>
                <w:lang w:val="en-US" w:eastAsia="zh-CN"/>
              </w:rPr>
              <w:t>2</w:t>
            </w:r>
            <w:r>
              <w:rPr>
                <w:rFonts w:hint="default" w:ascii="Times New Roman" w:hAnsi="Times New Roman" w:cs="Times New Roman"/>
                <w:bCs/>
                <w:color w:val="auto"/>
                <w:szCs w:val="21"/>
              </w:rPr>
              <w:t>。</w:t>
            </w:r>
          </w:p>
          <w:p w14:paraId="3A033341">
            <w:pPr>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计算得出冷却塔蒸发水量为</w:t>
            </w:r>
            <w:r>
              <w:rPr>
                <w:rFonts w:hint="default" w:ascii="Times New Roman" w:hAnsi="Times New Roman" w:cs="Times New Roman"/>
                <w:bCs/>
                <w:color w:val="auto"/>
                <w:szCs w:val="21"/>
                <w:lang w:val="en-US" w:eastAsia="zh-CN"/>
              </w:rPr>
              <w:t>0.072</w:t>
            </w:r>
            <w:r>
              <w:rPr>
                <w:rFonts w:hint="default" w:ascii="Times New Roman" w:hAnsi="Times New Roman" w:cs="Times New Roman"/>
                <w:bCs/>
                <w:color w:val="auto"/>
                <w:szCs w:val="21"/>
              </w:rPr>
              <w:t>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/h，冷却塔按年运行300天，每天运行</w:t>
            </w:r>
            <w:r>
              <w:rPr>
                <w:rFonts w:hint="default" w:ascii="Times New Roman" w:hAnsi="Times New Roman" w:cs="Times New Roman"/>
                <w:bCs/>
                <w:color w:val="auto"/>
                <w:szCs w:val="21"/>
                <w:lang w:val="en-US" w:eastAsia="zh-CN"/>
              </w:rPr>
              <w:t>16</w:t>
            </w:r>
            <w:r>
              <w:rPr>
                <w:rFonts w:hint="default" w:ascii="Times New Roman" w:hAnsi="Times New Roman" w:cs="Times New Roman"/>
                <w:bCs/>
                <w:color w:val="auto"/>
                <w:szCs w:val="21"/>
              </w:rPr>
              <w:t>小时计算，</w:t>
            </w:r>
            <w:r>
              <w:rPr>
                <w:rFonts w:hint="default" w:ascii="Times New Roman" w:hAnsi="Times New Roman" w:cs="Times New Roman"/>
                <w:bCs/>
                <w:color w:val="auto"/>
                <w:szCs w:val="21"/>
                <w:lang w:val="en-US" w:eastAsia="zh-CN"/>
              </w:rPr>
              <w:t>蒸发</w:t>
            </w:r>
            <w:r>
              <w:rPr>
                <w:rFonts w:hint="default" w:ascii="Times New Roman" w:hAnsi="Times New Roman" w:cs="Times New Roman"/>
                <w:bCs/>
                <w:color w:val="auto"/>
                <w:szCs w:val="21"/>
              </w:rPr>
              <w:t>水量为</w:t>
            </w:r>
            <w:r>
              <w:rPr>
                <w:rFonts w:hint="eastAsia" w:cs="Times New Roman"/>
                <w:bCs/>
                <w:color w:val="auto"/>
                <w:szCs w:val="21"/>
                <w:lang w:val="en-US" w:eastAsia="zh-CN"/>
              </w:rPr>
              <w:t>1.92</w:t>
            </w:r>
            <w:r>
              <w:rPr>
                <w:rFonts w:hint="default" w:ascii="Times New Roman" w:hAnsi="Times New Roman" w:cs="Times New Roman"/>
                <w:bCs/>
                <w:color w:val="auto"/>
                <w:szCs w:val="21"/>
              </w:rPr>
              <w:t>t/d（</w:t>
            </w:r>
            <w:r>
              <w:rPr>
                <w:rFonts w:hint="eastAsia" w:cs="Times New Roman"/>
                <w:bCs/>
                <w:color w:val="auto"/>
                <w:szCs w:val="21"/>
                <w:lang w:val="en-US" w:eastAsia="zh-CN"/>
              </w:rPr>
              <w:t>576</w:t>
            </w:r>
            <w:r>
              <w:rPr>
                <w:rFonts w:hint="default" w:ascii="Times New Roman" w:hAnsi="Times New Roman" w:cs="Times New Roman"/>
                <w:bCs/>
                <w:color w:val="auto"/>
                <w:szCs w:val="21"/>
              </w:rPr>
              <w:t>t/a）</w:t>
            </w:r>
            <w:r>
              <w:rPr>
                <w:rFonts w:hint="default" w:ascii="Times New Roman" w:hAnsi="Times New Roman" w:cs="Times New Roman"/>
                <w:bCs/>
                <w:color w:val="auto"/>
                <w:szCs w:val="21"/>
                <w:lang w:eastAsia="zh-CN"/>
              </w:rPr>
              <w:t>，</w:t>
            </w:r>
            <w:r>
              <w:rPr>
                <w:rFonts w:hint="default" w:ascii="Times New Roman" w:hAnsi="Times New Roman" w:cs="Times New Roman"/>
                <w:bCs/>
                <w:color w:val="auto"/>
                <w:szCs w:val="21"/>
                <w:lang w:val="en-US" w:eastAsia="zh-CN"/>
              </w:rPr>
              <w:t>即补充水量</w:t>
            </w:r>
            <w:r>
              <w:rPr>
                <w:rFonts w:hint="default" w:ascii="Times New Roman" w:hAnsi="Times New Roman" w:cs="Times New Roman"/>
                <w:bCs/>
                <w:color w:val="auto"/>
                <w:szCs w:val="21"/>
              </w:rPr>
              <w:t>。</w:t>
            </w:r>
          </w:p>
          <w:p w14:paraId="2FCAA7CD">
            <w:pPr>
              <w:ind w:firstLine="482" w:firstLineChars="200"/>
              <w:rPr>
                <w:rFonts w:hint="default" w:ascii="Times New Roman" w:hAnsi="Times New Roman" w:cs="Times New Roman"/>
                <w:b/>
                <w:color w:val="auto"/>
              </w:rPr>
            </w:pPr>
            <w:r>
              <w:rPr>
                <w:rFonts w:hint="default" w:ascii="Times New Roman" w:hAnsi="Times New Roman" w:cs="Times New Roman"/>
                <w:b/>
                <w:color w:val="auto"/>
              </w:rPr>
              <w:t>②水喷淋塔用水</w:t>
            </w:r>
          </w:p>
          <w:p w14:paraId="58DEA3D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项目注塑、</w:t>
            </w:r>
            <w:r>
              <w:rPr>
                <w:rFonts w:hint="eastAsia" w:cs="Times New Roman"/>
                <w:color w:val="auto"/>
                <w:lang w:val="en-US" w:eastAsia="zh-CN"/>
              </w:rPr>
              <w:t>移印</w:t>
            </w:r>
            <w:r>
              <w:rPr>
                <w:rFonts w:hint="default" w:ascii="Times New Roman" w:hAnsi="Times New Roman" w:cs="Times New Roman"/>
                <w:color w:val="auto"/>
                <w:lang w:val="en-US" w:eastAsia="zh-CN"/>
              </w:rPr>
              <w:t>工序废气经集气罩收集至“水喷淋+干式过滤+二级活性炭吸附”装置处理后引至排气筒DA00</w:t>
            </w:r>
            <w:r>
              <w:rPr>
                <w:rFonts w:hint="eastAsia" w:cs="Times New Roman"/>
                <w:color w:val="auto"/>
                <w:lang w:val="en-US" w:eastAsia="zh-CN"/>
              </w:rPr>
              <w:t>1</w:t>
            </w:r>
            <w:r>
              <w:rPr>
                <w:rFonts w:hint="default" w:ascii="Times New Roman" w:hAnsi="Times New Roman" w:cs="Times New Roman"/>
                <w:color w:val="auto"/>
                <w:lang w:val="en-US" w:eastAsia="zh-CN"/>
              </w:rPr>
              <w:t>排放。</w:t>
            </w:r>
            <w:r>
              <w:rPr>
                <w:rFonts w:hint="default" w:ascii="Times New Roman" w:hAnsi="Times New Roman" w:cs="Times New Roman"/>
                <w:color w:val="auto"/>
                <w:kern w:val="0"/>
              </w:rPr>
              <w:t>水喷淋用水为自来水，不添加化学药剂，喷淋用水循环使用，定期补充损耗。产生的喷淋废水主要污染物为SS，经过重力作用沉淀，定期捞渣。水池容积为</w:t>
            </w:r>
            <w:r>
              <w:rPr>
                <w:rFonts w:hint="default" w:ascii="Times New Roman" w:hAnsi="Times New Roman" w:cs="Times New Roman"/>
                <w:color w:val="auto"/>
                <w:kern w:val="0"/>
                <w:lang w:val="en-US" w:eastAsia="zh-CN"/>
              </w:rPr>
              <w:t>3</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w:t>
            </w:r>
            <w:r>
              <w:rPr>
                <w:rFonts w:hint="default" w:ascii="Times New Roman" w:hAnsi="Times New Roman" w:cs="Times New Roman"/>
                <w:color w:val="auto"/>
                <w:kern w:val="0"/>
                <w:lang w:val="en-US" w:eastAsia="zh-CN"/>
              </w:rPr>
              <w:t>储水量为2.5t，</w:t>
            </w:r>
            <w:r>
              <w:rPr>
                <w:rFonts w:hint="default" w:ascii="Times New Roman" w:hAnsi="Times New Roman" w:cs="Times New Roman"/>
                <w:color w:val="auto"/>
                <w:kern w:val="0"/>
              </w:rPr>
              <w:t>通过水泵循环使用，每天补充新鲜水，参照《简明通风设计手册》（孙一坚主编）“各种吸收装置的技术经济比较中填料塔的推荐液气比为1.0～10L/m</w:t>
            </w:r>
            <w:r>
              <w:rPr>
                <w:rFonts w:hint="default" w:ascii="Times New Roman" w:hAnsi="Times New Roman" w:cs="Times New Roman"/>
                <w:color w:val="auto"/>
                <w:kern w:val="0"/>
                <w:vertAlign w:val="superscript"/>
              </w:rPr>
              <w:t xml:space="preserve">3 </w:t>
            </w:r>
            <w:r>
              <w:rPr>
                <w:rFonts w:hint="default" w:ascii="Times New Roman" w:hAnsi="Times New Roman" w:cs="Times New Roman"/>
                <w:color w:val="auto"/>
                <w:kern w:val="0"/>
              </w:rPr>
              <w:t>，因此项目喷淋塔设计取值</w:t>
            </w:r>
            <w:r>
              <w:rPr>
                <w:rFonts w:hint="default" w:ascii="Times New Roman" w:hAnsi="Times New Roman" w:cs="Times New Roman"/>
                <w:color w:val="auto"/>
                <w:kern w:val="0"/>
                <w:lang w:val="en-US" w:eastAsia="zh-CN"/>
              </w:rPr>
              <w:t>1</w:t>
            </w:r>
            <w:r>
              <w:rPr>
                <w:rFonts w:hint="default" w:ascii="Times New Roman" w:hAnsi="Times New Roman" w:cs="Times New Roman"/>
                <w:color w:val="auto"/>
                <w:kern w:val="0"/>
              </w:rPr>
              <w:t>L/m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。项目</w:t>
            </w:r>
            <w:r>
              <w:rPr>
                <w:rFonts w:hint="default" w:ascii="Times New Roman" w:hAnsi="Times New Roman" w:cs="Times New Roman"/>
                <w:color w:val="auto"/>
                <w:kern w:val="0"/>
                <w:lang w:val="en-US" w:eastAsia="zh-CN"/>
              </w:rPr>
              <w:t>排气筒DA00</w:t>
            </w:r>
            <w:r>
              <w:rPr>
                <w:rFonts w:hint="eastAsia" w:cs="Times New Roman"/>
                <w:color w:val="auto"/>
                <w:kern w:val="0"/>
                <w:lang w:val="en-US" w:eastAsia="zh-CN"/>
              </w:rPr>
              <w:t>1</w:t>
            </w:r>
            <w:r>
              <w:rPr>
                <w:rFonts w:hint="default" w:ascii="Times New Roman" w:hAnsi="Times New Roman" w:cs="Times New Roman"/>
                <w:color w:val="auto"/>
                <w:kern w:val="0"/>
                <w:lang w:val="en-US" w:eastAsia="zh-CN"/>
              </w:rPr>
              <w:t>的</w:t>
            </w:r>
            <w:r>
              <w:rPr>
                <w:rFonts w:hint="default" w:ascii="Times New Roman" w:hAnsi="Times New Roman" w:cs="Times New Roman"/>
                <w:color w:val="auto"/>
                <w:kern w:val="0"/>
              </w:rPr>
              <w:t>废气处理设施设计风量为</w:t>
            </w:r>
            <w:r>
              <w:rPr>
                <w:rFonts w:hint="eastAsia" w:cs="Times New Roman"/>
                <w:color w:val="auto"/>
                <w:kern w:val="0"/>
                <w:lang w:val="en-US" w:eastAsia="zh-CN"/>
              </w:rPr>
              <w:t>28000</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/h，因此循环水量为</w:t>
            </w:r>
            <w:r>
              <w:rPr>
                <w:rFonts w:hint="eastAsia" w:cs="Times New Roman"/>
                <w:color w:val="auto"/>
                <w:lang w:val="en-US" w:eastAsia="zh-CN"/>
              </w:rPr>
              <w:t>28</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/h。</w:t>
            </w:r>
          </w:p>
          <w:p w14:paraId="1F21FC1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bCs/>
                <w:color w:val="auto"/>
              </w:rPr>
            </w:pPr>
            <w:r>
              <w:rPr>
                <w:rFonts w:hint="default" w:ascii="Times New Roman" w:hAnsi="Times New Roman" w:cs="Times New Roman"/>
                <w:bCs/>
                <w:color w:val="auto"/>
                <w:szCs w:val="21"/>
              </w:rPr>
              <w:t>参考《涂装车间设计手册》（化学工业出版社）</w:t>
            </w:r>
            <w:r>
              <w:rPr>
                <w:rFonts w:hint="default" w:ascii="Times New Roman" w:hAnsi="Times New Roman" w:cs="Times New Roman"/>
                <w:bCs/>
                <w:color w:val="auto"/>
                <w:szCs w:val="21"/>
                <w:lang w:val="en-US" w:eastAsia="zh-CN"/>
              </w:rPr>
              <w:t>喷淋式喷淋室的新鲜水补充量</w:t>
            </w:r>
            <w:r>
              <w:rPr>
                <w:rFonts w:hint="default" w:ascii="Times New Roman" w:hAnsi="Times New Roman" w:cs="Times New Roman"/>
                <w:bCs/>
                <w:color w:val="auto"/>
                <w:szCs w:val="21"/>
              </w:rPr>
              <w:t>，补充水量为循环水量的</w:t>
            </w:r>
            <w:r>
              <w:rPr>
                <w:rFonts w:hint="default" w:ascii="Times New Roman" w:hAnsi="Times New Roman" w:cs="Times New Roman"/>
                <w:bCs/>
                <w:color w:val="auto"/>
                <w:szCs w:val="21"/>
                <w:lang w:val="en-US" w:eastAsia="zh-CN"/>
              </w:rPr>
              <w:t>1.5-3</w:t>
            </w:r>
            <w:r>
              <w:rPr>
                <w:rFonts w:hint="default" w:ascii="Times New Roman" w:hAnsi="Times New Roman" w:cs="Times New Roman"/>
                <w:bCs/>
                <w:color w:val="auto"/>
                <w:szCs w:val="21"/>
              </w:rPr>
              <w:t>%，</w:t>
            </w:r>
            <w:r>
              <w:rPr>
                <w:rFonts w:hint="default" w:ascii="Times New Roman" w:hAnsi="Times New Roman" w:cs="Times New Roman"/>
                <w:color w:val="auto"/>
                <w:kern w:val="0"/>
              </w:rPr>
              <w:t>喷淋过程中水损耗量按</w:t>
            </w:r>
            <w:r>
              <w:rPr>
                <w:rFonts w:hint="default" w:ascii="Times New Roman" w:hAnsi="Times New Roman" w:cs="Times New Roman"/>
                <w:color w:val="auto"/>
                <w:kern w:val="0"/>
                <w:lang w:val="en-US" w:eastAsia="zh-CN"/>
              </w:rPr>
              <w:t>2</w:t>
            </w:r>
            <w:r>
              <w:rPr>
                <w:rFonts w:hint="default" w:ascii="Times New Roman" w:hAnsi="Times New Roman" w:cs="Times New Roman"/>
                <w:color w:val="auto"/>
                <w:kern w:val="0"/>
              </w:rPr>
              <w:t>%计算，废气处理设施年运行300天，则损耗水量为</w:t>
            </w:r>
            <w:r>
              <w:rPr>
                <w:rFonts w:hint="eastAsia" w:cs="Times New Roman"/>
                <w:color w:val="auto"/>
                <w:kern w:val="0"/>
                <w:lang w:val="en-US" w:eastAsia="zh-CN"/>
              </w:rPr>
              <w:t>8.96</w:t>
            </w:r>
            <w:r>
              <w:rPr>
                <w:rFonts w:hint="default" w:ascii="Times New Roman" w:hAnsi="Times New Roman" w:cs="Times New Roman"/>
                <w:color w:val="auto"/>
                <w:kern w:val="0"/>
              </w:rPr>
              <w:t>t/d（</w:t>
            </w:r>
            <w:r>
              <w:rPr>
                <w:rFonts w:hint="eastAsia" w:cs="Times New Roman"/>
                <w:color w:val="auto"/>
                <w:kern w:val="0"/>
                <w:lang w:val="en-US" w:eastAsia="zh-CN"/>
              </w:rPr>
              <w:t>2688</w:t>
            </w:r>
            <w:r>
              <w:rPr>
                <w:rFonts w:hint="default" w:ascii="Times New Roman" w:hAnsi="Times New Roman" w:cs="Times New Roman"/>
                <w:color w:val="auto"/>
                <w:kern w:val="0"/>
              </w:rPr>
              <w:t>t/a）。</w:t>
            </w:r>
          </w:p>
          <w:p w14:paraId="7746C323">
            <w:pPr>
              <w:ind w:firstLine="482" w:firstLineChars="200"/>
              <w:rPr>
                <w:rFonts w:hint="default" w:ascii="Times New Roman" w:hAnsi="Times New Roman" w:cs="Times New Roman"/>
                <w:b/>
                <w:color w:val="auto"/>
              </w:rPr>
            </w:pPr>
            <w:r>
              <w:rPr>
                <w:rFonts w:hint="eastAsia" w:cs="Times New Roman"/>
                <w:b/>
                <w:color w:val="auto"/>
                <w:lang w:val="en-US" w:eastAsia="zh-CN"/>
              </w:rPr>
              <w:t>③</w:t>
            </w:r>
            <w:r>
              <w:rPr>
                <w:rFonts w:hint="default" w:ascii="Times New Roman" w:hAnsi="Times New Roman" w:cs="Times New Roman"/>
                <w:b/>
                <w:color w:val="auto"/>
              </w:rPr>
              <w:t>生活用水</w:t>
            </w:r>
          </w:p>
          <w:p w14:paraId="01433198">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rPr>
              <w:t>项目</w:t>
            </w:r>
            <w:r>
              <w:rPr>
                <w:rFonts w:hint="default" w:ascii="Times New Roman" w:hAnsi="Times New Roman" w:cs="Times New Roman"/>
                <w:color w:val="auto"/>
                <w:lang w:val="en-US" w:eastAsia="zh-CN"/>
              </w:rPr>
              <w:t>拟招员工</w:t>
            </w:r>
            <w:r>
              <w:rPr>
                <w:rFonts w:hint="eastAsia" w:cs="Times New Roman"/>
                <w:color w:val="auto"/>
                <w:lang w:val="en-US" w:eastAsia="zh-CN"/>
              </w:rPr>
              <w:t>100</w:t>
            </w:r>
            <w:r>
              <w:rPr>
                <w:rFonts w:hint="default" w:ascii="Times New Roman" w:hAnsi="Times New Roman" w:cs="Times New Roman"/>
                <w:color w:val="auto"/>
              </w:rPr>
              <w:t>人，</w:t>
            </w:r>
            <w:r>
              <w:rPr>
                <w:rFonts w:hint="eastAsia" w:cs="Times New Roman"/>
                <w:color w:val="auto"/>
                <w:lang w:val="en-US" w:eastAsia="zh-CN"/>
              </w:rPr>
              <w:t>在厂区住宿</w:t>
            </w:r>
            <w:r>
              <w:rPr>
                <w:rFonts w:hint="default" w:ascii="Times New Roman" w:hAnsi="Times New Roman" w:cs="Times New Roman"/>
                <w:color w:val="auto"/>
              </w:rPr>
              <w:t>，年工作时间</w:t>
            </w:r>
            <w:r>
              <w:rPr>
                <w:rFonts w:hint="default" w:ascii="Times New Roman" w:hAnsi="Times New Roman" w:cs="Times New Roman"/>
                <w:color w:val="auto"/>
                <w:lang w:val="en-US" w:eastAsia="zh-CN"/>
              </w:rPr>
              <w:t>300</w:t>
            </w:r>
            <w:r>
              <w:rPr>
                <w:rFonts w:hint="default" w:ascii="Times New Roman" w:hAnsi="Times New Roman" w:cs="Times New Roman"/>
                <w:color w:val="auto"/>
              </w:rPr>
              <w:t>d。根据广东省《用水定额 第3部分：生活》（DB44/T 1461.3-2021），</w:t>
            </w:r>
            <w:r>
              <w:rPr>
                <w:rFonts w:hint="default" w:ascii="Times New Roman" w:hAnsi="Times New Roman" w:cs="Times New Roman"/>
                <w:bCs/>
                <w:color w:val="auto"/>
                <w:kern w:val="0"/>
                <w:sz w:val="24"/>
                <w:szCs w:val="24"/>
                <w:lang w:eastAsia="zh-CN" w:bidi="ar"/>
              </w:rPr>
              <w:t>办公楼（无食堂和浴室）生活用水定额按</w:t>
            </w:r>
            <w:r>
              <w:rPr>
                <w:rFonts w:hint="eastAsia" w:cs="Times New Roman"/>
                <w:bCs/>
                <w:color w:val="auto"/>
                <w:kern w:val="0"/>
                <w:sz w:val="24"/>
                <w:szCs w:val="24"/>
                <w:lang w:val="en-US" w:eastAsia="zh-CN" w:bidi="ar"/>
              </w:rPr>
              <w:t>15</w:t>
            </w:r>
            <w:r>
              <w:rPr>
                <w:rFonts w:hint="default" w:ascii="Times New Roman" w:hAnsi="Times New Roman" w:cs="Times New Roman"/>
                <w:bCs/>
                <w:color w:val="auto"/>
                <w:kern w:val="0"/>
                <w:sz w:val="24"/>
                <w:szCs w:val="24"/>
                <w:lang w:eastAsia="zh-CN" w:bidi="ar"/>
              </w:rPr>
              <w:t>吨/人·年计，</w:t>
            </w:r>
            <w:r>
              <w:rPr>
                <w:rFonts w:hint="default" w:ascii="Times New Roman" w:hAnsi="Times New Roman" w:cs="Times New Roman"/>
                <w:color w:val="auto"/>
              </w:rPr>
              <w:t>则生活用水量为</w:t>
            </w:r>
            <w:r>
              <w:rPr>
                <w:rFonts w:hint="eastAsia" w:cs="Times New Roman"/>
                <w:color w:val="auto"/>
                <w:lang w:val="en-US" w:eastAsia="zh-CN"/>
              </w:rPr>
              <w:t>5</w:t>
            </w:r>
            <w:r>
              <w:rPr>
                <w:rFonts w:hint="default" w:ascii="Times New Roman" w:hAnsi="Times New Roman" w:cs="Times New Roman"/>
                <w:color w:val="auto"/>
              </w:rPr>
              <w:t>t/d（</w:t>
            </w:r>
            <w:r>
              <w:rPr>
                <w:rFonts w:hint="eastAsia" w:cs="Times New Roman"/>
                <w:color w:val="auto"/>
                <w:lang w:val="en-US" w:eastAsia="zh-CN"/>
              </w:rPr>
              <w:t>15</w:t>
            </w:r>
            <w:r>
              <w:rPr>
                <w:rFonts w:hint="default" w:ascii="Times New Roman" w:hAnsi="Times New Roman" w:cs="Times New Roman"/>
                <w:color w:val="auto"/>
                <w:lang w:val="en-US" w:eastAsia="zh-CN"/>
              </w:rPr>
              <w:t>00</w:t>
            </w:r>
            <w:r>
              <w:rPr>
                <w:rFonts w:hint="default" w:ascii="Times New Roman" w:hAnsi="Times New Roman" w:cs="Times New Roman"/>
                <w:color w:val="auto"/>
              </w:rPr>
              <w:t>t/a），由市政供水。</w:t>
            </w:r>
          </w:p>
          <w:p w14:paraId="6B77EB92">
            <w:pPr>
              <w:ind w:firstLine="482" w:firstLineChars="200"/>
              <w:rPr>
                <w:rFonts w:hint="default" w:ascii="Times New Roman" w:hAnsi="Times New Roman" w:cs="Times New Roman"/>
                <w:b/>
                <w:color w:val="auto"/>
                <w:szCs w:val="22"/>
              </w:rPr>
            </w:pPr>
            <w:r>
              <w:rPr>
                <w:rFonts w:hint="default" w:ascii="Times New Roman" w:hAnsi="Times New Roman" w:cs="Times New Roman"/>
                <w:b/>
                <w:color w:val="auto"/>
                <w:szCs w:val="22"/>
              </w:rPr>
              <w:t>2）</w:t>
            </w:r>
            <w:bookmarkStart w:id="6" w:name="排水情况"/>
            <w:r>
              <w:rPr>
                <w:rFonts w:hint="default" w:ascii="Times New Roman" w:hAnsi="Times New Roman" w:cs="Times New Roman"/>
                <w:b/>
                <w:color w:val="auto"/>
                <w:szCs w:val="22"/>
              </w:rPr>
              <w:t>排水情况</w:t>
            </w:r>
            <w:bookmarkEnd w:id="6"/>
          </w:p>
          <w:p w14:paraId="25E190F5">
            <w:pPr>
              <w:ind w:firstLine="480" w:firstLineChars="200"/>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项目所在区域实行雨污分流制，分别设置有雨水管网、污水管网，项目</w:t>
            </w:r>
            <w:r>
              <w:rPr>
                <w:rFonts w:hint="default" w:ascii="Times New Roman" w:hAnsi="Times New Roman" w:cs="Times New Roman"/>
                <w:bCs/>
                <w:color w:val="auto"/>
                <w:kern w:val="0"/>
                <w:szCs w:val="21"/>
                <w:lang w:val="en-US" w:eastAsia="zh-CN"/>
              </w:rPr>
              <w:t>生活污水经市政管网纳入</w:t>
            </w:r>
            <w:r>
              <w:rPr>
                <w:rFonts w:hint="eastAsia" w:cs="Times New Roman"/>
                <w:bCs/>
                <w:color w:val="auto"/>
                <w:kern w:val="0"/>
                <w:szCs w:val="21"/>
                <w:lang w:val="en-US" w:eastAsia="zh-CN"/>
              </w:rPr>
              <w:t>博罗县石湾镇大牛垒生活污水处理厂</w:t>
            </w:r>
            <w:r>
              <w:rPr>
                <w:rFonts w:hint="default" w:ascii="Times New Roman" w:hAnsi="Times New Roman" w:cs="Times New Roman"/>
                <w:bCs/>
                <w:color w:val="auto"/>
                <w:kern w:val="0"/>
                <w:szCs w:val="21"/>
                <w:lang w:val="en-US" w:eastAsia="zh-CN"/>
              </w:rPr>
              <w:t>处理</w:t>
            </w:r>
            <w:r>
              <w:rPr>
                <w:rFonts w:hint="default" w:ascii="Times New Roman" w:hAnsi="Times New Roman" w:cs="Times New Roman"/>
                <w:bCs/>
                <w:color w:val="auto"/>
                <w:kern w:val="0"/>
                <w:szCs w:val="21"/>
              </w:rPr>
              <w:t>。</w:t>
            </w:r>
          </w:p>
          <w:p w14:paraId="3056D6D6">
            <w:pPr>
              <w:ind w:firstLine="482" w:firstLineChars="200"/>
              <w:rPr>
                <w:rFonts w:hint="default" w:ascii="Times New Roman" w:hAnsi="Times New Roman" w:eastAsia="宋体" w:cs="Times New Roman"/>
                <w:bCs/>
                <w:iCs/>
                <w:color w:val="auto"/>
                <w:kern w:val="0"/>
                <w:lang w:val="en-US" w:eastAsia="zh-CN" w:bidi="ar"/>
              </w:rPr>
            </w:pPr>
            <w:r>
              <w:rPr>
                <w:rFonts w:hint="default" w:ascii="Times New Roman" w:hAnsi="Times New Roman" w:cs="Times New Roman"/>
                <w:b/>
                <w:bCs/>
                <w:color w:val="auto"/>
                <w:kern w:val="0"/>
                <w:szCs w:val="21"/>
              </w:rPr>
              <w:t>①</w:t>
            </w:r>
            <w:r>
              <w:rPr>
                <w:rFonts w:hint="default" w:ascii="Times New Roman" w:hAnsi="Times New Roman" w:cs="Times New Roman"/>
                <w:b/>
                <w:color w:val="auto"/>
                <w:lang w:val="en-US" w:eastAsia="zh-CN"/>
              </w:rPr>
              <w:t>冷却废水</w:t>
            </w:r>
          </w:p>
          <w:p w14:paraId="721233ED">
            <w:pPr>
              <w:ind w:firstLine="480" w:firstLineChars="200"/>
              <w:rPr>
                <w:rFonts w:hint="default" w:ascii="Times New Roman" w:hAnsi="Times New Roman" w:cs="Times New Roman"/>
                <w:bCs/>
                <w:color w:val="auto"/>
                <w:szCs w:val="21"/>
              </w:rPr>
            </w:pPr>
            <w:r>
              <w:rPr>
                <w:rFonts w:hint="default" w:ascii="Times New Roman" w:hAnsi="Times New Roman" w:cs="Times New Roman"/>
                <w:bCs/>
                <w:iCs/>
                <w:color w:val="auto"/>
                <w:kern w:val="0"/>
                <w:lang w:bidi="ar"/>
              </w:rPr>
              <w:t>根据上述分析，</w:t>
            </w:r>
            <w:r>
              <w:rPr>
                <w:rFonts w:hint="default" w:ascii="Times New Roman" w:hAnsi="Times New Roman" w:cs="Times New Roman"/>
                <w:color w:val="auto"/>
              </w:rPr>
              <w:t>冷却塔循环水量为</w:t>
            </w:r>
            <w:r>
              <w:rPr>
                <w:rFonts w:hint="eastAsia" w:cs="Times New Roman"/>
                <w:color w:val="auto"/>
                <w:lang w:val="en-US" w:eastAsia="zh-CN"/>
              </w:rPr>
              <w:t>160</w:t>
            </w:r>
            <w:r>
              <w:rPr>
                <w:rFonts w:hint="default" w:ascii="Times New Roman" w:hAnsi="Times New Roman" w:cs="Times New Roman"/>
                <w:bCs/>
                <w:color w:val="auto"/>
                <w:szCs w:val="21"/>
              </w:rPr>
              <w:t>t/d（</w:t>
            </w:r>
            <w:r>
              <w:rPr>
                <w:rFonts w:hint="eastAsia" w:cs="Times New Roman"/>
                <w:bCs/>
                <w:color w:val="auto"/>
                <w:szCs w:val="21"/>
                <w:lang w:val="en-US" w:eastAsia="zh-CN"/>
              </w:rPr>
              <w:t>480</w:t>
            </w:r>
            <w:r>
              <w:rPr>
                <w:rFonts w:hint="default" w:ascii="Times New Roman" w:hAnsi="Times New Roman" w:cs="Times New Roman"/>
                <w:bCs/>
                <w:color w:val="auto"/>
                <w:szCs w:val="21"/>
                <w:lang w:val="en-US" w:eastAsia="zh-CN"/>
              </w:rPr>
              <w:t>00</w:t>
            </w:r>
            <w:r>
              <w:rPr>
                <w:rFonts w:hint="default" w:ascii="Times New Roman" w:hAnsi="Times New Roman" w:cs="Times New Roman"/>
                <w:bCs/>
                <w:color w:val="auto"/>
                <w:szCs w:val="21"/>
              </w:rPr>
              <w:t>t/a）</w:t>
            </w:r>
            <w:r>
              <w:rPr>
                <w:rFonts w:hint="default" w:ascii="Times New Roman" w:hAnsi="Times New Roman" w:cs="Times New Roman"/>
                <w:color w:val="auto"/>
              </w:rPr>
              <w:t>，</w:t>
            </w:r>
            <w:r>
              <w:rPr>
                <w:rFonts w:hint="default" w:ascii="Times New Roman" w:hAnsi="Times New Roman" w:cs="Times New Roman"/>
                <w:color w:val="auto"/>
                <w:lang w:val="en-US" w:eastAsia="zh-CN"/>
              </w:rPr>
              <w:t>冷却方式为间接冷却，不接触工件，只在管道流动，冷却过程无需添加矿物油、乳化液、阻垢剂、杀菌剂等药剂，冷却水水质要求不高，会定期补充新鲜水，项目冷却用水通过絮凝沉淀过滤捞渣后可满足企业自行生产回用要求，因此冷却水</w:t>
            </w:r>
            <w:r>
              <w:rPr>
                <w:rFonts w:hint="default" w:ascii="Times New Roman" w:hAnsi="Times New Roman" w:cs="Times New Roman"/>
                <w:color w:val="auto"/>
              </w:rPr>
              <w:t>循环使用不外排。</w:t>
            </w:r>
          </w:p>
          <w:p w14:paraId="0ECDD20D">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iCs/>
                <w:color w:val="auto"/>
                <w:kern w:val="0"/>
                <w:lang w:bidi="ar"/>
              </w:rPr>
              <w:t>②喷淋塔废水</w:t>
            </w:r>
          </w:p>
          <w:p w14:paraId="4A4EBE29">
            <w:pPr>
              <w:ind w:firstLine="480" w:firstLineChars="200"/>
              <w:rPr>
                <w:rFonts w:hint="default" w:ascii="Times New Roman" w:hAnsi="Times New Roman" w:cs="Times New Roman"/>
                <w:bCs/>
                <w:iCs/>
                <w:color w:val="auto"/>
                <w:kern w:val="0"/>
                <w:lang w:bidi="ar"/>
              </w:rPr>
            </w:pPr>
            <w:r>
              <w:rPr>
                <w:rFonts w:hint="default" w:ascii="Times New Roman" w:hAnsi="Times New Roman" w:cs="Times New Roman"/>
                <w:bCs/>
                <w:color w:val="auto"/>
                <w:szCs w:val="21"/>
              </w:rPr>
              <w:t>项目水喷淋塔对循环水水质要求不高，水喷淋塔处理有机废气后循环水会含有有机物质、灰尘等污染物，为保证处理效果，建设单位每</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个月对水喷淋塔喷淋水更换</w:t>
            </w:r>
            <w:r>
              <w:rPr>
                <w:rFonts w:hint="default" w:ascii="Times New Roman" w:hAnsi="Times New Roman" w:cs="Times New Roman"/>
                <w:bCs/>
                <w:color w:val="auto"/>
                <w:szCs w:val="21"/>
                <w:lang w:val="en-US" w:eastAsia="zh-CN"/>
              </w:rPr>
              <w:t>一次</w:t>
            </w:r>
            <w:r>
              <w:rPr>
                <w:rFonts w:hint="default" w:ascii="Times New Roman" w:hAnsi="Times New Roman" w:cs="Times New Roman"/>
                <w:bCs/>
                <w:color w:val="auto"/>
                <w:szCs w:val="21"/>
              </w:rPr>
              <w:t>，更换水量为</w:t>
            </w:r>
            <w:r>
              <w:rPr>
                <w:rFonts w:hint="default" w:ascii="Times New Roman" w:hAnsi="Times New Roman" w:cs="Times New Roman"/>
                <w:bCs/>
                <w:color w:val="auto"/>
                <w:szCs w:val="21"/>
                <w:lang w:val="en-US" w:eastAsia="zh-CN"/>
              </w:rPr>
              <w:t>1</w:t>
            </w:r>
            <w:r>
              <w:rPr>
                <w:rFonts w:hint="eastAsia" w:cs="Times New Roman"/>
                <w:bCs/>
                <w:color w:val="auto"/>
                <w:szCs w:val="21"/>
                <w:lang w:val="en-US" w:eastAsia="zh-CN"/>
              </w:rPr>
              <w:t>0</w:t>
            </w:r>
            <w:r>
              <w:rPr>
                <w:rFonts w:hint="default" w:ascii="Times New Roman" w:hAnsi="Times New Roman" w:cs="Times New Roman"/>
                <w:bCs/>
                <w:color w:val="auto"/>
                <w:szCs w:val="21"/>
              </w:rPr>
              <w:t>t/a（</w:t>
            </w:r>
            <w:r>
              <w:rPr>
                <w:rFonts w:hint="default" w:ascii="Times New Roman" w:hAnsi="Times New Roman" w:cs="Times New Roman"/>
                <w:bCs/>
                <w:color w:val="auto"/>
                <w:szCs w:val="21"/>
                <w:lang w:val="en-US" w:eastAsia="zh-CN"/>
              </w:rPr>
              <w:t>0.0</w:t>
            </w:r>
            <w:r>
              <w:rPr>
                <w:rFonts w:hint="eastAsia" w:cs="Times New Roman"/>
                <w:bCs/>
                <w:color w:val="auto"/>
                <w:szCs w:val="21"/>
                <w:lang w:val="en-US" w:eastAsia="zh-CN"/>
              </w:rPr>
              <w:t>3</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rPr>
              <w:t>t/d，按年</w:t>
            </w:r>
            <w:r>
              <w:rPr>
                <w:rFonts w:hint="default" w:ascii="Times New Roman" w:hAnsi="Times New Roman" w:cs="Times New Roman"/>
                <w:bCs/>
                <w:color w:val="auto"/>
                <w:szCs w:val="21"/>
                <w:lang w:val="en-US" w:eastAsia="zh-CN"/>
              </w:rPr>
              <w:t>300</w:t>
            </w:r>
            <w:r>
              <w:rPr>
                <w:rFonts w:hint="default" w:ascii="Times New Roman" w:hAnsi="Times New Roman" w:cs="Times New Roman"/>
                <w:bCs/>
                <w:color w:val="auto"/>
                <w:szCs w:val="21"/>
              </w:rPr>
              <w:t>天计算），更换废水交由有资质的单位处理，不外排。</w:t>
            </w:r>
          </w:p>
          <w:p w14:paraId="082ED602">
            <w:pPr>
              <w:ind w:firstLine="482" w:firstLineChars="200"/>
              <w:rPr>
                <w:rFonts w:hint="default" w:ascii="Times New Roman" w:hAnsi="Times New Roman" w:cs="Times New Roman"/>
                <w:b/>
                <w:iCs/>
                <w:color w:val="auto"/>
                <w:kern w:val="0"/>
                <w:lang w:bidi="ar"/>
              </w:rPr>
            </w:pPr>
            <w:r>
              <w:rPr>
                <w:rFonts w:hint="eastAsia" w:cs="Times New Roman"/>
                <w:b/>
                <w:color w:val="auto"/>
                <w:lang w:val="en-US" w:eastAsia="zh-CN"/>
              </w:rPr>
              <w:t>③</w:t>
            </w:r>
            <w:r>
              <w:rPr>
                <w:rFonts w:hint="default" w:ascii="Times New Roman" w:hAnsi="Times New Roman" w:cs="Times New Roman"/>
                <w:b/>
                <w:iCs/>
                <w:color w:val="auto"/>
                <w:kern w:val="0"/>
                <w:lang w:bidi="ar"/>
              </w:rPr>
              <w:t>生活污水</w:t>
            </w:r>
          </w:p>
          <w:p w14:paraId="4A009701">
            <w:pPr>
              <w:ind w:firstLine="480" w:firstLineChars="200"/>
              <w:rPr>
                <w:rFonts w:hint="default" w:ascii="Times New Roman" w:hAnsi="Times New Roman" w:cs="Times New Roman"/>
                <w:iCs/>
                <w:color w:val="auto"/>
                <w:kern w:val="0"/>
                <w:lang w:bidi="ar"/>
              </w:rPr>
            </w:pPr>
            <w:r>
              <w:rPr>
                <w:rFonts w:hint="default" w:ascii="Times New Roman" w:hAnsi="Times New Roman" w:cs="Times New Roman"/>
                <w:color w:val="auto"/>
                <w:kern w:val="0"/>
              </w:rPr>
              <w:t>项目运营期生活用水量为</w:t>
            </w:r>
            <w:r>
              <w:rPr>
                <w:rFonts w:hint="eastAsia" w:cs="Times New Roman"/>
                <w:color w:val="auto"/>
                <w:lang w:val="en-US" w:eastAsia="zh-CN"/>
              </w:rPr>
              <w:t>5</w:t>
            </w:r>
            <w:r>
              <w:rPr>
                <w:rFonts w:hint="default" w:ascii="Times New Roman" w:hAnsi="Times New Roman" w:cs="Times New Roman"/>
                <w:color w:val="auto"/>
              </w:rPr>
              <w:t>t/d（</w:t>
            </w:r>
            <w:r>
              <w:rPr>
                <w:rFonts w:hint="eastAsia" w:cs="Times New Roman"/>
                <w:color w:val="auto"/>
                <w:lang w:val="en-US" w:eastAsia="zh-CN"/>
              </w:rPr>
              <w:t>15</w:t>
            </w:r>
            <w:r>
              <w:rPr>
                <w:rFonts w:hint="default" w:ascii="Times New Roman" w:hAnsi="Times New Roman" w:cs="Times New Roman"/>
                <w:color w:val="auto"/>
                <w:lang w:val="en-US" w:eastAsia="zh-CN"/>
              </w:rPr>
              <w:t>00</w:t>
            </w:r>
            <w:r>
              <w:rPr>
                <w:rFonts w:hint="default" w:ascii="Times New Roman" w:hAnsi="Times New Roman" w:cs="Times New Roman"/>
                <w:color w:val="auto"/>
              </w:rPr>
              <w:t>t/a）</w:t>
            </w:r>
            <w:r>
              <w:rPr>
                <w:rFonts w:hint="default" w:ascii="Times New Roman" w:hAnsi="Times New Roman" w:cs="Times New Roman"/>
                <w:color w:val="auto"/>
                <w:kern w:val="0"/>
              </w:rPr>
              <w:t>，排污系数按90%计算，则排水量为</w:t>
            </w:r>
            <w:r>
              <w:rPr>
                <w:rFonts w:hint="eastAsia" w:cs="Times New Roman"/>
                <w:color w:val="auto"/>
                <w:kern w:val="0"/>
                <w:lang w:val="en-US" w:eastAsia="zh-CN"/>
              </w:rPr>
              <w:t>4.5</w:t>
            </w:r>
            <w:r>
              <w:rPr>
                <w:rFonts w:hint="default" w:ascii="Times New Roman" w:hAnsi="Times New Roman" w:cs="Times New Roman"/>
                <w:color w:val="auto"/>
              </w:rPr>
              <w:t>t/d（</w:t>
            </w:r>
            <w:r>
              <w:rPr>
                <w:rFonts w:hint="eastAsia" w:cs="Times New Roman"/>
                <w:color w:val="auto"/>
                <w:lang w:val="en-US" w:eastAsia="zh-CN"/>
              </w:rPr>
              <w:t>1350</w:t>
            </w:r>
            <w:r>
              <w:rPr>
                <w:rFonts w:hint="default" w:ascii="Times New Roman" w:hAnsi="Times New Roman" w:cs="Times New Roman"/>
                <w:color w:val="auto"/>
              </w:rPr>
              <w:t>t/a）</w:t>
            </w:r>
            <w:r>
              <w:rPr>
                <w:rFonts w:hint="default" w:ascii="Times New Roman" w:hAnsi="Times New Roman" w:cs="Times New Roman"/>
                <w:iCs/>
                <w:color w:val="auto"/>
                <w:kern w:val="0"/>
                <w:lang w:bidi="ar"/>
              </w:rPr>
              <w:t>。</w:t>
            </w:r>
            <w:r>
              <w:rPr>
                <w:rFonts w:hint="default" w:ascii="Times New Roman" w:hAnsi="Times New Roman" w:cs="Times New Roman"/>
                <w:color w:val="auto"/>
              </w:rPr>
              <w:t>生活污水经三级化粪池处理后进入</w:t>
            </w:r>
            <w:r>
              <w:rPr>
                <w:rFonts w:hint="eastAsia" w:cs="Times New Roman"/>
                <w:color w:val="auto"/>
                <w:lang w:eastAsia="zh-CN"/>
              </w:rPr>
              <w:t>博罗县石湾镇大牛垒生活污水处理厂</w:t>
            </w:r>
            <w:r>
              <w:rPr>
                <w:rFonts w:hint="default" w:ascii="Times New Roman" w:hAnsi="Times New Roman" w:cs="Times New Roman"/>
                <w:color w:val="auto"/>
              </w:rPr>
              <w:t>处理，达标尾水排入</w:t>
            </w:r>
            <w:r>
              <w:rPr>
                <w:rFonts w:hint="eastAsia" w:cs="Times New Roman"/>
                <w:color w:val="auto"/>
                <w:lang w:eastAsia="zh-CN"/>
              </w:rPr>
              <w:t>石湾镇中心排渠</w:t>
            </w:r>
            <w:r>
              <w:rPr>
                <w:rFonts w:hint="default" w:ascii="Times New Roman" w:hAnsi="Times New Roman" w:cs="Times New Roman"/>
                <w:color w:val="auto"/>
              </w:rPr>
              <w:t>汇入</w:t>
            </w:r>
            <w:r>
              <w:rPr>
                <w:rFonts w:hint="eastAsia" w:cs="Times New Roman"/>
                <w:color w:val="auto"/>
                <w:lang w:eastAsia="zh-CN"/>
              </w:rPr>
              <w:t>东江</w:t>
            </w:r>
            <w:r>
              <w:rPr>
                <w:rFonts w:hint="default" w:ascii="Times New Roman" w:hAnsi="Times New Roman" w:cs="Times New Roman"/>
                <w:color w:val="auto"/>
              </w:rPr>
              <w:t>。</w:t>
            </w:r>
          </w:p>
          <w:p w14:paraId="006F3A87">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项目水平衡图详见下图。</w:t>
            </w:r>
          </w:p>
          <w:p w14:paraId="75931FA5">
            <w:pPr>
              <w:spacing w:line="240" w:lineRule="auto"/>
              <w:jc w:val="center"/>
              <w:rPr>
                <w:rFonts w:hint="default" w:ascii="Times New Roman" w:hAnsi="Times New Roman" w:eastAsia="宋体" w:cs="Times New Roman"/>
                <w:color w:val="auto"/>
                <w:szCs w:val="22"/>
                <w:lang w:eastAsia="zh-CN"/>
              </w:rPr>
            </w:pPr>
            <w:r>
              <w:rPr>
                <w:rFonts w:hint="default" w:ascii="Times New Roman" w:hAnsi="Times New Roman" w:eastAsia="宋体" w:cs="Times New Roman"/>
                <w:color w:val="auto"/>
                <w:szCs w:val="22"/>
                <w:lang w:eastAsia="zh-CN"/>
              </w:rPr>
              <w:object>
                <v:shape id="_x0000_i1026" o:spt="75" type="#_x0000_t75" style="height:232.35pt;width:441.95pt;" o:ole="t" filled="f" o:preferrelative="t" stroked="f" coordsize="21600,21600">
                  <v:path/>
                  <v:fill on="f" focussize="0,0"/>
                  <v:stroke on="f"/>
                  <v:imagedata r:id="rId17" cropleft="1156f" croptop="7237f" cropright="617f" o:title=""/>
                  <o:lock v:ext="edit" aspectratio="t"/>
                  <w10:wrap type="none"/>
                  <w10:anchorlock/>
                </v:shape>
                <o:OLEObject Type="Embed" ProgID="Visio.Drawing.11" ShapeID="_x0000_i1026" DrawAspect="Content" ObjectID="_1468075726" r:id="rId16">
                  <o:LockedField>false</o:LockedField>
                </o:OLEObject>
              </w:object>
            </w:r>
          </w:p>
          <w:p w14:paraId="3F9D4427">
            <w:pPr>
              <w:spacing w:line="240" w:lineRule="auto"/>
              <w:jc w:val="center"/>
              <w:rPr>
                <w:rFonts w:hint="default" w:ascii="Times New Roman" w:hAnsi="Times New Roman" w:cs="Times New Roman"/>
                <w:b/>
                <w:color w:val="auto"/>
                <w:kern w:val="0"/>
              </w:rPr>
            </w:pPr>
            <w:r>
              <w:rPr>
                <w:rFonts w:hint="default" w:ascii="Times New Roman" w:hAnsi="Times New Roman" w:cs="Times New Roman"/>
                <w:b/>
                <w:color w:val="auto"/>
                <w:kern w:val="0"/>
              </w:rPr>
              <w:t xml:space="preserve">图1  </w:t>
            </w:r>
            <w:bookmarkStart w:id="7" w:name="项目水平衡图"/>
            <w:r>
              <w:rPr>
                <w:rFonts w:hint="default" w:ascii="Times New Roman" w:hAnsi="Times New Roman" w:cs="Times New Roman"/>
                <w:b/>
                <w:color w:val="auto"/>
                <w:kern w:val="0"/>
              </w:rPr>
              <w:t>项目水平衡图</w:t>
            </w:r>
            <w:bookmarkEnd w:id="7"/>
            <w:r>
              <w:rPr>
                <w:rFonts w:hint="default" w:ascii="Times New Roman" w:hAnsi="Times New Roman" w:cs="Times New Roman"/>
                <w:b/>
                <w:color w:val="auto"/>
                <w:kern w:val="0"/>
              </w:rPr>
              <w:t xml:space="preserve">  （单位：t/d）</w:t>
            </w:r>
          </w:p>
          <w:p w14:paraId="3E84A429">
            <w:pPr>
              <w:wordWrap/>
              <w:adjustRightInd w:val="0"/>
              <w:snapToGrid w:val="0"/>
              <w:ind w:firstLine="482" w:firstLineChars="200"/>
              <w:rPr>
                <w:rFonts w:hint="default" w:ascii="Times New Roman" w:hAnsi="Times New Roman" w:cs="Times New Roman"/>
                <w:b/>
                <w:bCs/>
                <w:color w:val="auto"/>
                <w:highlight w:val="none"/>
                <w:lang w:bidi="ar"/>
              </w:rPr>
            </w:pPr>
            <w:r>
              <w:rPr>
                <w:rFonts w:hint="default" w:ascii="Times New Roman" w:hAnsi="Times New Roman" w:cs="Times New Roman"/>
                <w:b/>
                <w:bCs/>
                <w:color w:val="auto"/>
                <w:highlight w:val="none"/>
                <w:lang w:bidi="ar"/>
              </w:rPr>
              <w:t>（9）</w:t>
            </w:r>
            <w:bookmarkStart w:id="8" w:name="VOCs平衡"/>
            <w:r>
              <w:rPr>
                <w:rFonts w:hint="default" w:ascii="Times New Roman" w:hAnsi="Times New Roman" w:cs="Times New Roman"/>
                <w:b/>
                <w:bCs/>
                <w:color w:val="auto"/>
                <w:highlight w:val="none"/>
                <w:lang w:bidi="ar"/>
              </w:rPr>
              <w:t>VOCs平衡</w:t>
            </w:r>
            <w:bookmarkEnd w:id="8"/>
          </w:p>
          <w:p w14:paraId="7B7E7D82">
            <w:pPr>
              <w:wordWrap/>
              <w:spacing w:line="240" w:lineRule="auto"/>
              <w:jc w:val="center"/>
              <w:rPr>
                <w:rFonts w:hint="default" w:ascii="Times New Roman" w:hAnsi="Times New Roman" w:cs="Times New Roman"/>
                <w:b/>
                <w:bCs/>
                <w:snapToGrid w:val="0"/>
                <w:color w:val="auto"/>
                <w:kern w:val="0"/>
                <w:szCs w:val="22"/>
                <w:highlight w:val="none"/>
              </w:rPr>
            </w:pPr>
            <w:r>
              <w:rPr>
                <w:rFonts w:hint="default" w:ascii="Times New Roman" w:hAnsi="Times New Roman" w:cs="Times New Roman"/>
                <w:b/>
                <w:bCs/>
                <w:snapToGrid w:val="0"/>
                <w:color w:val="auto"/>
                <w:kern w:val="0"/>
                <w:szCs w:val="22"/>
                <w:highlight w:val="none"/>
              </w:rPr>
              <w:t>表</w:t>
            </w:r>
            <w:r>
              <w:rPr>
                <w:rFonts w:hint="default" w:ascii="Times New Roman" w:hAnsi="Times New Roman" w:cs="Times New Roman"/>
                <w:b/>
                <w:bCs/>
                <w:snapToGrid w:val="0"/>
                <w:color w:val="auto"/>
                <w:kern w:val="0"/>
                <w:szCs w:val="22"/>
                <w:highlight w:val="none"/>
                <w:lang w:val="en-US" w:eastAsia="zh-CN"/>
              </w:rPr>
              <w:t>2-10</w:t>
            </w:r>
            <w:r>
              <w:rPr>
                <w:rFonts w:hint="default" w:ascii="Times New Roman" w:hAnsi="Times New Roman" w:cs="Times New Roman"/>
                <w:b/>
                <w:bCs/>
                <w:snapToGrid w:val="0"/>
                <w:color w:val="auto"/>
                <w:kern w:val="0"/>
                <w:szCs w:val="22"/>
                <w:highlight w:val="none"/>
              </w:rPr>
              <w:t xml:space="preserve"> 项目VOCs平衡表</w:t>
            </w:r>
          </w:p>
          <w:tbl>
            <w:tblPr>
              <w:tblStyle w:val="22"/>
              <w:tblW w:w="49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302"/>
              <w:gridCol w:w="2403"/>
              <w:gridCol w:w="1170"/>
              <w:gridCol w:w="2293"/>
            </w:tblGrid>
            <w:tr w14:paraId="78F42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18" w:type="pct"/>
                  <w:gridSpan w:val="2"/>
                  <w:vAlign w:val="center"/>
                </w:tcPr>
                <w:p w14:paraId="0DD13E87">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投入</w:t>
                  </w:r>
                </w:p>
              </w:tc>
              <w:tc>
                <w:tcPr>
                  <w:tcW w:w="3281" w:type="pct"/>
                  <w:gridSpan w:val="3"/>
                  <w:vAlign w:val="center"/>
                </w:tcPr>
                <w:p w14:paraId="4FB18A66">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产出</w:t>
                  </w:r>
                </w:p>
              </w:tc>
            </w:tr>
            <w:tr w14:paraId="3C1B2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vAlign w:val="center"/>
                </w:tcPr>
                <w:p w14:paraId="22A4E72B">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物料名称</w:t>
                  </w:r>
                </w:p>
              </w:tc>
              <w:tc>
                <w:tcPr>
                  <w:tcW w:w="728" w:type="pct"/>
                  <w:vAlign w:val="center"/>
                </w:tcPr>
                <w:p w14:paraId="7A525CF8">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数量</w:t>
                  </w:r>
                </w:p>
              </w:tc>
              <w:tc>
                <w:tcPr>
                  <w:tcW w:w="1344" w:type="pct"/>
                  <w:vAlign w:val="center"/>
                </w:tcPr>
                <w:p w14:paraId="375193C9">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产物</w:t>
                  </w:r>
                </w:p>
              </w:tc>
              <w:tc>
                <w:tcPr>
                  <w:tcW w:w="654" w:type="pct"/>
                  <w:vAlign w:val="center"/>
                </w:tcPr>
                <w:p w14:paraId="4CEA0FE4">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数量</w:t>
                  </w:r>
                </w:p>
              </w:tc>
              <w:tc>
                <w:tcPr>
                  <w:tcW w:w="1282" w:type="pct"/>
                  <w:vAlign w:val="center"/>
                </w:tcPr>
                <w:p w14:paraId="3F7BF0FC">
                  <w:pPr>
                    <w:wordWrap/>
                    <w:spacing w:line="240" w:lineRule="auto"/>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备注</w:t>
                  </w:r>
                </w:p>
              </w:tc>
            </w:tr>
            <w:tr w14:paraId="436EF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7F917FF5">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水性油墨</w:t>
                  </w:r>
                </w:p>
              </w:tc>
              <w:tc>
                <w:tcPr>
                  <w:tcW w:w="728" w:type="pct"/>
                  <w:shd w:val="clear" w:color="auto" w:fill="auto"/>
                  <w:vAlign w:val="center"/>
                </w:tcPr>
                <w:p w14:paraId="769FD48C">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0.02</w:t>
                  </w:r>
                  <w:r>
                    <w:rPr>
                      <w:rFonts w:hint="eastAsia" w:cs="Times New Roman"/>
                      <w:bCs/>
                      <w:color w:val="auto"/>
                      <w:sz w:val="21"/>
                      <w:szCs w:val="21"/>
                      <w:highlight w:val="none"/>
                      <w:lang w:val="en-US" w:eastAsia="zh-CN"/>
                    </w:rPr>
                    <w:t>7</w:t>
                  </w:r>
                  <w:r>
                    <w:rPr>
                      <w:rFonts w:hint="default" w:ascii="Times New Roman" w:hAnsi="Times New Roman" w:cs="Times New Roman"/>
                      <w:bCs/>
                      <w:color w:val="auto"/>
                      <w:sz w:val="21"/>
                      <w:szCs w:val="21"/>
                      <w:highlight w:val="none"/>
                      <w:lang w:val="en-US" w:eastAsia="zh-CN"/>
                    </w:rPr>
                    <w:t>t</w:t>
                  </w:r>
                </w:p>
              </w:tc>
              <w:tc>
                <w:tcPr>
                  <w:tcW w:w="1344" w:type="pct"/>
                  <w:vMerge w:val="restart"/>
                  <w:vAlign w:val="center"/>
                </w:tcPr>
                <w:p w14:paraId="172E939D">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废气处理设施处理</w:t>
                  </w:r>
                </w:p>
              </w:tc>
              <w:tc>
                <w:tcPr>
                  <w:tcW w:w="654" w:type="pct"/>
                  <w:vMerge w:val="restart"/>
                  <w:vAlign w:val="center"/>
                </w:tcPr>
                <w:p w14:paraId="3FDB4D49">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0.</w:t>
                  </w:r>
                  <w:r>
                    <w:rPr>
                      <w:rFonts w:hint="eastAsia" w:cs="Times New Roman"/>
                      <w:color w:val="auto"/>
                      <w:kern w:val="0"/>
                      <w:sz w:val="21"/>
                      <w:szCs w:val="21"/>
                      <w:highlight w:val="none"/>
                      <w:lang w:val="en-US" w:eastAsia="zh-CN"/>
                    </w:rPr>
                    <w:t>2856</w:t>
                  </w:r>
                  <w:r>
                    <w:rPr>
                      <w:rFonts w:hint="default" w:ascii="Times New Roman" w:hAnsi="Times New Roman" w:cs="Times New Roman"/>
                      <w:color w:val="auto"/>
                      <w:kern w:val="0"/>
                      <w:sz w:val="21"/>
                      <w:szCs w:val="21"/>
                      <w:highlight w:val="none"/>
                      <w:lang w:val="en-US" w:eastAsia="zh-CN"/>
                    </w:rPr>
                    <w:t>t</w:t>
                  </w:r>
                </w:p>
              </w:tc>
              <w:tc>
                <w:tcPr>
                  <w:tcW w:w="1282" w:type="pct"/>
                  <w:vMerge w:val="restart"/>
                  <w:vAlign w:val="center"/>
                </w:tcPr>
                <w:p w14:paraId="40BE1689">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rPr>
                    <w:t>水喷淋塔+干式过滤棉+</w:t>
                  </w:r>
                  <w:r>
                    <w:rPr>
                      <w:rFonts w:hint="default" w:ascii="Times New Roman" w:hAnsi="Times New Roman" w:cs="Times New Roman"/>
                      <w:color w:val="auto"/>
                      <w:kern w:val="0"/>
                      <w:sz w:val="21"/>
                      <w:szCs w:val="21"/>
                      <w:highlight w:val="none"/>
                      <w:lang w:eastAsia="zh-CN"/>
                    </w:rPr>
                    <w:t>二级活性炭</w:t>
                  </w:r>
                  <w:r>
                    <w:rPr>
                      <w:rFonts w:hint="default" w:ascii="Times New Roman" w:hAnsi="Times New Roman" w:cs="Times New Roman"/>
                      <w:color w:val="auto"/>
                      <w:kern w:val="0"/>
                      <w:sz w:val="21"/>
                      <w:szCs w:val="21"/>
                      <w:highlight w:val="none"/>
                    </w:rPr>
                    <w:t>吸附装置</w:t>
                  </w:r>
                  <w:r>
                    <w:rPr>
                      <w:rFonts w:hint="eastAsia" w:cs="Times New Roman"/>
                      <w:color w:val="auto"/>
                      <w:kern w:val="0"/>
                      <w:sz w:val="21"/>
                      <w:szCs w:val="21"/>
                      <w:highlight w:val="none"/>
                      <w:lang w:val="en-US" w:eastAsia="zh-CN"/>
                    </w:rPr>
                    <w:t>吸附量</w:t>
                  </w:r>
                </w:p>
              </w:tc>
            </w:tr>
            <w:tr w14:paraId="5956A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41850238">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塑料粒挥发</w:t>
                  </w:r>
                </w:p>
              </w:tc>
              <w:tc>
                <w:tcPr>
                  <w:tcW w:w="728" w:type="pct"/>
                  <w:shd w:val="clear" w:color="auto" w:fill="auto"/>
                  <w:vAlign w:val="center"/>
                </w:tcPr>
                <w:p w14:paraId="65DBB99D">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highlight w:val="none"/>
                      <w:lang w:val="en-US" w:eastAsia="zh-CN"/>
                    </w:rPr>
                    <w:t>0.77</w:t>
                  </w:r>
                  <w:r>
                    <w:rPr>
                      <w:rFonts w:hint="default" w:ascii="Times New Roman" w:hAnsi="Times New Roman" w:cs="Times New Roman"/>
                      <w:bCs/>
                      <w:color w:val="auto"/>
                      <w:sz w:val="21"/>
                      <w:szCs w:val="21"/>
                      <w:highlight w:val="none"/>
                      <w:lang w:val="en-US" w:eastAsia="zh-CN"/>
                    </w:rPr>
                    <w:t>t</w:t>
                  </w:r>
                </w:p>
              </w:tc>
              <w:tc>
                <w:tcPr>
                  <w:tcW w:w="1344" w:type="pct"/>
                  <w:vMerge w:val="continue"/>
                  <w:vAlign w:val="center"/>
                </w:tcPr>
                <w:p w14:paraId="59E0540D">
                  <w:pPr>
                    <w:wordWrap/>
                    <w:spacing w:line="240" w:lineRule="auto"/>
                    <w:jc w:val="center"/>
                    <w:textAlignment w:val="baseline"/>
                    <w:rPr>
                      <w:rFonts w:hint="default" w:ascii="Times New Roman" w:hAnsi="Times New Roman" w:cs="Times New Roman"/>
                      <w:color w:val="auto"/>
                      <w:kern w:val="0"/>
                      <w:sz w:val="21"/>
                      <w:szCs w:val="21"/>
                      <w:highlight w:val="none"/>
                      <w:lang w:val="en-US" w:eastAsia="zh-CN"/>
                    </w:rPr>
                  </w:pPr>
                </w:p>
              </w:tc>
              <w:tc>
                <w:tcPr>
                  <w:tcW w:w="654" w:type="pct"/>
                  <w:vMerge w:val="continue"/>
                  <w:vAlign w:val="center"/>
                </w:tcPr>
                <w:p w14:paraId="5CBFFDE5">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282" w:type="pct"/>
                  <w:vMerge w:val="continue"/>
                  <w:vAlign w:val="center"/>
                </w:tcPr>
                <w:p w14:paraId="3962CDB9">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p>
              </w:tc>
            </w:tr>
            <w:tr w14:paraId="79594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5362EA29">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机加工油雾</w:t>
                  </w:r>
                </w:p>
              </w:tc>
              <w:tc>
                <w:tcPr>
                  <w:tcW w:w="728" w:type="pct"/>
                  <w:shd w:val="clear" w:color="auto" w:fill="auto"/>
                  <w:vAlign w:val="center"/>
                </w:tcPr>
                <w:p w14:paraId="461B56A1">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0.00</w:t>
                  </w:r>
                  <w:r>
                    <w:rPr>
                      <w:rFonts w:hint="eastAsia" w:cs="Times New Roman"/>
                      <w:bCs/>
                      <w:color w:val="auto"/>
                      <w:sz w:val="21"/>
                      <w:szCs w:val="21"/>
                      <w:highlight w:val="none"/>
                      <w:lang w:val="en-US" w:eastAsia="zh-CN"/>
                    </w:rPr>
                    <w:t>026</w:t>
                  </w:r>
                  <w:r>
                    <w:rPr>
                      <w:rFonts w:hint="default" w:ascii="Times New Roman" w:hAnsi="Times New Roman" w:cs="Times New Roman"/>
                      <w:bCs/>
                      <w:color w:val="auto"/>
                      <w:sz w:val="21"/>
                      <w:szCs w:val="21"/>
                      <w:highlight w:val="none"/>
                      <w:lang w:val="en-US" w:eastAsia="zh-CN"/>
                    </w:rPr>
                    <w:t>t</w:t>
                  </w:r>
                </w:p>
              </w:tc>
              <w:tc>
                <w:tcPr>
                  <w:tcW w:w="1344" w:type="pct"/>
                  <w:vMerge w:val="restart"/>
                  <w:vAlign w:val="center"/>
                </w:tcPr>
                <w:p w14:paraId="6D54217D">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废气排放进入大气环境</w:t>
                  </w:r>
                </w:p>
              </w:tc>
              <w:tc>
                <w:tcPr>
                  <w:tcW w:w="654" w:type="pct"/>
                  <w:vAlign w:val="center"/>
                </w:tcPr>
                <w:p w14:paraId="11DBC5A2">
                  <w:pPr>
                    <w:wordWrap/>
                    <w:spacing w:line="240" w:lineRule="auto"/>
                    <w:jc w:val="center"/>
                    <w:textAlignment w:val="baseline"/>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lang w:val="en-US" w:eastAsia="zh-CN"/>
                    </w:rPr>
                    <w:t>0.0</w:t>
                  </w:r>
                  <w:r>
                    <w:rPr>
                      <w:rFonts w:hint="eastAsia" w:cs="Times New Roman"/>
                      <w:bCs/>
                      <w:color w:val="auto"/>
                      <w:kern w:val="0"/>
                      <w:sz w:val="21"/>
                      <w:szCs w:val="21"/>
                      <w:highlight w:val="none"/>
                      <w:lang w:val="en-US" w:eastAsia="zh-CN"/>
                    </w:rPr>
                    <w:t>994</w:t>
                  </w:r>
                  <w:r>
                    <w:rPr>
                      <w:rFonts w:hint="default" w:ascii="Times New Roman" w:hAnsi="Times New Roman" w:cs="Times New Roman"/>
                      <w:bCs/>
                      <w:color w:val="auto"/>
                      <w:kern w:val="0"/>
                      <w:sz w:val="21"/>
                      <w:szCs w:val="21"/>
                      <w:highlight w:val="none"/>
                      <w:lang w:val="en-US" w:eastAsia="zh-CN"/>
                    </w:rPr>
                    <w:t>t</w:t>
                  </w:r>
                </w:p>
              </w:tc>
              <w:tc>
                <w:tcPr>
                  <w:tcW w:w="1282" w:type="pct"/>
                  <w:vAlign w:val="center"/>
                </w:tcPr>
                <w:p w14:paraId="645C5F0E">
                  <w:pPr>
                    <w:wordWrap/>
                    <w:spacing w:line="240" w:lineRule="auto"/>
                    <w:jc w:val="center"/>
                    <w:textAlignment w:val="baseline"/>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排气筒DA001</w:t>
                  </w:r>
                </w:p>
              </w:tc>
            </w:tr>
            <w:tr w14:paraId="7EA9E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shd w:val="clear" w:color="auto" w:fill="auto"/>
                  <w:vAlign w:val="center"/>
                </w:tcPr>
                <w:p w14:paraId="21CFD57F">
                  <w:pPr>
                    <w:wordWrap/>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电火花油雾</w:t>
                  </w:r>
                </w:p>
              </w:tc>
              <w:tc>
                <w:tcPr>
                  <w:tcW w:w="728" w:type="pct"/>
                  <w:shd w:val="clear" w:color="auto" w:fill="auto"/>
                  <w:vAlign w:val="center"/>
                </w:tcPr>
                <w:p w14:paraId="0D91D7C7">
                  <w:pPr>
                    <w:wordWrap/>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0.000002t</w:t>
                  </w:r>
                </w:p>
              </w:tc>
              <w:tc>
                <w:tcPr>
                  <w:tcW w:w="1344" w:type="pct"/>
                  <w:vMerge w:val="continue"/>
                  <w:vAlign w:val="center"/>
                </w:tcPr>
                <w:p w14:paraId="7E7A7100">
                  <w:pPr>
                    <w:wordWrap/>
                    <w:spacing w:line="240" w:lineRule="auto"/>
                    <w:jc w:val="center"/>
                    <w:textAlignment w:val="baseline"/>
                    <w:rPr>
                      <w:rFonts w:hint="default" w:ascii="Times New Roman" w:hAnsi="Times New Roman" w:cs="Times New Roman"/>
                      <w:color w:val="auto"/>
                      <w:kern w:val="0"/>
                      <w:sz w:val="21"/>
                      <w:szCs w:val="21"/>
                      <w:highlight w:val="none"/>
                    </w:rPr>
                  </w:pPr>
                </w:p>
              </w:tc>
              <w:tc>
                <w:tcPr>
                  <w:tcW w:w="654" w:type="pct"/>
                  <w:vAlign w:val="center"/>
                </w:tcPr>
                <w:p w14:paraId="173F0007">
                  <w:pPr>
                    <w:wordWrap/>
                    <w:spacing w:line="240" w:lineRule="auto"/>
                    <w:jc w:val="center"/>
                    <w:textAlignment w:val="baseline"/>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0.412262t</w:t>
                  </w:r>
                </w:p>
              </w:tc>
              <w:tc>
                <w:tcPr>
                  <w:tcW w:w="1282" w:type="pct"/>
                  <w:vAlign w:val="center"/>
                </w:tcPr>
                <w:p w14:paraId="6504812B">
                  <w:pPr>
                    <w:wordWrap/>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无组织排放</w:t>
                  </w:r>
                </w:p>
              </w:tc>
            </w:tr>
            <w:tr w14:paraId="19E40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0" w:type="pct"/>
                  <w:shd w:val="clear" w:color="auto" w:fill="auto"/>
                  <w:vAlign w:val="center"/>
                </w:tcPr>
                <w:p w14:paraId="7C3ABA68">
                  <w:pPr>
                    <w:wordWrap/>
                    <w:spacing w:line="240" w:lineRule="auto"/>
                    <w:jc w:val="center"/>
                    <w:rPr>
                      <w:rFonts w:hint="default" w:ascii="Times New Roman" w:hAnsi="Times New Roman" w:cs="Times New Roman"/>
                      <w:color w:val="auto"/>
                      <w:sz w:val="21"/>
                      <w:szCs w:val="21"/>
                      <w:highlight w:val="none"/>
                      <w:lang w:val="en-US" w:eastAsia="zh-CN"/>
                    </w:rPr>
                  </w:pPr>
                </w:p>
              </w:tc>
              <w:tc>
                <w:tcPr>
                  <w:tcW w:w="728" w:type="pct"/>
                  <w:shd w:val="clear" w:color="auto" w:fill="auto"/>
                  <w:vAlign w:val="center"/>
                </w:tcPr>
                <w:p w14:paraId="00D4AAA0">
                  <w:pPr>
                    <w:wordWrap/>
                    <w:spacing w:line="240" w:lineRule="auto"/>
                    <w:jc w:val="center"/>
                    <w:rPr>
                      <w:rFonts w:hint="default" w:ascii="Times New Roman" w:hAnsi="Times New Roman" w:cs="Times New Roman"/>
                      <w:bCs/>
                      <w:color w:val="auto"/>
                      <w:sz w:val="21"/>
                      <w:szCs w:val="21"/>
                      <w:highlight w:val="none"/>
                      <w:lang w:val="en-US" w:eastAsia="zh-CN"/>
                    </w:rPr>
                  </w:pPr>
                </w:p>
              </w:tc>
              <w:tc>
                <w:tcPr>
                  <w:tcW w:w="1344" w:type="pct"/>
                  <w:vAlign w:val="center"/>
                </w:tcPr>
                <w:p w14:paraId="0AD9F63F">
                  <w:pPr>
                    <w:wordWrap/>
                    <w:spacing w:line="240" w:lineRule="auto"/>
                    <w:jc w:val="center"/>
                    <w:textAlignment w:val="baseline"/>
                    <w:rPr>
                      <w:rFonts w:hint="default" w:ascii="Times New Roman" w:hAnsi="Times New Roman" w:cs="Times New Roman"/>
                      <w:color w:val="auto"/>
                      <w:kern w:val="0"/>
                      <w:sz w:val="21"/>
                      <w:szCs w:val="21"/>
                      <w:highlight w:val="none"/>
                    </w:rPr>
                  </w:pPr>
                </w:p>
              </w:tc>
              <w:tc>
                <w:tcPr>
                  <w:tcW w:w="654" w:type="pct"/>
                  <w:vAlign w:val="center"/>
                </w:tcPr>
                <w:p w14:paraId="01A50425">
                  <w:pPr>
                    <w:wordWrap/>
                    <w:spacing w:line="240" w:lineRule="auto"/>
                    <w:jc w:val="center"/>
                    <w:textAlignment w:val="baseline"/>
                    <w:rPr>
                      <w:rFonts w:hint="default" w:ascii="Times New Roman" w:hAnsi="Times New Roman" w:cs="Times New Roman"/>
                      <w:bCs/>
                      <w:color w:val="auto"/>
                      <w:kern w:val="0"/>
                      <w:sz w:val="21"/>
                      <w:szCs w:val="21"/>
                      <w:highlight w:val="none"/>
                      <w:lang w:val="en-US" w:eastAsia="zh-CN"/>
                    </w:rPr>
                  </w:pPr>
                </w:p>
              </w:tc>
              <w:tc>
                <w:tcPr>
                  <w:tcW w:w="1282" w:type="pct"/>
                  <w:vAlign w:val="center"/>
                </w:tcPr>
                <w:p w14:paraId="22E4087A">
                  <w:pPr>
                    <w:wordWrap/>
                    <w:spacing w:line="240" w:lineRule="auto"/>
                    <w:jc w:val="center"/>
                    <w:textAlignment w:val="baseline"/>
                    <w:rPr>
                      <w:rFonts w:hint="default" w:ascii="Times New Roman" w:hAnsi="Times New Roman" w:cs="Times New Roman"/>
                      <w:color w:val="auto"/>
                      <w:kern w:val="0"/>
                      <w:sz w:val="21"/>
                      <w:szCs w:val="21"/>
                      <w:highlight w:val="none"/>
                      <w:lang w:val="en-US" w:eastAsia="zh-CN"/>
                    </w:rPr>
                  </w:pPr>
                </w:p>
              </w:tc>
            </w:tr>
            <w:tr w14:paraId="151C1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0" w:type="pct"/>
                  <w:vAlign w:val="center"/>
                </w:tcPr>
                <w:p w14:paraId="06B72432">
                  <w:pPr>
                    <w:wordWrap/>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728" w:type="pct"/>
                  <w:vAlign w:val="center"/>
                </w:tcPr>
                <w:p w14:paraId="08CEC90F">
                  <w:pPr>
                    <w:wordWrap/>
                    <w:spacing w:line="240" w:lineRule="auto"/>
                    <w:jc w:val="center"/>
                    <w:rPr>
                      <w:rFonts w:hint="default" w:ascii="Times New Roman" w:hAnsi="Times New Roman" w:cs="Times New Roman"/>
                      <w:bCs/>
                      <w:color w:val="auto"/>
                      <w:sz w:val="21"/>
                      <w:szCs w:val="21"/>
                      <w:highlight w:val="none"/>
                      <w:lang w:val="en-US"/>
                    </w:rPr>
                  </w:pPr>
                  <w:r>
                    <w:rPr>
                      <w:rFonts w:hint="eastAsia" w:cs="Times New Roman"/>
                      <w:bCs/>
                      <w:color w:val="auto"/>
                      <w:sz w:val="21"/>
                      <w:szCs w:val="21"/>
                      <w:highlight w:val="none"/>
                      <w:lang w:val="en-US" w:eastAsia="zh-CN"/>
                    </w:rPr>
                    <w:t>0.797262</w:t>
                  </w:r>
                  <w:r>
                    <w:rPr>
                      <w:rFonts w:hint="default" w:ascii="Times New Roman" w:hAnsi="Times New Roman" w:cs="Times New Roman"/>
                      <w:bCs/>
                      <w:color w:val="auto"/>
                      <w:sz w:val="21"/>
                      <w:szCs w:val="21"/>
                      <w:highlight w:val="none"/>
                      <w:lang w:val="en-US" w:eastAsia="zh-CN"/>
                    </w:rPr>
                    <w:t>t</w:t>
                  </w:r>
                </w:p>
              </w:tc>
              <w:tc>
                <w:tcPr>
                  <w:tcW w:w="1344" w:type="pct"/>
                  <w:vAlign w:val="center"/>
                </w:tcPr>
                <w:p w14:paraId="6ECD979F">
                  <w:pPr>
                    <w:wordWrap/>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654" w:type="pct"/>
                  <w:vAlign w:val="center"/>
                </w:tcPr>
                <w:p w14:paraId="797D5E77">
                  <w:pPr>
                    <w:wordWrap/>
                    <w:spacing w:line="240" w:lineRule="auto"/>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lang w:val="en-US" w:eastAsia="zh-CN"/>
                    </w:rPr>
                    <w:t>1.763825t</w:t>
                  </w:r>
                </w:p>
              </w:tc>
              <w:tc>
                <w:tcPr>
                  <w:tcW w:w="1282" w:type="pct"/>
                  <w:vAlign w:val="center"/>
                </w:tcPr>
                <w:p w14:paraId="6DFC9C21">
                  <w:pPr>
                    <w:wordWrap/>
                    <w:spacing w:line="240" w:lineRule="auto"/>
                    <w:jc w:val="center"/>
                    <w:textAlignment w:val="baseline"/>
                    <w:rPr>
                      <w:rFonts w:hint="default" w:ascii="Times New Roman" w:hAnsi="Times New Roman" w:cs="Times New Roman"/>
                      <w:color w:val="auto"/>
                      <w:kern w:val="0"/>
                      <w:sz w:val="21"/>
                      <w:szCs w:val="21"/>
                      <w:highlight w:val="none"/>
                    </w:rPr>
                  </w:pPr>
                </w:p>
              </w:tc>
            </w:tr>
          </w:tbl>
          <w:p w14:paraId="7A4A4007">
            <w:pPr>
              <w:wordWrap/>
              <w:adjustRightInd w:val="0"/>
              <w:snapToGrid w:val="0"/>
              <w:ind w:firstLine="482" w:firstLineChars="200"/>
              <w:rPr>
                <w:rFonts w:hint="default" w:ascii="Times New Roman" w:hAnsi="Times New Roman" w:cs="Times New Roman"/>
                <w:color w:val="auto"/>
                <w:highlight w:val="none"/>
                <w:lang w:bidi="ar"/>
              </w:rPr>
            </w:pPr>
            <w:r>
              <w:rPr>
                <w:rFonts w:hint="default" w:ascii="Times New Roman" w:hAnsi="Times New Roman" w:cs="Times New Roman"/>
                <w:b/>
                <w:bCs/>
                <w:color w:val="auto"/>
                <w:highlight w:val="none"/>
                <w:lang w:bidi="ar"/>
              </w:rPr>
              <w:t>（10）项目地理位置及四至情况</w:t>
            </w:r>
          </w:p>
          <w:p w14:paraId="4D833700">
            <w:pPr>
              <w:wordWrap/>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bCs/>
                <w:color w:val="auto"/>
              </w:rPr>
              <w:t>项目位于</w:t>
            </w:r>
            <w:r>
              <w:rPr>
                <w:rFonts w:hint="eastAsia" w:cs="Times New Roman"/>
                <w:color w:val="auto"/>
                <w:lang w:eastAsia="zh-CN"/>
              </w:rPr>
              <w:t>惠州市博罗县石湾镇滘吓村冯屋工业区南基C栋厂房</w:t>
            </w:r>
            <w:r>
              <w:rPr>
                <w:rFonts w:hint="default" w:ascii="Times New Roman" w:hAnsi="Times New Roman" w:cs="Times New Roman"/>
                <w:bCs/>
                <w:color w:val="auto"/>
              </w:rPr>
              <w:t>，</w:t>
            </w:r>
            <w:r>
              <w:rPr>
                <w:rFonts w:hint="default" w:ascii="Times New Roman" w:hAnsi="Times New Roman" w:cs="Times New Roman"/>
                <w:bCs/>
                <w:color w:val="auto"/>
                <w:lang w:val="en-US" w:eastAsia="zh-CN"/>
              </w:rPr>
              <w:t>东面为惠州市云博家具用品有限公司，西面为</w:t>
            </w:r>
            <w:r>
              <w:rPr>
                <w:rFonts w:hint="eastAsia" w:cs="Times New Roman"/>
                <w:color w:val="auto"/>
                <w:lang w:val="en-US" w:eastAsia="zh-CN"/>
              </w:rPr>
              <w:t>空地</w:t>
            </w:r>
            <w:r>
              <w:rPr>
                <w:rFonts w:hint="default" w:ascii="Times New Roman" w:hAnsi="Times New Roman" w:cs="Times New Roman"/>
                <w:bCs/>
                <w:color w:val="auto"/>
                <w:lang w:val="en-US" w:eastAsia="zh-CN"/>
              </w:rPr>
              <w:t>，南面为广东澳鑫科技有限公司，北面为</w:t>
            </w:r>
            <w:r>
              <w:rPr>
                <w:rFonts w:hint="eastAsia" w:cs="Times New Roman"/>
                <w:bCs/>
                <w:color w:val="auto"/>
                <w:lang w:val="en-US" w:eastAsia="zh-CN"/>
              </w:rPr>
              <w:t>沿街商铺</w:t>
            </w:r>
            <w:r>
              <w:rPr>
                <w:rFonts w:hint="default" w:ascii="Times New Roman" w:hAnsi="Times New Roman" w:cs="Times New Roman"/>
                <w:bCs/>
                <w:color w:val="auto"/>
                <w:lang w:val="en-US" w:eastAsia="zh-CN"/>
              </w:rPr>
              <w:t>，</w:t>
            </w:r>
            <w:r>
              <w:rPr>
                <w:rFonts w:hint="default" w:ascii="Times New Roman" w:hAnsi="Times New Roman" w:cs="Times New Roman"/>
                <w:color w:val="auto"/>
              </w:rPr>
              <w:t>距离项目最近的</w:t>
            </w:r>
            <w:r>
              <w:rPr>
                <w:rFonts w:hint="default" w:ascii="Times New Roman" w:hAnsi="Times New Roman" w:cs="Times New Roman"/>
                <w:color w:val="auto"/>
                <w:lang w:val="en-US" w:eastAsia="zh-CN"/>
              </w:rPr>
              <w:t>敏感点</w:t>
            </w:r>
            <w:r>
              <w:rPr>
                <w:rFonts w:hint="eastAsia" w:cs="Times New Roman"/>
                <w:color w:val="auto"/>
                <w:lang w:val="en-US" w:eastAsia="zh-CN"/>
              </w:rPr>
              <w:t>东北面60m的冯屋村</w:t>
            </w:r>
            <w:r>
              <w:rPr>
                <w:rFonts w:hint="default" w:ascii="Times New Roman" w:hAnsi="Times New Roman" w:cs="Times New Roman"/>
                <w:color w:val="auto"/>
              </w:rPr>
              <w:t>。</w:t>
            </w:r>
          </w:p>
          <w:p w14:paraId="67851629">
            <w:pPr>
              <w:wordWrap/>
              <w:adjustRightInd w:val="0"/>
              <w:snapToGrid w:val="0"/>
              <w:ind w:firstLine="482" w:firstLineChars="200"/>
              <w:rPr>
                <w:rFonts w:hint="default" w:ascii="Times New Roman" w:hAnsi="Times New Roman" w:cs="Times New Roman"/>
                <w:b/>
                <w:bCs/>
                <w:color w:val="auto"/>
                <w:lang w:bidi="ar"/>
              </w:rPr>
            </w:pPr>
            <w:r>
              <w:rPr>
                <w:rFonts w:hint="default" w:ascii="Times New Roman" w:hAnsi="Times New Roman" w:cs="Times New Roman"/>
                <w:b/>
                <w:bCs/>
                <w:color w:val="auto"/>
                <w:lang w:bidi="ar"/>
              </w:rPr>
              <w:t>（11）厂区平面布置</w:t>
            </w:r>
          </w:p>
          <w:p w14:paraId="3D6CE359">
            <w:pPr>
              <w:wordWrap/>
              <w:adjustRightInd w:val="0"/>
              <w:snapToGrid w:val="0"/>
              <w:ind w:firstLine="480" w:firstLineChars="200"/>
              <w:rPr>
                <w:rFonts w:hint="default" w:ascii="Times New Roman" w:hAnsi="Times New Roman" w:cs="Times New Roman"/>
                <w:color w:val="auto"/>
                <w:spacing w:val="-2"/>
                <w:lang w:bidi="ar"/>
              </w:rPr>
            </w:pPr>
            <w:r>
              <w:rPr>
                <w:rFonts w:hint="default" w:ascii="Times New Roman" w:hAnsi="Times New Roman" w:cs="Times New Roman"/>
                <w:bCs/>
                <w:color w:val="auto"/>
              </w:rPr>
              <w:t>项目位于</w:t>
            </w:r>
            <w:r>
              <w:rPr>
                <w:rFonts w:hint="eastAsia" w:cs="Times New Roman"/>
                <w:color w:val="auto"/>
                <w:lang w:eastAsia="zh-CN"/>
              </w:rPr>
              <w:t>惠州市博罗县石湾镇滘吓村冯屋工业区南基C栋厂房</w:t>
            </w:r>
            <w:r>
              <w:rPr>
                <w:rFonts w:hint="default" w:ascii="Times New Roman" w:hAnsi="Times New Roman" w:cs="Times New Roman"/>
                <w:color w:val="auto"/>
              </w:rPr>
              <w:t>，厂区整体呈</w:t>
            </w:r>
            <w:r>
              <w:rPr>
                <w:rFonts w:hint="eastAsia" w:cs="Times New Roman"/>
                <w:color w:val="auto"/>
                <w:lang w:val="en-US" w:eastAsia="zh-CN"/>
              </w:rPr>
              <w:t>梯形</w:t>
            </w:r>
            <w:r>
              <w:rPr>
                <w:rFonts w:hint="default" w:ascii="Times New Roman" w:hAnsi="Times New Roman" w:cs="Times New Roman"/>
                <w:color w:val="auto"/>
              </w:rPr>
              <w:t>，设</w:t>
            </w:r>
            <w:r>
              <w:rPr>
                <w:rFonts w:hint="eastAsia" w:cs="Times New Roman"/>
                <w:color w:val="auto"/>
                <w:lang w:val="en-US" w:eastAsia="zh-CN"/>
              </w:rPr>
              <w:t>1</w:t>
            </w:r>
            <w:r>
              <w:rPr>
                <w:rFonts w:hint="default" w:ascii="Times New Roman" w:hAnsi="Times New Roman" w:cs="Times New Roman"/>
                <w:color w:val="auto"/>
              </w:rPr>
              <w:t>个出入口，位于</w:t>
            </w:r>
            <w:r>
              <w:rPr>
                <w:rFonts w:hint="default" w:ascii="Times New Roman" w:hAnsi="Times New Roman" w:cs="Times New Roman"/>
                <w:color w:val="auto"/>
                <w:lang w:val="en-US" w:eastAsia="zh-CN"/>
              </w:rPr>
              <w:t>厂</w:t>
            </w:r>
            <w:r>
              <w:rPr>
                <w:rFonts w:hint="eastAsia" w:cs="Times New Roman"/>
                <w:color w:val="auto"/>
                <w:lang w:val="en-US" w:eastAsia="zh-CN"/>
              </w:rPr>
              <w:t>区南侧</w:t>
            </w:r>
            <w:r>
              <w:rPr>
                <w:rFonts w:hint="default" w:ascii="Times New Roman" w:hAnsi="Times New Roman" w:cs="Times New Roman"/>
                <w:color w:val="auto"/>
              </w:rPr>
              <w:t>。</w:t>
            </w:r>
            <w:r>
              <w:rPr>
                <w:rFonts w:hint="default" w:ascii="Times New Roman" w:hAnsi="Times New Roman" w:cs="Times New Roman"/>
                <w:color w:val="auto"/>
                <w:lang w:val="en-US" w:eastAsia="zh-CN"/>
              </w:rPr>
              <w:t>厂</w:t>
            </w:r>
            <w:r>
              <w:rPr>
                <w:rFonts w:hint="eastAsia" w:cs="Times New Roman"/>
                <w:color w:val="auto"/>
                <w:lang w:val="en-US" w:eastAsia="zh-CN"/>
              </w:rPr>
              <w:t>区东侧布局从北至南依次为：原料仓库、宿舍楼、模具房、生产车间1；</w:t>
            </w:r>
            <w:r>
              <w:rPr>
                <w:rFonts w:hint="default" w:ascii="Times New Roman" w:hAnsi="Times New Roman" w:cs="Times New Roman"/>
                <w:color w:val="auto"/>
                <w:lang w:val="en-US" w:eastAsia="zh-CN"/>
              </w:rPr>
              <w:t>厂</w:t>
            </w:r>
            <w:r>
              <w:rPr>
                <w:rFonts w:hint="eastAsia" w:cs="Times New Roman"/>
                <w:color w:val="auto"/>
                <w:lang w:val="en-US" w:eastAsia="zh-CN"/>
              </w:rPr>
              <w:t>区西侧布局从北至南依次为：电房机房、危废间、一般固废间、拌料/烘料/碎料车间、生产车间2、办公室。</w:t>
            </w:r>
            <w:r>
              <w:rPr>
                <w:rFonts w:hint="default" w:ascii="Times New Roman" w:hAnsi="Times New Roman" w:cs="Times New Roman"/>
                <w:color w:val="auto"/>
                <w:lang w:val="en-US" w:eastAsia="zh-CN"/>
              </w:rPr>
              <w:t>其中，</w:t>
            </w:r>
            <w:r>
              <w:rPr>
                <w:rFonts w:hint="eastAsia" w:cs="Times New Roman"/>
                <w:color w:val="auto"/>
                <w:lang w:val="en-US" w:eastAsia="zh-CN"/>
              </w:rPr>
              <w:t>生产车间1一楼包括机注塑区、自动组装区、检验区；二楼包括机成品仓库、包装房、检验区；三楼包括机成品仓库、包装房、检验区</w:t>
            </w:r>
            <w:r>
              <w:rPr>
                <w:rFonts w:hint="default" w:ascii="Times New Roman" w:hAnsi="Times New Roman" w:cs="Times New Roman"/>
                <w:color w:val="auto"/>
                <w:lang w:val="en-US" w:eastAsia="zh-CN"/>
              </w:rPr>
              <w:t>。</w:t>
            </w:r>
            <w:r>
              <w:rPr>
                <w:rFonts w:hint="default" w:ascii="Times New Roman" w:hAnsi="Times New Roman" w:cs="Times New Roman"/>
                <w:color w:val="auto"/>
              </w:rPr>
              <w:t>项目设有</w:t>
            </w:r>
            <w:r>
              <w:rPr>
                <w:rFonts w:hint="eastAsia" w:cs="Times New Roman"/>
                <w:color w:val="auto"/>
                <w:lang w:val="en-US" w:eastAsia="zh-CN"/>
              </w:rPr>
              <w:t>1</w:t>
            </w:r>
            <w:r>
              <w:rPr>
                <w:rFonts w:hint="default" w:ascii="Times New Roman" w:hAnsi="Times New Roman" w:cs="Times New Roman"/>
                <w:color w:val="auto"/>
              </w:rPr>
              <w:t>根排气筒</w:t>
            </w:r>
            <w:r>
              <w:rPr>
                <w:rFonts w:hint="eastAsia" w:cs="Times New Roman"/>
                <w:color w:val="auto"/>
                <w:lang w:val="en-US" w:eastAsia="zh-CN"/>
              </w:rPr>
              <w:t>DA001</w:t>
            </w:r>
            <w:r>
              <w:rPr>
                <w:rFonts w:hint="default" w:ascii="Times New Roman" w:hAnsi="Times New Roman" w:cs="Times New Roman"/>
                <w:color w:val="auto"/>
              </w:rPr>
              <w:t>，位于</w:t>
            </w:r>
            <w:r>
              <w:rPr>
                <w:rFonts w:hint="eastAsia" w:cs="Times New Roman"/>
                <w:color w:val="auto"/>
                <w:lang w:val="en-US" w:eastAsia="zh-CN"/>
              </w:rPr>
              <w:t>生产车间1的</w:t>
            </w:r>
            <w:r>
              <w:rPr>
                <w:rFonts w:hint="default" w:ascii="Times New Roman" w:hAnsi="Times New Roman" w:cs="Times New Roman"/>
                <w:color w:val="auto"/>
              </w:rPr>
              <w:t>楼顶</w:t>
            </w:r>
            <w:r>
              <w:rPr>
                <w:rFonts w:hint="eastAsia" w:cs="Times New Roman"/>
                <w:color w:val="auto"/>
                <w:lang w:val="en-US" w:eastAsia="zh-CN"/>
              </w:rPr>
              <w:t>西侧</w:t>
            </w:r>
            <w:r>
              <w:rPr>
                <w:rFonts w:hint="default" w:ascii="Times New Roman" w:hAnsi="Times New Roman" w:cs="Times New Roman"/>
                <w:color w:val="auto"/>
              </w:rPr>
              <w:t>，排放高度为</w:t>
            </w:r>
            <w:r>
              <w:rPr>
                <w:rFonts w:hint="eastAsia" w:cs="Times New Roman"/>
                <w:color w:val="auto"/>
                <w:lang w:val="en-US" w:eastAsia="zh-CN"/>
              </w:rPr>
              <w:t>18m</w:t>
            </w:r>
            <w:r>
              <w:rPr>
                <w:rFonts w:hint="default" w:ascii="Times New Roman" w:hAnsi="Times New Roman" w:cs="Times New Roman"/>
                <w:bCs/>
                <w:color w:val="auto"/>
              </w:rPr>
              <w:t>项目生产功能区分区明确，布局合理，总平面布置做到了人流物流分流、方便生产和办公，同时生产对外环境造成的影响也降至最低。综上所述，项目平面布置合理。项目地理位置见</w:t>
            </w:r>
            <w:r>
              <w:rPr>
                <w:rFonts w:hint="default" w:ascii="Times New Roman" w:hAnsi="Times New Roman" w:cs="Times New Roman"/>
                <w:b/>
                <w:color w:val="auto"/>
              </w:rPr>
              <w:t>附图1</w:t>
            </w:r>
            <w:r>
              <w:rPr>
                <w:rFonts w:hint="default" w:ascii="Times New Roman" w:hAnsi="Times New Roman" w:cs="Times New Roman"/>
                <w:bCs/>
                <w:color w:val="auto"/>
              </w:rPr>
              <w:t>，平面布置见</w:t>
            </w:r>
            <w:r>
              <w:rPr>
                <w:rFonts w:hint="default" w:ascii="Times New Roman" w:hAnsi="Times New Roman" w:cs="Times New Roman"/>
                <w:b/>
                <w:color w:val="auto"/>
              </w:rPr>
              <w:t>附图5</w:t>
            </w:r>
            <w:r>
              <w:rPr>
                <w:rFonts w:hint="default" w:ascii="Times New Roman" w:hAnsi="Times New Roman" w:cs="Times New Roman"/>
                <w:bCs/>
                <w:color w:val="auto"/>
              </w:rPr>
              <w:t>，项目四至情况见</w:t>
            </w:r>
            <w:r>
              <w:rPr>
                <w:rFonts w:hint="default" w:ascii="Times New Roman" w:hAnsi="Times New Roman" w:cs="Times New Roman"/>
                <w:b/>
                <w:color w:val="auto"/>
              </w:rPr>
              <w:t>附图2</w:t>
            </w:r>
            <w:r>
              <w:rPr>
                <w:rFonts w:hint="default" w:ascii="Times New Roman" w:hAnsi="Times New Roman" w:cs="Times New Roman"/>
                <w:bCs/>
                <w:color w:val="auto"/>
              </w:rPr>
              <w:t>，项目周边环境勘查情况见</w:t>
            </w:r>
            <w:r>
              <w:rPr>
                <w:rFonts w:hint="default" w:ascii="Times New Roman" w:hAnsi="Times New Roman" w:cs="Times New Roman"/>
                <w:b/>
                <w:color w:val="auto"/>
              </w:rPr>
              <w:t>附图3</w:t>
            </w:r>
            <w:r>
              <w:rPr>
                <w:rFonts w:hint="default" w:ascii="Times New Roman" w:hAnsi="Times New Roman" w:cs="Times New Roman"/>
                <w:bCs/>
                <w:color w:val="auto"/>
              </w:rPr>
              <w:t>。</w:t>
            </w:r>
          </w:p>
        </w:tc>
      </w:tr>
      <w:tr w14:paraId="1B207F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65" w:hRule="atLeast"/>
          <w:jc w:val="center"/>
        </w:trPr>
        <w:tc>
          <w:tcPr>
            <w:tcW w:w="401" w:type="dxa"/>
            <w:vAlign w:val="center"/>
          </w:tcPr>
          <w:p w14:paraId="3D87696B">
            <w:pPr>
              <w:pStyle w:val="1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 工艺流程和产排污环节</w:t>
            </w:r>
          </w:p>
        </w:tc>
        <w:tc>
          <w:tcPr>
            <w:tcW w:w="8670" w:type="dxa"/>
          </w:tcPr>
          <w:p w14:paraId="2AD37B85">
            <w:pPr>
              <w:adjustRightInd w:val="0"/>
              <w:snapToGrid w:val="0"/>
              <w:rPr>
                <w:rFonts w:hint="default" w:ascii="Times New Roman" w:hAnsi="Times New Roman" w:cs="Times New Roman"/>
                <w:b/>
                <w:bCs/>
                <w:color w:val="auto"/>
              </w:rPr>
            </w:pPr>
            <w:r>
              <w:rPr>
                <w:rFonts w:hint="default" w:ascii="Times New Roman" w:hAnsi="Times New Roman" w:cs="Times New Roman"/>
                <w:b/>
                <w:bCs/>
                <w:color w:val="auto"/>
              </w:rPr>
              <w:t>1、工艺流程图</w:t>
            </w:r>
          </w:p>
          <w:p w14:paraId="755DEA72">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object>
                <v:shape id="_x0000_i1027" o:spt="75" type="#_x0000_t75" style="height:368.8pt;width:449.7pt;" o:ole="t" filled="f" o:preferrelative="t" stroked="f" coordsize="21600,21600">
                  <v:path/>
                  <v:fill on="f" focussize="0,0"/>
                  <v:stroke on="f"/>
                  <v:imagedata r:id="rId19" o:title=""/>
                  <o:lock v:ext="edit" aspectratio="f"/>
                  <w10:wrap type="none"/>
                  <w10:anchorlock/>
                </v:shape>
                <o:OLEObject Type="Embed" ProgID="Visio.Drawing.15" ShapeID="_x0000_i1027" DrawAspect="Content" ObjectID="_1468075727" r:id="rId18">
                  <o:LockedField>false</o:LockedField>
                </o:OLEObject>
              </w:object>
            </w:r>
          </w:p>
          <w:p w14:paraId="1B2C78FB">
            <w:pPr>
              <w:adjustRightInd w:val="0"/>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图</w:t>
            </w:r>
            <w:r>
              <w:rPr>
                <w:rFonts w:hint="default" w:ascii="Times New Roman" w:hAnsi="Times New Roman" w:cs="Times New Roman"/>
                <w:b/>
                <w:bCs/>
                <w:color w:val="auto"/>
                <w:lang w:val="en-US" w:eastAsia="zh-CN"/>
              </w:rPr>
              <w:t>1</w:t>
            </w:r>
            <w:r>
              <w:rPr>
                <w:rFonts w:hint="default" w:ascii="Times New Roman" w:hAnsi="Times New Roman" w:cs="Times New Roman"/>
                <w:b/>
                <w:bCs/>
                <w:color w:val="auto"/>
              </w:rPr>
              <w:t xml:space="preserve"> </w:t>
            </w:r>
            <w:r>
              <w:rPr>
                <w:rFonts w:hint="eastAsia" w:cs="Times New Roman"/>
                <w:b/>
                <w:bCs/>
                <w:color w:val="auto"/>
                <w:lang w:val="en-US" w:eastAsia="zh-CN"/>
              </w:rPr>
              <w:t>电子器件</w:t>
            </w:r>
            <w:r>
              <w:rPr>
                <w:rFonts w:hint="default" w:ascii="Times New Roman" w:hAnsi="Times New Roman" w:cs="Times New Roman"/>
                <w:b/>
                <w:bCs/>
                <w:color w:val="auto"/>
              </w:rPr>
              <w:t>生产工艺流程图</w:t>
            </w:r>
          </w:p>
          <w:p w14:paraId="58FD1B47">
            <w:pPr>
              <w:adjustRightInd w:val="0"/>
              <w:snapToGrid w:val="0"/>
              <w:rPr>
                <w:rFonts w:hint="default" w:ascii="Times New Roman" w:hAnsi="Times New Roman" w:cs="Times New Roman"/>
                <w:b/>
                <w:color w:val="auto"/>
                <w:szCs w:val="21"/>
              </w:rPr>
            </w:pPr>
            <w:r>
              <w:rPr>
                <w:rFonts w:hint="default" w:ascii="Times New Roman" w:hAnsi="Times New Roman" w:cs="Times New Roman"/>
                <w:b/>
                <w:color w:val="auto"/>
                <w:szCs w:val="21"/>
              </w:rPr>
              <w:t>工艺流程说明：</w:t>
            </w:r>
          </w:p>
          <w:p w14:paraId="2AFD94FA">
            <w:pPr>
              <w:spacing w:line="360" w:lineRule="auto"/>
              <w:ind w:firstLine="482" w:firstLineChars="200"/>
              <w:rPr>
                <w:color w:val="auto"/>
                <w:sz w:val="24"/>
              </w:rPr>
            </w:pPr>
            <w:r>
              <w:rPr>
                <w:b/>
                <w:bCs/>
                <w:color w:val="auto"/>
                <w:sz w:val="24"/>
              </w:rPr>
              <w:t>投料</w:t>
            </w:r>
            <w:r>
              <w:rPr>
                <w:color w:val="auto"/>
                <w:sz w:val="24"/>
              </w:rPr>
              <w:t>：本项目将外购的塑胶颗粒新料以及色粉按一定的比例加入到搅拌机中。色粉在添加的过程会产生</w:t>
            </w:r>
            <w:r>
              <w:rPr>
                <w:rFonts w:hint="eastAsia"/>
                <w:color w:val="auto"/>
                <w:sz w:val="24"/>
                <w:lang w:val="en-US" w:eastAsia="zh-CN"/>
              </w:rPr>
              <w:t>噪声和</w:t>
            </w:r>
            <w:r>
              <w:rPr>
                <w:color w:val="auto"/>
                <w:sz w:val="24"/>
              </w:rPr>
              <w:t>少量粉尘（以颗粒物表征）。</w:t>
            </w:r>
          </w:p>
          <w:p w14:paraId="5F578AEF">
            <w:pPr>
              <w:spacing w:line="360" w:lineRule="auto"/>
              <w:ind w:firstLine="482" w:firstLineChars="200"/>
              <w:jc w:val="left"/>
              <w:rPr>
                <w:color w:val="auto"/>
                <w:sz w:val="24"/>
              </w:rPr>
            </w:pPr>
            <w:r>
              <w:rPr>
                <w:rFonts w:hint="eastAsia"/>
                <w:b/>
                <w:bCs/>
                <w:color w:val="auto"/>
                <w:sz w:val="24"/>
                <w:lang w:val="en-US" w:eastAsia="zh-CN"/>
              </w:rPr>
              <w:t>拌料</w:t>
            </w:r>
            <w:r>
              <w:rPr>
                <w:b/>
                <w:bCs/>
                <w:color w:val="auto"/>
                <w:sz w:val="24"/>
              </w:rPr>
              <w:t>：</w:t>
            </w:r>
            <w:r>
              <w:rPr>
                <w:color w:val="auto"/>
                <w:sz w:val="24"/>
              </w:rPr>
              <w:t>将塑胶颗粒与色粉搅拌混合均匀，搅拌机为密闭环境，且搅拌过程不进行加热，仅是进行物理混合，故该过程不会产生任何废气。</w:t>
            </w:r>
          </w:p>
          <w:p w14:paraId="4153CF85">
            <w:pPr>
              <w:spacing w:line="360" w:lineRule="auto"/>
              <w:ind w:firstLine="482" w:firstLineChars="200"/>
              <w:rPr>
                <w:color w:val="auto"/>
                <w:sz w:val="24"/>
              </w:rPr>
            </w:pPr>
            <w:r>
              <w:rPr>
                <w:b/>
                <w:bCs/>
                <w:color w:val="auto"/>
                <w:sz w:val="24"/>
              </w:rPr>
              <w:t>烘</w:t>
            </w:r>
            <w:r>
              <w:rPr>
                <w:rFonts w:hint="eastAsia"/>
                <w:b/>
                <w:bCs/>
                <w:color w:val="auto"/>
                <w:sz w:val="24"/>
                <w:lang w:val="en-US" w:eastAsia="zh-CN"/>
              </w:rPr>
              <w:t>料</w:t>
            </w:r>
            <w:r>
              <w:rPr>
                <w:b/>
                <w:bCs/>
                <w:color w:val="auto"/>
                <w:sz w:val="24"/>
              </w:rPr>
              <w:t>：</w:t>
            </w:r>
            <w:r>
              <w:rPr>
                <w:color w:val="auto"/>
                <w:sz w:val="24"/>
              </w:rPr>
              <w:t>搅拌后的混合料用烘干机进行加热将其中的水分蒸发去除，烘干过程温度约80℃，不会产生任何有机废气。</w:t>
            </w:r>
          </w:p>
          <w:p w14:paraId="2C7A243F">
            <w:pPr>
              <w:spacing w:line="360" w:lineRule="auto"/>
              <w:ind w:firstLine="482" w:firstLineChars="200"/>
              <w:textAlignment w:val="baseline"/>
              <w:rPr>
                <w:rFonts w:hint="eastAsia" w:eastAsia="宋体"/>
                <w:color w:val="auto"/>
                <w:sz w:val="24"/>
                <w:lang w:eastAsia="zh-CN"/>
              </w:rPr>
            </w:pPr>
            <w:r>
              <w:rPr>
                <w:b/>
                <w:bCs/>
                <w:color w:val="auto"/>
                <w:sz w:val="24"/>
              </w:rPr>
              <w:t>注塑：</w:t>
            </w:r>
            <w:r>
              <w:rPr>
                <w:color w:val="auto"/>
                <w:sz w:val="24"/>
              </w:rPr>
              <w:t>项目将烘干后的混合料转入注塑机中生产出所需合格品。注塑过程因对混合料进行加热融化会产生一定量的非甲烷</w:t>
            </w:r>
            <w:r>
              <w:rPr>
                <w:rFonts w:hint="eastAsia"/>
                <w:color w:val="auto"/>
                <w:sz w:val="24"/>
              </w:rPr>
              <w:t>总烃</w:t>
            </w:r>
            <w:r>
              <w:rPr>
                <w:color w:val="auto"/>
                <w:sz w:val="24"/>
              </w:rPr>
              <w:t>，同时也会产生边角料。</w:t>
            </w:r>
            <w:r>
              <w:rPr>
                <w:rFonts w:hint="eastAsia"/>
                <w:color w:val="auto"/>
                <w:sz w:val="24"/>
                <w:lang w:eastAsia="zh-CN"/>
              </w:rPr>
              <w:t>（</w:t>
            </w:r>
            <w:r>
              <w:rPr>
                <w:rFonts w:hint="default" w:ascii="Times New Roman" w:hAnsi="Times New Roman" w:cs="Times New Roman"/>
                <w:color w:val="auto"/>
              </w:rPr>
              <w:t>项目使用的</w:t>
            </w:r>
            <w:r>
              <w:rPr>
                <w:rFonts w:hint="default" w:ascii="Times New Roman" w:hAnsi="Times New Roman" w:cs="Times New Roman"/>
                <w:color w:val="auto"/>
                <w:highlight w:val="none"/>
                <w:lang w:val="en-US" w:eastAsia="zh-CN"/>
              </w:rPr>
              <w:t>P</w:t>
            </w:r>
            <w:r>
              <w:rPr>
                <w:rFonts w:hint="eastAsia" w:ascii="Times New Roman" w:hAnsi="Times New Roman" w:cs="Times New Roman"/>
                <w:color w:val="auto"/>
                <w:highlight w:val="none"/>
                <w:lang w:val="en-US" w:eastAsia="zh-CN"/>
              </w:rPr>
              <w:t>A66</w:t>
            </w:r>
            <w:r>
              <w:rPr>
                <w:rFonts w:hint="default" w:ascii="Times New Roman" w:hAnsi="Times New Roman" w:cs="Times New Roman"/>
                <w:color w:val="auto"/>
                <w:highlight w:val="none"/>
                <w:lang w:val="en-US" w:eastAsia="zh-CN"/>
              </w:rPr>
              <w:t>分解温度为</w:t>
            </w:r>
            <w:r>
              <w:rPr>
                <w:rFonts w:hint="eastAsia" w:ascii="Times New Roman" w:hAnsi="Times New Roman" w:cs="Times New Roman"/>
                <w:color w:val="auto"/>
                <w:highlight w:val="none"/>
                <w:lang w:val="en-US" w:eastAsia="zh-CN"/>
              </w:rPr>
              <w:t>大于</w:t>
            </w:r>
            <w:r>
              <w:rPr>
                <w:rFonts w:hint="default" w:ascii="Times New Roman" w:hAnsi="Times New Roman" w:cs="Times New Roman"/>
                <w:color w:val="auto"/>
                <w:highlight w:val="none"/>
                <w:lang w:val="en-US" w:eastAsia="zh-CN"/>
              </w:rPr>
              <w:t>350°C，成型温度为</w:t>
            </w:r>
            <w:r>
              <w:rPr>
                <w:rFonts w:hint="eastAsia" w:ascii="Times New Roman" w:hAnsi="Times New Roman" w:cs="Times New Roman"/>
                <w:color w:val="auto"/>
                <w:highlight w:val="none"/>
                <w:lang w:val="en-US" w:eastAsia="zh-CN"/>
              </w:rPr>
              <w:t>250-280</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lang w:eastAsia="zh-CN"/>
              </w:rPr>
              <w:t>；</w:t>
            </w:r>
            <w:r>
              <w:rPr>
                <w:rFonts w:hint="default" w:ascii="Times New Roman" w:hAnsi="Times New Roman" w:cs="Times New Roman"/>
                <w:color w:val="auto"/>
                <w:highlight w:val="none"/>
                <w:lang w:val="en-US" w:eastAsia="zh-CN"/>
              </w:rPr>
              <w:t>ABS分解温度为2</w:t>
            </w:r>
            <w:r>
              <w:rPr>
                <w:rFonts w:hint="eastAsia" w:ascii="Times New Roman" w:hAnsi="Times New Roman" w:cs="Times New Roman"/>
                <w:color w:val="auto"/>
                <w:highlight w:val="none"/>
                <w:lang w:val="en-US" w:eastAsia="zh-CN"/>
              </w:rPr>
              <w:t>7</w:t>
            </w:r>
            <w:r>
              <w:rPr>
                <w:rFonts w:hint="default" w:ascii="Times New Roman" w:hAnsi="Times New Roman" w:cs="Times New Roman"/>
                <w:color w:val="auto"/>
                <w:highlight w:val="none"/>
                <w:lang w:val="en-US" w:eastAsia="zh-CN"/>
              </w:rPr>
              <w:t>0°C以上，成型温度为180-2</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lang w:val="en-US" w:eastAsia="zh-CN"/>
              </w:rPr>
              <w:t>0℃</w:t>
            </w:r>
            <w:r>
              <w:rPr>
                <w:rFonts w:hint="default" w:ascii="Times New Roman" w:hAnsi="Times New Roman" w:cs="Times New Roman"/>
                <w:color w:val="auto"/>
                <w:lang w:eastAsia="zh-CN"/>
              </w:rPr>
              <w:t>；</w:t>
            </w:r>
            <w:r>
              <w:rPr>
                <w:rFonts w:hint="eastAsia" w:ascii="Times New Roman" w:hAnsi="Times New Roman" w:cs="Times New Roman"/>
                <w:color w:val="auto"/>
                <w:highlight w:val="none"/>
                <w:lang w:val="en-US" w:eastAsia="zh-CN"/>
              </w:rPr>
              <w:t>PBT</w:t>
            </w:r>
            <w:r>
              <w:rPr>
                <w:rFonts w:hint="default" w:ascii="Times New Roman" w:hAnsi="Times New Roman" w:cs="Times New Roman"/>
                <w:color w:val="auto"/>
                <w:highlight w:val="none"/>
                <w:lang w:val="en-US" w:eastAsia="zh-CN"/>
              </w:rPr>
              <w:t>分解温度为300°C以上，成型温度为</w:t>
            </w:r>
            <w:r>
              <w:rPr>
                <w:rFonts w:hint="eastAsia" w:ascii="Times New Roman" w:hAnsi="Times New Roman" w:cs="Times New Roman"/>
                <w:color w:val="auto"/>
                <w:highlight w:val="none"/>
                <w:lang w:val="en-US" w:eastAsia="zh-CN"/>
              </w:rPr>
              <w:t>230-270</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lang w:eastAsia="zh-CN"/>
              </w:rPr>
              <w:t>；</w:t>
            </w:r>
            <w:r>
              <w:rPr>
                <w:rFonts w:hint="eastAsia" w:ascii="Times New Roman" w:hAnsi="Times New Roman" w:cs="Times New Roman"/>
                <w:color w:val="auto"/>
                <w:highlight w:val="none"/>
                <w:lang w:val="en-US" w:eastAsia="zh-CN"/>
              </w:rPr>
              <w:t>POM</w:t>
            </w:r>
            <w:r>
              <w:rPr>
                <w:rFonts w:hint="default" w:ascii="Times New Roman" w:hAnsi="Times New Roman" w:cs="Times New Roman"/>
                <w:color w:val="auto"/>
                <w:highlight w:val="none"/>
                <w:lang w:val="en-US" w:eastAsia="zh-CN"/>
              </w:rPr>
              <w:t>分解温度为</w:t>
            </w:r>
            <w:r>
              <w:rPr>
                <w:rFonts w:hint="eastAsia" w:ascii="Times New Roman" w:hAnsi="Times New Roman" w:cs="Times New Roman"/>
                <w:color w:val="auto"/>
                <w:highlight w:val="none"/>
                <w:lang w:val="en-US" w:eastAsia="zh-CN"/>
              </w:rPr>
              <w:t>240-280</w:t>
            </w:r>
            <w:r>
              <w:rPr>
                <w:rFonts w:hint="default" w:ascii="Times New Roman" w:hAnsi="Times New Roman" w:cs="Times New Roman"/>
                <w:color w:val="auto"/>
                <w:highlight w:val="none"/>
                <w:lang w:val="en-US" w:eastAsia="zh-CN"/>
              </w:rPr>
              <w:t>°C，成型温度为</w:t>
            </w:r>
            <w:r>
              <w:rPr>
                <w:rFonts w:hint="eastAsia" w:ascii="Times New Roman" w:hAnsi="Times New Roman" w:cs="Times New Roman"/>
                <w:color w:val="auto"/>
                <w:highlight w:val="none"/>
                <w:lang w:val="en-US" w:eastAsia="zh-CN"/>
              </w:rPr>
              <w:t>165-170</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w:t>
            </w:r>
            <w:r>
              <w:rPr>
                <w:rFonts w:hint="eastAsia" w:ascii="Times New Roman" w:hAnsi="Times New Roman" w:cs="Times New Roman"/>
                <w:color w:val="auto"/>
                <w:lang w:val="en-US" w:eastAsia="zh-CN"/>
              </w:rPr>
              <w:t>项目</w:t>
            </w:r>
            <w:r>
              <w:rPr>
                <w:rFonts w:hint="default" w:ascii="Times New Roman" w:hAnsi="Times New Roman" w:cs="Times New Roman"/>
                <w:color w:val="auto"/>
              </w:rPr>
              <w:t>注塑过程</w:t>
            </w:r>
            <w:r>
              <w:rPr>
                <w:rFonts w:hint="eastAsia" w:ascii="Times New Roman" w:hAnsi="Times New Roman" w:cs="Times New Roman"/>
                <w:color w:val="auto"/>
                <w:lang w:val="en-US" w:eastAsia="zh-CN"/>
              </w:rPr>
              <w:t>控制成型温度，确保</w:t>
            </w:r>
            <w:r>
              <w:rPr>
                <w:rFonts w:hint="default" w:ascii="Times New Roman" w:hAnsi="Times New Roman" w:cs="Times New Roman"/>
                <w:color w:val="auto"/>
              </w:rPr>
              <w:t>塑料粒不会发生热分解，但在加热熔融过程中，会有部分未聚合的游离单体挥发，其中</w:t>
            </w:r>
            <w:r>
              <w:rPr>
                <w:rFonts w:hint="eastAsia" w:ascii="Times New Roman" w:hAnsi="Times New Roman" w:cs="Times New Roman"/>
                <w:color w:val="auto"/>
                <w:lang w:val="en-US" w:eastAsia="zh-CN"/>
              </w:rPr>
              <w:t>PA66</w:t>
            </w:r>
            <w:r>
              <w:rPr>
                <w:rFonts w:hint="default" w:ascii="Times New Roman" w:hAnsi="Times New Roman" w:cs="Times New Roman"/>
                <w:color w:val="auto"/>
              </w:rPr>
              <w:t>树脂游离单体为</w:t>
            </w:r>
            <w:r>
              <w:rPr>
                <w:rFonts w:hint="eastAsia" w:ascii="Times New Roman" w:hAnsi="Times New Roman" w:cs="Times New Roman"/>
                <w:color w:val="auto"/>
                <w:lang w:val="en-US" w:eastAsia="zh-CN"/>
              </w:rPr>
              <w:t>己二酸和己二胺</w:t>
            </w:r>
            <w:r>
              <w:rPr>
                <w:rFonts w:hint="default" w:ascii="Times New Roman" w:hAnsi="Times New Roman" w:cs="Times New Roman"/>
                <w:color w:val="auto"/>
                <w:lang w:val="en-US" w:eastAsia="zh-CN"/>
              </w:rPr>
              <w:t>，</w:t>
            </w:r>
            <w:r>
              <w:rPr>
                <w:rFonts w:hint="default" w:ascii="Times New Roman" w:hAnsi="Times New Roman" w:cs="Times New Roman"/>
                <w:color w:val="auto"/>
              </w:rPr>
              <w:t>ABS树脂游离单体为苯乙烯、丙烯腈、1,3-丁二烯、甲苯、乙苯等</w:t>
            </w:r>
            <w:r>
              <w:rPr>
                <w:rFonts w:hint="default" w:ascii="Times New Roman" w:hAnsi="Times New Roman" w:cs="Times New Roman"/>
                <w:color w:val="auto"/>
                <w:lang w:eastAsia="zh-CN"/>
              </w:rPr>
              <w:t>，</w:t>
            </w:r>
            <w:r>
              <w:rPr>
                <w:rFonts w:hint="eastAsia" w:ascii="Times New Roman" w:hAnsi="Times New Roman" w:cs="Times New Roman"/>
                <w:color w:val="auto"/>
                <w:lang w:val="en-US" w:eastAsia="zh-CN"/>
              </w:rPr>
              <w:t>PBT树脂游离单体为单体是对苯二甲酸‌和1,4-丁二醇，</w:t>
            </w:r>
            <w:r>
              <w:rPr>
                <w:rFonts w:hint="default" w:ascii="Times New Roman" w:hAnsi="Times New Roman" w:cs="Times New Roman"/>
                <w:color w:val="auto"/>
                <w:lang w:val="en-US" w:eastAsia="zh-CN"/>
              </w:rPr>
              <w:t>P</w:t>
            </w:r>
            <w:r>
              <w:rPr>
                <w:rFonts w:hint="eastAsia" w:ascii="Times New Roman" w:hAnsi="Times New Roman" w:cs="Times New Roman"/>
                <w:color w:val="auto"/>
                <w:lang w:val="en-US" w:eastAsia="zh-CN"/>
              </w:rPr>
              <w:t>OM</w:t>
            </w:r>
            <w:r>
              <w:rPr>
                <w:rFonts w:hint="default" w:ascii="Times New Roman" w:hAnsi="Times New Roman" w:cs="Times New Roman"/>
                <w:color w:val="auto"/>
                <w:lang w:val="en-US" w:eastAsia="zh-CN"/>
              </w:rPr>
              <w:t>树脂游离单体</w:t>
            </w:r>
            <w:r>
              <w:rPr>
                <w:rFonts w:hint="eastAsia" w:ascii="Times New Roman" w:hAnsi="Times New Roman" w:cs="Times New Roman"/>
                <w:color w:val="auto"/>
                <w:lang w:val="en-US" w:eastAsia="zh-CN"/>
              </w:rPr>
              <w:t>甲醛</w:t>
            </w:r>
            <w:r>
              <w:rPr>
                <w:rFonts w:hint="default" w:ascii="Times New Roman" w:hAnsi="Times New Roman" w:cs="Times New Roman"/>
                <w:color w:val="auto"/>
              </w:rPr>
              <w:t>。</w:t>
            </w:r>
            <w:r>
              <w:rPr>
                <w:rFonts w:hint="eastAsia"/>
                <w:color w:val="auto"/>
                <w:sz w:val="24"/>
                <w:lang w:eastAsia="zh-CN"/>
              </w:rPr>
              <w:t>）</w:t>
            </w:r>
          </w:p>
          <w:p w14:paraId="72174BD0">
            <w:pPr>
              <w:spacing w:line="360" w:lineRule="auto"/>
              <w:ind w:firstLine="482" w:firstLineChars="200"/>
              <w:textAlignment w:val="baseline"/>
              <w:rPr>
                <w:rFonts w:hint="eastAsia"/>
                <w:b/>
                <w:bCs/>
                <w:color w:val="auto"/>
                <w:sz w:val="24"/>
                <w:lang w:val="en-US" w:eastAsia="zh-CN"/>
              </w:rPr>
            </w:pPr>
            <w:r>
              <w:rPr>
                <w:rFonts w:hint="eastAsia"/>
                <w:b/>
                <w:bCs/>
                <w:color w:val="auto"/>
                <w:sz w:val="24"/>
                <w:lang w:val="en-US" w:eastAsia="zh-CN"/>
              </w:rPr>
              <w:t>质检：</w:t>
            </w:r>
            <w:r>
              <w:rPr>
                <w:rFonts w:hint="eastAsia"/>
                <w:b w:val="0"/>
                <w:bCs w:val="0"/>
                <w:color w:val="auto"/>
                <w:sz w:val="24"/>
                <w:lang w:val="en-US" w:eastAsia="zh-CN"/>
              </w:rPr>
              <w:t>注塑后的塑料件进行检验，该过程会产生不合格品。</w:t>
            </w:r>
          </w:p>
          <w:p w14:paraId="28835367">
            <w:pPr>
              <w:spacing w:line="360" w:lineRule="auto"/>
              <w:ind w:firstLine="482" w:firstLineChars="200"/>
              <w:textAlignment w:val="baseline"/>
              <w:rPr>
                <w:color w:val="auto"/>
                <w:sz w:val="24"/>
              </w:rPr>
            </w:pPr>
            <w:r>
              <w:rPr>
                <w:b/>
                <w:bCs/>
                <w:color w:val="auto"/>
                <w:sz w:val="24"/>
              </w:rPr>
              <w:t>破碎：</w:t>
            </w:r>
            <w:r>
              <w:rPr>
                <w:color w:val="auto"/>
                <w:sz w:val="24"/>
              </w:rPr>
              <w:t>产生的次品以及塑</w:t>
            </w:r>
            <w:r>
              <w:rPr>
                <w:rFonts w:hint="eastAsia"/>
                <w:color w:val="auto"/>
                <w:sz w:val="24"/>
              </w:rPr>
              <w:t>胶</w:t>
            </w:r>
            <w:r>
              <w:rPr>
                <w:color w:val="auto"/>
                <w:sz w:val="24"/>
              </w:rPr>
              <w:t>边角料经破碎机破碎处理后，加入到搅拌机中回收再利用。</w:t>
            </w:r>
            <w:r>
              <w:rPr>
                <w:rFonts w:hint="eastAsia"/>
                <w:color w:val="auto"/>
                <w:sz w:val="24"/>
                <w:lang w:val="en-US" w:eastAsia="zh-CN"/>
              </w:rPr>
              <w:t>该工序会产生噪声和少量粉尘</w:t>
            </w:r>
            <w:r>
              <w:rPr>
                <w:color w:val="auto"/>
                <w:sz w:val="24"/>
              </w:rPr>
              <w:t>。</w:t>
            </w:r>
          </w:p>
          <w:p w14:paraId="03964BD6">
            <w:pPr>
              <w:spacing w:line="360" w:lineRule="auto"/>
              <w:ind w:firstLine="482" w:firstLineChars="200"/>
              <w:textAlignment w:val="baseline"/>
              <w:rPr>
                <w:rFonts w:hint="default" w:ascii="Times New Roman" w:hAnsi="Times New Roman" w:cs="Times New Roman"/>
                <w:color w:val="auto"/>
                <w:lang w:val="en-US" w:eastAsia="zh-CN"/>
              </w:rPr>
            </w:pPr>
            <w:r>
              <w:rPr>
                <w:rFonts w:hint="eastAsia" w:ascii="Times New Roman" w:hAnsi="Times New Roman" w:cs="Times New Roman"/>
                <w:b/>
                <w:bCs/>
                <w:color w:val="auto"/>
                <w:lang w:val="en-US" w:eastAsia="zh-CN"/>
              </w:rPr>
              <w:t>移印：</w:t>
            </w:r>
            <w:r>
              <w:rPr>
                <w:rFonts w:hint="default" w:ascii="Times New Roman" w:hAnsi="Times New Roman" w:cs="Times New Roman"/>
                <w:color w:val="auto"/>
                <w:lang w:val="en-US" w:eastAsia="zh-CN"/>
              </w:rPr>
              <w:t>项目工件需要通过移印给产品印上标签等精细内容，此过程会产生挥发性有机物。移印使用水性油墨，移印过程会产生有机废气和噪声。</w:t>
            </w:r>
          </w:p>
          <w:p w14:paraId="742934FE">
            <w:pPr>
              <w:spacing w:line="360" w:lineRule="auto"/>
              <w:ind w:firstLine="482" w:firstLineChars="200"/>
              <w:textAlignment w:val="baseline"/>
              <w:rPr>
                <w:color w:val="auto"/>
                <w:sz w:val="24"/>
              </w:rPr>
            </w:pPr>
            <w:r>
              <w:rPr>
                <w:b/>
                <w:bCs/>
                <w:color w:val="auto"/>
                <w:sz w:val="24"/>
              </w:rPr>
              <w:t>冲压</w:t>
            </w:r>
            <w:r>
              <w:rPr>
                <w:color w:val="auto"/>
                <w:sz w:val="24"/>
              </w:rPr>
              <w:t>：项目将外购的铁、铝、铜、不锈钢卷材使用冲床进行冲压处理，冲压配件</w:t>
            </w:r>
            <w:r>
              <w:rPr>
                <w:rFonts w:hint="eastAsia"/>
                <w:color w:val="auto"/>
                <w:sz w:val="24"/>
              </w:rPr>
              <w:t>进行</w:t>
            </w:r>
            <w:r>
              <w:rPr>
                <w:color w:val="auto"/>
                <w:sz w:val="24"/>
              </w:rPr>
              <w:t>外发电镀。冲压过程会产生一定量的金属边角料。</w:t>
            </w:r>
          </w:p>
          <w:p w14:paraId="7FD4BC94">
            <w:pPr>
              <w:spacing w:line="360" w:lineRule="auto"/>
              <w:ind w:firstLine="482" w:firstLineChars="200"/>
              <w:textAlignment w:val="baseline"/>
              <w:rPr>
                <w:color w:val="auto"/>
                <w:sz w:val="24"/>
              </w:rPr>
            </w:pPr>
            <w:r>
              <w:rPr>
                <w:b/>
                <w:bCs/>
                <w:color w:val="auto"/>
                <w:sz w:val="24"/>
              </w:rPr>
              <w:t>装配：</w:t>
            </w:r>
            <w:r>
              <w:rPr>
                <w:color w:val="auto"/>
                <w:sz w:val="24"/>
              </w:rPr>
              <w:t>项目将注塑生产的合格品、经外发电镀的冲压配件以及外购的线路板进行装配，即得成品。</w:t>
            </w:r>
          </w:p>
          <w:p w14:paraId="27AFF9B8">
            <w:pPr>
              <w:bidi w:val="0"/>
              <w:ind w:firstLine="482" w:firstLineChars="200"/>
              <w:rPr>
                <w:rFonts w:hint="default" w:ascii="Times New Roman" w:hAnsi="Times New Roman" w:cs="Times New Roman"/>
                <w:color w:val="auto"/>
                <w:lang w:val="en-US" w:eastAsia="zh-CN"/>
              </w:rPr>
            </w:pPr>
            <w:r>
              <w:rPr>
                <w:b/>
                <w:bCs/>
                <w:color w:val="auto"/>
                <w:sz w:val="24"/>
              </w:rPr>
              <w:t>包装出货：</w:t>
            </w:r>
            <w:r>
              <w:rPr>
                <w:color w:val="auto"/>
                <w:sz w:val="24"/>
              </w:rPr>
              <w:t>将成品进行包装出货，该过程会产生一定量的</w:t>
            </w:r>
            <w:r>
              <w:rPr>
                <w:rFonts w:hint="default" w:ascii="Times New Roman" w:hAnsi="Times New Roman" w:eastAsia="宋体" w:cs="Times New Roman"/>
                <w:b w:val="0"/>
                <w:bCs w:val="0"/>
                <w:color w:val="auto"/>
                <w:sz w:val="24"/>
                <w:lang w:val="en-US" w:eastAsia="zh-CN"/>
              </w:rPr>
              <w:t>废包装材料</w:t>
            </w:r>
            <w:r>
              <w:rPr>
                <w:color w:val="auto"/>
                <w:sz w:val="24"/>
              </w:rPr>
              <w:t>。</w:t>
            </w:r>
          </w:p>
          <w:p w14:paraId="4B7AA929">
            <w:pPr>
              <w:bidi w:val="0"/>
              <w:ind w:firstLine="480" w:firstLineChars="200"/>
              <w:rPr>
                <w:rFonts w:hint="default" w:ascii="Times New Roman" w:hAnsi="Times New Roman" w:cs="Times New Roman"/>
                <w:color w:val="auto"/>
                <w:lang w:val="en-US" w:eastAsia="zh-CN"/>
              </w:rPr>
            </w:pPr>
          </w:p>
          <w:p w14:paraId="5B82F68D">
            <w:pPr>
              <w:rPr>
                <w:rFonts w:hint="default" w:ascii="Times New Roman" w:hAnsi="Times New Roman" w:cs="Times New Roman"/>
                <w:b/>
                <w:bCs/>
                <w:color w:val="auto"/>
              </w:rPr>
            </w:pPr>
            <w:r>
              <w:rPr>
                <w:rFonts w:hint="default" w:ascii="Times New Roman" w:hAnsi="Times New Roman" w:cs="Times New Roman"/>
                <w:b/>
                <w:bCs/>
                <w:color w:val="auto"/>
              </w:rPr>
              <w:t>2、</w:t>
            </w:r>
            <w:r>
              <w:rPr>
                <w:rFonts w:hint="default" w:ascii="Times New Roman" w:hAnsi="Times New Roman" w:cs="Times New Roman"/>
                <w:b/>
                <w:bCs/>
                <w:color w:val="auto"/>
                <w:lang w:val="en-US" w:eastAsia="zh-CN"/>
              </w:rPr>
              <w:t>模具</w:t>
            </w:r>
            <w:r>
              <w:rPr>
                <w:rFonts w:hint="default" w:ascii="Times New Roman" w:hAnsi="Times New Roman" w:cs="Times New Roman"/>
                <w:b/>
                <w:bCs/>
                <w:color w:val="auto"/>
              </w:rPr>
              <w:t>生产工艺流程</w:t>
            </w:r>
          </w:p>
          <w:p w14:paraId="4BEE04DE">
            <w:pPr>
              <w:adjustRightInd w:val="0"/>
              <w:snapToGrid w:val="0"/>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object>
                <v:shape id="_x0000_i1028" o:spt="75" type="#_x0000_t75" style="height:383.25pt;width:289.55pt;" o:ole="t" filled="f" o:preferrelative="t" stroked="f" coordsize="21600,21600">
                  <v:path/>
                  <v:fill on="f" focussize="0,0"/>
                  <v:stroke on="f"/>
                  <v:imagedata r:id="rId21" o:title=""/>
                  <o:lock v:ext="edit" aspectratio="f"/>
                  <w10:wrap type="none"/>
                  <w10:anchorlock/>
                </v:shape>
                <o:OLEObject Type="Embed" ProgID="Visio.Drawing.15" ShapeID="_x0000_i1028" DrawAspect="Content" ObjectID="_1468075728" r:id="rId20">
                  <o:LockedField>false</o:LockedField>
                </o:OLEObject>
              </w:object>
            </w:r>
          </w:p>
          <w:p w14:paraId="619DC771">
            <w:pPr>
              <w:adjustRightInd w:val="0"/>
              <w:snapToGrid w:val="0"/>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图</w:t>
            </w:r>
            <w:r>
              <w:rPr>
                <w:rFonts w:hint="eastAsia" w:cs="Times New Roman"/>
                <w:b/>
                <w:bCs/>
                <w:color w:val="auto"/>
                <w:lang w:val="en-US" w:eastAsia="zh-CN"/>
              </w:rPr>
              <w:t>2</w:t>
            </w:r>
            <w:r>
              <w:rPr>
                <w:rFonts w:hint="default" w:ascii="Times New Roman" w:hAnsi="Times New Roman" w:cs="Times New Roman"/>
                <w:b/>
                <w:bCs/>
                <w:color w:val="auto"/>
              </w:rPr>
              <w:t xml:space="preserve"> </w:t>
            </w:r>
            <w:r>
              <w:rPr>
                <w:rFonts w:hint="default" w:ascii="Times New Roman" w:hAnsi="Times New Roman" w:cs="Times New Roman"/>
                <w:b/>
                <w:bCs/>
                <w:color w:val="auto"/>
                <w:lang w:val="en-US" w:eastAsia="zh-CN"/>
              </w:rPr>
              <w:t>模具</w:t>
            </w:r>
            <w:r>
              <w:rPr>
                <w:rFonts w:hint="default" w:ascii="Times New Roman" w:hAnsi="Times New Roman" w:cs="Times New Roman"/>
                <w:b/>
                <w:bCs/>
                <w:color w:val="auto"/>
              </w:rPr>
              <w:t>生产工艺流程图</w:t>
            </w:r>
          </w:p>
          <w:p w14:paraId="3FCCE61D">
            <w:pPr>
              <w:adjustRightInd w:val="0"/>
              <w:snapToGrid w:val="0"/>
              <w:ind w:firstLine="482" w:firstLineChars="200"/>
              <w:rPr>
                <w:rFonts w:hint="default" w:ascii="Times New Roman" w:hAnsi="Times New Roman" w:cs="Times New Roman"/>
                <w:b/>
                <w:bCs w:val="0"/>
                <w:color w:val="auto"/>
                <w:szCs w:val="21"/>
              </w:rPr>
            </w:pPr>
            <w:r>
              <w:rPr>
                <w:rFonts w:hint="default" w:ascii="Times New Roman" w:hAnsi="Times New Roman" w:cs="Times New Roman"/>
                <w:b/>
                <w:bCs w:val="0"/>
                <w:color w:val="auto"/>
                <w:szCs w:val="21"/>
              </w:rPr>
              <w:t>工艺说明：</w:t>
            </w:r>
          </w:p>
          <w:p w14:paraId="7539B87E">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b/>
                <w:bCs/>
                <w:color w:val="auto"/>
                <w:sz w:val="24"/>
                <w:szCs w:val="24"/>
                <w:lang w:val="en-US" w:eastAsia="zh-CN"/>
              </w:rPr>
              <w:t>车床加工</w:t>
            </w:r>
            <w:r>
              <w:rPr>
                <w:rFonts w:hint="default" w:ascii="Times New Roman" w:hAnsi="Times New Roman" w:eastAsia="宋体" w:cs="Times New Roman"/>
                <w:b/>
                <w:bCs/>
                <w:color w:val="auto"/>
                <w:sz w:val="24"/>
                <w:szCs w:val="24"/>
                <w:lang w:eastAsia="zh-CN"/>
              </w:rPr>
              <w:t>：</w:t>
            </w:r>
            <w:r>
              <w:rPr>
                <w:rFonts w:hint="default" w:ascii="Times New Roman" w:hAnsi="Times New Roman" w:cs="Times New Roman"/>
                <w:b w:val="0"/>
                <w:bCs/>
                <w:color w:val="auto"/>
                <w:szCs w:val="21"/>
                <w:lang w:val="en-US" w:eastAsia="zh-CN"/>
              </w:rPr>
              <w:t>使用车床对工件进行加工。</w:t>
            </w:r>
            <w:r>
              <w:rPr>
                <w:rFonts w:hint="default" w:ascii="Times New Roman" w:hAnsi="Times New Roman" w:cs="Times New Roman"/>
                <w:bCs/>
                <w:color w:val="auto"/>
                <w:szCs w:val="21"/>
                <w:lang w:val="en-US" w:eastAsia="zh-CN"/>
              </w:rPr>
              <w:t>该工序会产生含油金属屑、</w:t>
            </w:r>
            <w:r>
              <w:rPr>
                <w:rFonts w:hint="eastAsia" w:ascii="Times New Roman" w:hAnsi="Times New Roman" w:cs="Times New Roman"/>
                <w:bCs/>
                <w:color w:val="auto"/>
                <w:szCs w:val="21"/>
                <w:lang w:val="en-US" w:eastAsia="zh-CN"/>
              </w:rPr>
              <w:t>废矿物油、废原料桶</w:t>
            </w:r>
            <w:r>
              <w:rPr>
                <w:rFonts w:hint="default" w:ascii="Times New Roman" w:hAnsi="Times New Roman" w:cs="Times New Roman"/>
                <w:bCs/>
                <w:color w:val="auto"/>
                <w:szCs w:val="21"/>
                <w:lang w:val="en-US" w:eastAsia="zh-CN"/>
              </w:rPr>
              <w:t>和噪声。</w:t>
            </w:r>
          </w:p>
          <w:p w14:paraId="37BE1F02">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lang w:eastAsia="zh-CN"/>
              </w:rPr>
              <w:t>铣床加工：</w:t>
            </w:r>
            <w:r>
              <w:rPr>
                <w:rFonts w:hint="default" w:ascii="Times New Roman" w:hAnsi="Times New Roman" w:eastAsia="宋体" w:cs="Times New Roman"/>
                <w:color w:val="auto"/>
                <w:sz w:val="24"/>
                <w:szCs w:val="24"/>
                <w:lang w:eastAsia="zh-CN"/>
              </w:rPr>
              <w:t>将钢材装在工作台上，以铣刀作为刀具加工工件表面。加工过程中使用切削液进行冷却润滑，</w:t>
            </w:r>
            <w:r>
              <w:rPr>
                <w:rFonts w:hint="default" w:ascii="Times New Roman" w:hAnsi="Times New Roman" w:cs="Times New Roman"/>
                <w:bCs/>
                <w:color w:val="auto"/>
                <w:szCs w:val="21"/>
                <w:lang w:val="en-US" w:eastAsia="zh-CN"/>
              </w:rPr>
              <w:t>该工序会产生含油金属屑、</w:t>
            </w:r>
            <w:r>
              <w:rPr>
                <w:rFonts w:hint="eastAsia" w:ascii="Times New Roman" w:hAnsi="Times New Roman" w:cs="Times New Roman"/>
                <w:bCs/>
                <w:color w:val="auto"/>
                <w:szCs w:val="21"/>
                <w:lang w:val="en-US" w:eastAsia="zh-CN"/>
              </w:rPr>
              <w:t>废矿物油、废原料桶</w:t>
            </w:r>
            <w:r>
              <w:rPr>
                <w:rFonts w:hint="default" w:ascii="Times New Roman" w:hAnsi="Times New Roman" w:cs="Times New Roman"/>
                <w:bCs/>
                <w:color w:val="auto"/>
                <w:szCs w:val="21"/>
                <w:lang w:val="en-US" w:eastAsia="zh-CN"/>
              </w:rPr>
              <w:t>和噪声。</w:t>
            </w:r>
          </w:p>
          <w:p w14:paraId="2DDF2272">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lang w:eastAsia="zh-CN"/>
              </w:rPr>
              <w:t>热处理（外发）：</w:t>
            </w:r>
            <w:r>
              <w:rPr>
                <w:rFonts w:hint="default" w:ascii="Times New Roman" w:hAnsi="Times New Roman" w:eastAsia="宋体" w:cs="Times New Roman"/>
                <w:color w:val="auto"/>
                <w:sz w:val="24"/>
                <w:szCs w:val="24"/>
                <w:lang w:eastAsia="zh-CN"/>
              </w:rPr>
              <w:t>热处理是指材料在固态下，通过加热、保温和冷却的手段，以获得预期组织和性能的一种金属热加工工艺，因外发无污染产生。</w:t>
            </w:r>
          </w:p>
          <w:p w14:paraId="534896F6">
            <w:pPr>
              <w:tabs>
                <w:tab w:val="left" w:pos="484"/>
              </w:tabs>
              <w:spacing w:line="360" w:lineRule="auto"/>
              <w:ind w:firstLine="482" w:firstLineChars="200"/>
              <w:rPr>
                <w:rFonts w:hint="default" w:ascii="Times New Roman" w:hAnsi="Times New Roman" w:cs="Times New Roman"/>
                <w:bCs/>
                <w:color w:val="auto"/>
                <w:szCs w:val="21"/>
                <w:lang w:val="en-US" w:eastAsia="zh-CN"/>
              </w:rPr>
            </w:pPr>
            <w:r>
              <w:rPr>
                <w:rFonts w:hint="default" w:ascii="Times New Roman" w:hAnsi="Times New Roman" w:eastAsia="宋体" w:cs="Times New Roman"/>
                <w:b/>
                <w:bCs/>
                <w:color w:val="auto"/>
                <w:sz w:val="24"/>
                <w:szCs w:val="24"/>
                <w:lang w:eastAsia="zh-CN"/>
              </w:rPr>
              <w:t>磨床加工：</w:t>
            </w:r>
            <w:r>
              <w:rPr>
                <w:rFonts w:hint="default" w:ascii="Times New Roman" w:hAnsi="Times New Roman" w:eastAsia="宋体" w:cs="Times New Roman"/>
                <w:color w:val="auto"/>
                <w:sz w:val="24"/>
                <w:szCs w:val="24"/>
                <w:lang w:eastAsia="zh-CN"/>
              </w:rPr>
              <w:t>利用磨具研磨工件，保证工件达到抛光前所需要的面形精度、尺寸精度和表面粗糙度，项目所用的打磨方法是切削液打磨，打磨的切削液循环使用，切削液一年更换一次，更换后的废切削液交由有危险废物处理资质的单位回收处理，</w:t>
            </w:r>
            <w:r>
              <w:rPr>
                <w:rFonts w:hint="default" w:ascii="Times New Roman" w:hAnsi="Times New Roman" w:cs="Times New Roman"/>
                <w:bCs/>
                <w:color w:val="auto"/>
                <w:szCs w:val="21"/>
                <w:lang w:val="en-US" w:eastAsia="zh-CN"/>
              </w:rPr>
              <w:t>该工序会产生含油金属屑、</w:t>
            </w:r>
            <w:r>
              <w:rPr>
                <w:rFonts w:hint="eastAsia" w:ascii="Times New Roman" w:hAnsi="Times New Roman" w:cs="Times New Roman"/>
                <w:bCs/>
                <w:color w:val="auto"/>
                <w:szCs w:val="21"/>
                <w:lang w:val="en-US" w:eastAsia="zh-CN"/>
              </w:rPr>
              <w:t>废矿物油、废原料桶</w:t>
            </w:r>
            <w:r>
              <w:rPr>
                <w:rFonts w:hint="default" w:ascii="Times New Roman" w:hAnsi="Times New Roman" w:cs="Times New Roman"/>
                <w:bCs/>
                <w:color w:val="auto"/>
                <w:szCs w:val="21"/>
                <w:lang w:val="en-US" w:eastAsia="zh-CN"/>
              </w:rPr>
              <w:t>和噪声。</w:t>
            </w:r>
          </w:p>
          <w:p w14:paraId="44C0316C">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lang w:eastAsia="zh-CN"/>
              </w:rPr>
              <w:t>电脑锣</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外发</w:t>
            </w:r>
            <w:r>
              <w:rPr>
                <w:rFonts w:hint="eastAsia" w:ascii="Times New Roman" w:hAnsi="Times New Roman" w:eastAsia="宋体" w:cs="Times New Roman"/>
                <w:b/>
                <w:bCs/>
                <w:color w:val="auto"/>
                <w:sz w:val="24"/>
                <w:szCs w:val="24"/>
                <w:lang w:eastAsia="zh-CN"/>
              </w:rPr>
              <w:t>）</w:t>
            </w:r>
            <w:r>
              <w:rPr>
                <w:rFonts w:hint="default" w:ascii="Times New Roman" w:hAnsi="Times New Roman" w:eastAsia="宋体" w:cs="Times New Roman"/>
                <w:b/>
                <w:bCs/>
                <w:color w:val="auto"/>
                <w:sz w:val="24"/>
                <w:szCs w:val="24"/>
                <w:lang w:eastAsia="zh-CN"/>
              </w:rPr>
              <w:t>：</w:t>
            </w:r>
            <w:r>
              <w:rPr>
                <w:rFonts w:hint="default" w:ascii="Times New Roman" w:hAnsi="Times New Roman" w:eastAsia="宋体" w:cs="Times New Roman"/>
                <w:color w:val="auto"/>
                <w:sz w:val="24"/>
                <w:szCs w:val="24"/>
                <w:lang w:eastAsia="zh-CN"/>
              </w:rPr>
              <w:t>为了达到满足工件表面光洁度、预留适当余量的加工要求，因外发无污染产生。</w:t>
            </w:r>
          </w:p>
          <w:p w14:paraId="1B8B7F0D">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lang w:eastAsia="zh-CN"/>
              </w:rPr>
              <w:t>线切割机切割：</w:t>
            </w:r>
            <w:r>
              <w:rPr>
                <w:rFonts w:hint="default" w:ascii="Times New Roman" w:hAnsi="Times New Roman" w:eastAsia="宋体" w:cs="Times New Roman"/>
                <w:color w:val="auto"/>
                <w:sz w:val="24"/>
                <w:szCs w:val="24"/>
                <w:lang w:eastAsia="zh-CN"/>
              </w:rPr>
              <w:t>利用线切割机进行加工，</w:t>
            </w:r>
            <w:r>
              <w:rPr>
                <w:rFonts w:hint="default" w:ascii="Times New Roman" w:hAnsi="Times New Roman" w:cs="Times New Roman"/>
                <w:bCs/>
                <w:color w:val="auto"/>
                <w:szCs w:val="21"/>
                <w:lang w:val="en-US" w:eastAsia="zh-CN"/>
              </w:rPr>
              <w:t>该工序会产生含油金属屑、</w:t>
            </w:r>
            <w:r>
              <w:rPr>
                <w:rFonts w:hint="eastAsia" w:ascii="Times New Roman" w:hAnsi="Times New Roman" w:cs="Times New Roman"/>
                <w:bCs/>
                <w:color w:val="auto"/>
                <w:szCs w:val="21"/>
                <w:lang w:val="en-US" w:eastAsia="zh-CN"/>
              </w:rPr>
              <w:t>废矿物油、废原料桶</w:t>
            </w:r>
            <w:r>
              <w:rPr>
                <w:rFonts w:hint="default" w:ascii="Times New Roman" w:hAnsi="Times New Roman" w:cs="Times New Roman"/>
                <w:bCs/>
                <w:color w:val="auto"/>
                <w:szCs w:val="21"/>
                <w:lang w:val="en-US" w:eastAsia="zh-CN"/>
              </w:rPr>
              <w:t>和噪声</w:t>
            </w:r>
            <w:r>
              <w:rPr>
                <w:rFonts w:hint="default" w:ascii="Times New Roman" w:hAnsi="Times New Roman" w:eastAsia="宋体" w:cs="Times New Roman"/>
                <w:color w:val="auto"/>
                <w:sz w:val="24"/>
                <w:szCs w:val="24"/>
                <w:lang w:eastAsia="zh-CN"/>
              </w:rPr>
              <w:t>。</w:t>
            </w:r>
          </w:p>
          <w:p w14:paraId="6B794987">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lang w:eastAsia="zh-CN"/>
              </w:rPr>
              <w:t>火花机加工：</w:t>
            </w:r>
            <w:r>
              <w:rPr>
                <w:rFonts w:hint="default" w:ascii="Times New Roman" w:hAnsi="Times New Roman" w:eastAsia="宋体" w:cs="Times New Roman"/>
                <w:color w:val="auto"/>
                <w:sz w:val="24"/>
                <w:szCs w:val="24"/>
                <w:lang w:eastAsia="zh-CN"/>
              </w:rPr>
              <w:t>是指利用具有特定几何形状的放电电极（EDM）在金属（导电）部件上烧灼出电极的几何形状，利用火花放电时产生腐蚀现象对材料进行尺寸加工的方法，加工过程中使用火花油，</w:t>
            </w:r>
            <w:r>
              <w:rPr>
                <w:rFonts w:hint="default" w:ascii="Times New Roman" w:hAnsi="Times New Roman" w:cs="Times New Roman"/>
                <w:bCs/>
                <w:color w:val="auto"/>
                <w:szCs w:val="21"/>
                <w:lang w:val="en-US" w:eastAsia="zh-CN"/>
              </w:rPr>
              <w:t>该工序会产生含油金属屑、</w:t>
            </w:r>
            <w:r>
              <w:rPr>
                <w:rFonts w:hint="eastAsia" w:ascii="Times New Roman" w:hAnsi="Times New Roman" w:cs="Times New Roman"/>
                <w:bCs/>
                <w:color w:val="auto"/>
                <w:szCs w:val="21"/>
                <w:lang w:val="en-US" w:eastAsia="zh-CN"/>
              </w:rPr>
              <w:t>废矿物油、废原料桶</w:t>
            </w:r>
            <w:r>
              <w:rPr>
                <w:rFonts w:hint="default" w:ascii="Times New Roman" w:hAnsi="Times New Roman" w:cs="Times New Roman"/>
                <w:bCs/>
                <w:color w:val="auto"/>
                <w:szCs w:val="21"/>
                <w:lang w:val="en-US" w:eastAsia="zh-CN"/>
              </w:rPr>
              <w:t>和噪声。</w:t>
            </w:r>
          </w:p>
          <w:p w14:paraId="46566660">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lang w:eastAsia="zh-CN"/>
              </w:rPr>
              <w:t>抛光（外发）：</w:t>
            </w:r>
            <w:r>
              <w:rPr>
                <w:rFonts w:hint="default" w:ascii="Times New Roman" w:hAnsi="Times New Roman" w:eastAsia="宋体" w:cs="Times New Roman"/>
                <w:color w:val="auto"/>
                <w:sz w:val="24"/>
                <w:szCs w:val="24"/>
                <w:lang w:eastAsia="zh-CN"/>
              </w:rPr>
              <w:t>使用抛光机对焊接后的产品进行表面进行修饰加工，因外发无污染产生。</w:t>
            </w:r>
          </w:p>
          <w:p w14:paraId="5975E6F1">
            <w:pPr>
              <w:tabs>
                <w:tab w:val="left" w:pos="484"/>
              </w:tabs>
              <w:spacing w:line="360" w:lineRule="auto"/>
              <w:ind w:firstLine="482" w:firstLineChars="200"/>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b/>
                <w:bCs/>
                <w:color w:val="auto"/>
                <w:sz w:val="24"/>
                <w:szCs w:val="24"/>
                <w:lang w:val="en-US" w:eastAsia="zh-CN"/>
              </w:rPr>
              <w:t>检验</w:t>
            </w:r>
            <w:r>
              <w:rPr>
                <w:rFonts w:hint="default" w:ascii="Times New Roman" w:hAnsi="Times New Roman" w:eastAsia="宋体" w:cs="Times New Roman"/>
                <w:b/>
                <w:bCs/>
                <w:color w:val="auto"/>
                <w:sz w:val="24"/>
                <w:szCs w:val="24"/>
                <w:lang w:eastAsia="zh-CN"/>
              </w:rPr>
              <w:t>：</w:t>
            </w:r>
            <w:r>
              <w:rPr>
                <w:rFonts w:hint="default" w:ascii="Times New Roman" w:hAnsi="Times New Roman" w:eastAsia="宋体" w:cs="Times New Roman"/>
                <w:color w:val="auto"/>
                <w:sz w:val="24"/>
                <w:szCs w:val="24"/>
                <w:lang w:eastAsia="zh-CN"/>
              </w:rPr>
              <w:t>把机加工</w:t>
            </w:r>
            <w:r>
              <w:rPr>
                <w:rFonts w:hint="eastAsia" w:ascii="Times New Roman" w:hAnsi="Times New Roman" w:eastAsia="宋体" w:cs="Times New Roman"/>
                <w:color w:val="auto"/>
                <w:sz w:val="24"/>
                <w:szCs w:val="24"/>
                <w:lang w:val="en-US" w:eastAsia="zh-CN"/>
              </w:rPr>
              <w:t>模具</w:t>
            </w:r>
            <w:r>
              <w:rPr>
                <w:rFonts w:hint="default" w:ascii="Times New Roman" w:hAnsi="Times New Roman" w:eastAsia="宋体" w:cs="Times New Roman"/>
                <w:color w:val="auto"/>
                <w:sz w:val="24"/>
                <w:szCs w:val="24"/>
                <w:lang w:eastAsia="zh-CN"/>
              </w:rPr>
              <w:t>进行检测</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该过程会产生废模具</w:t>
            </w:r>
            <w:r>
              <w:rPr>
                <w:rFonts w:hint="default" w:ascii="Times New Roman" w:hAnsi="Times New Roman" w:eastAsia="宋体" w:cs="Times New Roman"/>
                <w:color w:val="auto"/>
                <w:sz w:val="24"/>
                <w:szCs w:val="24"/>
                <w:lang w:eastAsia="zh-CN"/>
              </w:rPr>
              <w:t>。</w:t>
            </w:r>
          </w:p>
          <w:p w14:paraId="4E8F44FA">
            <w:pPr>
              <w:ind w:firstLine="480" w:firstLineChars="200"/>
              <w:jc w:val="left"/>
              <w:rPr>
                <w:rFonts w:hint="default" w:ascii="Times New Roman" w:hAnsi="Times New Roman" w:cs="Times New Roman"/>
                <w:b/>
                <w:bCs/>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项目模具不对外销售，仅用于内部生产，每年生产100套。项目铣床、磨床、火花机等设备对各零部件进行机械加工，过程会产生</w:t>
            </w:r>
            <w:r>
              <w:rPr>
                <w:rFonts w:hint="eastAsia" w:ascii="Times New Roman" w:hAnsi="Times New Roman" w:eastAsia="宋体" w:cs="Times New Roman"/>
                <w:color w:val="auto"/>
                <w:sz w:val="24"/>
                <w:szCs w:val="24"/>
                <w:highlight w:val="none"/>
                <w:lang w:val="en-US" w:eastAsia="zh-CN"/>
              </w:rPr>
              <w:t>含油金属碎屑</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废矿物油</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废原料桶</w:t>
            </w:r>
            <w:r>
              <w:rPr>
                <w:rFonts w:hint="default" w:ascii="Times New Roman" w:hAnsi="Times New Roman" w:eastAsia="宋体" w:cs="Times New Roman"/>
                <w:color w:val="auto"/>
                <w:sz w:val="24"/>
                <w:szCs w:val="24"/>
                <w:highlight w:val="none"/>
                <w:lang w:eastAsia="zh-CN"/>
              </w:rPr>
              <w:t>和噪声。</w:t>
            </w:r>
          </w:p>
          <w:p w14:paraId="1652007B">
            <w:pPr>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highlight w:val="none"/>
                <w:lang w:val="en-US" w:eastAsia="zh-CN"/>
              </w:rPr>
              <w:t>3</w:t>
            </w:r>
            <w:r>
              <w:rPr>
                <w:rFonts w:hint="default" w:ascii="Times New Roman" w:hAnsi="Times New Roman" w:cs="Times New Roman"/>
                <w:b/>
                <w:bCs/>
                <w:color w:val="auto"/>
                <w:lang w:val="en-US" w:eastAsia="zh-CN"/>
              </w:rPr>
              <w:t>、产污环节</w:t>
            </w:r>
          </w:p>
          <w:p w14:paraId="16A4EA71">
            <w:pPr>
              <w:ind w:firstLine="480" w:firstLineChars="200"/>
              <w:jc w:val="left"/>
              <w:rPr>
                <w:rFonts w:hint="default" w:ascii="Times New Roman" w:hAnsi="Times New Roman" w:cs="Times New Roman"/>
                <w:color w:val="auto"/>
                <w:szCs w:val="22"/>
              </w:rPr>
            </w:pPr>
            <w:r>
              <w:rPr>
                <w:rFonts w:hint="default" w:ascii="Times New Roman" w:hAnsi="Times New Roman" w:cs="Times New Roman"/>
                <w:color w:val="auto"/>
                <w:szCs w:val="22"/>
              </w:rPr>
              <w:t>运营期污染源污染因子分析见下表。</w:t>
            </w:r>
          </w:p>
          <w:p w14:paraId="54093BF7">
            <w:pPr>
              <w:spacing w:line="240" w:lineRule="auto"/>
              <w:ind w:left="-480" w:leftChars="-200"/>
              <w:jc w:val="center"/>
              <w:rPr>
                <w:rFonts w:hint="default" w:ascii="Times New Roman" w:hAnsi="Times New Roman" w:cs="Times New Roman"/>
                <w:b/>
                <w:snapToGrid w:val="0"/>
                <w:color w:val="auto"/>
                <w:kern w:val="0"/>
                <w:szCs w:val="22"/>
              </w:rPr>
            </w:pPr>
            <w:r>
              <w:rPr>
                <w:rFonts w:hint="default" w:ascii="Times New Roman" w:hAnsi="Times New Roman" w:cs="Times New Roman"/>
                <w:b/>
                <w:bCs/>
                <w:snapToGrid w:val="0"/>
                <w:color w:val="auto"/>
                <w:kern w:val="0"/>
                <w:szCs w:val="22"/>
              </w:rPr>
              <w:t xml:space="preserve">   表</w:t>
            </w:r>
            <w:r>
              <w:rPr>
                <w:rFonts w:hint="default" w:ascii="Times New Roman" w:hAnsi="Times New Roman" w:cs="Times New Roman"/>
                <w:b/>
                <w:bCs/>
                <w:snapToGrid w:val="0"/>
                <w:color w:val="auto"/>
                <w:kern w:val="0"/>
                <w:szCs w:val="22"/>
                <w:lang w:val="en-US" w:eastAsia="zh-CN"/>
              </w:rPr>
              <w:t>2-11</w:t>
            </w:r>
            <w:r>
              <w:rPr>
                <w:rFonts w:hint="default" w:ascii="Times New Roman" w:hAnsi="Times New Roman" w:cs="Times New Roman"/>
                <w:b/>
                <w:bCs/>
                <w:snapToGrid w:val="0"/>
                <w:color w:val="auto"/>
                <w:kern w:val="0"/>
                <w:szCs w:val="22"/>
              </w:rPr>
              <w:t xml:space="preserve">  运营期污染源污染因子分析汇总表</w:t>
            </w:r>
          </w:p>
          <w:tbl>
            <w:tblPr>
              <w:tblStyle w:val="22"/>
              <w:tblW w:w="49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451"/>
              <w:gridCol w:w="2095"/>
              <w:gridCol w:w="1890"/>
              <w:gridCol w:w="3831"/>
            </w:tblGrid>
            <w:tr w14:paraId="089F4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Align w:val="center"/>
                </w:tcPr>
                <w:p w14:paraId="6EA04151">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类别</w:t>
                  </w:r>
                </w:p>
              </w:tc>
              <w:tc>
                <w:tcPr>
                  <w:tcW w:w="1422" w:type="pct"/>
                  <w:gridSpan w:val="2"/>
                  <w:vAlign w:val="center"/>
                </w:tcPr>
                <w:p w14:paraId="61D06F9B">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污染源</w:t>
                  </w:r>
                </w:p>
              </w:tc>
              <w:tc>
                <w:tcPr>
                  <w:tcW w:w="1055" w:type="pct"/>
                  <w:vAlign w:val="center"/>
                </w:tcPr>
                <w:p w14:paraId="1421C8FC">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w:t>
                  </w:r>
                </w:p>
              </w:tc>
              <w:tc>
                <w:tcPr>
                  <w:tcW w:w="2140" w:type="pct"/>
                  <w:vAlign w:val="center"/>
                </w:tcPr>
                <w:p w14:paraId="1ADA1542">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处置方式</w:t>
                  </w:r>
                </w:p>
              </w:tc>
            </w:tr>
            <w:tr w14:paraId="740B5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restart"/>
                  <w:vAlign w:val="center"/>
                </w:tcPr>
                <w:p w14:paraId="25F0DFE9">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废气</w:t>
                  </w:r>
                </w:p>
              </w:tc>
              <w:tc>
                <w:tcPr>
                  <w:tcW w:w="1422" w:type="pct"/>
                  <w:gridSpan w:val="2"/>
                  <w:vAlign w:val="center"/>
                </w:tcPr>
                <w:p w14:paraId="6946F38F">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投料</w:t>
                  </w:r>
                </w:p>
              </w:tc>
              <w:tc>
                <w:tcPr>
                  <w:tcW w:w="1055" w:type="pct"/>
                  <w:vAlign w:val="center"/>
                </w:tcPr>
                <w:p w14:paraId="2160AFB9">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颗粒物</w:t>
                  </w:r>
                </w:p>
              </w:tc>
              <w:tc>
                <w:tcPr>
                  <w:tcW w:w="2140" w:type="pct"/>
                  <w:vMerge w:val="restart"/>
                  <w:vAlign w:val="center"/>
                </w:tcPr>
                <w:p w14:paraId="68DA7253">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进入</w:t>
                  </w:r>
                  <w:r>
                    <w:rPr>
                      <w:rFonts w:hint="default" w:ascii="Times New Roman" w:hAnsi="Times New Roman" w:cs="Times New Roman"/>
                      <w:color w:val="auto"/>
                      <w:sz w:val="21"/>
                      <w:szCs w:val="21"/>
                    </w:rPr>
                    <w:t>“水喷淋塔+干式过滤棉+</w:t>
                  </w:r>
                  <w:r>
                    <w:rPr>
                      <w:rFonts w:hint="default" w:ascii="Times New Roman" w:hAnsi="Times New Roman" w:cs="Times New Roman"/>
                      <w:color w:val="auto"/>
                      <w:sz w:val="21"/>
                      <w:szCs w:val="21"/>
                      <w:lang w:eastAsia="zh-CN"/>
                    </w:rPr>
                    <w:t>二级活性炭</w:t>
                  </w:r>
                  <w:r>
                    <w:rPr>
                      <w:rFonts w:hint="default" w:ascii="Times New Roman" w:hAnsi="Times New Roman" w:cs="Times New Roman"/>
                      <w:color w:val="auto"/>
                      <w:sz w:val="21"/>
                      <w:szCs w:val="21"/>
                    </w:rPr>
                    <w:t>吸附装置”处理后引至排气筒DA001排放</w:t>
                  </w:r>
                </w:p>
              </w:tc>
            </w:tr>
            <w:tr w14:paraId="11768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60EB7665">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7F4E39E3">
                  <w:pPr>
                    <w:spacing w:line="240" w:lineRule="auto"/>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注塑</w:t>
                  </w:r>
                </w:p>
              </w:tc>
              <w:tc>
                <w:tcPr>
                  <w:tcW w:w="1055" w:type="pct"/>
                  <w:vAlign w:val="center"/>
                </w:tcPr>
                <w:p w14:paraId="0AE70F60">
                  <w:pPr>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非甲烷总烃、臭气浓度</w:t>
                  </w:r>
                </w:p>
              </w:tc>
              <w:tc>
                <w:tcPr>
                  <w:tcW w:w="2140" w:type="pct"/>
                  <w:vMerge w:val="continue"/>
                  <w:vAlign w:val="center"/>
                </w:tcPr>
                <w:p w14:paraId="0F0D7F92">
                  <w:pPr>
                    <w:spacing w:line="240" w:lineRule="auto"/>
                    <w:jc w:val="center"/>
                    <w:rPr>
                      <w:rFonts w:hint="default" w:ascii="Times New Roman" w:hAnsi="Times New Roman" w:cs="Times New Roman"/>
                      <w:color w:val="auto"/>
                      <w:sz w:val="21"/>
                      <w:szCs w:val="21"/>
                      <w:lang w:val="en-US" w:eastAsia="zh-CN"/>
                    </w:rPr>
                  </w:pPr>
                </w:p>
              </w:tc>
            </w:tr>
            <w:tr w14:paraId="70243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465A3DD9">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5284680F">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移印</w:t>
                  </w:r>
                </w:p>
              </w:tc>
              <w:tc>
                <w:tcPr>
                  <w:tcW w:w="1055" w:type="pct"/>
                  <w:vAlign w:val="center"/>
                </w:tcPr>
                <w:p w14:paraId="2239BDF3">
                  <w:pPr>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VOCs</w:t>
                  </w:r>
                </w:p>
              </w:tc>
              <w:tc>
                <w:tcPr>
                  <w:tcW w:w="2140" w:type="pct"/>
                  <w:vMerge w:val="continue"/>
                  <w:vAlign w:val="center"/>
                </w:tcPr>
                <w:p w14:paraId="1AB46D60">
                  <w:pPr>
                    <w:spacing w:line="240" w:lineRule="auto"/>
                    <w:jc w:val="center"/>
                    <w:rPr>
                      <w:rFonts w:hint="default" w:ascii="Times New Roman" w:hAnsi="Times New Roman" w:cs="Times New Roman"/>
                      <w:color w:val="auto"/>
                      <w:sz w:val="21"/>
                      <w:szCs w:val="21"/>
                      <w:lang w:val="en-US" w:eastAsia="zh-CN"/>
                    </w:rPr>
                  </w:pPr>
                </w:p>
              </w:tc>
            </w:tr>
            <w:tr w14:paraId="3D50A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6B41EAB">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223B59AD">
                  <w:pPr>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破碎</w:t>
                  </w:r>
                </w:p>
              </w:tc>
              <w:tc>
                <w:tcPr>
                  <w:tcW w:w="1055" w:type="pct"/>
                  <w:vAlign w:val="center"/>
                </w:tcPr>
                <w:p w14:paraId="1B3F4FD9">
                  <w:pPr>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颗粒物</w:t>
                  </w:r>
                </w:p>
              </w:tc>
              <w:tc>
                <w:tcPr>
                  <w:tcW w:w="2140" w:type="pct"/>
                  <w:vAlign w:val="center"/>
                </w:tcPr>
                <w:p w14:paraId="3BB12718">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在车间自然沉降</w:t>
                  </w:r>
                  <w:r>
                    <w:rPr>
                      <w:rFonts w:hint="default" w:ascii="Times New Roman" w:hAnsi="Times New Roman" w:cs="Times New Roman"/>
                      <w:bCs/>
                      <w:color w:val="auto"/>
                      <w:sz w:val="21"/>
                      <w:szCs w:val="21"/>
                      <w:lang w:val="en-US" w:eastAsia="zh-CN"/>
                    </w:rPr>
                    <w:t>后</w:t>
                  </w:r>
                  <w:r>
                    <w:rPr>
                      <w:rFonts w:hint="default" w:ascii="Times New Roman" w:hAnsi="Times New Roman" w:cs="Times New Roman"/>
                      <w:bCs/>
                      <w:color w:val="auto"/>
                      <w:sz w:val="21"/>
                      <w:szCs w:val="21"/>
                    </w:rPr>
                    <w:t>无组织排放</w:t>
                  </w:r>
                </w:p>
              </w:tc>
            </w:tr>
            <w:tr w14:paraId="743B8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B4C7EF1">
                  <w:pPr>
                    <w:spacing w:line="240" w:lineRule="auto"/>
                    <w:jc w:val="center"/>
                    <w:rPr>
                      <w:rFonts w:hint="default" w:ascii="Times New Roman" w:hAnsi="Times New Roman" w:cs="Times New Roman"/>
                      <w:bCs/>
                      <w:color w:val="auto"/>
                      <w:sz w:val="21"/>
                      <w:szCs w:val="21"/>
                    </w:rPr>
                  </w:pPr>
                </w:p>
              </w:tc>
              <w:tc>
                <w:tcPr>
                  <w:tcW w:w="1422" w:type="pct"/>
                  <w:gridSpan w:val="2"/>
                  <w:vMerge w:val="restart"/>
                  <w:vAlign w:val="center"/>
                </w:tcPr>
                <w:p w14:paraId="46DE875B">
                  <w:pPr>
                    <w:spacing w:line="240" w:lineRule="auto"/>
                    <w:jc w:val="center"/>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电火花</w:t>
                  </w:r>
                </w:p>
              </w:tc>
              <w:tc>
                <w:tcPr>
                  <w:tcW w:w="1055" w:type="pct"/>
                  <w:vAlign w:val="center"/>
                </w:tcPr>
                <w:p w14:paraId="32788B56">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颗粒物</w:t>
                  </w:r>
                </w:p>
              </w:tc>
              <w:tc>
                <w:tcPr>
                  <w:tcW w:w="2140" w:type="pct"/>
                  <w:vAlign w:val="center"/>
                </w:tcPr>
                <w:p w14:paraId="05F3C7E8">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在车间自然沉降</w:t>
                  </w:r>
                  <w:r>
                    <w:rPr>
                      <w:rFonts w:hint="default" w:ascii="Times New Roman" w:hAnsi="Times New Roman" w:cs="Times New Roman"/>
                      <w:bCs/>
                      <w:color w:val="auto"/>
                      <w:sz w:val="21"/>
                      <w:szCs w:val="21"/>
                      <w:lang w:val="en-US" w:eastAsia="zh-CN"/>
                    </w:rPr>
                    <w:t>后</w:t>
                  </w:r>
                  <w:r>
                    <w:rPr>
                      <w:rFonts w:hint="default" w:ascii="Times New Roman" w:hAnsi="Times New Roman" w:cs="Times New Roman"/>
                      <w:bCs/>
                      <w:color w:val="auto"/>
                      <w:sz w:val="21"/>
                      <w:szCs w:val="21"/>
                    </w:rPr>
                    <w:t>无组织排放</w:t>
                  </w:r>
                </w:p>
              </w:tc>
            </w:tr>
            <w:tr w14:paraId="5900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2D20F68B">
                  <w:pPr>
                    <w:spacing w:line="240" w:lineRule="auto"/>
                    <w:jc w:val="center"/>
                    <w:rPr>
                      <w:rFonts w:hint="default" w:ascii="Times New Roman" w:hAnsi="Times New Roman" w:cs="Times New Roman"/>
                      <w:bCs/>
                      <w:color w:val="auto"/>
                      <w:sz w:val="21"/>
                      <w:szCs w:val="21"/>
                    </w:rPr>
                  </w:pPr>
                </w:p>
              </w:tc>
              <w:tc>
                <w:tcPr>
                  <w:tcW w:w="1422" w:type="pct"/>
                  <w:gridSpan w:val="2"/>
                  <w:vMerge w:val="continue"/>
                  <w:vAlign w:val="center"/>
                </w:tcPr>
                <w:p w14:paraId="26815FA5">
                  <w:pPr>
                    <w:spacing w:line="240" w:lineRule="auto"/>
                    <w:jc w:val="center"/>
                    <w:rPr>
                      <w:rFonts w:hint="default" w:ascii="Times New Roman" w:hAnsi="Times New Roman" w:cs="Times New Roman"/>
                      <w:bCs/>
                      <w:color w:val="auto"/>
                      <w:sz w:val="21"/>
                      <w:szCs w:val="21"/>
                    </w:rPr>
                  </w:pPr>
                </w:p>
              </w:tc>
              <w:tc>
                <w:tcPr>
                  <w:tcW w:w="1055" w:type="pct"/>
                  <w:vAlign w:val="center"/>
                </w:tcPr>
                <w:p w14:paraId="34F56ED8">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油雾</w:t>
                  </w:r>
                </w:p>
              </w:tc>
              <w:tc>
                <w:tcPr>
                  <w:tcW w:w="2140" w:type="pct"/>
                  <w:vAlign w:val="center"/>
                </w:tcPr>
                <w:p w14:paraId="27A5F2F4">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在车间无组织排放</w:t>
                  </w:r>
                </w:p>
              </w:tc>
            </w:tr>
            <w:tr w14:paraId="4C01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5A052C2">
                  <w:pPr>
                    <w:spacing w:line="240" w:lineRule="auto"/>
                    <w:jc w:val="center"/>
                    <w:rPr>
                      <w:rFonts w:hint="default" w:ascii="Times New Roman" w:hAnsi="Times New Roman" w:cs="Times New Roman"/>
                      <w:bCs/>
                      <w:color w:val="auto"/>
                      <w:sz w:val="21"/>
                      <w:szCs w:val="21"/>
                    </w:rPr>
                  </w:pPr>
                </w:p>
              </w:tc>
              <w:tc>
                <w:tcPr>
                  <w:tcW w:w="1422" w:type="pct"/>
                  <w:gridSpan w:val="2"/>
                  <w:vMerge w:val="restart"/>
                  <w:vAlign w:val="center"/>
                </w:tcPr>
                <w:p w14:paraId="25E93C4F">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机加工</w:t>
                  </w:r>
                </w:p>
              </w:tc>
              <w:tc>
                <w:tcPr>
                  <w:tcW w:w="1055" w:type="pct"/>
                  <w:vAlign w:val="center"/>
                </w:tcPr>
                <w:p w14:paraId="6E74C9B0">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颗粒物</w:t>
                  </w:r>
                </w:p>
              </w:tc>
              <w:tc>
                <w:tcPr>
                  <w:tcW w:w="2140" w:type="pct"/>
                  <w:vAlign w:val="center"/>
                </w:tcPr>
                <w:p w14:paraId="4AD616D9">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在车间自然沉降</w:t>
                  </w:r>
                  <w:r>
                    <w:rPr>
                      <w:rFonts w:hint="default" w:ascii="Times New Roman" w:hAnsi="Times New Roman" w:cs="Times New Roman"/>
                      <w:bCs/>
                      <w:color w:val="auto"/>
                      <w:sz w:val="21"/>
                      <w:szCs w:val="21"/>
                      <w:lang w:val="en-US" w:eastAsia="zh-CN"/>
                    </w:rPr>
                    <w:t>后</w:t>
                  </w:r>
                  <w:r>
                    <w:rPr>
                      <w:rFonts w:hint="default" w:ascii="Times New Roman" w:hAnsi="Times New Roman" w:cs="Times New Roman"/>
                      <w:bCs/>
                      <w:color w:val="auto"/>
                      <w:sz w:val="21"/>
                      <w:szCs w:val="21"/>
                    </w:rPr>
                    <w:t>无组织排放</w:t>
                  </w:r>
                </w:p>
              </w:tc>
            </w:tr>
            <w:tr w14:paraId="2752C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D25BA3D">
                  <w:pPr>
                    <w:spacing w:line="240" w:lineRule="auto"/>
                    <w:jc w:val="center"/>
                    <w:rPr>
                      <w:rFonts w:hint="default" w:ascii="Times New Roman" w:hAnsi="Times New Roman" w:cs="Times New Roman"/>
                      <w:bCs/>
                      <w:color w:val="auto"/>
                      <w:sz w:val="21"/>
                      <w:szCs w:val="21"/>
                    </w:rPr>
                  </w:pPr>
                </w:p>
              </w:tc>
              <w:tc>
                <w:tcPr>
                  <w:tcW w:w="1422" w:type="pct"/>
                  <w:gridSpan w:val="2"/>
                  <w:vMerge w:val="continue"/>
                  <w:vAlign w:val="center"/>
                </w:tcPr>
                <w:p w14:paraId="3814CD74">
                  <w:pPr>
                    <w:spacing w:line="240" w:lineRule="auto"/>
                    <w:jc w:val="center"/>
                    <w:rPr>
                      <w:rFonts w:hint="default" w:ascii="Times New Roman" w:hAnsi="Times New Roman" w:eastAsia="宋体" w:cs="Times New Roman"/>
                      <w:bCs/>
                      <w:color w:val="auto"/>
                      <w:kern w:val="2"/>
                      <w:sz w:val="21"/>
                      <w:szCs w:val="21"/>
                      <w:lang w:val="en-US" w:eastAsia="zh-CN" w:bidi="ar-SA"/>
                    </w:rPr>
                  </w:pPr>
                </w:p>
              </w:tc>
              <w:tc>
                <w:tcPr>
                  <w:tcW w:w="1055" w:type="pct"/>
                  <w:vAlign w:val="center"/>
                </w:tcPr>
                <w:p w14:paraId="27442067">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油雾</w:t>
                  </w:r>
                </w:p>
              </w:tc>
              <w:tc>
                <w:tcPr>
                  <w:tcW w:w="2140" w:type="pct"/>
                  <w:vAlign w:val="center"/>
                </w:tcPr>
                <w:p w14:paraId="3C0D8E56">
                  <w:pPr>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在车间无组织排放</w:t>
                  </w:r>
                </w:p>
              </w:tc>
            </w:tr>
            <w:tr w14:paraId="67361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restart"/>
                  <w:vAlign w:val="center"/>
                </w:tcPr>
                <w:p w14:paraId="0D7631A5">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废水</w:t>
                  </w:r>
                </w:p>
              </w:tc>
              <w:tc>
                <w:tcPr>
                  <w:tcW w:w="1422" w:type="pct"/>
                  <w:gridSpan w:val="2"/>
                  <w:vAlign w:val="center"/>
                </w:tcPr>
                <w:p w14:paraId="076A087A">
                  <w:pPr>
                    <w:spacing w:line="240" w:lineRule="auto"/>
                    <w:jc w:val="center"/>
                    <w:rPr>
                      <w:rFonts w:hint="default" w:ascii="Times New Roman" w:hAnsi="Times New Roman" w:eastAsia="宋体" w:cs="Times New Roman"/>
                      <w:color w:val="auto"/>
                      <w:position w:val="-10"/>
                      <w:sz w:val="21"/>
                      <w:szCs w:val="21"/>
                      <w:lang w:val="en-US" w:eastAsia="zh-CN"/>
                    </w:rPr>
                  </w:pPr>
                  <w:r>
                    <w:rPr>
                      <w:rFonts w:hint="default" w:ascii="Times New Roman" w:hAnsi="Times New Roman" w:cs="Times New Roman"/>
                      <w:color w:val="auto"/>
                      <w:position w:val="-10"/>
                      <w:sz w:val="21"/>
                      <w:szCs w:val="21"/>
                      <w:lang w:val="en-US" w:eastAsia="zh-CN"/>
                    </w:rPr>
                    <w:t>间接冷却废水</w:t>
                  </w:r>
                </w:p>
              </w:tc>
              <w:tc>
                <w:tcPr>
                  <w:tcW w:w="1055" w:type="pct"/>
                  <w:vMerge w:val="restart"/>
                  <w:vAlign w:val="center"/>
                </w:tcPr>
                <w:p w14:paraId="26D96B23">
                  <w:pPr>
                    <w:spacing w:line="240" w:lineRule="auto"/>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CODcr、SS、石油类</w:t>
                  </w:r>
                </w:p>
              </w:tc>
              <w:tc>
                <w:tcPr>
                  <w:tcW w:w="2140" w:type="pct"/>
                  <w:vAlign w:val="center"/>
                </w:tcPr>
                <w:p w14:paraId="44F62122">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循环使用不外排</w:t>
                  </w:r>
                </w:p>
              </w:tc>
            </w:tr>
            <w:tr w14:paraId="4A2B0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81" w:type="pct"/>
                  <w:vMerge w:val="continue"/>
                  <w:vAlign w:val="center"/>
                </w:tcPr>
                <w:p w14:paraId="1CAAFA25">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6172B125">
                  <w:pPr>
                    <w:spacing w:line="240" w:lineRule="auto"/>
                    <w:jc w:val="center"/>
                    <w:rPr>
                      <w:rFonts w:hint="default" w:ascii="Times New Roman" w:hAnsi="Times New Roman" w:cs="Times New Roman"/>
                      <w:color w:val="auto"/>
                      <w:position w:val="-10"/>
                      <w:sz w:val="21"/>
                      <w:szCs w:val="21"/>
                    </w:rPr>
                  </w:pPr>
                  <w:r>
                    <w:rPr>
                      <w:rFonts w:hint="default" w:ascii="Times New Roman" w:hAnsi="Times New Roman" w:cs="Times New Roman"/>
                      <w:color w:val="auto"/>
                      <w:position w:val="-10"/>
                      <w:sz w:val="21"/>
                      <w:szCs w:val="21"/>
                    </w:rPr>
                    <w:t>喷淋塔废水</w:t>
                  </w:r>
                </w:p>
              </w:tc>
              <w:tc>
                <w:tcPr>
                  <w:tcW w:w="1055" w:type="pct"/>
                  <w:vMerge w:val="continue"/>
                  <w:vAlign w:val="center"/>
                </w:tcPr>
                <w:p w14:paraId="215CDCCB">
                  <w:pPr>
                    <w:spacing w:line="240" w:lineRule="auto"/>
                    <w:jc w:val="center"/>
                    <w:textAlignment w:val="center"/>
                    <w:rPr>
                      <w:rFonts w:hint="default" w:ascii="Times New Roman" w:hAnsi="Times New Roman" w:cs="Times New Roman"/>
                      <w:color w:val="auto"/>
                      <w:sz w:val="21"/>
                      <w:szCs w:val="21"/>
                    </w:rPr>
                  </w:pPr>
                </w:p>
              </w:tc>
              <w:tc>
                <w:tcPr>
                  <w:tcW w:w="2140" w:type="pct"/>
                  <w:vAlign w:val="center"/>
                </w:tcPr>
                <w:p w14:paraId="73559BA1">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收集后交由有资质的单位处理</w:t>
                  </w:r>
                </w:p>
              </w:tc>
            </w:tr>
            <w:tr w14:paraId="06268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81" w:type="pct"/>
                  <w:vMerge w:val="continue"/>
                  <w:vAlign w:val="center"/>
                </w:tcPr>
                <w:p w14:paraId="51F065A3">
                  <w:pPr>
                    <w:spacing w:line="240" w:lineRule="auto"/>
                    <w:jc w:val="center"/>
                    <w:rPr>
                      <w:rFonts w:hint="default" w:ascii="Times New Roman" w:hAnsi="Times New Roman" w:cs="Times New Roman"/>
                      <w:bCs/>
                      <w:color w:val="auto"/>
                      <w:sz w:val="21"/>
                      <w:szCs w:val="21"/>
                    </w:rPr>
                  </w:pPr>
                </w:p>
              </w:tc>
              <w:tc>
                <w:tcPr>
                  <w:tcW w:w="1422" w:type="pct"/>
                  <w:gridSpan w:val="2"/>
                  <w:vAlign w:val="center"/>
                </w:tcPr>
                <w:p w14:paraId="12F1D317">
                  <w:pPr>
                    <w:spacing w:line="240" w:lineRule="auto"/>
                    <w:jc w:val="center"/>
                    <w:rPr>
                      <w:rFonts w:hint="default" w:ascii="Times New Roman" w:hAnsi="Times New Roman" w:cs="Times New Roman"/>
                      <w:color w:val="auto"/>
                      <w:position w:val="-10"/>
                      <w:sz w:val="21"/>
                      <w:szCs w:val="21"/>
                      <w:lang w:val="en"/>
                    </w:rPr>
                  </w:pPr>
                  <w:r>
                    <w:rPr>
                      <w:rFonts w:hint="default" w:ascii="Times New Roman" w:hAnsi="Times New Roman" w:cs="Times New Roman"/>
                      <w:bCs/>
                      <w:color w:val="auto"/>
                      <w:sz w:val="21"/>
                      <w:szCs w:val="21"/>
                    </w:rPr>
                    <w:t>生活污水</w:t>
                  </w:r>
                </w:p>
              </w:tc>
              <w:tc>
                <w:tcPr>
                  <w:tcW w:w="1055" w:type="pct"/>
                  <w:vAlign w:val="center"/>
                </w:tcPr>
                <w:p w14:paraId="0D0F6AF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CODcr、BOD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石油类</w:t>
                  </w:r>
                </w:p>
              </w:tc>
              <w:tc>
                <w:tcPr>
                  <w:tcW w:w="2140" w:type="pct"/>
                  <w:vAlign w:val="center"/>
                </w:tcPr>
                <w:p w14:paraId="53522614">
                  <w:pPr>
                    <w:spacing w:line="240" w:lineRule="auto"/>
                    <w:jc w:val="center"/>
                    <w:rPr>
                      <w:rFonts w:hint="default" w:ascii="Times New Roman" w:hAnsi="Times New Roman" w:eastAsia="楷体_GB2312" w:cs="Times New Roman"/>
                      <w:color w:val="auto"/>
                      <w:sz w:val="21"/>
                      <w:szCs w:val="21"/>
                    </w:rPr>
                  </w:pPr>
                  <w:r>
                    <w:rPr>
                      <w:rFonts w:hint="default" w:ascii="Times New Roman" w:hAnsi="Times New Roman" w:cs="Times New Roman"/>
                      <w:color w:val="auto"/>
                      <w:sz w:val="21"/>
                      <w:szCs w:val="21"/>
                    </w:rPr>
                    <w:t>三级化粪池预处理后纳入市政管网进入</w:t>
                  </w: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处理</w:t>
                  </w:r>
                </w:p>
              </w:tc>
            </w:tr>
            <w:tr w14:paraId="628A4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Align w:val="center"/>
                </w:tcPr>
                <w:p w14:paraId="2BAEB31B">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噪声</w:t>
                  </w:r>
                </w:p>
              </w:tc>
              <w:tc>
                <w:tcPr>
                  <w:tcW w:w="1422" w:type="pct"/>
                  <w:gridSpan w:val="2"/>
                  <w:vAlign w:val="center"/>
                </w:tcPr>
                <w:p w14:paraId="792B4CB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w:t>
                  </w:r>
                </w:p>
              </w:tc>
              <w:tc>
                <w:tcPr>
                  <w:tcW w:w="1055" w:type="pct"/>
                  <w:vAlign w:val="center"/>
                </w:tcPr>
                <w:p w14:paraId="20B9FCFB">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噪声</w:t>
                  </w:r>
                </w:p>
              </w:tc>
              <w:tc>
                <w:tcPr>
                  <w:tcW w:w="2140" w:type="pct"/>
                  <w:vAlign w:val="center"/>
                </w:tcPr>
                <w:p w14:paraId="02097F17">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隔声、减振、合理安排生产时间</w:t>
                  </w:r>
                </w:p>
              </w:tc>
            </w:tr>
            <w:tr w14:paraId="5F2A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81" w:type="pct"/>
                  <w:vMerge w:val="restart"/>
                  <w:vAlign w:val="center"/>
                </w:tcPr>
                <w:p w14:paraId="744EFE0C">
                  <w:pPr>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固废</w:t>
                  </w:r>
                </w:p>
              </w:tc>
              <w:tc>
                <w:tcPr>
                  <w:tcW w:w="251" w:type="pct"/>
                  <w:vMerge w:val="restart"/>
                  <w:vAlign w:val="center"/>
                </w:tcPr>
                <w:p w14:paraId="0086542A">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tc>
              <w:tc>
                <w:tcPr>
                  <w:tcW w:w="1170" w:type="pct"/>
                  <w:vAlign w:val="center"/>
                </w:tcPr>
                <w:p w14:paraId="5F90A6D3">
                  <w:pPr>
                    <w:wordWrap/>
                    <w:spacing w:line="240" w:lineRule="auto"/>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检验</w:t>
                  </w:r>
                </w:p>
              </w:tc>
              <w:tc>
                <w:tcPr>
                  <w:tcW w:w="1055" w:type="pct"/>
                  <w:vAlign w:val="center"/>
                </w:tcPr>
                <w:p w14:paraId="13162B20">
                  <w:pPr>
                    <w:wordWrap/>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sz w:val="21"/>
                      <w:szCs w:val="21"/>
                      <w:lang w:val="en-US" w:eastAsia="zh-CN"/>
                    </w:rPr>
                    <w:t>废模具</w:t>
                  </w:r>
                </w:p>
              </w:tc>
              <w:tc>
                <w:tcPr>
                  <w:tcW w:w="2140" w:type="pct"/>
                  <w:vMerge w:val="restart"/>
                  <w:vAlign w:val="center"/>
                </w:tcPr>
                <w:p w14:paraId="3CBC73F3">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交由专业回收公司回收处理</w:t>
                  </w:r>
                </w:p>
              </w:tc>
            </w:tr>
            <w:tr w14:paraId="3D0D7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6B472861">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21B844F7">
                  <w:pPr>
                    <w:spacing w:line="240" w:lineRule="auto"/>
                    <w:jc w:val="center"/>
                    <w:rPr>
                      <w:rFonts w:hint="default" w:ascii="Times New Roman" w:hAnsi="Times New Roman" w:cs="Times New Roman"/>
                      <w:color w:val="auto"/>
                      <w:sz w:val="21"/>
                      <w:szCs w:val="21"/>
                    </w:rPr>
                  </w:pPr>
                </w:p>
              </w:tc>
              <w:tc>
                <w:tcPr>
                  <w:tcW w:w="1170" w:type="pct"/>
                  <w:vAlign w:val="center"/>
                </w:tcPr>
                <w:p w14:paraId="7ECE57A7">
                  <w:pPr>
                    <w:wordWrap/>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冲压</w:t>
                  </w:r>
                </w:p>
              </w:tc>
              <w:tc>
                <w:tcPr>
                  <w:tcW w:w="1055" w:type="pct"/>
                  <w:vAlign w:val="center"/>
                </w:tcPr>
                <w:p w14:paraId="031F59BC">
                  <w:pPr>
                    <w:wordWrap/>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金属边角料</w:t>
                  </w:r>
                </w:p>
              </w:tc>
              <w:tc>
                <w:tcPr>
                  <w:tcW w:w="2140" w:type="pct"/>
                  <w:vMerge w:val="continue"/>
                  <w:vAlign w:val="center"/>
                </w:tcPr>
                <w:p w14:paraId="36EDE1AC">
                  <w:pPr>
                    <w:wordWrap/>
                    <w:spacing w:line="240" w:lineRule="auto"/>
                    <w:jc w:val="center"/>
                    <w:rPr>
                      <w:rFonts w:hint="default" w:ascii="Times New Roman" w:hAnsi="Times New Roman" w:cs="Times New Roman"/>
                      <w:color w:val="auto"/>
                      <w:sz w:val="21"/>
                      <w:szCs w:val="21"/>
                    </w:rPr>
                  </w:pPr>
                </w:p>
              </w:tc>
            </w:tr>
            <w:tr w14:paraId="60572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508586B">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0D6B8885">
                  <w:pPr>
                    <w:spacing w:line="240" w:lineRule="auto"/>
                    <w:jc w:val="center"/>
                    <w:rPr>
                      <w:rFonts w:hint="default" w:ascii="Times New Roman" w:hAnsi="Times New Roman" w:cs="Times New Roman"/>
                      <w:color w:val="auto"/>
                      <w:sz w:val="21"/>
                      <w:szCs w:val="21"/>
                    </w:rPr>
                  </w:pPr>
                </w:p>
              </w:tc>
              <w:tc>
                <w:tcPr>
                  <w:tcW w:w="1170" w:type="pct"/>
                  <w:vAlign w:val="center"/>
                </w:tcPr>
                <w:p w14:paraId="73C75135">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包装</w:t>
                  </w:r>
                </w:p>
              </w:tc>
              <w:tc>
                <w:tcPr>
                  <w:tcW w:w="1055" w:type="pct"/>
                  <w:vAlign w:val="center"/>
                </w:tcPr>
                <w:p w14:paraId="3DEDA5A6">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废包装材料</w:t>
                  </w:r>
                </w:p>
              </w:tc>
              <w:tc>
                <w:tcPr>
                  <w:tcW w:w="2140" w:type="pct"/>
                  <w:vMerge w:val="continue"/>
                  <w:vAlign w:val="center"/>
                </w:tcPr>
                <w:p w14:paraId="2E291205">
                  <w:pPr>
                    <w:wordWrap/>
                    <w:spacing w:line="240" w:lineRule="auto"/>
                    <w:jc w:val="center"/>
                    <w:rPr>
                      <w:rFonts w:hint="default" w:ascii="Times New Roman" w:hAnsi="Times New Roman" w:cs="Times New Roman"/>
                      <w:color w:val="auto"/>
                      <w:sz w:val="21"/>
                      <w:szCs w:val="21"/>
                    </w:rPr>
                  </w:pPr>
                </w:p>
              </w:tc>
            </w:tr>
            <w:tr w14:paraId="1F058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3D95991">
                  <w:pPr>
                    <w:spacing w:line="240" w:lineRule="auto"/>
                    <w:jc w:val="center"/>
                    <w:rPr>
                      <w:rFonts w:hint="default" w:ascii="Times New Roman" w:hAnsi="Times New Roman" w:cs="Times New Roman"/>
                      <w:bCs/>
                      <w:color w:val="auto"/>
                      <w:sz w:val="21"/>
                      <w:szCs w:val="21"/>
                    </w:rPr>
                  </w:pPr>
                </w:p>
              </w:tc>
              <w:tc>
                <w:tcPr>
                  <w:tcW w:w="251" w:type="pct"/>
                  <w:vMerge w:val="restart"/>
                  <w:vAlign w:val="center"/>
                </w:tcPr>
                <w:p w14:paraId="0638712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1170" w:type="pct"/>
                  <w:vAlign w:val="center"/>
                </w:tcPr>
                <w:p w14:paraId="7902C97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设备维护、</w:t>
                  </w:r>
                  <w:r>
                    <w:rPr>
                      <w:rFonts w:hint="eastAsia" w:cs="Times New Roman"/>
                      <w:color w:val="auto"/>
                      <w:sz w:val="21"/>
                      <w:szCs w:val="21"/>
                      <w:lang w:val="en-US" w:eastAsia="zh-CN"/>
                    </w:rPr>
                    <w:t>机加工、</w:t>
                  </w:r>
                  <w:r>
                    <w:rPr>
                      <w:rFonts w:hint="default" w:ascii="Times New Roman" w:hAnsi="Times New Roman" w:cs="Times New Roman"/>
                      <w:color w:val="auto"/>
                      <w:sz w:val="21"/>
                      <w:szCs w:val="21"/>
                      <w:lang w:val="en-US" w:eastAsia="zh-CN"/>
                    </w:rPr>
                    <w:t>电火花</w:t>
                  </w:r>
                </w:p>
              </w:tc>
              <w:tc>
                <w:tcPr>
                  <w:tcW w:w="1055" w:type="pct"/>
                  <w:vAlign w:val="center"/>
                </w:tcPr>
                <w:p w14:paraId="5F8163B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2140" w:type="pct"/>
                  <w:vMerge w:val="restart"/>
                  <w:vAlign w:val="center"/>
                </w:tcPr>
                <w:p w14:paraId="30988507">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收集后交由有资质的单位回收处理</w:t>
                  </w:r>
                </w:p>
              </w:tc>
            </w:tr>
            <w:tr w14:paraId="3A25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8A24F67">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06CEB6AD">
                  <w:pPr>
                    <w:spacing w:line="240" w:lineRule="auto"/>
                    <w:jc w:val="center"/>
                    <w:rPr>
                      <w:rFonts w:hint="default" w:ascii="Times New Roman" w:hAnsi="Times New Roman" w:cs="Times New Roman"/>
                      <w:color w:val="auto"/>
                      <w:sz w:val="21"/>
                      <w:szCs w:val="21"/>
                    </w:rPr>
                  </w:pPr>
                </w:p>
              </w:tc>
              <w:tc>
                <w:tcPr>
                  <w:tcW w:w="1170" w:type="pct"/>
                  <w:vAlign w:val="center"/>
                </w:tcPr>
                <w:p w14:paraId="2940F9D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055" w:type="pct"/>
                  <w:vAlign w:val="center"/>
                </w:tcPr>
                <w:p w14:paraId="4D5D3C7D">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废原料桶</w:t>
                  </w:r>
                </w:p>
              </w:tc>
              <w:tc>
                <w:tcPr>
                  <w:tcW w:w="2140" w:type="pct"/>
                  <w:vMerge w:val="continue"/>
                  <w:vAlign w:val="center"/>
                </w:tcPr>
                <w:p w14:paraId="0667D208">
                  <w:pPr>
                    <w:spacing w:line="240" w:lineRule="auto"/>
                    <w:jc w:val="center"/>
                    <w:rPr>
                      <w:rFonts w:hint="default" w:ascii="Times New Roman" w:hAnsi="Times New Roman" w:cs="Times New Roman"/>
                      <w:color w:val="auto"/>
                      <w:sz w:val="21"/>
                      <w:szCs w:val="21"/>
                    </w:rPr>
                  </w:pPr>
                </w:p>
              </w:tc>
            </w:tr>
            <w:tr w14:paraId="0096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372AA994">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5C26B443">
                  <w:pPr>
                    <w:spacing w:line="240" w:lineRule="auto"/>
                    <w:jc w:val="center"/>
                    <w:rPr>
                      <w:rFonts w:hint="default" w:ascii="Times New Roman" w:hAnsi="Times New Roman" w:cs="Times New Roman"/>
                      <w:color w:val="auto"/>
                      <w:sz w:val="21"/>
                      <w:szCs w:val="21"/>
                    </w:rPr>
                  </w:pPr>
                </w:p>
              </w:tc>
              <w:tc>
                <w:tcPr>
                  <w:tcW w:w="1170" w:type="pct"/>
                  <w:vAlign w:val="center"/>
                </w:tcPr>
                <w:p w14:paraId="4F59675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055" w:type="pct"/>
                  <w:vAlign w:val="center"/>
                </w:tcPr>
                <w:p w14:paraId="26B72F1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废抹布及废手套</w:t>
                  </w:r>
                </w:p>
              </w:tc>
              <w:tc>
                <w:tcPr>
                  <w:tcW w:w="2140" w:type="pct"/>
                  <w:vMerge w:val="continue"/>
                  <w:vAlign w:val="center"/>
                </w:tcPr>
                <w:p w14:paraId="29B616B5">
                  <w:pPr>
                    <w:spacing w:line="240" w:lineRule="auto"/>
                    <w:jc w:val="center"/>
                    <w:rPr>
                      <w:rFonts w:hint="default" w:ascii="Times New Roman" w:hAnsi="Times New Roman" w:cs="Times New Roman"/>
                      <w:color w:val="auto"/>
                      <w:sz w:val="21"/>
                      <w:szCs w:val="21"/>
                    </w:rPr>
                  </w:pPr>
                </w:p>
              </w:tc>
            </w:tr>
            <w:tr w14:paraId="67E1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7502C495">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1ED09C2A">
                  <w:pPr>
                    <w:spacing w:line="240" w:lineRule="auto"/>
                    <w:jc w:val="center"/>
                    <w:rPr>
                      <w:rFonts w:hint="default" w:ascii="Times New Roman" w:hAnsi="Times New Roman" w:cs="Times New Roman"/>
                      <w:color w:val="auto"/>
                      <w:sz w:val="21"/>
                      <w:szCs w:val="21"/>
                    </w:rPr>
                  </w:pPr>
                </w:p>
              </w:tc>
              <w:tc>
                <w:tcPr>
                  <w:tcW w:w="1170" w:type="pct"/>
                  <w:vAlign w:val="center"/>
                </w:tcPr>
                <w:p w14:paraId="4CBB663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055" w:type="pct"/>
                  <w:vAlign w:val="center"/>
                </w:tcPr>
                <w:p w14:paraId="26E42E58">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喷淋废水</w:t>
                  </w:r>
                </w:p>
              </w:tc>
              <w:tc>
                <w:tcPr>
                  <w:tcW w:w="2140" w:type="pct"/>
                  <w:vMerge w:val="continue"/>
                  <w:vAlign w:val="center"/>
                </w:tcPr>
                <w:p w14:paraId="5E275100">
                  <w:pPr>
                    <w:spacing w:line="240" w:lineRule="auto"/>
                    <w:jc w:val="center"/>
                    <w:rPr>
                      <w:rFonts w:hint="default" w:ascii="Times New Roman" w:hAnsi="Times New Roman" w:cs="Times New Roman"/>
                      <w:color w:val="auto"/>
                      <w:sz w:val="21"/>
                      <w:szCs w:val="21"/>
                    </w:rPr>
                  </w:pPr>
                </w:p>
              </w:tc>
            </w:tr>
            <w:tr w14:paraId="299A9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FCDC8CA">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419AADD5">
                  <w:pPr>
                    <w:spacing w:line="240" w:lineRule="auto"/>
                    <w:jc w:val="center"/>
                    <w:rPr>
                      <w:rFonts w:hint="default" w:ascii="Times New Roman" w:hAnsi="Times New Roman" w:cs="Times New Roman"/>
                      <w:color w:val="auto"/>
                      <w:sz w:val="21"/>
                      <w:szCs w:val="21"/>
                    </w:rPr>
                  </w:pPr>
                </w:p>
              </w:tc>
              <w:tc>
                <w:tcPr>
                  <w:tcW w:w="1170" w:type="pct"/>
                  <w:vAlign w:val="center"/>
                </w:tcPr>
                <w:p w14:paraId="56AEC6FC">
                  <w:pPr>
                    <w:autoSpaceDE w:val="0"/>
                    <w:autoSpaceDN w:val="0"/>
                    <w:spacing w:line="240" w:lineRule="auto"/>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机</w:t>
                  </w:r>
                  <w:r>
                    <w:rPr>
                      <w:rFonts w:hint="default" w:ascii="Times New Roman" w:hAnsi="Times New Roman" w:cs="Times New Roman"/>
                      <w:color w:val="auto"/>
                      <w:sz w:val="21"/>
                      <w:szCs w:val="21"/>
                      <w:lang w:val="en-US" w:eastAsia="zh-CN"/>
                    </w:rPr>
                    <w:t>加工</w:t>
                  </w:r>
                </w:p>
              </w:tc>
              <w:tc>
                <w:tcPr>
                  <w:tcW w:w="1055" w:type="pct"/>
                  <w:vAlign w:val="center"/>
                </w:tcPr>
                <w:p w14:paraId="5EA0A2A8">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含油金属屑</w:t>
                  </w:r>
                </w:p>
              </w:tc>
              <w:tc>
                <w:tcPr>
                  <w:tcW w:w="2140" w:type="pct"/>
                  <w:vMerge w:val="continue"/>
                  <w:vAlign w:val="center"/>
                </w:tcPr>
                <w:p w14:paraId="54B66DA6">
                  <w:pPr>
                    <w:spacing w:line="240" w:lineRule="auto"/>
                    <w:jc w:val="center"/>
                    <w:rPr>
                      <w:rFonts w:hint="default" w:ascii="Times New Roman" w:hAnsi="Times New Roman" w:cs="Times New Roman"/>
                      <w:color w:val="auto"/>
                      <w:sz w:val="21"/>
                      <w:szCs w:val="21"/>
                    </w:rPr>
                  </w:pPr>
                </w:p>
              </w:tc>
            </w:tr>
            <w:tr w14:paraId="346B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1FC22685">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69BC6E04">
                  <w:pPr>
                    <w:spacing w:line="240" w:lineRule="auto"/>
                    <w:jc w:val="center"/>
                    <w:rPr>
                      <w:rFonts w:hint="default" w:ascii="Times New Roman" w:hAnsi="Times New Roman" w:cs="Times New Roman"/>
                      <w:color w:val="auto"/>
                      <w:sz w:val="21"/>
                      <w:szCs w:val="21"/>
                    </w:rPr>
                  </w:pPr>
                </w:p>
              </w:tc>
              <w:tc>
                <w:tcPr>
                  <w:tcW w:w="1170" w:type="pct"/>
                  <w:vAlign w:val="center"/>
                </w:tcPr>
                <w:p w14:paraId="2D87579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活性炭吸附装置</w:t>
                  </w:r>
                </w:p>
              </w:tc>
              <w:tc>
                <w:tcPr>
                  <w:tcW w:w="1055" w:type="pct"/>
                  <w:vAlign w:val="center"/>
                </w:tcPr>
                <w:p w14:paraId="544CE933">
                  <w:pPr>
                    <w:autoSpaceDE w:val="0"/>
                    <w:autoSpaceDN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废活性炭</w:t>
                  </w:r>
                </w:p>
              </w:tc>
              <w:tc>
                <w:tcPr>
                  <w:tcW w:w="2140" w:type="pct"/>
                  <w:vMerge w:val="continue"/>
                  <w:vAlign w:val="center"/>
                </w:tcPr>
                <w:p w14:paraId="525FC61C">
                  <w:pPr>
                    <w:spacing w:line="240" w:lineRule="auto"/>
                    <w:jc w:val="center"/>
                    <w:rPr>
                      <w:rFonts w:hint="default" w:ascii="Times New Roman" w:hAnsi="Times New Roman" w:cs="Times New Roman"/>
                      <w:color w:val="auto"/>
                      <w:sz w:val="21"/>
                      <w:szCs w:val="21"/>
                    </w:rPr>
                  </w:pPr>
                </w:p>
              </w:tc>
            </w:tr>
            <w:tr w14:paraId="5A18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 w:type="pct"/>
                  <w:vMerge w:val="continue"/>
                  <w:vAlign w:val="center"/>
                </w:tcPr>
                <w:p w14:paraId="2F825D4C">
                  <w:pPr>
                    <w:spacing w:line="240" w:lineRule="auto"/>
                    <w:jc w:val="center"/>
                    <w:rPr>
                      <w:rFonts w:hint="default" w:ascii="Times New Roman" w:hAnsi="Times New Roman" w:cs="Times New Roman"/>
                      <w:bCs/>
                      <w:color w:val="auto"/>
                      <w:sz w:val="21"/>
                      <w:szCs w:val="21"/>
                    </w:rPr>
                  </w:pPr>
                </w:p>
              </w:tc>
              <w:tc>
                <w:tcPr>
                  <w:tcW w:w="251" w:type="pct"/>
                  <w:vMerge w:val="continue"/>
                  <w:vAlign w:val="center"/>
                </w:tcPr>
                <w:p w14:paraId="77F85FBE">
                  <w:pPr>
                    <w:spacing w:line="240" w:lineRule="auto"/>
                    <w:jc w:val="center"/>
                    <w:rPr>
                      <w:rFonts w:hint="default" w:ascii="Times New Roman" w:hAnsi="Times New Roman" w:cs="Times New Roman"/>
                      <w:color w:val="auto"/>
                      <w:sz w:val="21"/>
                      <w:szCs w:val="21"/>
                    </w:rPr>
                  </w:pPr>
                </w:p>
              </w:tc>
              <w:tc>
                <w:tcPr>
                  <w:tcW w:w="1170" w:type="pct"/>
                  <w:vAlign w:val="center"/>
                </w:tcPr>
                <w:p w14:paraId="09A51B44">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钢网清洗</w:t>
                  </w:r>
                </w:p>
              </w:tc>
              <w:tc>
                <w:tcPr>
                  <w:tcW w:w="1055" w:type="pct"/>
                  <w:vAlign w:val="center"/>
                </w:tcPr>
                <w:p w14:paraId="7CD15B8C">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废钢网</w:t>
                  </w:r>
                </w:p>
              </w:tc>
              <w:tc>
                <w:tcPr>
                  <w:tcW w:w="2140" w:type="pct"/>
                  <w:vMerge w:val="continue"/>
                  <w:vAlign w:val="center"/>
                </w:tcPr>
                <w:p w14:paraId="6A298389">
                  <w:pPr>
                    <w:spacing w:line="240" w:lineRule="auto"/>
                    <w:jc w:val="center"/>
                    <w:rPr>
                      <w:rFonts w:hint="default" w:ascii="Times New Roman" w:hAnsi="Times New Roman" w:cs="Times New Roman"/>
                      <w:color w:val="auto"/>
                      <w:sz w:val="21"/>
                      <w:szCs w:val="21"/>
                    </w:rPr>
                  </w:pPr>
                </w:p>
              </w:tc>
            </w:tr>
          </w:tbl>
          <w:p w14:paraId="2D8272EE">
            <w:pPr>
              <w:rPr>
                <w:rFonts w:hint="default" w:ascii="Times New Roman" w:hAnsi="Times New Roman" w:eastAsia="宋体" w:cs="Times New Roman"/>
                <w:color w:val="auto"/>
                <w:lang w:val="en-US" w:eastAsia="zh-CN"/>
              </w:rPr>
            </w:pPr>
          </w:p>
        </w:tc>
      </w:tr>
      <w:tr w14:paraId="4F166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49" w:hRule="atLeast"/>
          <w:jc w:val="center"/>
        </w:trPr>
        <w:tc>
          <w:tcPr>
            <w:tcW w:w="401" w:type="dxa"/>
            <w:vAlign w:val="center"/>
          </w:tcPr>
          <w:p w14:paraId="7C4BC016">
            <w:pPr>
              <w:pStyle w:val="1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Cs/>
                <w:color w:val="auto"/>
                <w:kern w:val="2"/>
                <w:sz w:val="21"/>
                <w:szCs w:val="21"/>
              </w:rPr>
              <w:t>与项目有关的原有环境污染问题</w:t>
            </w:r>
          </w:p>
        </w:tc>
        <w:tc>
          <w:tcPr>
            <w:tcW w:w="8670" w:type="dxa"/>
            <w:vAlign w:val="center"/>
          </w:tcPr>
          <w:p w14:paraId="47E5682A">
            <w:pPr>
              <w:adjustRightInd w:val="0"/>
              <w:snapToGrid w:val="0"/>
              <w:rPr>
                <w:rFonts w:hint="default" w:ascii="Times New Roman" w:hAnsi="Times New Roman" w:cs="Times New Roman"/>
                <w:bCs/>
                <w:color w:val="auto"/>
                <w:szCs w:val="21"/>
              </w:rPr>
            </w:pPr>
            <w:r>
              <w:rPr>
                <w:rFonts w:hint="default" w:ascii="Times New Roman" w:hAnsi="Times New Roman" w:cs="Times New Roman"/>
                <w:color w:val="auto"/>
                <w:szCs w:val="22"/>
              </w:rPr>
              <w:t xml:space="preserve">  项目属新建项目，使用已有</w:t>
            </w:r>
            <w:r>
              <w:rPr>
                <w:rFonts w:hint="default" w:ascii="Times New Roman" w:hAnsi="Times New Roman" w:cs="Times New Roman"/>
                <w:color w:val="auto"/>
                <w:szCs w:val="22"/>
                <w:lang w:val="en-US" w:eastAsia="zh-CN"/>
              </w:rPr>
              <w:t>厂房</w:t>
            </w:r>
            <w:r>
              <w:rPr>
                <w:rFonts w:hint="default" w:ascii="Times New Roman" w:hAnsi="Times New Roman" w:cs="Times New Roman"/>
                <w:color w:val="auto"/>
                <w:szCs w:val="22"/>
              </w:rPr>
              <w:t>进行建设，不存在与项目有关的原有污染问题。</w:t>
            </w:r>
          </w:p>
        </w:tc>
      </w:tr>
    </w:tbl>
    <w:p w14:paraId="4584DEE3">
      <w:pPr>
        <w:pStyle w:val="18"/>
        <w:jc w:val="center"/>
        <w:rPr>
          <w:rFonts w:hint="default" w:ascii="Times New Roman" w:hAnsi="Times New Roman" w:eastAsia="黑体" w:cs="Times New Roman"/>
          <w:snapToGrid w:val="0"/>
          <w:color w:val="auto"/>
          <w:sz w:val="36"/>
          <w:szCs w:val="36"/>
        </w:rPr>
        <w:sectPr>
          <w:pgSz w:w="11906" w:h="16838"/>
          <w:pgMar w:top="1701" w:right="1531" w:bottom="1701" w:left="1531" w:header="851" w:footer="851" w:gutter="0"/>
          <w:cols w:space="720" w:num="1"/>
          <w:docGrid w:linePitch="312" w:charSpace="0"/>
        </w:sectPr>
      </w:pPr>
    </w:p>
    <w:p w14:paraId="6ADEF7DF">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三、区域环境质量现状、环境保护目标及评价标准</w:t>
      </w:r>
    </w:p>
    <w:p w14:paraId="431A2D9A">
      <w:pPr>
        <w:adjustRightInd w:val="0"/>
        <w:snapToGrid w:val="0"/>
        <w:jc w:val="center"/>
        <w:rPr>
          <w:rFonts w:hint="default" w:ascii="Times New Roman" w:hAnsi="Times New Roman" w:cs="Times New Roman"/>
          <w:color w:val="auto"/>
          <w:kern w:val="0"/>
          <w:szCs w:val="21"/>
        </w:rPr>
        <w:sectPr>
          <w:pgSz w:w="11907" w:h="16840"/>
          <w:pgMar w:top="1701" w:right="1531" w:bottom="2127" w:left="1531" w:header="851" w:footer="1417" w:gutter="0"/>
          <w:cols w:space="720" w:num="1"/>
          <w:docGrid w:linePitch="312" w:charSpace="0"/>
        </w:sectPr>
      </w:pPr>
    </w:p>
    <w:tbl>
      <w:tblPr>
        <w:tblStyle w:val="22"/>
        <w:tblW w:w="95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9090"/>
      </w:tblGrid>
      <w:tr w14:paraId="3AF715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26" w:hRule="atLeast"/>
          <w:jc w:val="center"/>
        </w:trPr>
        <w:tc>
          <w:tcPr>
            <w:tcW w:w="456" w:type="dxa"/>
            <w:tcBorders>
              <w:top w:val="single" w:color="auto" w:sz="4" w:space="0"/>
              <w:left w:val="single" w:color="auto" w:sz="4" w:space="0"/>
              <w:bottom w:val="single" w:color="auto" w:sz="4" w:space="0"/>
              <w:right w:val="single" w:color="auto" w:sz="4" w:space="0"/>
            </w:tcBorders>
            <w:vAlign w:val="center"/>
          </w:tcPr>
          <w:p w14:paraId="15A39121">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区域</w:t>
            </w:r>
          </w:p>
          <w:p w14:paraId="3B34720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14:paraId="25DE660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质量</w:t>
            </w:r>
          </w:p>
          <w:p w14:paraId="40A2C4D9">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现状</w:t>
            </w:r>
          </w:p>
        </w:tc>
        <w:tc>
          <w:tcPr>
            <w:tcW w:w="9090" w:type="dxa"/>
            <w:tcBorders>
              <w:top w:val="single" w:color="auto" w:sz="4" w:space="0"/>
              <w:left w:val="single" w:color="auto" w:sz="4" w:space="0"/>
              <w:bottom w:val="single" w:color="auto" w:sz="4" w:space="0"/>
              <w:right w:val="single" w:color="auto" w:sz="4" w:space="0"/>
            </w:tcBorders>
          </w:tcPr>
          <w:p w14:paraId="24EE0FE4">
            <w:pPr>
              <w:adjustRightInd w:val="0"/>
              <w:snapToGrid w:val="0"/>
              <w:spacing w:line="360" w:lineRule="auto"/>
              <w:jc w:val="left"/>
              <w:rPr>
                <w:rFonts w:hint="eastAsia" w:cs="宋体"/>
                <w:b/>
                <w:bCs/>
                <w:color w:val="auto"/>
                <w:kern w:val="0"/>
                <w:sz w:val="24"/>
                <w:szCs w:val="21"/>
              </w:rPr>
            </w:pPr>
            <w:r>
              <w:rPr>
                <w:rFonts w:hint="eastAsia" w:cs="宋体"/>
                <w:b/>
                <w:bCs/>
                <w:color w:val="auto"/>
                <w:kern w:val="0"/>
                <w:sz w:val="24"/>
                <w:szCs w:val="21"/>
              </w:rPr>
              <w:t>1、大气环境</w:t>
            </w:r>
          </w:p>
          <w:p w14:paraId="7F700A7B">
            <w:pPr>
              <w:wordWrap w:val="0"/>
              <w:spacing w:line="360" w:lineRule="auto"/>
              <w:ind w:firstLine="480"/>
              <w:rPr>
                <w:rFonts w:ascii="Times New Roman" w:hAnsi="Times New Roman" w:eastAsia="宋体" w:cs="Times New Roman"/>
                <w:color w:val="auto"/>
                <w:sz w:val="24"/>
              </w:rPr>
            </w:pPr>
            <w:r>
              <w:rPr>
                <w:rFonts w:ascii="Times New Roman" w:hAnsi="Times New Roman" w:eastAsia="宋体" w:cs="Times New Roman"/>
                <w:color w:val="auto"/>
                <w:sz w:val="24"/>
              </w:rPr>
              <w:t>根据</w:t>
            </w:r>
            <w:r>
              <w:rPr>
                <w:rFonts w:hint="eastAsia" w:ascii="Times New Roman" w:hAnsi="Times New Roman" w:eastAsia="宋体" w:cs="Times New Roman"/>
                <w:color w:val="auto"/>
                <w:sz w:val="24"/>
              </w:rPr>
              <w:t>《关于印发&lt;惠州市环境空气质量功能区划&gt;（2024年修订）的通知》（惠市环〔2024〕16号）</w:t>
            </w:r>
            <w:r>
              <w:rPr>
                <w:rFonts w:ascii="Times New Roman" w:hAnsi="Times New Roman" w:eastAsia="宋体" w:cs="Times New Roman"/>
                <w:color w:val="auto"/>
                <w:sz w:val="24"/>
              </w:rPr>
              <w:t>，本项目所在地属于环境空气质量功能区的二类区，环境空气质量应执行《环境空气质量标准》（GB3095-2012）及其2018年修改单中规定的二级标准。</w:t>
            </w:r>
          </w:p>
          <w:p w14:paraId="605DBBA6">
            <w:pPr>
              <w:wordWrap w:val="0"/>
              <w:spacing w:line="360" w:lineRule="auto"/>
              <w:ind w:firstLine="480"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t>根据惠州市生态环境局发布的《202</w:t>
            </w:r>
            <w:r>
              <w:rPr>
                <w:rFonts w:hint="eastAsia" w:ascii="Times New Roman" w:hAnsi="Times New Roman" w:eastAsia="宋体" w:cs="Times New Roman"/>
                <w:b w:val="0"/>
                <w:bCs w:val="0"/>
                <w:color w:val="auto"/>
                <w:sz w:val="24"/>
                <w:lang w:val="en-US" w:eastAsia="zh-CN"/>
              </w:rPr>
              <w:t>4</w:t>
            </w:r>
            <w:r>
              <w:rPr>
                <w:rFonts w:hint="default" w:ascii="Times New Roman" w:hAnsi="Times New Roman" w:eastAsia="宋体" w:cs="Times New Roman"/>
                <w:b w:val="0"/>
                <w:bCs w:val="0"/>
                <w:color w:val="auto"/>
                <w:sz w:val="24"/>
                <w:lang w:val="en-US" w:eastAsia="zh-CN"/>
              </w:rPr>
              <w:t>年惠州市生态环境状况公报》资料显示：城市空气质量：2024年，惠州市环境空气质量优良。六项污染物年评价浓度均达标，其中，二氧化硫、 二氧化氮、一氧化碳和可吸入颗粒物PM</w:t>
            </w:r>
            <w:r>
              <w:rPr>
                <w:rFonts w:hint="default" w:ascii="Times New Roman" w:hAnsi="Times New Roman" w:eastAsia="宋体" w:cs="Times New Roman"/>
                <w:b w:val="0"/>
                <w:bCs w:val="0"/>
                <w:color w:val="auto"/>
                <w:sz w:val="24"/>
                <w:vertAlign w:val="subscript"/>
                <w:lang w:val="en-US" w:eastAsia="zh-CN"/>
              </w:rPr>
              <w:t>10</w:t>
            </w:r>
            <w:r>
              <w:rPr>
                <w:rFonts w:hint="default" w:ascii="Times New Roman" w:hAnsi="Times New Roman" w:eastAsia="宋体" w:cs="Times New Roman"/>
                <w:b w:val="0"/>
                <w:bCs w:val="0"/>
                <w:color w:val="auto"/>
                <w:sz w:val="24"/>
                <w:lang w:val="en-US" w:eastAsia="zh-CN"/>
              </w:rPr>
              <w:t>年评价浓度达到国家一级标准；细颗粒物PM</w:t>
            </w:r>
            <w:r>
              <w:rPr>
                <w:rFonts w:hint="default" w:ascii="Times New Roman" w:hAnsi="Times New Roman" w:eastAsia="宋体" w:cs="Times New Roman"/>
                <w:b w:val="0"/>
                <w:bCs w:val="0"/>
                <w:color w:val="auto"/>
                <w:sz w:val="24"/>
                <w:vertAlign w:val="subscript"/>
                <w:lang w:val="en-US" w:eastAsia="zh-CN"/>
              </w:rPr>
              <w:t>2.5</w:t>
            </w:r>
            <w:r>
              <w:rPr>
                <w:rFonts w:hint="default" w:ascii="Times New Roman" w:hAnsi="Times New Roman" w:eastAsia="宋体" w:cs="Times New Roman"/>
                <w:b w:val="0"/>
                <w:bCs w:val="0"/>
                <w:color w:val="auto"/>
                <w:sz w:val="24"/>
                <w:lang w:val="en-US" w:eastAsia="zh-CN"/>
              </w:rPr>
              <w:t>和臭氧年评价浓度达到国家二级标准。综合指数为2.48，AQI达标率为95.9%，其中，优224天，良127天，轻度污染15天，无中度及以上污染，超标污染物为臭氧。</w:t>
            </w:r>
          </w:p>
          <w:p w14:paraId="787685B6">
            <w:pPr>
              <w:wordWrap w:val="0"/>
              <w:spacing w:line="360" w:lineRule="auto"/>
              <w:ind w:firstLine="480"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t>与2023年相比，综合指数改善3.1%，AQI达标率下降2.5个百分点，可吸入颗粒物PM</w:t>
            </w:r>
            <w:r>
              <w:rPr>
                <w:rFonts w:hint="default" w:ascii="Times New Roman" w:hAnsi="Times New Roman" w:eastAsia="宋体" w:cs="Times New Roman"/>
                <w:b w:val="0"/>
                <w:bCs w:val="0"/>
                <w:color w:val="auto"/>
                <w:sz w:val="24"/>
                <w:vertAlign w:val="subscript"/>
                <w:lang w:val="en-US" w:eastAsia="zh-CN"/>
              </w:rPr>
              <w:t>10</w:t>
            </w:r>
            <w:r>
              <w:rPr>
                <w:rFonts w:hint="default" w:ascii="Times New Roman" w:hAnsi="Times New Roman" w:eastAsia="宋体" w:cs="Times New Roman"/>
                <w:b w:val="0"/>
                <w:bCs w:val="0"/>
                <w:color w:val="auto"/>
                <w:sz w:val="24"/>
                <w:lang w:val="en-US" w:eastAsia="zh-CN"/>
              </w:rPr>
              <w:t>、细颗粒物PM</w:t>
            </w:r>
            <w:r>
              <w:rPr>
                <w:rFonts w:hint="default" w:ascii="Times New Roman" w:hAnsi="Times New Roman" w:eastAsia="宋体" w:cs="Times New Roman"/>
                <w:b w:val="0"/>
                <w:bCs w:val="0"/>
                <w:color w:val="auto"/>
                <w:sz w:val="24"/>
                <w:vertAlign w:val="subscript"/>
                <w:lang w:val="en-US" w:eastAsia="zh-CN"/>
              </w:rPr>
              <w:t>2.5</w:t>
            </w:r>
            <w:r>
              <w:rPr>
                <w:rFonts w:hint="default" w:ascii="Times New Roman" w:hAnsi="Times New Roman" w:eastAsia="宋体" w:cs="Times New Roman"/>
                <w:b w:val="0"/>
                <w:bCs w:val="0"/>
                <w:color w:val="auto"/>
                <w:sz w:val="24"/>
                <w:lang w:val="en-US" w:eastAsia="zh-CN"/>
              </w:rPr>
              <w:t>、二氧化氮分别改善11.1%、5.3%、12.5%，一氧化碳和二氧化硫持平，臭氧上升6.2%。</w:t>
            </w:r>
          </w:p>
          <w:p w14:paraId="6AEA9CC1">
            <w:pPr>
              <w:wordWrap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 w:val="0"/>
                <w:bCs w:val="0"/>
                <w:color w:val="auto"/>
                <w:sz w:val="24"/>
                <w:lang w:val="en-US" w:eastAsia="zh-CN"/>
              </w:rPr>
              <w:t>县区空气质量：2024年，各县区环境空气质量总体优良。六项污染物年评价浓度均达标，综合指数1.88（龙门县）～2.57（惠阳区），AQI达标率96.2%（惠阳区）～100%（龙门县），超标污染物均为臭氧。与2023年相比，各县区空气质量综合指数均有所改善，改善幅度为0.8%～8.7%。</w:t>
            </w:r>
          </w:p>
          <w:p w14:paraId="029F5C9C">
            <w:pPr>
              <w:adjustRightInd w:val="0"/>
              <w:snapToGrid w:val="0"/>
              <w:spacing w:line="360" w:lineRule="auto"/>
              <w:ind w:firstLine="482" w:firstLineChars="200"/>
              <w:jc w:val="left"/>
              <w:rPr>
                <w:rFonts w:hint="default" w:eastAsia="宋体" w:cs="宋体"/>
                <w:b/>
                <w:bCs/>
                <w:color w:val="auto"/>
                <w:kern w:val="0"/>
                <w:sz w:val="24"/>
                <w:szCs w:val="21"/>
                <w:lang w:val="en-US" w:eastAsia="zh-CN"/>
              </w:rPr>
            </w:pPr>
            <w:r>
              <w:rPr>
                <w:rFonts w:hint="eastAsia" w:cs="宋体"/>
                <w:b/>
                <w:bCs/>
                <w:color w:val="auto"/>
                <w:kern w:val="0"/>
                <w:sz w:val="24"/>
                <w:szCs w:val="21"/>
              </w:rPr>
              <w:t>特征污染物：</w:t>
            </w:r>
            <w:r>
              <w:rPr>
                <w:rFonts w:hint="eastAsia" w:cs="宋体"/>
                <w:b/>
                <w:bCs/>
                <w:color w:val="auto"/>
                <w:kern w:val="0"/>
                <w:sz w:val="24"/>
                <w:szCs w:val="21"/>
                <w:lang w:val="en-US" w:eastAsia="zh-CN"/>
              </w:rPr>
              <w:t>TSP、TVOC、非甲烷总烃</w:t>
            </w:r>
          </w:p>
          <w:p w14:paraId="2EC8B3C8">
            <w:pPr>
              <w:wordWrap w:val="0"/>
              <w:spacing w:line="360" w:lineRule="auto"/>
              <w:ind w:firstLine="480"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t>为了解项目所在区域环境空气质量情况，调查评价范围内有环境质量标准的评价因子的环境质量监测数据，本环评引用广东宏科检测技术有限公司</w:t>
            </w:r>
            <w:r>
              <w:rPr>
                <w:rFonts w:hint="eastAsia" w:ascii="Times New Roman" w:hAnsi="Times New Roman" w:eastAsia="宋体" w:cs="Times New Roman"/>
                <w:b w:val="0"/>
                <w:bCs w:val="0"/>
                <w:color w:val="auto"/>
                <w:sz w:val="24"/>
                <w:lang w:val="en-US" w:eastAsia="zh-CN"/>
              </w:rPr>
              <w:t>的检测报告（</w:t>
            </w:r>
            <w:r>
              <w:rPr>
                <w:rFonts w:hint="default" w:ascii="Times New Roman" w:hAnsi="Times New Roman" w:eastAsia="宋体" w:cs="Times New Roman"/>
                <w:b w:val="0"/>
                <w:bCs w:val="0"/>
                <w:color w:val="auto"/>
                <w:sz w:val="24"/>
                <w:lang w:val="en-US" w:eastAsia="zh-CN"/>
              </w:rPr>
              <w:t>GDHK20220107045</w:t>
            </w:r>
            <w:r>
              <w:rPr>
                <w:rFonts w:hint="eastAsia" w:ascii="Times New Roman" w:hAnsi="Times New Roman" w:eastAsia="宋体" w:cs="Times New Roman"/>
                <w:b w:val="0"/>
                <w:bCs w:val="0"/>
                <w:color w:val="auto"/>
                <w:sz w:val="24"/>
                <w:lang w:val="en-US" w:eastAsia="zh-CN"/>
              </w:rPr>
              <w:t>）中A1监测点的现状监测数据，监测日期：</w:t>
            </w:r>
            <w:r>
              <w:rPr>
                <w:rFonts w:hint="default" w:ascii="Times New Roman" w:hAnsi="Times New Roman" w:eastAsia="宋体" w:cs="Times New Roman"/>
                <w:b w:val="0"/>
                <w:bCs w:val="0"/>
                <w:color w:val="auto"/>
                <w:sz w:val="24"/>
                <w:lang w:val="en-US" w:eastAsia="zh-CN"/>
              </w:rPr>
              <w:t>202</w:t>
            </w:r>
            <w:r>
              <w:rPr>
                <w:rFonts w:hint="eastAsia" w:ascii="Times New Roman" w:hAnsi="Times New Roman" w:eastAsia="宋体" w:cs="Times New Roman"/>
                <w:b w:val="0"/>
                <w:bCs w:val="0"/>
                <w:color w:val="auto"/>
                <w:sz w:val="24"/>
                <w:lang w:val="en-US" w:eastAsia="zh-CN"/>
              </w:rPr>
              <w:t>5</w:t>
            </w:r>
            <w:r>
              <w:rPr>
                <w:rFonts w:hint="default" w:ascii="Times New Roman" w:hAnsi="Times New Roman" w:eastAsia="宋体" w:cs="Times New Roman"/>
                <w:b w:val="0"/>
                <w:bCs w:val="0"/>
                <w:color w:val="auto"/>
                <w:sz w:val="24"/>
                <w:lang w:val="en-US" w:eastAsia="zh-CN"/>
              </w:rPr>
              <w:t>年</w:t>
            </w:r>
            <w:r>
              <w:rPr>
                <w:rFonts w:hint="eastAsia" w:ascii="Times New Roman" w:hAnsi="Times New Roman" w:eastAsia="宋体" w:cs="Times New Roman"/>
                <w:b w:val="0"/>
                <w:bCs w:val="0"/>
                <w:color w:val="auto"/>
                <w:sz w:val="24"/>
                <w:lang w:val="en-US" w:eastAsia="zh-CN"/>
              </w:rPr>
              <w:t>7</w:t>
            </w:r>
            <w:r>
              <w:rPr>
                <w:rFonts w:hint="default" w:ascii="Times New Roman" w:hAnsi="Times New Roman" w:eastAsia="宋体" w:cs="Times New Roman"/>
                <w:b w:val="0"/>
                <w:bCs w:val="0"/>
                <w:color w:val="auto"/>
                <w:sz w:val="24"/>
                <w:lang w:val="en-US" w:eastAsia="zh-CN"/>
              </w:rPr>
              <w:t>月</w:t>
            </w:r>
            <w:r>
              <w:rPr>
                <w:rFonts w:hint="eastAsia" w:ascii="Times New Roman" w:hAnsi="Times New Roman" w:eastAsia="宋体" w:cs="Times New Roman"/>
                <w:b w:val="0"/>
                <w:bCs w:val="0"/>
                <w:color w:val="auto"/>
                <w:sz w:val="24"/>
                <w:lang w:val="en-US" w:eastAsia="zh-CN"/>
              </w:rPr>
              <w:t>12</w:t>
            </w:r>
            <w:r>
              <w:rPr>
                <w:rFonts w:hint="default" w:ascii="Times New Roman" w:hAnsi="Times New Roman" w:eastAsia="宋体" w:cs="Times New Roman"/>
                <w:b w:val="0"/>
                <w:bCs w:val="0"/>
                <w:color w:val="auto"/>
                <w:sz w:val="24"/>
                <w:lang w:val="en-US" w:eastAsia="zh-CN"/>
              </w:rPr>
              <w:t>日</w:t>
            </w:r>
            <w:r>
              <w:rPr>
                <w:rFonts w:hint="eastAsia" w:ascii="Times New Roman" w:hAnsi="Times New Roman" w:eastAsia="宋体" w:cs="Times New Roman"/>
                <w:b w:val="0"/>
                <w:bCs w:val="0"/>
                <w:color w:val="auto"/>
                <w:sz w:val="24"/>
                <w:lang w:val="en-US" w:eastAsia="zh-CN"/>
              </w:rPr>
              <w:t>-14</w:t>
            </w:r>
            <w:r>
              <w:rPr>
                <w:rFonts w:hint="default" w:ascii="Times New Roman" w:hAnsi="Times New Roman" w:eastAsia="宋体" w:cs="Times New Roman"/>
                <w:b w:val="0"/>
                <w:bCs w:val="0"/>
                <w:color w:val="auto"/>
                <w:sz w:val="24"/>
                <w:lang w:val="en-US" w:eastAsia="zh-CN"/>
              </w:rPr>
              <w:t>日。</w:t>
            </w:r>
            <w:r>
              <w:rPr>
                <w:rFonts w:hint="eastAsia" w:ascii="Times New Roman" w:hAnsi="Times New Roman" w:eastAsia="宋体" w:cs="Times New Roman"/>
                <w:b w:val="0"/>
                <w:bCs w:val="0"/>
                <w:color w:val="auto"/>
                <w:sz w:val="24"/>
                <w:lang w:val="en-US" w:eastAsia="zh-CN"/>
              </w:rPr>
              <w:t>监测点位</w:t>
            </w:r>
            <w:r>
              <w:rPr>
                <w:rFonts w:hint="default" w:ascii="Times New Roman" w:hAnsi="Times New Roman" w:eastAsia="宋体" w:cs="Times New Roman"/>
                <w:b w:val="0"/>
                <w:bCs w:val="0"/>
                <w:color w:val="auto"/>
                <w:sz w:val="24"/>
                <w:lang w:val="en-US" w:eastAsia="zh-CN"/>
              </w:rPr>
              <w:t>位于本项目</w:t>
            </w:r>
            <w:r>
              <w:rPr>
                <w:rFonts w:hint="eastAsia" w:ascii="Times New Roman" w:hAnsi="Times New Roman" w:cs="Times New Roman"/>
                <w:b w:val="0"/>
                <w:bCs w:val="0"/>
                <w:color w:val="auto"/>
                <w:sz w:val="24"/>
                <w:lang w:val="en-US" w:eastAsia="zh-CN"/>
              </w:rPr>
              <w:t>东北</w:t>
            </w:r>
            <w:r>
              <w:rPr>
                <w:rFonts w:hint="default" w:ascii="Times New Roman" w:hAnsi="Times New Roman" w:eastAsia="宋体" w:cs="Times New Roman"/>
                <w:b w:val="0"/>
                <w:bCs w:val="0"/>
                <w:color w:val="auto"/>
                <w:sz w:val="24"/>
                <w:lang w:val="en-US" w:eastAsia="zh-CN"/>
              </w:rPr>
              <w:t>面约</w:t>
            </w:r>
            <w:r>
              <w:rPr>
                <w:rFonts w:hint="eastAsia" w:ascii="Times New Roman" w:hAnsi="Times New Roman" w:cs="Times New Roman"/>
                <w:b w:val="0"/>
                <w:bCs w:val="0"/>
                <w:color w:val="auto"/>
                <w:sz w:val="24"/>
                <w:lang w:val="en-US" w:eastAsia="zh-CN"/>
              </w:rPr>
              <w:t>2245</w:t>
            </w:r>
            <w:r>
              <w:rPr>
                <w:rFonts w:hint="eastAsia"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lang w:val="en-US" w:eastAsia="zh-CN"/>
              </w:rPr>
              <w:t>，根据《建设项目环境影响报告表编制技术指南》（污染影响类）相关要求，环境质量现状引用的数据应为建设项目周边5千米范围内近3年的现有监测数据，因此本项目引用该监测数据具有合理性，具体监测结果见下表：</w:t>
            </w:r>
          </w:p>
          <w:p w14:paraId="59784F3F">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420" w:firstLineChars="0"/>
              <w:jc w:val="center"/>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Times New Roman" w:cs="Times New Roman"/>
                <w:b/>
                <w:bCs/>
                <w:color w:val="auto"/>
                <w:kern w:val="2"/>
                <w:sz w:val="24"/>
                <w:szCs w:val="24"/>
                <w:lang w:val="en-US" w:eastAsia="zh-CN" w:bidi="ar-SA"/>
              </w:rPr>
              <w:t>表3</w:t>
            </w:r>
            <w:r>
              <w:rPr>
                <w:rFonts w:hint="eastAsia" w:ascii="Times New Roman" w:hAnsi="Times New Roman" w:eastAsia="Times New Roman" w:cs="Times New Roman"/>
                <w:b/>
                <w:bCs/>
                <w:color w:val="auto"/>
                <w:kern w:val="2"/>
                <w:sz w:val="24"/>
                <w:szCs w:val="24"/>
                <w:lang w:val="en-US" w:eastAsia="zh-CN" w:bidi="ar-SA"/>
              </w:rPr>
              <w:t>-4</w:t>
            </w:r>
            <w:r>
              <w:rPr>
                <w:rFonts w:hint="default" w:ascii="Times New Roman" w:hAnsi="Times New Roman" w:eastAsia="Times New Roman" w:cs="Times New Roman"/>
                <w:b/>
                <w:bCs/>
                <w:color w:val="auto"/>
                <w:kern w:val="2"/>
                <w:sz w:val="24"/>
                <w:szCs w:val="24"/>
                <w:lang w:val="en-US" w:eastAsia="zh-CN" w:bidi="ar-SA"/>
              </w:rPr>
              <w:t xml:space="preserve"> </w:t>
            </w:r>
            <w:r>
              <w:rPr>
                <w:rFonts w:hint="default" w:ascii="Times New Roman" w:hAnsi="Times New Roman" w:eastAsia="宋体" w:cs="Times New Roman"/>
                <w:b/>
                <w:bCs/>
                <w:color w:val="auto"/>
                <w:kern w:val="2"/>
                <w:sz w:val="24"/>
                <w:szCs w:val="24"/>
                <w:lang w:val="en-US" w:eastAsia="zh-CN" w:bidi="ar-SA"/>
              </w:rPr>
              <w:t>现状监测统计结果一览表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297"/>
              <w:gridCol w:w="904"/>
              <w:gridCol w:w="1286"/>
              <w:gridCol w:w="1455"/>
              <w:gridCol w:w="1002"/>
              <w:gridCol w:w="1072"/>
              <w:gridCol w:w="1036"/>
            </w:tblGrid>
            <w:tr w14:paraId="19AF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 w:hRule="atLeast"/>
              </w:trPr>
              <w:tc>
                <w:tcPr>
                  <w:tcW w:w="804" w:type="dxa"/>
                  <w:noWrap w:val="0"/>
                  <w:vAlign w:val="center"/>
                </w:tcPr>
                <w:p w14:paraId="726DEB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监测点位</w:t>
                  </w:r>
                </w:p>
              </w:tc>
              <w:tc>
                <w:tcPr>
                  <w:tcW w:w="1297" w:type="dxa"/>
                  <w:noWrap w:val="0"/>
                  <w:vAlign w:val="center"/>
                </w:tcPr>
                <w:p w14:paraId="3BB9A1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监测项目</w:t>
                  </w:r>
                </w:p>
              </w:tc>
              <w:tc>
                <w:tcPr>
                  <w:tcW w:w="904" w:type="dxa"/>
                  <w:noWrap w:val="0"/>
                  <w:vAlign w:val="center"/>
                </w:tcPr>
                <w:p w14:paraId="44CD1C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平均时</w:t>
                  </w:r>
                </w:p>
                <w:p w14:paraId="3F110B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间</w:t>
                  </w:r>
                </w:p>
              </w:tc>
              <w:tc>
                <w:tcPr>
                  <w:tcW w:w="1286" w:type="dxa"/>
                  <w:noWrap w:val="0"/>
                  <w:vAlign w:val="center"/>
                </w:tcPr>
                <w:p w14:paraId="0126E0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评价标准</w:t>
                  </w:r>
                </w:p>
                <w:p w14:paraId="154B67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w:t>
                  </w:r>
                  <w:r>
                    <w:rPr>
                      <w:rFonts w:hint="default" w:ascii="Times New Roman" w:hAnsi="Times New Roman" w:eastAsia="宋体" w:cs="Times New Roman"/>
                      <w:b/>
                      <w:bCs/>
                      <w:color w:val="auto"/>
                      <w:sz w:val="21"/>
                      <w:szCs w:val="21"/>
                      <w:vertAlign w:val="baseline"/>
                      <w:lang w:val="en-US" w:eastAsia="zh-CN"/>
                    </w:rPr>
                    <w:t>m</w:t>
                  </w:r>
                  <w:r>
                    <w:rPr>
                      <w:rFonts w:hint="default" w:ascii="Times New Roman" w:hAnsi="Times New Roman" w:eastAsia="宋体" w:cs="Times New Roman"/>
                      <w:b/>
                      <w:bCs/>
                      <w:color w:val="auto"/>
                      <w:sz w:val="21"/>
                      <w:szCs w:val="21"/>
                      <w:vertAlign w:val="baseline"/>
                    </w:rPr>
                    <w:t>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vertAlign w:val="baseline"/>
                    </w:rPr>
                    <w:t>）</w:t>
                  </w:r>
                </w:p>
              </w:tc>
              <w:tc>
                <w:tcPr>
                  <w:tcW w:w="1455" w:type="dxa"/>
                  <w:noWrap w:val="0"/>
                  <w:vAlign w:val="center"/>
                </w:tcPr>
                <w:p w14:paraId="12ABDD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监测浓度范围（</w:t>
                  </w:r>
                  <w:r>
                    <w:rPr>
                      <w:rFonts w:hint="default" w:ascii="Times New Roman" w:hAnsi="Times New Roman" w:eastAsia="宋体" w:cs="Times New Roman"/>
                      <w:b/>
                      <w:bCs/>
                      <w:color w:val="auto"/>
                      <w:sz w:val="21"/>
                      <w:szCs w:val="21"/>
                      <w:vertAlign w:val="baseline"/>
                      <w:lang w:val="en-US" w:eastAsia="zh-CN"/>
                    </w:rPr>
                    <w:t>m</w:t>
                  </w:r>
                  <w:r>
                    <w:rPr>
                      <w:rFonts w:hint="default" w:ascii="Times New Roman" w:hAnsi="Times New Roman" w:eastAsia="宋体" w:cs="Times New Roman"/>
                      <w:b/>
                      <w:bCs/>
                      <w:color w:val="auto"/>
                      <w:sz w:val="21"/>
                      <w:szCs w:val="21"/>
                      <w:vertAlign w:val="baseline"/>
                    </w:rPr>
                    <w:t>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vertAlign w:val="baseline"/>
                    </w:rPr>
                    <w:t>）</w:t>
                  </w:r>
                </w:p>
              </w:tc>
              <w:tc>
                <w:tcPr>
                  <w:tcW w:w="1002" w:type="dxa"/>
                  <w:noWrap w:val="0"/>
                  <w:vAlign w:val="center"/>
                </w:tcPr>
                <w:p w14:paraId="51C6B7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最大浓度占标率%</w:t>
                  </w:r>
                </w:p>
              </w:tc>
              <w:tc>
                <w:tcPr>
                  <w:tcW w:w="1072" w:type="dxa"/>
                  <w:noWrap w:val="0"/>
                  <w:vAlign w:val="center"/>
                </w:tcPr>
                <w:p w14:paraId="4D54B3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超标率%</w:t>
                  </w:r>
                </w:p>
              </w:tc>
              <w:tc>
                <w:tcPr>
                  <w:tcW w:w="1036" w:type="dxa"/>
                  <w:noWrap w:val="0"/>
                  <w:vAlign w:val="center"/>
                </w:tcPr>
                <w:p w14:paraId="2AFC50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达标情况</w:t>
                  </w:r>
                </w:p>
              </w:tc>
            </w:tr>
            <w:tr w14:paraId="2DE2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04" w:type="dxa"/>
                  <w:vMerge w:val="restart"/>
                  <w:noWrap w:val="0"/>
                  <w:vAlign w:val="center"/>
                </w:tcPr>
                <w:p w14:paraId="0E2AD3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r>
                    <w:rPr>
                      <w:rFonts w:hint="eastAsia" w:ascii="Times New Roman" w:hAnsi="Times New Roman" w:eastAsia="宋体" w:cs="Times New Roman"/>
                      <w:color w:val="auto"/>
                      <w:sz w:val="21"/>
                      <w:szCs w:val="21"/>
                      <w:vertAlign w:val="baseline"/>
                      <w:lang w:val="en-US" w:eastAsia="zh-CN"/>
                    </w:rPr>
                    <w:t>G1天为项目厂址东南侧</w:t>
                  </w:r>
                </w:p>
              </w:tc>
              <w:tc>
                <w:tcPr>
                  <w:tcW w:w="1297" w:type="dxa"/>
                  <w:noWrap w:val="0"/>
                  <w:vAlign w:val="center"/>
                </w:tcPr>
                <w:p w14:paraId="3E9540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非甲烷总烃</w:t>
                  </w:r>
                </w:p>
              </w:tc>
              <w:tc>
                <w:tcPr>
                  <w:tcW w:w="904" w:type="dxa"/>
                  <w:noWrap w:val="0"/>
                  <w:vAlign w:val="center"/>
                </w:tcPr>
                <w:p w14:paraId="148CCF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1h平均</w:t>
                  </w:r>
                </w:p>
              </w:tc>
              <w:tc>
                <w:tcPr>
                  <w:tcW w:w="1286" w:type="dxa"/>
                  <w:noWrap w:val="0"/>
                  <w:vAlign w:val="center"/>
                </w:tcPr>
                <w:p w14:paraId="60B1B7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w:t>
                  </w:r>
                </w:p>
              </w:tc>
              <w:tc>
                <w:tcPr>
                  <w:tcW w:w="1455" w:type="dxa"/>
                  <w:noWrap w:val="0"/>
                  <w:vAlign w:val="center"/>
                </w:tcPr>
                <w:p w14:paraId="4DC5A7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&lt;1.09-1.28</w:t>
                  </w:r>
                </w:p>
              </w:tc>
              <w:tc>
                <w:tcPr>
                  <w:tcW w:w="1002" w:type="dxa"/>
                  <w:noWrap w:val="0"/>
                  <w:vAlign w:val="center"/>
                </w:tcPr>
                <w:p w14:paraId="302581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64</w:t>
                  </w:r>
                </w:p>
              </w:tc>
              <w:tc>
                <w:tcPr>
                  <w:tcW w:w="1072" w:type="dxa"/>
                  <w:noWrap w:val="0"/>
                  <w:vAlign w:val="center"/>
                </w:tcPr>
                <w:p w14:paraId="038998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w:t>
                  </w:r>
                </w:p>
              </w:tc>
              <w:tc>
                <w:tcPr>
                  <w:tcW w:w="1036" w:type="dxa"/>
                  <w:noWrap w:val="0"/>
                  <w:vAlign w:val="center"/>
                </w:tcPr>
                <w:p w14:paraId="63C12F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达标</w:t>
                  </w:r>
                </w:p>
              </w:tc>
            </w:tr>
            <w:tr w14:paraId="73327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804" w:type="dxa"/>
                  <w:vMerge w:val="continue"/>
                  <w:noWrap w:val="0"/>
                  <w:vAlign w:val="center"/>
                </w:tcPr>
                <w:p w14:paraId="62DB4A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p>
              </w:tc>
              <w:tc>
                <w:tcPr>
                  <w:tcW w:w="1297" w:type="dxa"/>
                  <w:noWrap w:val="0"/>
                  <w:vAlign w:val="center"/>
                </w:tcPr>
                <w:p w14:paraId="2D5352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rPr>
                    <w:t>TSP</w:t>
                  </w:r>
                </w:p>
              </w:tc>
              <w:tc>
                <w:tcPr>
                  <w:tcW w:w="904" w:type="dxa"/>
                  <w:noWrap w:val="0"/>
                  <w:vAlign w:val="center"/>
                </w:tcPr>
                <w:p w14:paraId="4E2B09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日平均</w:t>
                  </w:r>
                </w:p>
              </w:tc>
              <w:tc>
                <w:tcPr>
                  <w:tcW w:w="1286" w:type="dxa"/>
                  <w:noWrap w:val="0"/>
                  <w:vAlign w:val="center"/>
                </w:tcPr>
                <w:p w14:paraId="6D1837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0.3</w:t>
                  </w:r>
                </w:p>
              </w:tc>
              <w:tc>
                <w:tcPr>
                  <w:tcW w:w="1455" w:type="dxa"/>
                  <w:noWrap w:val="0"/>
                  <w:vAlign w:val="center"/>
                </w:tcPr>
                <w:p w14:paraId="53A161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0.040-0.081</w:t>
                  </w:r>
                </w:p>
              </w:tc>
              <w:tc>
                <w:tcPr>
                  <w:tcW w:w="1002" w:type="dxa"/>
                  <w:noWrap w:val="0"/>
                  <w:vAlign w:val="center"/>
                </w:tcPr>
                <w:p w14:paraId="276AA6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27</w:t>
                  </w:r>
                </w:p>
              </w:tc>
              <w:tc>
                <w:tcPr>
                  <w:tcW w:w="1072" w:type="dxa"/>
                  <w:noWrap w:val="0"/>
                  <w:vAlign w:val="center"/>
                </w:tcPr>
                <w:p w14:paraId="34DF2D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w:t>
                  </w:r>
                </w:p>
              </w:tc>
              <w:tc>
                <w:tcPr>
                  <w:tcW w:w="1036" w:type="dxa"/>
                  <w:noWrap w:val="0"/>
                  <w:vAlign w:val="center"/>
                </w:tcPr>
                <w:p w14:paraId="0AE535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达标</w:t>
                  </w:r>
                </w:p>
              </w:tc>
            </w:tr>
            <w:tr w14:paraId="555E9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04" w:type="dxa"/>
                  <w:vMerge w:val="continue"/>
                  <w:noWrap w:val="0"/>
                  <w:vAlign w:val="center"/>
                </w:tcPr>
                <w:p w14:paraId="65A793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rPr>
                  </w:pPr>
                </w:p>
              </w:tc>
              <w:tc>
                <w:tcPr>
                  <w:tcW w:w="1297" w:type="dxa"/>
                  <w:noWrap w:val="0"/>
                  <w:vAlign w:val="center"/>
                </w:tcPr>
                <w:p w14:paraId="610E88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rPr>
                    <w:t>TVOC</w:t>
                  </w:r>
                </w:p>
              </w:tc>
              <w:tc>
                <w:tcPr>
                  <w:tcW w:w="904" w:type="dxa"/>
                  <w:noWrap w:val="0"/>
                  <w:vAlign w:val="center"/>
                </w:tcPr>
                <w:p w14:paraId="3497EF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8h平均</w:t>
                  </w:r>
                </w:p>
              </w:tc>
              <w:tc>
                <w:tcPr>
                  <w:tcW w:w="1286" w:type="dxa"/>
                  <w:noWrap w:val="0"/>
                  <w:vAlign w:val="center"/>
                </w:tcPr>
                <w:p w14:paraId="2C35FC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w:t>
                  </w:r>
                  <w:r>
                    <w:rPr>
                      <w:rFonts w:hint="default" w:ascii="Times New Roman" w:hAnsi="Times New Roman" w:eastAsia="宋体" w:cs="Times New Roman"/>
                      <w:color w:val="auto"/>
                      <w:sz w:val="21"/>
                      <w:szCs w:val="21"/>
                      <w:vertAlign w:val="baseline"/>
                      <w:lang w:val="en-US" w:eastAsia="zh-CN"/>
                    </w:rPr>
                    <w:t>6</w:t>
                  </w:r>
                </w:p>
              </w:tc>
              <w:tc>
                <w:tcPr>
                  <w:tcW w:w="1455" w:type="dxa"/>
                  <w:noWrap w:val="0"/>
                  <w:vAlign w:val="center"/>
                </w:tcPr>
                <w:p w14:paraId="0063A3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0.0547-0.0695</w:t>
                  </w:r>
                </w:p>
              </w:tc>
              <w:tc>
                <w:tcPr>
                  <w:tcW w:w="1002" w:type="dxa"/>
                  <w:noWrap w:val="0"/>
                  <w:vAlign w:val="center"/>
                </w:tcPr>
                <w:p w14:paraId="3AEBBC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11.58</w:t>
                  </w:r>
                </w:p>
              </w:tc>
              <w:tc>
                <w:tcPr>
                  <w:tcW w:w="1072" w:type="dxa"/>
                  <w:noWrap w:val="0"/>
                  <w:vAlign w:val="center"/>
                </w:tcPr>
                <w:p w14:paraId="3D618E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w:t>
                  </w:r>
                </w:p>
              </w:tc>
              <w:tc>
                <w:tcPr>
                  <w:tcW w:w="1036" w:type="dxa"/>
                  <w:noWrap w:val="0"/>
                  <w:vAlign w:val="center"/>
                </w:tcPr>
                <w:p w14:paraId="08460C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达标</w:t>
                  </w:r>
                </w:p>
              </w:tc>
            </w:tr>
          </w:tbl>
          <w:p w14:paraId="310AAE1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color w:val="auto"/>
                <w:sz w:val="24"/>
                <w:lang w:eastAsia="zh-CN"/>
              </w:rPr>
            </w:pPr>
            <w:r>
              <w:rPr>
                <w:rFonts w:ascii="Times New Roman" w:hAnsi="Times New Roman" w:eastAsia="宋体" w:cs="Times New Roman"/>
                <w:color w:val="auto"/>
                <w:sz w:val="21"/>
              </w:rPr>
              <mc:AlternateContent>
                <mc:Choice Requires="wps">
                  <w:drawing>
                    <wp:anchor distT="0" distB="0" distL="114300" distR="114300" simplePos="0" relativeHeight="251663360" behindDoc="0" locked="0" layoutInCell="1" allowOverlap="1">
                      <wp:simplePos x="0" y="0"/>
                      <wp:positionH relativeFrom="column">
                        <wp:posOffset>2706370</wp:posOffset>
                      </wp:positionH>
                      <wp:positionV relativeFrom="paragraph">
                        <wp:posOffset>1602740</wp:posOffset>
                      </wp:positionV>
                      <wp:extent cx="733425" cy="46672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733425" cy="466725"/>
                              </a:xfrm>
                              <a:prstGeom prst="rect">
                                <a:avLst/>
                              </a:prstGeom>
                              <a:noFill/>
                              <a:ln>
                                <a:noFill/>
                              </a:ln>
                              <a:effectLst/>
                            </wps:spPr>
                            <wps:txbx>
                              <w:txbxContent>
                                <w:p w14:paraId="0361443B">
                                  <w:pPr>
                                    <w:wordWrap w:val="0"/>
                                    <w:spacing w:line="360" w:lineRule="auto"/>
                                    <w:rPr>
                                      <w:rFonts w:hint="default" w:ascii="Times New Roman" w:hAnsi="Times New Roman" w:eastAsia="宋体" w:cs="Times New Roman"/>
                                      <w:b/>
                                      <w:bCs/>
                                      <w:color w:val="FFFF00"/>
                                      <w:sz w:val="24"/>
                                      <w:lang w:val="en-US" w:eastAsia="zh-CN"/>
                                    </w:rPr>
                                  </w:pPr>
                                  <w:r>
                                    <w:rPr>
                                      <w:rFonts w:hint="eastAsia" w:ascii="Times New Roman" w:hAnsi="Times New Roman" w:cs="Times New Roman"/>
                                      <w:b/>
                                      <w:bCs/>
                                      <w:color w:val="FFFF00"/>
                                      <w:sz w:val="24"/>
                                      <w:lang w:val="en-US" w:eastAsia="zh-CN"/>
                                    </w:rPr>
                                    <w:t>2245</w:t>
                                  </w:r>
                                  <w:r>
                                    <w:rPr>
                                      <w:rFonts w:hint="eastAsia" w:ascii="Times New Roman" w:hAnsi="Times New Roman" w:eastAsia="宋体" w:cs="Times New Roman"/>
                                      <w:b/>
                                      <w:bCs/>
                                      <w:color w:val="FFFF00"/>
                                      <w:sz w:val="24"/>
                                      <w:lang w:val="en-US" w:eastAsia="zh-CN"/>
                                    </w:rPr>
                                    <w:t>m</w:t>
                                  </w:r>
                                </w:p>
                              </w:txbxContent>
                            </wps:txbx>
                            <wps:bodyPr upright="1"/>
                          </wps:wsp>
                        </a:graphicData>
                      </a:graphic>
                    </wp:anchor>
                  </w:drawing>
                </mc:Choice>
                <mc:Fallback>
                  <w:pict>
                    <v:shape id="_x0000_s1026" o:spid="_x0000_s1026" o:spt="202" type="#_x0000_t202" style="position:absolute;left:0pt;margin-left:213.1pt;margin-top:126.2pt;height:36.75pt;width:57.75pt;z-index:251663360;mso-width-relative:page;mso-height-relative:page;" filled="f" stroked="f" coordsize="21600,21600" o:gfxdata="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wf&#10;VEDYAAAACwEAAA8AAAAAAAAAAQAgAAAAIgAAAGRycy9kb3ducmV2LnhtbFBLAQIUABQAAAAIAIdO&#10;4kD7h78/sQEAAF0DAAAOAAAAAAAAAAEAIAAAACcBAABkcnMvZTJvRG9jLnhtbFBLBQYAAAAABgAG&#10;AFkBAABKBQAAAAA=&#10;">
                      <v:fill on="f" focussize="0,0"/>
                      <v:stroke on="f"/>
                      <v:imagedata o:title=""/>
                      <o:lock v:ext="edit" aspectratio="f"/>
                      <v:textbox>
                        <w:txbxContent>
                          <w:p w14:paraId="0361443B">
                            <w:pPr>
                              <w:wordWrap w:val="0"/>
                              <w:spacing w:line="360" w:lineRule="auto"/>
                              <w:rPr>
                                <w:rFonts w:hint="default" w:ascii="Times New Roman" w:hAnsi="Times New Roman" w:eastAsia="宋体" w:cs="Times New Roman"/>
                                <w:b/>
                                <w:bCs/>
                                <w:color w:val="FFFF00"/>
                                <w:sz w:val="24"/>
                                <w:lang w:val="en-US" w:eastAsia="zh-CN"/>
                              </w:rPr>
                            </w:pPr>
                            <w:r>
                              <w:rPr>
                                <w:rFonts w:hint="eastAsia" w:ascii="Times New Roman" w:hAnsi="Times New Roman" w:cs="Times New Roman"/>
                                <w:b/>
                                <w:bCs/>
                                <w:color w:val="FFFF00"/>
                                <w:sz w:val="24"/>
                                <w:lang w:val="en-US" w:eastAsia="zh-CN"/>
                              </w:rPr>
                              <w:t>2245</w:t>
                            </w:r>
                            <w:r>
                              <w:rPr>
                                <w:rFonts w:hint="eastAsia" w:ascii="Times New Roman" w:hAnsi="Times New Roman" w:eastAsia="宋体" w:cs="Times New Roman"/>
                                <w:b/>
                                <w:bCs/>
                                <w:color w:val="FFFF00"/>
                                <w:sz w:val="24"/>
                                <w:lang w:val="en-US" w:eastAsia="zh-CN"/>
                              </w:rPr>
                              <w:t>m</w:t>
                            </w:r>
                          </w:p>
                        </w:txbxContent>
                      </v:textbox>
                    </v:shape>
                  </w:pict>
                </mc:Fallback>
              </mc:AlternateContent>
            </w:r>
            <w:r>
              <w:rPr>
                <w:rFonts w:ascii="Times New Roman" w:hAnsi="Times New Roman" w:eastAsia="宋体" w:cs="Times New Roman"/>
                <w:color w:val="auto"/>
                <w:sz w:val="21"/>
              </w:rPr>
              <mc:AlternateContent>
                <mc:Choice Requires="wps">
                  <w:drawing>
                    <wp:anchor distT="0" distB="0" distL="114300" distR="114300" simplePos="0" relativeHeight="251665408" behindDoc="0" locked="0" layoutInCell="1" allowOverlap="1">
                      <wp:simplePos x="0" y="0"/>
                      <wp:positionH relativeFrom="column">
                        <wp:posOffset>1863090</wp:posOffset>
                      </wp:positionH>
                      <wp:positionV relativeFrom="paragraph">
                        <wp:posOffset>523240</wp:posOffset>
                      </wp:positionV>
                      <wp:extent cx="828675" cy="276225"/>
                      <wp:effectExtent l="4445" t="4445" r="328930" b="5080"/>
                      <wp:wrapNone/>
                      <wp:docPr id="4" name="矩形标注 4"/>
                      <wp:cNvGraphicFramePr/>
                      <a:graphic xmlns:a="http://schemas.openxmlformats.org/drawingml/2006/main">
                        <a:graphicData uri="http://schemas.microsoft.com/office/word/2010/wordprocessingShape">
                          <wps:wsp>
                            <wps:cNvSpPr/>
                            <wps:spPr>
                              <a:xfrm>
                                <a:off x="0" y="0"/>
                                <a:ext cx="828675" cy="276225"/>
                              </a:xfrm>
                              <a:prstGeom prst="wedgeRectCallout">
                                <a:avLst>
                                  <a:gd name="adj1" fmla="val 83563"/>
                                  <a:gd name="adj2" fmla="val -33218"/>
                                </a:avLst>
                              </a:prstGeom>
                              <a:solidFill>
                                <a:srgbClr val="FFFFFF"/>
                              </a:solidFill>
                              <a:ln w="9525" cap="flat" cmpd="sng">
                                <a:solidFill>
                                  <a:srgbClr val="000000"/>
                                </a:solidFill>
                                <a:prstDash val="solid"/>
                                <a:miter/>
                                <a:headEnd type="none" w="med" len="med"/>
                                <a:tailEnd type="none" w="med" len="med"/>
                              </a:ln>
                              <a:effectLst/>
                            </wps:spPr>
                            <wps:txbx>
                              <w:txbxContent>
                                <w:p w14:paraId="799918F6">
                                  <w:pPr>
                                    <w:wordWrap w:val="0"/>
                                    <w:spacing w:line="360" w:lineRule="auto"/>
                                    <w:ind w:left="0" w:leftChars="0" w:firstLine="0" w:firstLineChars="0"/>
                                    <w:jc w:val="center"/>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引用点位</w:t>
                                  </w:r>
                                </w:p>
                              </w:txbxContent>
                            </wps:txbx>
                            <wps:bodyPr upright="1"/>
                          </wps:wsp>
                        </a:graphicData>
                      </a:graphic>
                    </wp:anchor>
                  </w:drawing>
                </mc:Choice>
                <mc:Fallback>
                  <w:pict>
                    <v:shape id="_x0000_s1026" o:spid="_x0000_s1026" o:spt="61" type="#_x0000_t61" style="position:absolute;left:0pt;margin-left:146.7pt;margin-top:41.2pt;height:21.75pt;width:65.25pt;z-index:251665408;mso-width-relative:page;mso-height-relative:page;" fillcolor="#FFFFFF" filled="t" stroked="t" coordsize="21600,21600" o:gfxdata="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ownaI2AAAAAoBAAAPAAAAAAAAAAEAIAAAACIAAABk&#10;cnMvZG93bnJldi54bWxQSwECFAAUAAAACACHTuJAXCQ3Vz8CAACaBAAADgAAAAAAAAABACAAAAAn&#10;AQAAZHJzL2Uyb0RvYy54bWxQSwUGAAAAAAYABgBZAQAA2AUAAAAA&#10;" adj="28850,3625">
                      <v:fill on="t" focussize="0,0"/>
                      <v:stroke color="#000000" joinstyle="miter"/>
                      <v:imagedata o:title=""/>
                      <o:lock v:ext="edit" aspectratio="f"/>
                      <v:textbox>
                        <w:txbxContent>
                          <w:p w14:paraId="799918F6">
                            <w:pPr>
                              <w:wordWrap w:val="0"/>
                              <w:spacing w:line="360" w:lineRule="auto"/>
                              <w:ind w:left="0" w:leftChars="0" w:firstLine="0" w:firstLineChars="0"/>
                              <w:jc w:val="center"/>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引用点位</w:t>
                            </w:r>
                          </w:p>
                        </w:txbxContent>
                      </v:textbox>
                    </v:shape>
                  </w:pict>
                </mc:Fallback>
              </mc:AlternateContent>
            </w:r>
            <w:r>
              <w:rPr>
                <w:rFonts w:ascii="Times New Roman" w:hAnsi="Times New Roman" w:eastAsia="宋体" w:cs="Times New Roman"/>
                <w:color w:val="auto"/>
                <w:sz w:val="21"/>
              </w:rPr>
              <mc:AlternateContent>
                <mc:Choice Requires="wps">
                  <w:drawing>
                    <wp:anchor distT="0" distB="0" distL="114300" distR="114300" simplePos="0" relativeHeight="251664384" behindDoc="0" locked="0" layoutInCell="1" allowOverlap="1">
                      <wp:simplePos x="0" y="0"/>
                      <wp:positionH relativeFrom="column">
                        <wp:posOffset>839470</wp:posOffset>
                      </wp:positionH>
                      <wp:positionV relativeFrom="paragraph">
                        <wp:posOffset>3584575</wp:posOffset>
                      </wp:positionV>
                      <wp:extent cx="838200" cy="276225"/>
                      <wp:effectExtent l="5080" t="21590" r="356870" b="6985"/>
                      <wp:wrapNone/>
                      <wp:docPr id="10" name="矩形标注 10"/>
                      <wp:cNvGraphicFramePr/>
                      <a:graphic xmlns:a="http://schemas.openxmlformats.org/drawingml/2006/main">
                        <a:graphicData uri="http://schemas.microsoft.com/office/word/2010/wordprocessingShape">
                          <wps:wsp>
                            <wps:cNvSpPr/>
                            <wps:spPr>
                              <a:xfrm>
                                <a:off x="0" y="0"/>
                                <a:ext cx="838200" cy="276225"/>
                              </a:xfrm>
                              <a:prstGeom prst="wedgeRectCallout">
                                <a:avLst>
                                  <a:gd name="adj1" fmla="val 86818"/>
                                  <a:gd name="adj2" fmla="val -53678"/>
                                </a:avLst>
                              </a:prstGeom>
                              <a:solidFill>
                                <a:srgbClr val="FFFFFF"/>
                              </a:solidFill>
                              <a:ln w="9525" cap="flat" cmpd="sng">
                                <a:solidFill>
                                  <a:srgbClr val="000000"/>
                                </a:solidFill>
                                <a:prstDash val="solid"/>
                                <a:miter/>
                                <a:headEnd type="none" w="med" len="med"/>
                                <a:tailEnd type="none" w="med" len="med"/>
                              </a:ln>
                              <a:effectLst/>
                            </wps:spPr>
                            <wps:txbx>
                              <w:txbxContent>
                                <w:p w14:paraId="7E42FD6B">
                                  <w:pPr>
                                    <w:wordWrap w:val="0"/>
                                    <w:spacing w:line="360" w:lineRule="auto"/>
                                    <w:ind w:left="0" w:leftChars="0" w:firstLine="0" w:firstLineChars="0"/>
                                    <w:jc w:val="center"/>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项目位置</w:t>
                                  </w:r>
                                </w:p>
                              </w:txbxContent>
                            </wps:txbx>
                            <wps:bodyPr upright="1"/>
                          </wps:wsp>
                        </a:graphicData>
                      </a:graphic>
                    </wp:anchor>
                  </w:drawing>
                </mc:Choice>
                <mc:Fallback>
                  <w:pict>
                    <v:shape id="_x0000_s1026" o:spid="_x0000_s1026" o:spt="61" type="#_x0000_t61" style="position:absolute;left:0pt;margin-left:66.1pt;margin-top:282.25pt;height:21.75pt;width:66pt;z-index:251664384;mso-width-relative:page;mso-height-relative:page;" fillcolor="#FFFFFF" filled="t" stroked="t" coordsize="21600,21600" o:gfxdata="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&#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6H/5M2AAAAAsBAAAPAAAAAAAAAAEAIAAAACIAAABk&#10;cnMvZG93bnJldi54bWxQSwECFAAUAAAACACHTuJAFoxkXj8CAACcBAAADgAAAAAAAAABACAAAAAn&#10;AQAAZHJzL2Uyb0RvYy54bWxQSwUGAAAAAAYABgBZAQAA2AUAAAAA&#10;" adj="29553,-794">
                      <v:fill on="t" focussize="0,0"/>
                      <v:stroke color="#000000" joinstyle="miter"/>
                      <v:imagedata o:title=""/>
                      <o:lock v:ext="edit" aspectratio="f"/>
                      <v:textbox>
                        <w:txbxContent>
                          <w:p w14:paraId="7E42FD6B">
                            <w:pPr>
                              <w:wordWrap w:val="0"/>
                              <w:spacing w:line="360" w:lineRule="auto"/>
                              <w:ind w:left="0" w:leftChars="0" w:firstLine="0" w:firstLineChars="0"/>
                              <w:jc w:val="center"/>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项目位置</w:t>
                            </w:r>
                          </w:p>
                        </w:txbxContent>
                      </v:textbox>
                    </v:shape>
                  </w:pict>
                </mc:Fallback>
              </mc:AlternateContent>
            </w:r>
            <w:r>
              <w:rPr>
                <w:rFonts w:ascii="Times New Roman" w:hAnsi="Times New Roman" w:eastAsia="宋体" w:cs="Times New Roman"/>
                <w:color w:val="auto"/>
                <w:sz w:val="24"/>
              </w:rPr>
              <w:drawing>
                <wp:anchor distT="0" distB="0" distL="114300" distR="114300" simplePos="0" relativeHeight="251662336" behindDoc="0" locked="0" layoutInCell="1" allowOverlap="1">
                  <wp:simplePos x="0" y="0"/>
                  <wp:positionH relativeFrom="column">
                    <wp:posOffset>15240</wp:posOffset>
                  </wp:positionH>
                  <wp:positionV relativeFrom="paragraph">
                    <wp:posOffset>1270</wp:posOffset>
                  </wp:positionV>
                  <wp:extent cx="687070" cy="622300"/>
                  <wp:effectExtent l="9525" t="9525" r="27305" b="15875"/>
                  <wp:wrapNone/>
                  <wp:docPr id="132" name="图片 97" descr="565ee433d17bdd5fe0bbe10f9802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97" descr="565ee433d17bdd5fe0bbe10f9802366"/>
                          <pic:cNvPicPr>
                            <a:picLocks noChangeAspect="1"/>
                          </pic:cNvPicPr>
                        </pic:nvPicPr>
                        <pic:blipFill>
                          <a:blip r:embed="rId22"/>
                          <a:stretch>
                            <a:fillRect/>
                          </a:stretch>
                        </pic:blipFill>
                        <pic:spPr>
                          <a:xfrm>
                            <a:off x="0" y="0"/>
                            <a:ext cx="687070" cy="622300"/>
                          </a:xfrm>
                          <a:prstGeom prst="rect">
                            <a:avLst/>
                          </a:prstGeom>
                          <a:noFill/>
                          <a:ln w="9525" cap="flat" cmpd="sng">
                            <a:solidFill>
                              <a:srgbClr val="000000"/>
                            </a:solidFill>
                            <a:prstDash val="solid"/>
                            <a:miter/>
                            <a:headEnd type="none" w="med" len="med"/>
                            <a:tailEnd type="none" w="med" len="med"/>
                          </a:ln>
                        </pic:spPr>
                      </pic:pic>
                    </a:graphicData>
                  </a:graphic>
                </wp:anchor>
              </w:drawing>
            </w:r>
            <w:r>
              <w:rPr>
                <w:color w:val="auto"/>
              </w:rPr>
              <w:drawing>
                <wp:inline distT="0" distB="0" distL="114300" distR="114300">
                  <wp:extent cx="5634355" cy="4034155"/>
                  <wp:effectExtent l="0" t="0" r="4445" b="4445"/>
                  <wp:docPr id="14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26"/>
                          <pic:cNvPicPr>
                            <a:picLocks noChangeAspect="1"/>
                          </pic:cNvPicPr>
                        </pic:nvPicPr>
                        <pic:blipFill>
                          <a:blip r:embed="rId23"/>
                          <a:stretch>
                            <a:fillRect/>
                          </a:stretch>
                        </pic:blipFill>
                        <pic:spPr>
                          <a:xfrm>
                            <a:off x="0" y="0"/>
                            <a:ext cx="5634355" cy="4034155"/>
                          </a:xfrm>
                          <a:prstGeom prst="rect">
                            <a:avLst/>
                          </a:prstGeom>
                          <a:noFill/>
                          <a:ln>
                            <a:noFill/>
                          </a:ln>
                        </pic:spPr>
                      </pic:pic>
                    </a:graphicData>
                  </a:graphic>
                </wp:inline>
              </w:drawing>
            </w:r>
          </w:p>
          <w:p w14:paraId="4AD4206F">
            <w:pPr>
              <w:numPr>
                <w:ilvl w:val="0"/>
                <w:numId w:val="0"/>
              </w:numPr>
              <w:tabs>
                <w:tab w:val="left" w:pos="9360"/>
              </w:tabs>
              <w:wordWrap w:val="0"/>
              <w:adjustRightInd/>
              <w:snapToGrid/>
              <w:spacing w:line="360" w:lineRule="auto"/>
              <w:ind w:left="0" w:leftChars="0" w:firstLine="42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kern w:val="2"/>
                <w:sz w:val="21"/>
                <w:szCs w:val="21"/>
                <w:lang w:val="en-US" w:eastAsia="zh-CN" w:bidi="ar-SA"/>
              </w:rPr>
              <w:t>图</w:t>
            </w:r>
            <w:r>
              <w:rPr>
                <w:rFonts w:hint="eastAsia" w:ascii="Times New Roman" w:hAnsi="Times New Roman" w:eastAsia="宋体" w:cs="Times New Roman"/>
                <w:b/>
                <w:bCs/>
                <w:color w:val="auto"/>
                <w:kern w:val="2"/>
                <w:sz w:val="21"/>
                <w:szCs w:val="21"/>
                <w:lang w:val="en-US" w:eastAsia="zh-CN" w:bidi="ar-SA"/>
              </w:rPr>
              <w:t>6</w:t>
            </w: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引用监测点位与本项目位置图</w:t>
            </w:r>
          </w:p>
          <w:p w14:paraId="01E40F0C">
            <w:pPr>
              <w:wordWrap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由监测结果可知，监测期间评价区内TVOC能够满足《环境影响评价技术导则大气环境》（HJ2.2-2018）附录D、TSP满足《环境空气质量标准》（GB3095-2012）中的二级标准及其2018年修改单，非甲烷总烃达到《大气污染物综合排放标准详解》相关标准，项目所在区域环境质量良好。项目所在区域大气环境质量现状良好。</w:t>
            </w:r>
          </w:p>
          <w:p w14:paraId="0415A40F">
            <w:pPr>
              <w:spacing w:line="360" w:lineRule="auto"/>
              <w:ind w:firstLine="480" w:firstLineChars="200"/>
              <w:rPr>
                <w:rFonts w:hint="eastAsia" w:cs="宋体"/>
                <w:b/>
                <w:bCs/>
                <w:color w:val="auto"/>
                <w:kern w:val="0"/>
                <w:sz w:val="24"/>
                <w:szCs w:val="21"/>
              </w:rPr>
            </w:pPr>
            <w:r>
              <w:rPr>
                <w:rFonts w:hint="default" w:ascii="Times New Roman" w:hAnsi="Times New Roman" w:eastAsia="宋体" w:cs="Times New Roman"/>
                <w:color w:val="auto"/>
                <w:sz w:val="24"/>
                <w:szCs w:val="22"/>
              </w:rPr>
              <w:t>综上所述，根据《202</w:t>
            </w:r>
            <w:r>
              <w:rPr>
                <w:rFonts w:hint="eastAsia" w:ascii="Times New Roman" w:hAnsi="Times New Roman" w:eastAsia="宋体" w:cs="Times New Roman"/>
                <w:color w:val="auto"/>
                <w:sz w:val="24"/>
                <w:szCs w:val="22"/>
                <w:lang w:val="en-US" w:eastAsia="zh-CN"/>
              </w:rPr>
              <w:t>4</w:t>
            </w:r>
            <w:r>
              <w:rPr>
                <w:rFonts w:hint="default" w:ascii="Times New Roman" w:hAnsi="Times New Roman" w:eastAsia="宋体" w:cs="Times New Roman"/>
                <w:color w:val="auto"/>
                <w:sz w:val="24"/>
                <w:szCs w:val="22"/>
              </w:rPr>
              <w:t>年惠州市生态环境状况公报》资料显示，项目所在地环境质量各因子可达到《环境空气质量标准》（GB3095-2012）及其修改单中的二级标准浓度限值，博罗县环境空气质量保持稳定达标，项目所在区域环境质量现状良好，属于达标区。</w:t>
            </w:r>
          </w:p>
          <w:p w14:paraId="0AF67738">
            <w:pPr>
              <w:adjustRightInd w:val="0"/>
              <w:snapToGrid w:val="0"/>
              <w:spacing w:line="360" w:lineRule="auto"/>
              <w:jc w:val="left"/>
              <w:rPr>
                <w:b/>
                <w:bCs/>
                <w:color w:val="auto"/>
                <w:kern w:val="0"/>
                <w:sz w:val="24"/>
                <w:szCs w:val="21"/>
              </w:rPr>
            </w:pPr>
            <w:r>
              <w:rPr>
                <w:b/>
                <w:bCs/>
                <w:color w:val="auto"/>
                <w:kern w:val="0"/>
                <w:sz w:val="24"/>
                <w:szCs w:val="21"/>
              </w:rPr>
              <w:t>2、地表水环境</w:t>
            </w:r>
          </w:p>
          <w:p w14:paraId="09E81F20">
            <w:pPr>
              <w:spacing w:line="360" w:lineRule="auto"/>
              <w:ind w:firstLine="480" w:firstLineChars="200"/>
              <w:outlineLvl w:val="1"/>
              <w:rPr>
                <w:rFonts w:hint="eastAsia" w:eastAsia="宋体"/>
                <w:color w:val="auto"/>
                <w:sz w:val="24"/>
                <w:lang w:val="en-US" w:eastAsia="zh-CN"/>
              </w:rPr>
            </w:pPr>
            <w:r>
              <w:rPr>
                <w:rFonts w:hint="eastAsia"/>
                <w:color w:val="auto"/>
                <w:sz w:val="24"/>
              </w:rPr>
              <w:t>项目所在区域主要纳污河流为石湾镇中心排渠，根据《博罗县2024年水污染防治攻坚战工作方案》（博环攻坚办〔2024〕68号）石湾中心排渠的水质保护目标是V类，执行国家《地表水环境质量标准》（GB3838-2002）V类标准。本项目引用《惠州天为资源再生有限公司废线路板资源综合利用项目环境影响报告书》（惠市环建[2024]65号）委托广州佳境有限公司于2024年01月05日~07日日对石湾镇中心排渠进行监测的报告数据，连续监测3天，每日监测1次。引用项目地表水监测与本项目受纳水体属同一条河流，属于近3年的监测数据，因此引用数据具有可行性。具体位置和各水质监测结果见下表。根据《环境影响评价技术导则-地表水环境》(HJ/T2.3-2018)的要求，该监测数据在三年有效期范围，符合导则关于数据引用的要求，因此引用数据具有可行</w:t>
            </w:r>
            <w:r>
              <w:rPr>
                <w:rFonts w:hint="eastAsia"/>
                <w:color w:val="auto"/>
                <w:sz w:val="24"/>
                <w:lang w:eastAsia="zh-CN"/>
              </w:rPr>
              <w:t>。</w:t>
            </w:r>
          </w:p>
          <w:p w14:paraId="68C85432">
            <w:pPr>
              <w:wordWrap w:val="0"/>
              <w:spacing w:line="240" w:lineRule="auto"/>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w:t>
            </w:r>
            <w:r>
              <w:rPr>
                <w:rFonts w:hint="default" w:ascii="Times New Roman" w:hAnsi="Times New Roman" w:eastAsia="宋体" w:cs="Times New Roman"/>
                <w:b/>
                <w:bCs/>
                <w:color w:val="auto"/>
                <w:sz w:val="24"/>
                <w:szCs w:val="22"/>
                <w:lang w:val="en-US" w:eastAsia="zh-CN"/>
              </w:rPr>
              <w:t>3-1</w:t>
            </w:r>
            <w:r>
              <w:rPr>
                <w:rFonts w:hint="default" w:ascii="Times New Roman" w:hAnsi="Times New Roman" w:eastAsia="宋体" w:cs="Times New Roman"/>
                <w:b/>
                <w:bCs/>
                <w:color w:val="auto"/>
                <w:sz w:val="24"/>
                <w:szCs w:val="22"/>
              </w:rPr>
              <w:t xml:space="preserve"> 水质监测断面基本信息</w:t>
            </w:r>
          </w:p>
          <w:tbl>
            <w:tblPr>
              <w:tblStyle w:val="23"/>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5772"/>
              <w:gridCol w:w="1872"/>
            </w:tblGrid>
            <w:tr w14:paraId="5D2E3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1194" w:type="dxa"/>
                  <w:noWrap w:val="0"/>
                  <w:vAlign w:val="center"/>
                </w:tcPr>
                <w:p w14:paraId="31437C2B">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编号</w:t>
                  </w:r>
                </w:p>
              </w:tc>
              <w:tc>
                <w:tcPr>
                  <w:tcW w:w="5772" w:type="dxa"/>
                  <w:noWrap w:val="0"/>
                  <w:vAlign w:val="center"/>
                </w:tcPr>
                <w:p w14:paraId="45D3E8CA">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断面位置</w:t>
                  </w:r>
                </w:p>
              </w:tc>
              <w:tc>
                <w:tcPr>
                  <w:tcW w:w="1872" w:type="dxa"/>
                  <w:noWrap w:val="0"/>
                  <w:vAlign w:val="center"/>
                </w:tcPr>
                <w:p w14:paraId="4F9A1D9B">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所属水体</w:t>
                  </w:r>
                </w:p>
              </w:tc>
            </w:tr>
            <w:tr w14:paraId="35046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94" w:type="dxa"/>
                  <w:noWrap w:val="0"/>
                  <w:vAlign w:val="center"/>
                </w:tcPr>
                <w:p w14:paraId="22332239">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W2</w:t>
                  </w:r>
                </w:p>
              </w:tc>
              <w:tc>
                <w:tcPr>
                  <w:tcW w:w="5772" w:type="dxa"/>
                  <w:noWrap w:val="0"/>
                  <w:vAlign w:val="center"/>
                </w:tcPr>
                <w:p w14:paraId="49D7325C">
                  <w:pPr>
                    <w:wordWrap w:val="0"/>
                    <w:spacing w:line="240" w:lineRule="auto"/>
                    <w:jc w:val="center"/>
                    <w:rPr>
                      <w:rFonts w:hint="default" w:ascii="Times New Roman" w:hAnsi="Times New Roman" w:eastAsia="宋体" w:cs="Times New Roman"/>
                      <w:b w:val="0"/>
                      <w:bCs w:val="0"/>
                      <w:color w:val="auto"/>
                      <w:sz w:val="21"/>
                      <w:szCs w:val="21"/>
                      <w:vertAlign w:val="baseline"/>
                    </w:rPr>
                  </w:pPr>
                  <w:r>
                    <w:rPr>
                      <w:rFonts w:hint="default" w:ascii="Times New Roman" w:hAnsi="Times New Roman" w:eastAsia="宋体" w:cs="Times New Roman"/>
                      <w:b w:val="0"/>
                      <w:bCs w:val="0"/>
                      <w:color w:val="auto"/>
                      <w:sz w:val="21"/>
                      <w:szCs w:val="21"/>
                      <w:vertAlign w:val="baseline"/>
                    </w:rPr>
                    <w:t>石湾镇大牛垒生活污水处理厂排污口下游500m</w:t>
                  </w:r>
                </w:p>
              </w:tc>
              <w:tc>
                <w:tcPr>
                  <w:tcW w:w="1872" w:type="dxa"/>
                  <w:noWrap w:val="0"/>
                  <w:vAlign w:val="center"/>
                </w:tcPr>
                <w:p w14:paraId="567D5B19">
                  <w:pPr>
                    <w:wordWrap w:val="0"/>
                    <w:spacing w:line="240" w:lineRule="auto"/>
                    <w:jc w:val="center"/>
                    <w:rPr>
                      <w:rFonts w:hint="default" w:ascii="Times New Roman" w:hAnsi="Times New Roman" w:eastAsia="宋体" w:cs="Times New Roman"/>
                      <w:b w:val="0"/>
                      <w:bCs w:val="0"/>
                      <w:color w:val="auto"/>
                      <w:sz w:val="21"/>
                      <w:szCs w:val="21"/>
                      <w:vertAlign w:val="baseline"/>
                    </w:rPr>
                  </w:pPr>
                  <w:r>
                    <w:rPr>
                      <w:rFonts w:hint="default" w:ascii="Times New Roman" w:hAnsi="Times New Roman" w:eastAsia="宋体" w:cs="Times New Roman"/>
                      <w:b w:val="0"/>
                      <w:bCs w:val="0"/>
                      <w:color w:val="auto"/>
                      <w:sz w:val="21"/>
                      <w:szCs w:val="21"/>
                      <w:vertAlign w:val="baseline"/>
                    </w:rPr>
                    <w:t>石湾镇中心排渠</w:t>
                  </w:r>
                </w:p>
              </w:tc>
            </w:tr>
          </w:tbl>
          <w:p w14:paraId="690D4015">
            <w:pPr>
              <w:wordWrap w:val="0"/>
              <w:spacing w:line="240" w:lineRule="auto"/>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w:t>
            </w:r>
            <w:r>
              <w:rPr>
                <w:rFonts w:hint="default" w:ascii="Times New Roman" w:hAnsi="Times New Roman" w:eastAsia="宋体" w:cs="Times New Roman"/>
                <w:b/>
                <w:bCs/>
                <w:color w:val="auto"/>
                <w:sz w:val="24"/>
                <w:szCs w:val="22"/>
                <w:lang w:val="en-US" w:eastAsia="zh-CN"/>
              </w:rPr>
              <w:t>3-2</w:t>
            </w:r>
            <w:r>
              <w:rPr>
                <w:rFonts w:hint="default" w:ascii="Times New Roman" w:hAnsi="Times New Roman" w:eastAsia="宋体" w:cs="Times New Roman"/>
                <w:b/>
                <w:bCs/>
                <w:color w:val="auto"/>
                <w:sz w:val="24"/>
                <w:szCs w:val="22"/>
              </w:rPr>
              <w:t xml:space="preserve"> 地表水环境质量现状监测结果</w:t>
            </w:r>
          </w:p>
          <w:tbl>
            <w:tblPr>
              <w:tblStyle w:val="22"/>
              <w:tblW w:w="8859"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2"/>
              <w:gridCol w:w="1182"/>
              <w:gridCol w:w="858"/>
              <w:gridCol w:w="764"/>
              <w:gridCol w:w="771"/>
              <w:gridCol w:w="758"/>
              <w:gridCol w:w="764"/>
              <w:gridCol w:w="764"/>
              <w:gridCol w:w="764"/>
              <w:gridCol w:w="764"/>
              <w:gridCol w:w="788"/>
            </w:tblGrid>
            <w:tr w14:paraId="590F2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682" w:type="dxa"/>
                  <w:vMerge w:val="restart"/>
                  <w:tcBorders>
                    <w:top w:val="single" w:color="000000" w:sz="4" w:space="0"/>
                    <w:left w:val="single" w:color="000000" w:sz="4" w:space="0"/>
                    <w:bottom w:val="single" w:color="000000" w:sz="4" w:space="0"/>
                    <w:right w:val="single" w:color="000000" w:sz="4" w:space="0"/>
                  </w:tcBorders>
                  <w:noWrap w:val="0"/>
                  <w:vAlign w:val="center"/>
                </w:tcPr>
                <w:p w14:paraId="4D1328E5">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采样位置</w:t>
                  </w:r>
                </w:p>
              </w:tc>
              <w:tc>
                <w:tcPr>
                  <w:tcW w:w="1182" w:type="dxa"/>
                  <w:vMerge w:val="restart"/>
                  <w:tcBorders>
                    <w:top w:val="single" w:color="000000" w:sz="4" w:space="0"/>
                    <w:left w:val="single" w:color="000000" w:sz="4" w:space="0"/>
                    <w:bottom w:val="single" w:color="000000" w:sz="4" w:space="0"/>
                    <w:right w:val="single" w:color="000000" w:sz="4" w:space="0"/>
                  </w:tcBorders>
                  <w:noWrap w:val="0"/>
                  <w:vAlign w:val="center"/>
                </w:tcPr>
                <w:p w14:paraId="47283E96">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采样日期</w:t>
                  </w:r>
                </w:p>
              </w:tc>
              <w:tc>
                <w:tcPr>
                  <w:tcW w:w="6995" w:type="dxa"/>
                  <w:gridSpan w:val="9"/>
                  <w:tcBorders>
                    <w:top w:val="single" w:color="000000" w:sz="4" w:space="0"/>
                    <w:left w:val="single" w:color="000000" w:sz="4" w:space="0"/>
                    <w:bottom w:val="single" w:color="000000" w:sz="4" w:space="0"/>
                    <w:right w:val="single" w:color="000000" w:sz="4" w:space="0"/>
                  </w:tcBorders>
                  <w:noWrap w:val="0"/>
                  <w:vAlign w:val="center"/>
                </w:tcPr>
                <w:p w14:paraId="1EFC3A81">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检测项目及结果(单位: pH值无量纲、水温</w:t>
                  </w:r>
                  <w:r>
                    <w:rPr>
                      <w:rFonts w:hint="eastAsia" w:ascii="Times New Roman" w:hAnsi="Times New Roman" w:eastAsia="宋体" w:cs="Times New Roman"/>
                      <w:b/>
                      <w:bCs/>
                      <w:color w:val="auto"/>
                      <w:sz w:val="21"/>
                      <w:szCs w:val="21"/>
                      <w:vertAlign w:val="baseline"/>
                      <w:lang w:val="en-US" w:eastAsia="zh-CN"/>
                    </w:rPr>
                    <w:t>℃</w:t>
                  </w:r>
                  <w:r>
                    <w:rPr>
                      <w:rFonts w:hint="default" w:ascii="Times New Roman" w:hAnsi="Times New Roman" w:eastAsia="宋体" w:cs="Times New Roman"/>
                      <w:b/>
                      <w:bCs/>
                      <w:color w:val="auto"/>
                      <w:sz w:val="21"/>
                      <w:szCs w:val="21"/>
                      <w:vertAlign w:val="baseline"/>
                      <w:lang w:val="en-US" w:eastAsia="zh-CN"/>
                    </w:rPr>
                    <w:t>、其他mg/L)</w:t>
                  </w:r>
                </w:p>
              </w:tc>
            </w:tr>
            <w:tr w14:paraId="3CAE9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6D80DE">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p>
              </w:tc>
              <w:tc>
                <w:tcPr>
                  <w:tcW w:w="11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6D3BDE">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694BD005">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水温</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4F6ADED">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pH值</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48F676C">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溶解氧</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1995607D">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SS</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5CCD1EDF">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COD</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577F9A5">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BOD</w:t>
                  </w:r>
                  <w:r>
                    <w:rPr>
                      <w:rFonts w:hint="default" w:ascii="Times New Roman" w:hAnsi="Times New Roman" w:eastAsia="宋体" w:cs="Times New Roman"/>
                      <w:b/>
                      <w:bCs/>
                      <w:color w:val="auto"/>
                      <w:sz w:val="21"/>
                      <w:szCs w:val="21"/>
                      <w:vertAlign w:val="subscript"/>
                      <w:lang w:val="en-US" w:eastAsia="zh-CN"/>
                    </w:rPr>
                    <w:t>5</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262FEE6F">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氨氮</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6F1EB54">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总磷</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1274654F">
                  <w:pPr>
                    <w:wordWrap w:val="0"/>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石油类</w:t>
                  </w:r>
                </w:p>
              </w:tc>
            </w:tr>
            <w:tr w14:paraId="2D595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1864" w:type="dxa"/>
                  <w:gridSpan w:val="2"/>
                  <w:tcBorders>
                    <w:top w:val="single" w:color="000000" w:sz="4" w:space="0"/>
                    <w:left w:val="single" w:color="000000" w:sz="4" w:space="0"/>
                    <w:bottom w:val="single" w:color="000000" w:sz="4" w:space="0"/>
                    <w:right w:val="single" w:color="000000" w:sz="4" w:space="0"/>
                  </w:tcBorders>
                  <w:noWrap w:val="0"/>
                  <w:vAlign w:val="center"/>
                </w:tcPr>
                <w:p w14:paraId="4674B88D">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V类标准</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0BCE098F">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5E92E8B">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6-9</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A1AD653">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15579F2B">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F7709A9">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&lt;40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46C1FD8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&lt;10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5CB4BA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&lt;2.0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4BC9E85">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&lt;0.4</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73085356">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&lt;1.0</w:t>
                  </w:r>
                </w:p>
              </w:tc>
            </w:tr>
            <w:tr w14:paraId="3A751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682" w:type="dxa"/>
                  <w:vMerge w:val="restart"/>
                  <w:tcBorders>
                    <w:top w:val="single" w:color="000000" w:sz="4" w:space="0"/>
                    <w:left w:val="single" w:color="000000" w:sz="4" w:space="0"/>
                    <w:bottom w:val="single" w:color="000000" w:sz="4" w:space="0"/>
                    <w:right w:val="single" w:color="000000" w:sz="4" w:space="0"/>
                  </w:tcBorders>
                  <w:noWrap w:val="0"/>
                  <w:vAlign w:val="center"/>
                </w:tcPr>
                <w:p w14:paraId="28FB88DB">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W2</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014E4E48">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w:t>
                  </w:r>
                  <w:r>
                    <w:rPr>
                      <w:rFonts w:hint="eastAsia" w:ascii="Times New Roman" w:hAnsi="Times New Roman" w:eastAsia="宋体" w:cs="Times New Roman"/>
                      <w:b w:val="0"/>
                      <w:bCs w:val="0"/>
                      <w:color w:val="auto"/>
                      <w:sz w:val="21"/>
                      <w:szCs w:val="21"/>
                      <w:vertAlign w:val="baseline"/>
                      <w:lang w:val="en-US" w:eastAsia="zh-CN"/>
                    </w:rPr>
                    <w:t>4</w:t>
                  </w:r>
                  <w:r>
                    <w:rPr>
                      <w:rFonts w:hint="default" w:ascii="Times New Roman" w:hAnsi="Times New Roman" w:eastAsia="宋体" w:cs="Times New Roman"/>
                      <w:b w:val="0"/>
                      <w:bCs w:val="0"/>
                      <w:color w:val="auto"/>
                      <w:sz w:val="21"/>
                      <w:szCs w:val="21"/>
                      <w:vertAlign w:val="baseline"/>
                      <w:lang w:val="en-US" w:eastAsia="zh-CN"/>
                    </w:rPr>
                    <w:t>.1.</w:t>
                  </w:r>
                  <w:r>
                    <w:rPr>
                      <w:rFonts w:hint="eastAsia" w:ascii="Times New Roman" w:hAnsi="Times New Roman" w:eastAsia="宋体" w:cs="Times New Roman"/>
                      <w:b w:val="0"/>
                      <w:bCs w:val="0"/>
                      <w:color w:val="auto"/>
                      <w:sz w:val="21"/>
                      <w:szCs w:val="21"/>
                      <w:vertAlign w:val="baseline"/>
                      <w:lang w:val="en-US" w:eastAsia="zh-CN"/>
                    </w:rPr>
                    <w:t>05</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2CF065EE">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18.7</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48AF5C6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r>
                    <w:rPr>
                      <w:rFonts w:hint="eastAsia" w:ascii="Times New Roman" w:hAnsi="Times New Roman" w:eastAsia="宋体" w:cs="Times New Roman"/>
                      <w:b w:val="0"/>
                      <w:bCs w:val="0"/>
                      <w:color w:val="auto"/>
                      <w:sz w:val="21"/>
                      <w:szCs w:val="21"/>
                      <w:vertAlign w:val="baseline"/>
                      <w:lang w:val="en-US" w:eastAsia="zh-CN"/>
                    </w:rPr>
                    <w:t>2</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1B788907">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7.06</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58534CD2">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7</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2D00EDAD">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9</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2A701771">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2.6</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61CBF18">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0.057</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1430C6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0.25</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6CF7F1D2">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0.03</w:t>
                  </w:r>
                </w:p>
              </w:tc>
            </w:tr>
            <w:tr w14:paraId="36758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DF06FE">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0FB86B75">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w:t>
                  </w:r>
                  <w:r>
                    <w:rPr>
                      <w:rFonts w:hint="eastAsia" w:ascii="Times New Roman" w:hAnsi="Times New Roman" w:eastAsia="宋体" w:cs="Times New Roman"/>
                      <w:b w:val="0"/>
                      <w:bCs w:val="0"/>
                      <w:color w:val="auto"/>
                      <w:sz w:val="21"/>
                      <w:szCs w:val="21"/>
                      <w:vertAlign w:val="baseline"/>
                      <w:lang w:val="en-US" w:eastAsia="zh-CN"/>
                    </w:rPr>
                    <w:t>4</w:t>
                  </w:r>
                  <w:r>
                    <w:rPr>
                      <w:rFonts w:hint="default" w:ascii="Times New Roman" w:hAnsi="Times New Roman" w:eastAsia="宋体" w:cs="Times New Roman"/>
                      <w:b w:val="0"/>
                      <w:bCs w:val="0"/>
                      <w:color w:val="auto"/>
                      <w:sz w:val="21"/>
                      <w:szCs w:val="21"/>
                      <w:vertAlign w:val="baseline"/>
                      <w:lang w:val="en-US" w:eastAsia="zh-CN"/>
                    </w:rPr>
                    <w:t>.1.</w:t>
                  </w:r>
                  <w:r>
                    <w:rPr>
                      <w:rFonts w:hint="eastAsia" w:ascii="Times New Roman" w:hAnsi="Times New Roman" w:eastAsia="宋体" w:cs="Times New Roman"/>
                      <w:b w:val="0"/>
                      <w:bCs w:val="0"/>
                      <w:color w:val="auto"/>
                      <w:sz w:val="21"/>
                      <w:szCs w:val="21"/>
                      <w:vertAlign w:val="baseline"/>
                      <w:lang w:val="en-US" w:eastAsia="zh-CN"/>
                    </w:rPr>
                    <w:t>06</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6B8CC24C">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18.9</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A0628C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r>
                    <w:rPr>
                      <w:rFonts w:hint="eastAsia" w:ascii="Times New Roman" w:hAnsi="Times New Roman" w:eastAsia="宋体" w:cs="Times New Roman"/>
                      <w:b w:val="0"/>
                      <w:bCs w:val="0"/>
                      <w:color w:val="auto"/>
                      <w:sz w:val="21"/>
                      <w:szCs w:val="21"/>
                      <w:vertAlign w:val="baseline"/>
                      <w:lang w:val="en-US" w:eastAsia="zh-CN"/>
                    </w:rPr>
                    <w:t>2</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15FFA1D7">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7.4</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4627D61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6</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51926BC">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7C5287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3</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6AB24C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0.077</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490C5F9">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0.21</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2759BBC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0.04</w:t>
                  </w:r>
                </w:p>
              </w:tc>
            </w:tr>
            <w:tr w14:paraId="7F1BC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DF364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6A00ABD6">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w:t>
                  </w:r>
                  <w:r>
                    <w:rPr>
                      <w:rFonts w:hint="eastAsia" w:ascii="Times New Roman" w:hAnsi="Times New Roman" w:eastAsia="宋体" w:cs="Times New Roman"/>
                      <w:b w:val="0"/>
                      <w:bCs w:val="0"/>
                      <w:color w:val="auto"/>
                      <w:sz w:val="21"/>
                      <w:szCs w:val="21"/>
                      <w:vertAlign w:val="baseline"/>
                      <w:lang w:val="en-US" w:eastAsia="zh-CN"/>
                    </w:rPr>
                    <w:t>4</w:t>
                  </w:r>
                  <w:r>
                    <w:rPr>
                      <w:rFonts w:hint="default" w:ascii="Times New Roman" w:hAnsi="Times New Roman" w:eastAsia="宋体" w:cs="Times New Roman"/>
                      <w:b w:val="0"/>
                      <w:bCs w:val="0"/>
                      <w:color w:val="auto"/>
                      <w:sz w:val="21"/>
                      <w:szCs w:val="21"/>
                      <w:vertAlign w:val="baseline"/>
                      <w:lang w:val="en-US" w:eastAsia="zh-CN"/>
                    </w:rPr>
                    <w:t>.1</w:t>
                  </w:r>
                  <w:r>
                    <w:rPr>
                      <w:rFonts w:hint="eastAsia" w:ascii="Times New Roman" w:hAnsi="Times New Roman" w:eastAsia="宋体" w:cs="Times New Roman"/>
                      <w:b w:val="0"/>
                      <w:bCs w:val="0"/>
                      <w:color w:val="auto"/>
                      <w:sz w:val="21"/>
                      <w:szCs w:val="21"/>
                      <w:vertAlign w:val="baseline"/>
                      <w:lang w:val="en-US" w:eastAsia="zh-CN"/>
                    </w:rPr>
                    <w:t>.07</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14504417">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18.7</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B6F89D7">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7.1</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7F003A82">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7.63</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3AD8F9E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6</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5B50315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D440E4B">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2.8</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28F8BD38">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0.063</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42F0A7C7">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0.22</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4623BC98">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0.03</w:t>
                  </w:r>
                </w:p>
              </w:tc>
            </w:tr>
            <w:tr w14:paraId="08B4E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C2F27F">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21125D49">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平均值</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64C79D26">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18.767</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530D025">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r>
                    <w:rPr>
                      <w:rFonts w:hint="eastAsia" w:ascii="Times New Roman" w:hAnsi="Times New Roman" w:eastAsia="宋体" w:cs="Times New Roman"/>
                      <w:b w:val="0"/>
                      <w:bCs w:val="0"/>
                      <w:color w:val="auto"/>
                      <w:sz w:val="21"/>
                      <w:szCs w:val="21"/>
                      <w:vertAlign w:val="baseline"/>
                      <w:lang w:val="en-US" w:eastAsia="zh-CN"/>
                    </w:rPr>
                    <w:t>167</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3A7A345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7.363</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52A310CE">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6.333</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62E00B2">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9.667</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7823208">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2.8</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5DF3AD2B">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0.066</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50E73B73">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0.227</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3604363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0.0333</w:t>
                  </w:r>
                </w:p>
              </w:tc>
            </w:tr>
            <w:tr w14:paraId="12979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94C9E3">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415094A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标准指数</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73BF4BF5">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2B05AF6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w:t>
                  </w:r>
                  <w:r>
                    <w:rPr>
                      <w:rFonts w:hint="eastAsia" w:ascii="Times New Roman" w:hAnsi="Times New Roman" w:eastAsia="宋体" w:cs="Times New Roman"/>
                      <w:b w:val="0"/>
                      <w:bCs w:val="0"/>
                      <w:color w:val="auto"/>
                      <w:sz w:val="21"/>
                      <w:szCs w:val="21"/>
                      <w:vertAlign w:val="baseline"/>
                      <w:lang w:val="en-US" w:eastAsia="zh-CN"/>
                    </w:rPr>
                    <w:t>8</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77E68DA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0.27</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3DCCF50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01CA14E">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0.24</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463155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0.28</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4D65D26">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0.03</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FD9EF3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0.57</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61E0047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14:paraId="1A4D0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4E14A2">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32321AA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超标倍数</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0ED1CC66">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47BA62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DC4C23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0CF535E7">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2587EA98">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03716DD">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9DB676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3E4D4B5">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769E989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14:paraId="063B5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1282DF">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6458C9A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是否达标</w:t>
                  </w:r>
                </w:p>
              </w:tc>
              <w:tc>
                <w:tcPr>
                  <w:tcW w:w="858" w:type="dxa"/>
                  <w:tcBorders>
                    <w:top w:val="single" w:color="000000" w:sz="4" w:space="0"/>
                    <w:left w:val="single" w:color="000000" w:sz="4" w:space="0"/>
                    <w:bottom w:val="single" w:color="000000" w:sz="4" w:space="0"/>
                    <w:right w:val="single" w:color="000000" w:sz="4" w:space="0"/>
                  </w:tcBorders>
                  <w:noWrap w:val="0"/>
                  <w:vAlign w:val="center"/>
                </w:tcPr>
                <w:p w14:paraId="23417A30">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44598454">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291FA483">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14:paraId="20261201">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1C3727A">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53DA428">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FD635E3">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45373CF">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14:paraId="08F2F6D5">
                  <w:pPr>
                    <w:wordWrap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r>
          </w:tbl>
          <w:p w14:paraId="39E9B05B">
            <w:pPr>
              <w:wordWrap w:val="0"/>
              <w:spacing w:line="360" w:lineRule="auto"/>
              <w:ind w:firstLine="480" w:firstLineChars="200"/>
              <w:textAlignment w:val="baseline"/>
              <w:rPr>
                <w:rFonts w:hint="default" w:ascii="Times New Roman" w:hAnsi="Times New Roman" w:eastAsia="宋体" w:cs="Times New Roman"/>
                <w:b w:val="0"/>
                <w:bCs/>
                <w:color w:val="auto"/>
                <w:kern w:val="0"/>
                <w:sz w:val="24"/>
              </w:rPr>
            </w:pPr>
            <w:r>
              <w:rPr>
                <w:rFonts w:hint="default" w:ascii="Times New Roman" w:hAnsi="Times New Roman" w:eastAsia="宋体" w:cs="Times New Roman"/>
                <w:b w:val="0"/>
                <w:bCs/>
                <w:color w:val="auto"/>
                <w:kern w:val="0"/>
                <w:sz w:val="24"/>
              </w:rPr>
              <w:t>从监测结果分析，石湾镇中心排渠各项水质指标均可满足《地表水环境质量标准》（GB3838-2002）V类标准，由此可见，石湾镇中心排渠水环境质量现状良好。</w:t>
            </w:r>
          </w:p>
          <w:p w14:paraId="6E20D63A">
            <w:pPr>
              <w:wordWrap w:val="0"/>
              <w:spacing w:line="360" w:lineRule="auto"/>
              <w:textAlignment w:val="baseline"/>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mc:AlternateContent>
                <mc:Choice Requires="wps">
                  <w:drawing>
                    <wp:anchor distT="0" distB="0" distL="114300" distR="114300" simplePos="0" relativeHeight="251666432" behindDoc="0" locked="0" layoutInCell="1" allowOverlap="1">
                      <wp:simplePos x="0" y="0"/>
                      <wp:positionH relativeFrom="column">
                        <wp:posOffset>1214120</wp:posOffset>
                      </wp:positionH>
                      <wp:positionV relativeFrom="paragraph">
                        <wp:posOffset>1318895</wp:posOffset>
                      </wp:positionV>
                      <wp:extent cx="127000" cy="95250"/>
                      <wp:effectExtent l="12700" t="12700" r="12700" b="25400"/>
                      <wp:wrapNone/>
                      <wp:docPr id="78" name="五角星 78"/>
                      <wp:cNvGraphicFramePr/>
                      <a:graphic xmlns:a="http://schemas.openxmlformats.org/drawingml/2006/main">
                        <a:graphicData uri="http://schemas.microsoft.com/office/word/2010/wordprocessingShape">
                          <wps:wsp>
                            <wps:cNvSpPr/>
                            <wps:spPr>
                              <a:xfrm>
                                <a:off x="5720080" y="3640455"/>
                                <a:ext cx="127000" cy="95250"/>
                              </a:xfrm>
                              <a:prstGeom prst="star5">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95.6pt;margin-top:103.85pt;height:7.5pt;width:10pt;z-index:251666432;v-text-anchor:middle;mso-width-relative:page;mso-height-relative:page;" fillcolor="#FF0000" filled="t" stroked="t" coordsize="127000,95250" o:gfxdata="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&#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6rFWpdgAAAALAQAADwAAAAAAAAABACAAAAAiAAAA&#10;ZHJzL2Rvd25yZXYueG1sUEsBAhQAFAAAAAgAh07iQBXsRN55AgAA+wQAAA4AAAAAAAAAAQAgAAAA&#10;JwEAAGRycy9lMm9Eb2MueG1sUEsFBgAAAAAGAAYAWQEAABIGAAAAAA==&#10;" path="m0,36382l48509,36382,63500,0,78490,36382,126999,36382,87754,58867,102745,95249,63500,72764,24254,95249,39245,58867xe">
                      <v:path o:connectlocs="63500,0;0,36382;24254,95249;102745,95249;126999,36382" o:connectangles="247,164,82,82,0"/>
                      <v:fill on="t" focussize="0,0"/>
                      <v:stroke weight="2pt" color="#FF0000" joinstyle="round"/>
                      <v:imagedata o:title=""/>
                      <o:lock v:ext="edit" aspectratio="f"/>
                    </v:shape>
                  </w:pict>
                </mc:Fallback>
              </mc:AlternateContent>
            </w:r>
            <w:r>
              <w:rPr>
                <w:rFonts w:hint="default" w:ascii="Times New Roman" w:hAnsi="Times New Roman" w:eastAsia="宋体" w:cs="Times New Roman"/>
                <w:color w:val="auto"/>
                <w:sz w:val="24"/>
              </w:rPr>
              <mc:AlternateContent>
                <mc:Choice Requires="wps">
                  <w:drawing>
                    <wp:anchor distT="0" distB="0" distL="114300" distR="114300" simplePos="0" relativeHeight="251671552" behindDoc="0" locked="0" layoutInCell="1" allowOverlap="1">
                      <wp:simplePos x="0" y="0"/>
                      <wp:positionH relativeFrom="column">
                        <wp:posOffset>2326640</wp:posOffset>
                      </wp:positionH>
                      <wp:positionV relativeFrom="paragraph">
                        <wp:posOffset>2383155</wp:posOffset>
                      </wp:positionV>
                      <wp:extent cx="314960" cy="145415"/>
                      <wp:effectExtent l="0" t="11430" r="8890" b="14605"/>
                      <wp:wrapNone/>
                      <wp:docPr id="7" name="直接箭头连接符 7"/>
                      <wp:cNvGraphicFramePr/>
                      <a:graphic xmlns:a="http://schemas.openxmlformats.org/drawingml/2006/main">
                        <a:graphicData uri="http://schemas.microsoft.com/office/word/2010/wordprocessingShape">
                          <wps:wsp>
                            <wps:cNvCnPr/>
                            <wps:spPr>
                              <a:xfrm flipH="1">
                                <a:off x="0" y="0"/>
                                <a:ext cx="314960" cy="145415"/>
                              </a:xfrm>
                              <a:prstGeom prst="straightConnector1">
                                <a:avLst/>
                              </a:prstGeom>
                              <a:noFill/>
                              <a:ln w="25400" cap="flat" cmpd="sng" algn="ctr">
                                <a:solidFill>
                                  <a:sysClr val="window" lastClr="FFFFFF"/>
                                </a:solidFill>
                                <a:prstDash val="solid"/>
                                <a:tailEnd type="arrow"/>
                              </a:ln>
                              <a:effectLst/>
                            </wps:spPr>
                            <wps:bodyPr/>
                          </wps:wsp>
                        </a:graphicData>
                      </a:graphic>
                    </wp:anchor>
                  </w:drawing>
                </mc:Choice>
                <mc:Fallback>
                  <w:pict>
                    <v:shape id="_x0000_s1026" o:spid="_x0000_s1026" o:spt="32" type="#_x0000_t32" style="position:absolute;left:0pt;flip:x;margin-left:183.2pt;margin-top:187.65pt;height:11.45pt;width:24.8pt;z-index:251671552;mso-width-relative:page;mso-height-relative:page;" filled="f" stroked="t" coordsize="21600,21600" o:gfxdata="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is6f7bAAAACwEAAA8A&#10;AAAAAAAAAQAgAAAAIgAAAGRycy9kb3ducmV2LnhtbFBLAQIUABQAAAAIAIdO4kCM5yQgFAIAAPQD&#10;AAAOAAAAAAAAAAEAIAAAACoBAABkcnMvZTJvRG9jLnhtbFBLBQYAAAAABgAGAFkBAACwBQAAAAA=&#10;">
                      <v:fill on="f" focussize="0,0"/>
                      <v:stroke weight="2pt" color="#FFFFFF" joinstyle="round" endarrow="open"/>
                      <v:imagedata o:title=""/>
                      <o:lock v:ext="edit" aspectratio="f"/>
                    </v:shape>
                  </w:pict>
                </mc:Fallback>
              </mc:AlternateContent>
            </w:r>
            <w:r>
              <w:rPr>
                <w:rFonts w:hint="default" w:ascii="Times New Roman" w:hAnsi="Times New Roman" w:eastAsia="宋体" w:cs="Times New Roman"/>
                <w:color w:val="auto"/>
                <w:sz w:val="24"/>
              </w:rPr>
              <mc:AlternateContent>
                <mc:Choice Requires="wps">
                  <w:drawing>
                    <wp:anchor distT="0" distB="0" distL="114300" distR="114300" simplePos="0" relativeHeight="251670528" behindDoc="0" locked="0" layoutInCell="1" allowOverlap="1">
                      <wp:simplePos x="0" y="0"/>
                      <wp:positionH relativeFrom="column">
                        <wp:posOffset>3405505</wp:posOffset>
                      </wp:positionH>
                      <wp:positionV relativeFrom="paragraph">
                        <wp:posOffset>2383790</wp:posOffset>
                      </wp:positionV>
                      <wp:extent cx="223520" cy="97155"/>
                      <wp:effectExtent l="0" t="12700" r="5080" b="23495"/>
                      <wp:wrapNone/>
                      <wp:docPr id="2" name="直接箭头连接符 2"/>
                      <wp:cNvGraphicFramePr/>
                      <a:graphic xmlns:a="http://schemas.openxmlformats.org/drawingml/2006/main">
                        <a:graphicData uri="http://schemas.microsoft.com/office/word/2010/wordprocessingShape">
                          <wps:wsp>
                            <wps:cNvCnPr/>
                            <wps:spPr>
                              <a:xfrm flipH="1" flipV="1">
                                <a:off x="4506595" y="3234055"/>
                                <a:ext cx="223520" cy="97155"/>
                              </a:xfrm>
                              <a:prstGeom prst="straightConnector1">
                                <a:avLst/>
                              </a:prstGeom>
                              <a:noFill/>
                              <a:ln w="25400" cap="flat" cmpd="sng" algn="ctr">
                                <a:solidFill>
                                  <a:sysClr val="window" lastClr="FFFFFF"/>
                                </a:solidFill>
                                <a:prstDash val="solid"/>
                                <a:tailEnd type="arrow"/>
                              </a:ln>
                              <a:effectLst/>
                            </wps:spPr>
                            <wps:bodyPr/>
                          </wps:wsp>
                        </a:graphicData>
                      </a:graphic>
                    </wp:anchor>
                  </w:drawing>
                </mc:Choice>
                <mc:Fallback>
                  <w:pict>
                    <v:shape id="_x0000_s1026" o:spid="_x0000_s1026" o:spt="32" type="#_x0000_t32" style="position:absolute;left:0pt;flip:x y;margin-left:268.15pt;margin-top:187.7pt;height:7.65pt;width:17.6pt;z-index:251670528;mso-width-relative:page;mso-height-relative:page;" filled="f" stroked="t" coordsize="21600,21600" o:gfxdata="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f&#10;wwH32AAAAAsBAAAPAAAAAAAAAAEAIAAAACIAAABkcnMvZG93bnJldi54bWxQSwECFAAUAAAACACH&#10;TuJAbTXkNiQCAAAJBAAADgAAAAAAAAABACAAAAAnAQAAZHJzL2Uyb0RvYy54bWxQSwUGAAAAAAYA&#10;BgBZAQAAvQUAAAAA&#10;">
                      <v:fill on="f" focussize="0,0"/>
                      <v:stroke weight="2pt" color="#FFFFFF" joinstyle="round" endarrow="open"/>
                      <v:imagedata o:title=""/>
                      <o:lock v:ext="edit" aspectratio="f"/>
                    </v:shape>
                  </w:pict>
                </mc:Fallback>
              </mc:AlternateContent>
            </w:r>
            <w:r>
              <w:rPr>
                <w:rFonts w:hint="default" w:ascii="Times New Roman" w:hAnsi="Times New Roman" w:eastAsia="宋体" w:cs="Times New Roman"/>
                <w:color w:val="auto"/>
                <w:sz w:val="24"/>
              </w:rPr>
              <mc:AlternateContent>
                <mc:Choice Requires="wps">
                  <w:drawing>
                    <wp:anchor distT="0" distB="0" distL="114300" distR="114300" simplePos="0" relativeHeight="251668480" behindDoc="0" locked="0" layoutInCell="1" allowOverlap="1">
                      <wp:simplePos x="0" y="0"/>
                      <wp:positionH relativeFrom="column">
                        <wp:posOffset>2935605</wp:posOffset>
                      </wp:positionH>
                      <wp:positionV relativeFrom="paragraph">
                        <wp:posOffset>2071370</wp:posOffset>
                      </wp:positionV>
                      <wp:extent cx="53975" cy="314960"/>
                      <wp:effectExtent l="37465" t="0" r="41910" b="8890"/>
                      <wp:wrapNone/>
                      <wp:docPr id="82" name="直接箭头连接符 82"/>
                      <wp:cNvGraphicFramePr/>
                      <a:graphic xmlns:a="http://schemas.openxmlformats.org/drawingml/2006/main">
                        <a:graphicData uri="http://schemas.microsoft.com/office/word/2010/wordprocessingShape">
                          <wps:wsp>
                            <wps:cNvCnPr/>
                            <wps:spPr>
                              <a:xfrm>
                                <a:off x="2254885" y="5031740"/>
                                <a:ext cx="53975" cy="314960"/>
                              </a:xfrm>
                              <a:prstGeom prst="straightConnector1">
                                <a:avLst/>
                              </a:prstGeom>
                              <a:noFill/>
                              <a:ln w="19050" cap="flat" cmpd="sng" algn="ctr">
                                <a:solidFill>
                                  <a:srgbClr val="FFFF00"/>
                                </a:solidFill>
                                <a:prstDash val="solid"/>
                                <a:headEnd type="arrow"/>
                                <a:tailEnd type="arrow"/>
                              </a:ln>
                              <a:effectLst/>
                            </wps:spPr>
                            <wps:bodyPr/>
                          </wps:wsp>
                        </a:graphicData>
                      </a:graphic>
                    </wp:anchor>
                  </w:drawing>
                </mc:Choice>
                <mc:Fallback>
                  <w:pict>
                    <v:shape id="_x0000_s1026" o:spid="_x0000_s1026" o:spt="32" type="#_x0000_t32" style="position:absolute;left:0pt;margin-left:231.15pt;margin-top:163.1pt;height:24.8pt;width:4.25pt;z-index:251668480;mso-width-relative:page;mso-height-relative:page;" filled="f" stroked="t" coordsize="21600,21600" o:gfxdata="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u92vZ2QAAAAsBAAAP&#10;AAAAAAAAAAEAIAAAACIAAABkcnMvZG93bnJldi54bWxQSwECFAAUAAAACACHTuJATKxLBBcCAAAA&#10;BAAADgAAAAAAAAABACAAAAAoAQAAZHJzL2Uyb0RvYy54bWxQSwUGAAAAAAYABgBZAQAAsQUAAAAA&#10;">
                      <v:fill on="f" focussize="0,0"/>
                      <v:stroke weight="1.5pt" color="#FFFF00" joinstyle="round" startarrow="open" endarrow="open"/>
                      <v:imagedata o:title=""/>
                      <o:lock v:ext="edit" aspectratio="f"/>
                    </v:shape>
                  </w:pict>
                </mc:Fallback>
              </mc:AlternateContent>
            </w:r>
            <w:r>
              <w:rPr>
                <w:rFonts w:ascii="Times New Roman" w:hAnsi="Times New Roman" w:eastAsia="宋体" w:cs="Times New Roman"/>
                <w:color w:val="auto"/>
                <w:sz w:val="24"/>
              </w:rPr>
              <w:drawing>
                <wp:anchor distT="0" distB="0" distL="114300" distR="114300" simplePos="0" relativeHeight="251674624" behindDoc="0" locked="0" layoutInCell="1" allowOverlap="1">
                  <wp:simplePos x="0" y="0"/>
                  <wp:positionH relativeFrom="column">
                    <wp:posOffset>4923790</wp:posOffset>
                  </wp:positionH>
                  <wp:positionV relativeFrom="paragraph">
                    <wp:posOffset>26670</wp:posOffset>
                  </wp:positionV>
                  <wp:extent cx="687070" cy="622300"/>
                  <wp:effectExtent l="9525" t="9525" r="27305" b="15875"/>
                  <wp:wrapNone/>
                  <wp:docPr id="144" name="图片 97" descr="565ee433d17bdd5fe0bbe10f9802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97" descr="565ee433d17bdd5fe0bbe10f9802366"/>
                          <pic:cNvPicPr>
                            <a:picLocks noChangeAspect="1"/>
                          </pic:cNvPicPr>
                        </pic:nvPicPr>
                        <pic:blipFill>
                          <a:blip r:embed="rId22"/>
                          <a:stretch>
                            <a:fillRect/>
                          </a:stretch>
                        </pic:blipFill>
                        <pic:spPr>
                          <a:xfrm>
                            <a:off x="0" y="0"/>
                            <a:ext cx="687070" cy="622300"/>
                          </a:xfrm>
                          <a:prstGeom prst="rect">
                            <a:avLst/>
                          </a:prstGeom>
                          <a:noFill/>
                          <a:ln w="9525" cap="flat" cmpd="sng">
                            <a:solidFill>
                              <a:srgbClr val="000000"/>
                            </a:solidFill>
                            <a:prstDash val="solid"/>
                            <a:miter/>
                            <a:headEnd type="none" w="med" len="med"/>
                            <a:tailEnd type="none" w="med" len="med"/>
                          </a:ln>
                        </pic:spPr>
                      </pic:pic>
                    </a:graphicData>
                  </a:graphic>
                </wp:anchor>
              </w:drawing>
            </w:r>
            <w:r>
              <w:rPr>
                <w:rFonts w:hint="default" w:ascii="Times New Roman" w:hAnsi="Times New Roman" w:eastAsia="宋体" w:cs="Times New Roman"/>
                <w:color w:val="auto"/>
                <w:sz w:val="24"/>
              </w:rPr>
              <mc:AlternateContent>
                <mc:Choice Requires="wps">
                  <w:drawing>
                    <wp:anchor distT="0" distB="0" distL="114300" distR="114300" simplePos="0" relativeHeight="251673600" behindDoc="0" locked="0" layoutInCell="1" allowOverlap="1">
                      <wp:simplePos x="0" y="0"/>
                      <wp:positionH relativeFrom="column">
                        <wp:posOffset>836930</wp:posOffset>
                      </wp:positionH>
                      <wp:positionV relativeFrom="paragraph">
                        <wp:posOffset>2726690</wp:posOffset>
                      </wp:positionV>
                      <wp:extent cx="267970" cy="0"/>
                      <wp:effectExtent l="0" t="53975" r="17780" b="60325"/>
                      <wp:wrapNone/>
                      <wp:docPr id="143" name="直接箭头连接符 143"/>
                      <wp:cNvGraphicFramePr/>
                      <a:graphic xmlns:a="http://schemas.openxmlformats.org/drawingml/2006/main">
                        <a:graphicData uri="http://schemas.microsoft.com/office/word/2010/wordprocessingShape">
                          <wps:wsp>
                            <wps:cNvCnPr/>
                            <wps:spPr>
                              <a:xfrm>
                                <a:off x="0" y="0"/>
                                <a:ext cx="267970" cy="0"/>
                              </a:xfrm>
                              <a:prstGeom prst="straightConnector1">
                                <a:avLst/>
                              </a:prstGeom>
                              <a:noFill/>
                              <a:ln w="19050" cap="flat" cmpd="sng" algn="ctr">
                                <a:solidFill>
                                  <a:srgbClr val="FFFF00"/>
                                </a:solidFill>
                                <a:prstDash val="solid"/>
                                <a:headEnd type="arrow"/>
                                <a:tailEnd type="arrow"/>
                              </a:ln>
                              <a:effectLst/>
                            </wps:spPr>
                            <wps:bodyPr/>
                          </wps:wsp>
                        </a:graphicData>
                      </a:graphic>
                    </wp:anchor>
                  </w:drawing>
                </mc:Choice>
                <mc:Fallback>
                  <w:pict>
                    <v:shape id="_x0000_s1026" o:spid="_x0000_s1026" o:spt="32" type="#_x0000_t32" style="position:absolute;left:0pt;margin-left:65.9pt;margin-top:214.7pt;height:0pt;width:21.1pt;z-index:251673600;mso-width-relative:page;mso-height-relative:page;" filled="f" stroked="t" coordsize="21600,21600" o:gfxdata="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2j7Pl1gAAAAsBAAAPAAAAAAAAAAEAIAAAACIAAABkcnMv&#10;ZG93bnJldi54bWxQSwECFAAUAAAACACHTuJAXM/BsQUCAADyAwAADgAAAAAAAAABACAAAAAlAQAA&#10;ZHJzL2Uyb0RvYy54bWxQSwUGAAAAAAYABgBZAQAAnAUAAAAA&#10;">
                      <v:fill on="f" focussize="0,0"/>
                      <v:stroke weight="1.5pt" color="#FFFF00" joinstyle="round" startarrow="open" endarrow="open"/>
                      <v:imagedata o:title=""/>
                      <o:lock v:ext="edit" aspectratio="f"/>
                    </v:shape>
                  </w:pict>
                </mc:Fallback>
              </mc:AlternateContent>
            </w:r>
            <w:r>
              <w:rPr>
                <w:rFonts w:hint="default" w:ascii="Times New Roman" w:hAnsi="Times New Roman" w:eastAsia="宋体" w:cs="Times New Roman"/>
                <w:color w:val="auto"/>
                <w:sz w:val="24"/>
              </w:rPr>
              <mc:AlternateContent>
                <mc:Choice Requires="wps">
                  <w:drawing>
                    <wp:anchor distT="0" distB="0" distL="114300" distR="114300" simplePos="0" relativeHeight="251672576" behindDoc="0" locked="0" layoutInCell="1" allowOverlap="1">
                      <wp:simplePos x="0" y="0"/>
                      <wp:positionH relativeFrom="column">
                        <wp:posOffset>835025</wp:posOffset>
                      </wp:positionH>
                      <wp:positionV relativeFrom="paragraph">
                        <wp:posOffset>3237230</wp:posOffset>
                      </wp:positionV>
                      <wp:extent cx="263525" cy="0"/>
                      <wp:effectExtent l="0" t="57150" r="3175" b="57150"/>
                      <wp:wrapNone/>
                      <wp:docPr id="9" name="直接箭头连接符 9"/>
                      <wp:cNvGraphicFramePr/>
                      <a:graphic xmlns:a="http://schemas.openxmlformats.org/drawingml/2006/main">
                        <a:graphicData uri="http://schemas.microsoft.com/office/word/2010/wordprocessingShape">
                          <wps:wsp>
                            <wps:cNvCnPr/>
                            <wps:spPr>
                              <a:xfrm>
                                <a:off x="0" y="0"/>
                                <a:ext cx="263525" cy="0"/>
                              </a:xfrm>
                              <a:prstGeom prst="straightConnector1">
                                <a:avLst/>
                              </a:prstGeom>
                              <a:noFill/>
                              <a:ln w="25400" cap="flat" cmpd="sng" algn="ctr">
                                <a:solidFill>
                                  <a:sysClr val="window" lastClr="FFFFFF"/>
                                </a:solidFill>
                                <a:prstDash val="solid"/>
                                <a:tailEnd type="arrow"/>
                              </a:ln>
                              <a:effectLst/>
                            </wps:spPr>
                            <wps:bodyPr/>
                          </wps:wsp>
                        </a:graphicData>
                      </a:graphic>
                    </wp:anchor>
                  </w:drawing>
                </mc:Choice>
                <mc:Fallback>
                  <w:pict>
                    <v:shape id="_x0000_s1026" o:spid="_x0000_s1026" o:spt="32" type="#_x0000_t32" style="position:absolute;left:0pt;margin-left:65.75pt;margin-top:254.9pt;height:0pt;width:20.75pt;z-index:251672576;mso-width-relative:page;mso-height-relative:page;" filled="f" stroked="t" coordsize="21600,21600" o:gfxdata="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i6BeHXAAAACwEAAA8AAAAAAAAAAQAgAAAAIgAAAGRy&#10;cy9kb3ducmV2LnhtbFBLAQIUABQAAAAIAIdO4kAlzfC6BgIAAOUDAAAOAAAAAAAAAAEAIAAAACYB&#10;AABkcnMvZTJvRG9jLnhtbFBLBQYAAAAABgAGAFkBAACeBQAAAAA=&#10;">
                      <v:fill on="f" focussize="0,0"/>
                      <v:stroke weight="2pt" color="#FFFFFF" joinstyle="round" endarrow="open"/>
                      <v:imagedata o:title=""/>
                      <o:lock v:ext="edit" aspectratio="f"/>
                    </v:shape>
                  </w:pict>
                </mc:Fallback>
              </mc:AlternateContent>
            </w:r>
            <w:r>
              <w:rPr>
                <w:rFonts w:hint="default" w:ascii="Times New Roman" w:hAnsi="Times New Roman" w:eastAsia="宋体" w:cs="Times New Roman"/>
                <w:color w:val="auto"/>
                <w:sz w:val="24"/>
              </w:rPr>
              <mc:AlternateContent>
                <mc:Choice Requires="wps">
                  <w:drawing>
                    <wp:anchor distT="0" distB="0" distL="114300" distR="114300" simplePos="0" relativeHeight="251669504" behindDoc="0" locked="0" layoutInCell="1" allowOverlap="1">
                      <wp:simplePos x="0" y="0"/>
                      <wp:positionH relativeFrom="column">
                        <wp:posOffset>865505</wp:posOffset>
                      </wp:positionH>
                      <wp:positionV relativeFrom="paragraph">
                        <wp:posOffset>2946400</wp:posOffset>
                      </wp:positionV>
                      <wp:extent cx="127000" cy="95250"/>
                      <wp:effectExtent l="12700" t="12700" r="12700" b="25400"/>
                      <wp:wrapNone/>
                      <wp:docPr id="86" name="五角星 86"/>
                      <wp:cNvGraphicFramePr/>
                      <a:graphic xmlns:a="http://schemas.openxmlformats.org/drawingml/2006/main">
                        <a:graphicData uri="http://schemas.microsoft.com/office/word/2010/wordprocessingShape">
                          <wps:wsp>
                            <wps:cNvSpPr/>
                            <wps:spPr>
                              <a:xfrm>
                                <a:off x="0" y="0"/>
                                <a:ext cx="127000" cy="95250"/>
                              </a:xfrm>
                              <a:prstGeom prst="star5">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68.15pt;margin-top:232pt;height:7.5pt;width:10pt;z-index:251669504;v-text-anchor:middle;mso-width-relative:page;mso-height-relative:page;" fillcolor="#FF0000" filled="t" stroked="t" coordsize="127000,95250" o:gfxdata="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YB4elNgAAAALAQAADwAAAAAAAAABACAAAAAiAAAAZHJzL2Rvd25yZXYu&#10;eG1sUEsBAhQAFAAAAAgAh07iQOpD/7VtAgAA7wQAAA4AAAAAAAAAAQAgAAAAJwEAAGRycy9lMm9E&#10;b2MueG1sUEsFBgAAAAAGAAYAWQEAAAYGAAAAAA==&#10;" path="m0,36382l48509,36382,63500,0,78490,36382,126999,36382,87754,58867,102745,95249,63500,72764,24254,95249,39245,58867xe">
                      <v:path o:connectlocs="63500,0;0,36382;24254,95249;102745,95249;126999,36382" o:connectangles="247,164,82,82,0"/>
                      <v:fill on="t" focussize="0,0"/>
                      <v:stroke weight="2pt" color="#FF0000" joinstyle="round"/>
                      <v:imagedata o:title=""/>
                      <o:lock v:ext="edit" aspectratio="f"/>
                    </v:shape>
                  </w:pict>
                </mc:Fallback>
              </mc:AlternateContent>
            </w:r>
            <w:r>
              <w:rPr>
                <w:rFonts w:hint="default" w:ascii="Times New Roman" w:hAnsi="Times New Roman" w:eastAsia="宋体" w:cs="Times New Roman"/>
                <w:color w:val="auto"/>
                <w:sz w:val="24"/>
              </w:rPr>
              <mc:AlternateContent>
                <mc:Choice Requires="wps">
                  <w:drawing>
                    <wp:anchor distT="0" distB="0" distL="114300" distR="114300" simplePos="0" relativeHeight="251667456" behindDoc="0" locked="0" layoutInCell="1" allowOverlap="1">
                      <wp:simplePos x="0" y="0"/>
                      <wp:positionH relativeFrom="column">
                        <wp:posOffset>-5080</wp:posOffset>
                      </wp:positionH>
                      <wp:positionV relativeFrom="paragraph">
                        <wp:posOffset>2338705</wp:posOffset>
                      </wp:positionV>
                      <wp:extent cx="1306830" cy="1072515"/>
                      <wp:effectExtent l="4445" t="4445" r="22225" b="8890"/>
                      <wp:wrapNone/>
                      <wp:docPr id="81" name="文本框 81"/>
                      <wp:cNvGraphicFramePr/>
                      <a:graphic xmlns:a="http://schemas.openxmlformats.org/drawingml/2006/main">
                        <a:graphicData uri="http://schemas.microsoft.com/office/word/2010/wordprocessingShape">
                          <wps:wsp>
                            <wps:cNvSpPr txBox="1"/>
                            <wps:spPr>
                              <a:xfrm>
                                <a:off x="1302385" y="4523740"/>
                                <a:ext cx="1306830" cy="1072515"/>
                              </a:xfrm>
                              <a:prstGeom prst="rect">
                                <a:avLst/>
                              </a:prstGeom>
                              <a:solidFill>
                                <a:srgbClr val="D9D9D9">
                                  <a:lumMod val="85000"/>
                                </a:srgbClr>
                              </a:solidFill>
                              <a:ln w="6350">
                                <a:solidFill>
                                  <a:prstClr val="black"/>
                                </a:solidFill>
                              </a:ln>
                              <a:effectLst/>
                            </wps:spPr>
                            <wps:txbx>
                              <w:txbxContent>
                                <w:p w14:paraId="3FBDF0EA">
                                  <w:pPr>
                                    <w:wordWrap w:val="0"/>
                                    <w:spacing w:line="360" w:lineRule="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图例</w:t>
                                  </w:r>
                                  <w:r>
                                    <w:rPr>
                                      <w:rFonts w:hint="eastAsia" w:ascii="Times New Roman" w:hAnsi="Times New Roman" w:eastAsia="宋体" w:cs="Times New Roman"/>
                                      <w:b/>
                                      <w:bCs/>
                                      <w:sz w:val="21"/>
                                      <w:szCs w:val="21"/>
                                      <w:lang w:val="en-US" w:eastAsia="zh-CN"/>
                                    </w:rPr>
                                    <w:br w:type="textWrapping"/>
                                  </w:r>
                                  <w:r>
                                    <w:rPr>
                                      <w:rFonts w:hint="eastAsia" w:ascii="Times New Roman" w:hAnsi="Times New Roman" w:eastAsia="宋体" w:cs="Times New Roman"/>
                                      <w:b/>
                                      <w:bCs/>
                                      <w:sz w:val="21"/>
                                      <w:szCs w:val="21"/>
                                      <w:lang w:val="en-US" w:eastAsia="zh-CN"/>
                                    </w:rPr>
                                    <w:t>监测断面</w:t>
                                  </w:r>
                                </w:p>
                                <w:p w14:paraId="74518EA2">
                                  <w:pPr>
                                    <w:wordWrap w:val="0"/>
                                    <w:spacing w:line="360" w:lineRule="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项目位置</w:t>
                                  </w:r>
                                  <w:r>
                                    <w:rPr>
                                      <w:rFonts w:hint="eastAsia" w:ascii="Times New Roman" w:hAnsi="Times New Roman" w:eastAsia="宋体" w:cs="Times New Roman"/>
                                      <w:b/>
                                      <w:bCs/>
                                      <w:sz w:val="21"/>
                                      <w:szCs w:val="21"/>
                                      <w:lang w:val="en-US" w:eastAsia="zh-CN"/>
                                    </w:rPr>
                                    <w:br w:type="textWrapping"/>
                                  </w:r>
                                  <w:r>
                                    <w:rPr>
                                      <w:rFonts w:hint="eastAsia" w:ascii="Times New Roman" w:hAnsi="Times New Roman" w:eastAsia="宋体" w:cs="Times New Roman"/>
                                      <w:b/>
                                      <w:bCs/>
                                      <w:sz w:val="21"/>
                                      <w:szCs w:val="21"/>
                                      <w:lang w:val="en-US" w:eastAsia="zh-CN"/>
                                    </w:rPr>
                                    <w:t>河流流向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pt;margin-top:184.15pt;height:84.45pt;width:102.9pt;z-index:251667456;mso-width-relative:page;mso-height-relative:page;" fillcolor="#B8B8B8" filled="t" stroked="t" coordsize="21600,21600" o:gfxdata="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PpfteHZAAAACQEAAA8AAAAAAAAAAQAg&#10;AAAAIgAAAGRycy9kb3ducmV2LnhtbFBLAQIUABQAAAAIAIdO4kBNhAkxfwIAAPYEAAAOAAAAAAAA&#10;AAEAIAAAACgBAABkcnMvZTJvRG9jLnhtbFBLBQYAAAAABgAGAFkBAAAZBgAAAAA=&#10;">
                      <v:fill on="t" focussize="0,0"/>
                      <v:stroke weight="0.5pt" color="#000000" joinstyle="round"/>
                      <v:imagedata o:title=""/>
                      <o:lock v:ext="edit" aspectratio="f"/>
                      <v:textbox>
                        <w:txbxContent>
                          <w:p w14:paraId="3FBDF0EA">
                            <w:pPr>
                              <w:wordWrap w:val="0"/>
                              <w:spacing w:line="360" w:lineRule="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图例</w:t>
                            </w:r>
                            <w:r>
                              <w:rPr>
                                <w:rFonts w:hint="eastAsia" w:ascii="Times New Roman" w:hAnsi="Times New Roman" w:eastAsia="宋体" w:cs="Times New Roman"/>
                                <w:b/>
                                <w:bCs/>
                                <w:sz w:val="21"/>
                                <w:szCs w:val="21"/>
                                <w:lang w:val="en-US" w:eastAsia="zh-CN"/>
                              </w:rPr>
                              <w:br w:type="textWrapping"/>
                            </w:r>
                            <w:r>
                              <w:rPr>
                                <w:rFonts w:hint="eastAsia" w:ascii="Times New Roman" w:hAnsi="Times New Roman" w:eastAsia="宋体" w:cs="Times New Roman"/>
                                <w:b/>
                                <w:bCs/>
                                <w:sz w:val="21"/>
                                <w:szCs w:val="21"/>
                                <w:lang w:val="en-US" w:eastAsia="zh-CN"/>
                              </w:rPr>
                              <w:t>监测断面</w:t>
                            </w:r>
                          </w:p>
                          <w:p w14:paraId="74518EA2">
                            <w:pPr>
                              <w:wordWrap w:val="0"/>
                              <w:spacing w:line="360" w:lineRule="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项目位置</w:t>
                            </w:r>
                            <w:r>
                              <w:rPr>
                                <w:rFonts w:hint="eastAsia" w:ascii="Times New Roman" w:hAnsi="Times New Roman" w:eastAsia="宋体" w:cs="Times New Roman"/>
                                <w:b/>
                                <w:bCs/>
                                <w:sz w:val="21"/>
                                <w:szCs w:val="21"/>
                                <w:lang w:val="en-US" w:eastAsia="zh-CN"/>
                              </w:rPr>
                              <w:br w:type="textWrapping"/>
                            </w:r>
                            <w:r>
                              <w:rPr>
                                <w:rFonts w:hint="eastAsia" w:ascii="Times New Roman" w:hAnsi="Times New Roman" w:eastAsia="宋体" w:cs="Times New Roman"/>
                                <w:b/>
                                <w:bCs/>
                                <w:sz w:val="21"/>
                                <w:szCs w:val="21"/>
                                <w:lang w:val="en-US" w:eastAsia="zh-CN"/>
                              </w:rPr>
                              <w:t>河流流向</w:t>
                            </w:r>
                          </w:p>
                        </w:txbxContent>
                      </v:textbox>
                    </v:shape>
                  </w:pict>
                </mc:Fallback>
              </mc:AlternateContent>
            </w:r>
            <w:r>
              <w:rPr>
                <w:color w:val="auto"/>
              </w:rPr>
              <w:drawing>
                <wp:inline distT="0" distB="0" distL="114300" distR="114300">
                  <wp:extent cx="5630545" cy="3356610"/>
                  <wp:effectExtent l="0" t="0" r="8255" b="15240"/>
                  <wp:docPr id="15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27"/>
                          <pic:cNvPicPr>
                            <a:picLocks noChangeAspect="1"/>
                          </pic:cNvPicPr>
                        </pic:nvPicPr>
                        <pic:blipFill>
                          <a:blip r:embed="rId24"/>
                          <a:stretch>
                            <a:fillRect/>
                          </a:stretch>
                        </pic:blipFill>
                        <pic:spPr>
                          <a:xfrm>
                            <a:off x="0" y="0"/>
                            <a:ext cx="5630545" cy="3356610"/>
                          </a:xfrm>
                          <a:prstGeom prst="rect">
                            <a:avLst/>
                          </a:prstGeom>
                          <a:noFill/>
                          <a:ln>
                            <a:noFill/>
                          </a:ln>
                        </pic:spPr>
                      </pic:pic>
                    </a:graphicData>
                  </a:graphic>
                </wp:inline>
              </w:drawing>
            </w:r>
          </w:p>
          <w:p w14:paraId="733D731E">
            <w:pPr>
              <w:wordWrap w:val="0"/>
              <w:spacing w:line="360" w:lineRule="auto"/>
              <w:jc w:val="center"/>
              <w:textAlignment w:val="baseline"/>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图</w:t>
            </w:r>
            <w:r>
              <w:rPr>
                <w:rFonts w:hint="default" w:ascii="Times New Roman" w:hAnsi="Times New Roman" w:eastAsia="宋体" w:cs="Times New Roman"/>
                <w:b/>
                <w:color w:val="auto"/>
                <w:kern w:val="0"/>
                <w:sz w:val="24"/>
                <w:lang w:val="en-US" w:eastAsia="zh-CN"/>
              </w:rPr>
              <w:t>5</w:t>
            </w:r>
            <w:r>
              <w:rPr>
                <w:rFonts w:hint="default" w:ascii="Times New Roman" w:hAnsi="Times New Roman" w:eastAsia="宋体" w:cs="Times New Roman"/>
                <w:b/>
                <w:color w:val="auto"/>
                <w:kern w:val="0"/>
                <w:sz w:val="24"/>
              </w:rPr>
              <w:t>引用监测断面与本项目位置图</w:t>
            </w:r>
          </w:p>
          <w:p w14:paraId="0BF9A98F">
            <w:pPr>
              <w:adjustRightInd w:val="0"/>
              <w:snapToGrid w:val="0"/>
              <w:spacing w:line="360" w:lineRule="auto"/>
              <w:jc w:val="left"/>
              <w:rPr>
                <w:rFonts w:cs="宋体"/>
                <w:b/>
                <w:bCs/>
                <w:color w:val="auto"/>
                <w:kern w:val="0"/>
                <w:sz w:val="24"/>
                <w:szCs w:val="21"/>
              </w:rPr>
            </w:pPr>
            <w:r>
              <w:rPr>
                <w:rFonts w:hint="eastAsia" w:cs="宋体"/>
                <w:b/>
                <w:bCs/>
                <w:color w:val="auto"/>
                <w:kern w:val="0"/>
                <w:sz w:val="24"/>
                <w:szCs w:val="21"/>
              </w:rPr>
              <w:t>3、声环境</w:t>
            </w:r>
          </w:p>
          <w:p w14:paraId="13E79B90">
            <w:pPr>
              <w:adjustRightInd w:val="0"/>
              <w:snapToGrid w:val="0"/>
              <w:spacing w:line="360" w:lineRule="auto"/>
              <w:ind w:firstLine="480" w:firstLineChars="200"/>
              <w:jc w:val="left"/>
              <w:rPr>
                <w:rFonts w:cs="宋体"/>
                <w:color w:val="auto"/>
                <w:kern w:val="0"/>
                <w:sz w:val="24"/>
                <w:szCs w:val="21"/>
              </w:rPr>
            </w:pPr>
            <w:r>
              <w:rPr>
                <w:rFonts w:hint="eastAsia" w:cs="宋体"/>
                <w:color w:val="auto"/>
                <w:kern w:val="0"/>
                <w:sz w:val="24"/>
                <w:szCs w:val="21"/>
              </w:rPr>
              <w:t>根据《惠州市生态环境局关于印发&lt;惠州市声环境功能区划分方案（2022年）&gt;的通知》（惠市环[2022]33号），以商业金融、集市贸易为主要功能，或者居住、商业、工业混杂，需要维护住宅安静的区域，适用2类声环境功能区。经现场勘察，项目位于“居住、商业、工业混杂的区域”内，因此项目所在区域为2类声环境功能区，本项目声环境执行《声环境质量标准》（GB3096-2008）中的2类标准。</w:t>
            </w:r>
          </w:p>
          <w:p w14:paraId="240ED270">
            <w:pPr>
              <w:adjustRightInd w:val="0"/>
              <w:snapToGrid w:val="0"/>
              <w:spacing w:line="360" w:lineRule="auto"/>
              <w:jc w:val="left"/>
              <w:rPr>
                <w:rFonts w:hint="eastAsia" w:cs="宋体"/>
                <w:b/>
                <w:bCs/>
                <w:color w:val="auto"/>
                <w:kern w:val="0"/>
                <w:sz w:val="24"/>
                <w:szCs w:val="21"/>
              </w:rPr>
            </w:pPr>
            <w:r>
              <w:rPr>
                <w:rFonts w:hint="eastAsia" w:cs="宋体"/>
                <w:b/>
                <w:bCs/>
                <w:color w:val="auto"/>
                <w:kern w:val="0"/>
                <w:sz w:val="24"/>
                <w:szCs w:val="21"/>
                <w:lang w:val="en-US" w:eastAsia="zh-CN"/>
              </w:rPr>
              <w:t>4、</w:t>
            </w:r>
            <w:r>
              <w:rPr>
                <w:rFonts w:hint="eastAsia" w:cs="宋体"/>
                <w:b/>
                <w:bCs/>
                <w:color w:val="auto"/>
                <w:kern w:val="0"/>
                <w:sz w:val="24"/>
                <w:szCs w:val="21"/>
              </w:rPr>
              <w:t>生态环境质量现状</w:t>
            </w:r>
          </w:p>
          <w:p w14:paraId="3273B999">
            <w:pPr>
              <w:adjustRightInd w:val="0"/>
              <w:snapToGrid w:val="0"/>
              <w:spacing w:line="360" w:lineRule="auto"/>
              <w:ind w:firstLine="480" w:firstLineChars="200"/>
              <w:jc w:val="left"/>
              <w:rPr>
                <w:rFonts w:hint="eastAsia" w:cs="宋体"/>
                <w:color w:val="auto"/>
                <w:kern w:val="0"/>
                <w:sz w:val="24"/>
                <w:szCs w:val="21"/>
              </w:rPr>
            </w:pPr>
            <w:r>
              <w:rPr>
                <w:rFonts w:hint="eastAsia" w:cs="宋体"/>
                <w:color w:val="auto"/>
                <w:kern w:val="0"/>
                <w:sz w:val="24"/>
                <w:szCs w:val="21"/>
              </w:rPr>
              <w:t>项目</w:t>
            </w:r>
            <w:r>
              <w:rPr>
                <w:rFonts w:hint="eastAsia" w:cs="宋体"/>
                <w:color w:val="auto"/>
                <w:kern w:val="0"/>
                <w:sz w:val="24"/>
                <w:szCs w:val="21"/>
                <w:lang w:val="en-US" w:eastAsia="zh-CN"/>
              </w:rPr>
              <w:t>租用</w:t>
            </w:r>
            <w:r>
              <w:rPr>
                <w:rFonts w:hint="eastAsia" w:cs="宋体"/>
                <w:color w:val="auto"/>
                <w:kern w:val="0"/>
                <w:sz w:val="24"/>
                <w:szCs w:val="21"/>
              </w:rPr>
              <w:t>已建厂房进行建设，无新增用地，无需进行生态环境质量现状调查。</w:t>
            </w:r>
          </w:p>
          <w:p w14:paraId="046696F7">
            <w:pPr>
              <w:adjustRightInd w:val="0"/>
              <w:snapToGrid w:val="0"/>
              <w:spacing w:line="360" w:lineRule="auto"/>
              <w:jc w:val="left"/>
              <w:rPr>
                <w:rFonts w:hint="eastAsia" w:cs="宋体"/>
                <w:b/>
                <w:bCs/>
                <w:color w:val="auto"/>
                <w:kern w:val="0"/>
                <w:sz w:val="24"/>
                <w:szCs w:val="21"/>
              </w:rPr>
            </w:pPr>
            <w:r>
              <w:rPr>
                <w:rFonts w:hint="eastAsia" w:cs="宋体"/>
                <w:b/>
                <w:bCs/>
                <w:color w:val="auto"/>
                <w:kern w:val="0"/>
                <w:sz w:val="24"/>
                <w:szCs w:val="21"/>
                <w:lang w:val="en-US" w:eastAsia="zh-CN"/>
              </w:rPr>
              <w:t>5、</w:t>
            </w:r>
            <w:r>
              <w:rPr>
                <w:rFonts w:hint="eastAsia" w:cs="宋体"/>
                <w:b/>
                <w:bCs/>
                <w:color w:val="auto"/>
                <w:kern w:val="0"/>
                <w:sz w:val="24"/>
                <w:szCs w:val="21"/>
              </w:rPr>
              <w:t>地下水、土壤环境</w:t>
            </w:r>
          </w:p>
          <w:p w14:paraId="7065D5B4">
            <w:pPr>
              <w:adjustRightInd w:val="0"/>
              <w:snapToGrid w:val="0"/>
              <w:ind w:firstLine="480" w:firstLineChars="200"/>
              <w:rPr>
                <w:rFonts w:hint="default" w:ascii="Times New Roman" w:hAnsi="Times New Roman" w:cs="Times New Roman"/>
                <w:color w:val="auto"/>
                <w:kern w:val="0"/>
                <w:szCs w:val="21"/>
              </w:rPr>
            </w:pPr>
            <w:r>
              <w:rPr>
                <w:rFonts w:hint="eastAsia" w:cs="宋体"/>
                <w:color w:val="auto"/>
                <w:kern w:val="0"/>
                <w:sz w:val="24"/>
                <w:szCs w:val="21"/>
              </w:rPr>
              <w:t>项目</w:t>
            </w:r>
            <w:r>
              <w:rPr>
                <w:color w:val="auto"/>
                <w:sz w:val="24"/>
              </w:rPr>
              <w:t>从事</w:t>
            </w:r>
            <w:r>
              <w:rPr>
                <w:rFonts w:hint="eastAsia"/>
                <w:color w:val="auto"/>
                <w:sz w:val="24"/>
              </w:rPr>
              <w:t>电子配件、电子元器件</w:t>
            </w:r>
            <w:r>
              <w:rPr>
                <w:color w:val="auto"/>
                <w:sz w:val="24"/>
              </w:rPr>
              <w:t>的生产</w:t>
            </w:r>
            <w:r>
              <w:rPr>
                <w:rFonts w:hint="eastAsia" w:cs="宋体"/>
                <w:color w:val="auto"/>
                <w:kern w:val="0"/>
                <w:sz w:val="24"/>
                <w:szCs w:val="21"/>
              </w:rPr>
              <w:t>，用地范围内进行硬化，不存在土壤、地下水污染途径，因此不需开展地下水及土壤环境质量现状调查。</w:t>
            </w:r>
          </w:p>
        </w:tc>
      </w:tr>
      <w:tr w14:paraId="380993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1" w:hRule="atLeast"/>
          <w:jc w:val="center"/>
        </w:trPr>
        <w:tc>
          <w:tcPr>
            <w:tcW w:w="456" w:type="dxa"/>
            <w:tcBorders>
              <w:top w:val="single" w:color="auto" w:sz="4" w:space="0"/>
            </w:tcBorders>
            <w:vAlign w:val="center"/>
          </w:tcPr>
          <w:p w14:paraId="16F57BE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14:paraId="0ED57B59">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保护</w:t>
            </w:r>
          </w:p>
          <w:p w14:paraId="6D284DA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目标</w:t>
            </w:r>
          </w:p>
        </w:tc>
        <w:tc>
          <w:tcPr>
            <w:tcW w:w="9090" w:type="dxa"/>
            <w:tcBorders>
              <w:top w:val="single" w:color="auto" w:sz="4" w:space="0"/>
            </w:tcBorders>
          </w:tcPr>
          <w:p w14:paraId="7E4C648B">
            <w:pPr>
              <w:wordWrap w:val="0"/>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（1）环境空气：</w:t>
            </w:r>
            <w:r>
              <w:rPr>
                <w:rFonts w:hint="default" w:ascii="Times New Roman" w:hAnsi="Times New Roman" w:eastAsia="宋体" w:cs="Times New Roman"/>
                <w:color w:val="auto"/>
                <w:sz w:val="24"/>
              </w:rPr>
              <w:t>项目500m范围内环境空气保护目标</w:t>
            </w:r>
            <w:r>
              <w:rPr>
                <w:rFonts w:hint="eastAsia" w:cs="Times New Roman"/>
                <w:color w:val="auto"/>
                <w:sz w:val="24"/>
                <w:lang w:val="en-US" w:eastAsia="zh-CN"/>
              </w:rPr>
              <w:t>见下表</w:t>
            </w:r>
            <w:r>
              <w:rPr>
                <w:rFonts w:hint="default" w:ascii="Times New Roman" w:hAnsi="Times New Roman" w:eastAsia="宋体" w:cs="Times New Roman"/>
                <w:color w:val="auto"/>
                <w:sz w:val="24"/>
              </w:rPr>
              <w:t>。</w:t>
            </w:r>
          </w:p>
          <w:p w14:paraId="7B2A9366">
            <w:pPr>
              <w:widowControl/>
              <w:wordWrap w:val="0"/>
              <w:spacing w:line="240" w:lineRule="auto"/>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w:t>
            </w:r>
            <w:bookmarkStart w:id="9" w:name="环境空气敏感目标"/>
            <w:r>
              <w:rPr>
                <w:rFonts w:hint="default" w:ascii="Times New Roman" w:hAnsi="Times New Roman" w:eastAsia="宋体" w:cs="Times New Roman"/>
                <w:b/>
                <w:bCs/>
                <w:color w:val="auto"/>
                <w:sz w:val="24"/>
                <w:szCs w:val="22"/>
                <w:lang w:val="en-US" w:eastAsia="zh-CN"/>
              </w:rPr>
              <w:t>3-3</w:t>
            </w:r>
            <w:r>
              <w:rPr>
                <w:rFonts w:hint="default" w:ascii="Times New Roman" w:hAnsi="Times New Roman" w:eastAsia="宋体" w:cs="Times New Roman"/>
                <w:b/>
                <w:bCs/>
                <w:color w:val="auto"/>
                <w:sz w:val="24"/>
                <w:szCs w:val="22"/>
              </w:rPr>
              <w:t xml:space="preserve"> 项目环境空气保护目标</w:t>
            </w:r>
          </w:p>
          <w:bookmarkEnd w:id="9"/>
          <w:tbl>
            <w:tblPr>
              <w:tblStyle w:val="22"/>
              <w:tblW w:w="8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3"/>
              <w:gridCol w:w="703"/>
              <w:gridCol w:w="689"/>
              <w:gridCol w:w="749"/>
              <w:gridCol w:w="1805"/>
              <w:gridCol w:w="1361"/>
              <w:gridCol w:w="826"/>
              <w:gridCol w:w="952"/>
            </w:tblGrid>
            <w:tr w14:paraId="57A12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353" w:type="dxa"/>
                  <w:vMerge w:val="restart"/>
                  <w:noWrap w:val="0"/>
                  <w:vAlign w:val="center"/>
                </w:tcPr>
                <w:p w14:paraId="0F9D64F4">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名称</w:t>
                  </w:r>
                </w:p>
              </w:tc>
              <w:tc>
                <w:tcPr>
                  <w:tcW w:w="1392" w:type="dxa"/>
                  <w:gridSpan w:val="2"/>
                  <w:noWrap w:val="0"/>
                  <w:vAlign w:val="center"/>
                </w:tcPr>
                <w:p w14:paraId="584ECF58">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坐标/m</w:t>
                  </w:r>
                </w:p>
              </w:tc>
              <w:tc>
                <w:tcPr>
                  <w:tcW w:w="749" w:type="dxa"/>
                  <w:vMerge w:val="restart"/>
                  <w:noWrap w:val="0"/>
                  <w:vAlign w:val="center"/>
                </w:tcPr>
                <w:p w14:paraId="5867E06A">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保护</w:t>
                  </w:r>
                </w:p>
                <w:p w14:paraId="78679858">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对象</w:t>
                  </w:r>
                </w:p>
              </w:tc>
              <w:tc>
                <w:tcPr>
                  <w:tcW w:w="1805" w:type="dxa"/>
                  <w:vMerge w:val="restart"/>
                  <w:noWrap w:val="0"/>
                  <w:vAlign w:val="center"/>
                </w:tcPr>
                <w:p w14:paraId="48DD0D3A">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保护内容</w:t>
                  </w:r>
                </w:p>
              </w:tc>
              <w:tc>
                <w:tcPr>
                  <w:tcW w:w="1361" w:type="dxa"/>
                  <w:vMerge w:val="restart"/>
                  <w:noWrap w:val="0"/>
                  <w:vAlign w:val="center"/>
                </w:tcPr>
                <w:p w14:paraId="644E2F63">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环境功能区</w:t>
                  </w:r>
                </w:p>
              </w:tc>
              <w:tc>
                <w:tcPr>
                  <w:tcW w:w="826" w:type="dxa"/>
                  <w:vMerge w:val="restart"/>
                  <w:noWrap w:val="0"/>
                  <w:vAlign w:val="center"/>
                </w:tcPr>
                <w:p w14:paraId="474FE747">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相对厂址方位</w:t>
                  </w:r>
                </w:p>
              </w:tc>
              <w:tc>
                <w:tcPr>
                  <w:tcW w:w="952" w:type="dxa"/>
                  <w:vMerge w:val="restart"/>
                  <w:noWrap w:val="0"/>
                  <w:vAlign w:val="center"/>
                </w:tcPr>
                <w:p w14:paraId="0E5A0033">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相对厂界距离/m</w:t>
                  </w:r>
                </w:p>
              </w:tc>
            </w:tr>
            <w:tr w14:paraId="30B81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353" w:type="dxa"/>
                  <w:vMerge w:val="continue"/>
                  <w:noWrap w:val="0"/>
                  <w:vAlign w:val="center"/>
                </w:tcPr>
                <w:p w14:paraId="5B8A3B90">
                  <w:pPr>
                    <w:wordWrap w:val="0"/>
                    <w:spacing w:line="240" w:lineRule="auto"/>
                    <w:jc w:val="center"/>
                    <w:rPr>
                      <w:rFonts w:hint="default" w:ascii="Times New Roman" w:hAnsi="Times New Roman" w:eastAsia="宋体" w:cs="Times New Roman"/>
                      <w:b/>
                      <w:color w:val="auto"/>
                      <w:sz w:val="21"/>
                      <w:szCs w:val="21"/>
                      <w:lang w:bidi="ar"/>
                    </w:rPr>
                  </w:pPr>
                </w:p>
              </w:tc>
              <w:tc>
                <w:tcPr>
                  <w:tcW w:w="703" w:type="dxa"/>
                  <w:noWrap w:val="0"/>
                  <w:vAlign w:val="center"/>
                </w:tcPr>
                <w:p w14:paraId="30380920">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X</w:t>
                  </w:r>
                </w:p>
              </w:tc>
              <w:tc>
                <w:tcPr>
                  <w:tcW w:w="689" w:type="dxa"/>
                  <w:noWrap w:val="0"/>
                  <w:vAlign w:val="center"/>
                </w:tcPr>
                <w:p w14:paraId="0002F3BE">
                  <w:pPr>
                    <w:wordWrap w:val="0"/>
                    <w:spacing w:line="240" w:lineRule="auto"/>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Y</w:t>
                  </w:r>
                </w:p>
              </w:tc>
              <w:tc>
                <w:tcPr>
                  <w:tcW w:w="749" w:type="dxa"/>
                  <w:vMerge w:val="continue"/>
                  <w:noWrap w:val="0"/>
                  <w:vAlign w:val="center"/>
                </w:tcPr>
                <w:p w14:paraId="1232721C">
                  <w:pPr>
                    <w:wordWrap w:val="0"/>
                    <w:spacing w:line="240" w:lineRule="auto"/>
                    <w:jc w:val="center"/>
                    <w:rPr>
                      <w:rFonts w:hint="default" w:ascii="Times New Roman" w:hAnsi="Times New Roman" w:eastAsia="宋体" w:cs="Times New Roman"/>
                      <w:b/>
                      <w:color w:val="auto"/>
                      <w:sz w:val="21"/>
                      <w:szCs w:val="21"/>
                      <w:lang w:bidi="ar"/>
                    </w:rPr>
                  </w:pPr>
                </w:p>
              </w:tc>
              <w:tc>
                <w:tcPr>
                  <w:tcW w:w="1805" w:type="dxa"/>
                  <w:vMerge w:val="continue"/>
                  <w:noWrap w:val="0"/>
                  <w:vAlign w:val="center"/>
                </w:tcPr>
                <w:p w14:paraId="18B1B7A8">
                  <w:pPr>
                    <w:wordWrap w:val="0"/>
                    <w:spacing w:line="240" w:lineRule="auto"/>
                    <w:jc w:val="center"/>
                    <w:rPr>
                      <w:rFonts w:hint="default" w:ascii="Times New Roman" w:hAnsi="Times New Roman" w:eastAsia="宋体" w:cs="Times New Roman"/>
                      <w:b/>
                      <w:color w:val="auto"/>
                      <w:sz w:val="21"/>
                      <w:szCs w:val="21"/>
                      <w:lang w:bidi="ar"/>
                    </w:rPr>
                  </w:pPr>
                </w:p>
              </w:tc>
              <w:tc>
                <w:tcPr>
                  <w:tcW w:w="1361" w:type="dxa"/>
                  <w:vMerge w:val="continue"/>
                  <w:noWrap w:val="0"/>
                  <w:vAlign w:val="center"/>
                </w:tcPr>
                <w:p w14:paraId="3E0081C7">
                  <w:pPr>
                    <w:wordWrap w:val="0"/>
                    <w:spacing w:line="240" w:lineRule="auto"/>
                    <w:jc w:val="center"/>
                    <w:rPr>
                      <w:rFonts w:hint="default" w:ascii="Times New Roman" w:hAnsi="Times New Roman" w:eastAsia="宋体" w:cs="Times New Roman"/>
                      <w:b/>
                      <w:color w:val="auto"/>
                      <w:sz w:val="21"/>
                      <w:szCs w:val="21"/>
                      <w:lang w:bidi="ar"/>
                    </w:rPr>
                  </w:pPr>
                </w:p>
              </w:tc>
              <w:tc>
                <w:tcPr>
                  <w:tcW w:w="826" w:type="dxa"/>
                  <w:vMerge w:val="continue"/>
                  <w:noWrap w:val="0"/>
                  <w:vAlign w:val="center"/>
                </w:tcPr>
                <w:p w14:paraId="4B571EDD">
                  <w:pPr>
                    <w:wordWrap w:val="0"/>
                    <w:spacing w:line="240" w:lineRule="auto"/>
                    <w:jc w:val="center"/>
                    <w:rPr>
                      <w:rFonts w:hint="default" w:ascii="Times New Roman" w:hAnsi="Times New Roman" w:eastAsia="宋体" w:cs="Times New Roman"/>
                      <w:b/>
                      <w:color w:val="auto"/>
                      <w:sz w:val="21"/>
                      <w:szCs w:val="21"/>
                      <w:lang w:bidi="ar"/>
                    </w:rPr>
                  </w:pPr>
                </w:p>
              </w:tc>
              <w:tc>
                <w:tcPr>
                  <w:tcW w:w="952" w:type="dxa"/>
                  <w:vMerge w:val="continue"/>
                  <w:noWrap w:val="0"/>
                  <w:vAlign w:val="center"/>
                </w:tcPr>
                <w:p w14:paraId="3325E930">
                  <w:pPr>
                    <w:wordWrap w:val="0"/>
                    <w:spacing w:line="240" w:lineRule="auto"/>
                    <w:jc w:val="center"/>
                    <w:rPr>
                      <w:rFonts w:hint="default" w:ascii="Times New Roman" w:hAnsi="Times New Roman" w:eastAsia="宋体" w:cs="Times New Roman"/>
                      <w:b/>
                      <w:color w:val="auto"/>
                      <w:sz w:val="21"/>
                      <w:szCs w:val="21"/>
                      <w:lang w:bidi="ar"/>
                    </w:rPr>
                  </w:pPr>
                </w:p>
              </w:tc>
            </w:tr>
            <w:tr w14:paraId="25BE5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353" w:type="dxa"/>
                  <w:noWrap w:val="0"/>
                  <w:vAlign w:val="center"/>
                </w:tcPr>
                <w:p w14:paraId="1AF2D6E7">
                  <w:pPr>
                    <w:wordWrap w:val="0"/>
                    <w:spacing w:line="240" w:lineRule="auto"/>
                    <w:jc w:val="center"/>
                    <w:rPr>
                      <w:rFonts w:hint="default" w:ascii="Times New Roman" w:hAnsi="Times New Roman" w:eastAsia="宋体" w:cs="Times New Roman"/>
                      <w:bCs/>
                      <w:color w:val="auto"/>
                      <w:kern w:val="0"/>
                      <w:sz w:val="21"/>
                      <w:szCs w:val="21"/>
                      <w:lang w:eastAsia="zh-CN" w:bidi="ar"/>
                    </w:rPr>
                  </w:pPr>
                  <w:r>
                    <w:rPr>
                      <w:rFonts w:hint="eastAsia" w:cs="Times New Roman"/>
                      <w:bCs/>
                      <w:color w:val="auto"/>
                      <w:kern w:val="0"/>
                      <w:sz w:val="21"/>
                      <w:szCs w:val="21"/>
                      <w:lang w:val="en-US" w:eastAsia="zh-CN" w:bidi="ar"/>
                    </w:rPr>
                    <w:t>冯屋村</w:t>
                  </w:r>
                </w:p>
              </w:tc>
              <w:tc>
                <w:tcPr>
                  <w:tcW w:w="703" w:type="dxa"/>
                  <w:noWrap w:val="0"/>
                  <w:vAlign w:val="center"/>
                </w:tcPr>
                <w:p w14:paraId="2C445605">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0</w:t>
                  </w:r>
                </w:p>
              </w:tc>
              <w:tc>
                <w:tcPr>
                  <w:tcW w:w="689" w:type="dxa"/>
                  <w:noWrap w:val="0"/>
                  <w:vAlign w:val="center"/>
                </w:tcPr>
                <w:p w14:paraId="30457A1D">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155</w:t>
                  </w:r>
                </w:p>
              </w:tc>
              <w:tc>
                <w:tcPr>
                  <w:tcW w:w="749" w:type="dxa"/>
                  <w:noWrap w:val="0"/>
                  <w:vAlign w:val="center"/>
                </w:tcPr>
                <w:p w14:paraId="1327C825">
                  <w:pPr>
                    <w:wordWrap w:val="0"/>
                    <w:spacing w:line="240" w:lineRule="auto"/>
                    <w:jc w:val="center"/>
                    <w:rPr>
                      <w:rFonts w:hint="default" w:ascii="Times New Roman" w:hAnsi="Times New Roman" w:eastAsia="宋体" w:cs="Times New Roman"/>
                      <w:bCs/>
                      <w:color w:val="auto"/>
                      <w:kern w:val="0"/>
                      <w:sz w:val="21"/>
                      <w:szCs w:val="21"/>
                      <w:lang w:bidi="ar"/>
                    </w:rPr>
                  </w:pPr>
                  <w:r>
                    <w:rPr>
                      <w:rFonts w:hint="default" w:ascii="Times New Roman" w:hAnsi="Times New Roman" w:eastAsia="宋体" w:cs="Times New Roman"/>
                      <w:bCs/>
                      <w:color w:val="auto"/>
                      <w:kern w:val="0"/>
                      <w:sz w:val="21"/>
                      <w:szCs w:val="21"/>
                      <w:lang w:bidi="ar"/>
                    </w:rPr>
                    <w:t>村庄</w:t>
                  </w:r>
                </w:p>
              </w:tc>
              <w:tc>
                <w:tcPr>
                  <w:tcW w:w="1805" w:type="dxa"/>
                  <w:noWrap w:val="0"/>
                  <w:vAlign w:val="center"/>
                </w:tcPr>
                <w:p w14:paraId="60EC03EA">
                  <w:pPr>
                    <w:widowControl/>
                    <w:wordWrap w:val="0"/>
                    <w:spacing w:line="240" w:lineRule="auto"/>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居民，约</w:t>
                  </w:r>
                  <w:r>
                    <w:rPr>
                      <w:rFonts w:hint="eastAsia" w:cs="Times New Roman"/>
                      <w:bCs/>
                      <w:color w:val="auto"/>
                      <w:sz w:val="21"/>
                      <w:szCs w:val="21"/>
                      <w:lang w:val="en-US" w:eastAsia="zh-CN" w:bidi="ar"/>
                    </w:rPr>
                    <w:t>800</w:t>
                  </w:r>
                  <w:r>
                    <w:rPr>
                      <w:rFonts w:hint="default" w:ascii="Times New Roman" w:hAnsi="Times New Roman" w:eastAsia="宋体" w:cs="Times New Roman"/>
                      <w:bCs/>
                      <w:color w:val="auto"/>
                      <w:sz w:val="21"/>
                      <w:szCs w:val="21"/>
                      <w:lang w:bidi="ar"/>
                    </w:rPr>
                    <w:t>人</w:t>
                  </w:r>
                </w:p>
              </w:tc>
              <w:tc>
                <w:tcPr>
                  <w:tcW w:w="1361" w:type="dxa"/>
                  <w:vMerge w:val="restart"/>
                  <w:noWrap w:val="0"/>
                  <w:vAlign w:val="center"/>
                </w:tcPr>
                <w:p w14:paraId="261D2813">
                  <w:pPr>
                    <w:wordWrap w:val="0"/>
                    <w:spacing w:line="240" w:lineRule="auto"/>
                    <w:jc w:val="center"/>
                    <w:rPr>
                      <w:rFonts w:hint="default" w:ascii="Times New Roman" w:hAnsi="Times New Roman" w:eastAsia="宋体" w:cs="Times New Roman"/>
                      <w:bCs/>
                      <w:color w:val="auto"/>
                      <w:kern w:val="0"/>
                      <w:sz w:val="21"/>
                      <w:szCs w:val="21"/>
                      <w:lang w:bidi="ar"/>
                    </w:rPr>
                  </w:pPr>
                  <w:r>
                    <w:rPr>
                      <w:rFonts w:hint="default" w:ascii="Times New Roman" w:hAnsi="Times New Roman" w:eastAsia="宋体" w:cs="Times New Roman"/>
                      <w:bCs/>
                      <w:color w:val="auto"/>
                      <w:kern w:val="0"/>
                      <w:sz w:val="21"/>
                      <w:szCs w:val="21"/>
                      <w:lang w:bidi="ar"/>
                    </w:rPr>
                    <w:t>环境空气功能区二类区</w:t>
                  </w:r>
                </w:p>
              </w:tc>
              <w:tc>
                <w:tcPr>
                  <w:tcW w:w="826" w:type="dxa"/>
                  <w:noWrap w:val="0"/>
                  <w:vAlign w:val="center"/>
                </w:tcPr>
                <w:p w14:paraId="446B74D4">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北</w:t>
                  </w:r>
                </w:p>
              </w:tc>
              <w:tc>
                <w:tcPr>
                  <w:tcW w:w="952" w:type="dxa"/>
                  <w:noWrap w:val="0"/>
                  <w:vAlign w:val="center"/>
                </w:tcPr>
                <w:p w14:paraId="34B4AC3C">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60</w:t>
                  </w:r>
                </w:p>
              </w:tc>
            </w:tr>
            <w:tr w14:paraId="787A6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353" w:type="dxa"/>
                  <w:noWrap w:val="0"/>
                  <w:vAlign w:val="center"/>
                </w:tcPr>
                <w:p w14:paraId="6FEC3CF8">
                  <w:pPr>
                    <w:wordWrap w:val="0"/>
                    <w:spacing w:line="240" w:lineRule="auto"/>
                    <w:jc w:val="center"/>
                    <w:rPr>
                      <w:rFonts w:hint="default" w:cs="Times New Roman"/>
                      <w:bCs/>
                      <w:color w:val="auto"/>
                      <w:kern w:val="0"/>
                      <w:sz w:val="21"/>
                      <w:szCs w:val="21"/>
                      <w:lang w:val="en-US" w:eastAsia="zh-CN" w:bidi="ar"/>
                    </w:rPr>
                  </w:pPr>
                  <w:r>
                    <w:rPr>
                      <w:rFonts w:hint="eastAsia" w:cs="Times New Roman"/>
                      <w:bCs/>
                      <w:color w:val="auto"/>
                      <w:kern w:val="0"/>
                      <w:sz w:val="21"/>
                      <w:szCs w:val="21"/>
                      <w:lang w:val="en-US" w:eastAsia="zh-CN" w:bidi="ar"/>
                    </w:rPr>
                    <w:t>董屋村</w:t>
                  </w:r>
                </w:p>
              </w:tc>
              <w:tc>
                <w:tcPr>
                  <w:tcW w:w="703" w:type="dxa"/>
                  <w:noWrap w:val="0"/>
                  <w:vAlign w:val="center"/>
                </w:tcPr>
                <w:p w14:paraId="5969530F">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199</w:t>
                  </w:r>
                </w:p>
              </w:tc>
              <w:tc>
                <w:tcPr>
                  <w:tcW w:w="689" w:type="dxa"/>
                  <w:noWrap w:val="0"/>
                  <w:vAlign w:val="center"/>
                </w:tcPr>
                <w:p w14:paraId="659C9625">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137</w:t>
                  </w:r>
                </w:p>
              </w:tc>
              <w:tc>
                <w:tcPr>
                  <w:tcW w:w="749" w:type="dxa"/>
                  <w:noWrap w:val="0"/>
                  <w:vAlign w:val="center"/>
                </w:tcPr>
                <w:p w14:paraId="4EA196CB">
                  <w:pPr>
                    <w:wordWrap w:val="0"/>
                    <w:spacing w:line="240" w:lineRule="auto"/>
                    <w:jc w:val="center"/>
                    <w:rPr>
                      <w:rFonts w:hint="default" w:ascii="Times New Roman" w:hAnsi="Times New Roman" w:eastAsia="宋体" w:cs="Times New Roman"/>
                      <w:bCs/>
                      <w:color w:val="auto"/>
                      <w:kern w:val="0"/>
                      <w:sz w:val="21"/>
                      <w:szCs w:val="21"/>
                      <w:lang w:bidi="ar"/>
                    </w:rPr>
                  </w:pPr>
                  <w:r>
                    <w:rPr>
                      <w:rFonts w:hint="default" w:ascii="Times New Roman" w:hAnsi="Times New Roman" w:eastAsia="宋体" w:cs="Times New Roman"/>
                      <w:bCs/>
                      <w:color w:val="auto"/>
                      <w:kern w:val="0"/>
                      <w:sz w:val="21"/>
                      <w:szCs w:val="21"/>
                      <w:lang w:bidi="ar"/>
                    </w:rPr>
                    <w:t>村庄</w:t>
                  </w:r>
                </w:p>
              </w:tc>
              <w:tc>
                <w:tcPr>
                  <w:tcW w:w="1805" w:type="dxa"/>
                  <w:noWrap w:val="0"/>
                  <w:vAlign w:val="center"/>
                </w:tcPr>
                <w:p w14:paraId="5FE826A4">
                  <w:pPr>
                    <w:widowControl/>
                    <w:wordWrap w:val="0"/>
                    <w:spacing w:line="240" w:lineRule="auto"/>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居民，约</w:t>
                  </w:r>
                  <w:r>
                    <w:rPr>
                      <w:rFonts w:hint="eastAsia" w:cs="Times New Roman"/>
                      <w:bCs/>
                      <w:color w:val="auto"/>
                      <w:sz w:val="21"/>
                      <w:szCs w:val="21"/>
                      <w:lang w:val="en-US" w:eastAsia="zh-CN" w:bidi="ar"/>
                    </w:rPr>
                    <w:t>500</w:t>
                  </w:r>
                  <w:r>
                    <w:rPr>
                      <w:rFonts w:hint="default" w:ascii="Times New Roman" w:hAnsi="Times New Roman" w:eastAsia="宋体" w:cs="Times New Roman"/>
                      <w:bCs/>
                      <w:color w:val="auto"/>
                      <w:sz w:val="21"/>
                      <w:szCs w:val="21"/>
                      <w:lang w:bidi="ar"/>
                    </w:rPr>
                    <w:t>人</w:t>
                  </w:r>
                </w:p>
              </w:tc>
              <w:tc>
                <w:tcPr>
                  <w:tcW w:w="1361" w:type="dxa"/>
                  <w:vMerge w:val="continue"/>
                  <w:noWrap w:val="0"/>
                  <w:vAlign w:val="center"/>
                </w:tcPr>
                <w:p w14:paraId="2EDC5D30">
                  <w:pPr>
                    <w:wordWrap w:val="0"/>
                    <w:spacing w:line="240" w:lineRule="auto"/>
                    <w:jc w:val="center"/>
                    <w:rPr>
                      <w:rFonts w:hint="default" w:ascii="Times New Roman" w:hAnsi="Times New Roman" w:eastAsia="宋体" w:cs="Times New Roman"/>
                      <w:bCs/>
                      <w:color w:val="auto"/>
                      <w:kern w:val="0"/>
                      <w:sz w:val="21"/>
                      <w:szCs w:val="21"/>
                      <w:lang w:bidi="ar"/>
                    </w:rPr>
                  </w:pPr>
                </w:p>
              </w:tc>
              <w:tc>
                <w:tcPr>
                  <w:tcW w:w="826" w:type="dxa"/>
                  <w:noWrap w:val="0"/>
                  <w:vAlign w:val="center"/>
                </w:tcPr>
                <w:p w14:paraId="71062D1F">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东北</w:t>
                  </w:r>
                </w:p>
              </w:tc>
              <w:tc>
                <w:tcPr>
                  <w:tcW w:w="952" w:type="dxa"/>
                  <w:noWrap w:val="0"/>
                  <w:vAlign w:val="center"/>
                </w:tcPr>
                <w:p w14:paraId="4FC06697">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224</w:t>
                  </w:r>
                </w:p>
              </w:tc>
            </w:tr>
            <w:tr w14:paraId="5E080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353" w:type="dxa"/>
                  <w:noWrap w:val="0"/>
                  <w:vAlign w:val="center"/>
                </w:tcPr>
                <w:p w14:paraId="689A4591">
                  <w:pPr>
                    <w:wordWrap w:val="0"/>
                    <w:spacing w:line="240" w:lineRule="auto"/>
                    <w:jc w:val="center"/>
                    <w:rPr>
                      <w:rFonts w:hint="default" w:cs="Times New Roman"/>
                      <w:bCs/>
                      <w:color w:val="auto"/>
                      <w:kern w:val="0"/>
                      <w:sz w:val="21"/>
                      <w:szCs w:val="21"/>
                      <w:lang w:val="en-US" w:eastAsia="zh-CN" w:bidi="ar"/>
                    </w:rPr>
                  </w:pPr>
                  <w:r>
                    <w:rPr>
                      <w:rFonts w:hint="eastAsia" w:cs="Times New Roman"/>
                      <w:bCs/>
                      <w:color w:val="auto"/>
                      <w:kern w:val="0"/>
                      <w:sz w:val="21"/>
                      <w:szCs w:val="21"/>
                      <w:lang w:val="en-US" w:eastAsia="zh-CN" w:bidi="ar"/>
                    </w:rPr>
                    <w:t>现代华府</w:t>
                  </w:r>
                </w:p>
              </w:tc>
              <w:tc>
                <w:tcPr>
                  <w:tcW w:w="703" w:type="dxa"/>
                  <w:noWrap w:val="0"/>
                  <w:vAlign w:val="center"/>
                </w:tcPr>
                <w:p w14:paraId="0BAA7F2E">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-402</w:t>
                  </w:r>
                </w:p>
              </w:tc>
              <w:tc>
                <w:tcPr>
                  <w:tcW w:w="689" w:type="dxa"/>
                  <w:noWrap w:val="0"/>
                  <w:vAlign w:val="center"/>
                </w:tcPr>
                <w:p w14:paraId="5E84214A">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19</w:t>
                  </w:r>
                </w:p>
              </w:tc>
              <w:tc>
                <w:tcPr>
                  <w:tcW w:w="749" w:type="dxa"/>
                  <w:noWrap w:val="0"/>
                  <w:vAlign w:val="center"/>
                </w:tcPr>
                <w:p w14:paraId="61E1D22C">
                  <w:pPr>
                    <w:wordWrap w:val="0"/>
                    <w:spacing w:line="240" w:lineRule="auto"/>
                    <w:jc w:val="center"/>
                    <w:rPr>
                      <w:rFonts w:hint="eastAsia"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住宅</w:t>
                  </w:r>
                </w:p>
              </w:tc>
              <w:tc>
                <w:tcPr>
                  <w:tcW w:w="1805" w:type="dxa"/>
                  <w:noWrap w:val="0"/>
                  <w:vAlign w:val="center"/>
                </w:tcPr>
                <w:p w14:paraId="64D246CD">
                  <w:pPr>
                    <w:widowControl/>
                    <w:wordWrap w:val="0"/>
                    <w:spacing w:line="240" w:lineRule="auto"/>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居民，约</w:t>
                  </w:r>
                  <w:r>
                    <w:rPr>
                      <w:rFonts w:hint="eastAsia" w:cs="Times New Roman"/>
                      <w:bCs/>
                      <w:color w:val="auto"/>
                      <w:sz w:val="21"/>
                      <w:szCs w:val="21"/>
                      <w:lang w:val="en-US" w:eastAsia="zh-CN" w:bidi="ar"/>
                    </w:rPr>
                    <w:t>3</w:t>
                  </w:r>
                  <w:r>
                    <w:rPr>
                      <w:rFonts w:hint="default" w:ascii="Times New Roman" w:hAnsi="Times New Roman" w:eastAsia="宋体" w:cs="Times New Roman"/>
                      <w:bCs/>
                      <w:color w:val="auto"/>
                      <w:sz w:val="21"/>
                      <w:szCs w:val="21"/>
                      <w:lang w:val="en-US" w:eastAsia="zh-CN" w:bidi="ar"/>
                    </w:rPr>
                    <w:t>00</w:t>
                  </w:r>
                  <w:r>
                    <w:rPr>
                      <w:rFonts w:hint="default" w:ascii="Times New Roman" w:hAnsi="Times New Roman" w:eastAsia="宋体" w:cs="Times New Roman"/>
                      <w:bCs/>
                      <w:color w:val="auto"/>
                      <w:sz w:val="21"/>
                      <w:szCs w:val="21"/>
                      <w:lang w:bidi="ar"/>
                    </w:rPr>
                    <w:t>人</w:t>
                  </w:r>
                </w:p>
              </w:tc>
              <w:tc>
                <w:tcPr>
                  <w:tcW w:w="1361" w:type="dxa"/>
                  <w:vMerge w:val="continue"/>
                  <w:noWrap w:val="0"/>
                  <w:vAlign w:val="center"/>
                </w:tcPr>
                <w:p w14:paraId="4366EC82">
                  <w:pPr>
                    <w:wordWrap w:val="0"/>
                    <w:spacing w:line="240" w:lineRule="auto"/>
                    <w:jc w:val="center"/>
                    <w:rPr>
                      <w:rFonts w:hint="default" w:ascii="Times New Roman" w:hAnsi="Times New Roman" w:eastAsia="宋体" w:cs="Times New Roman"/>
                      <w:bCs/>
                      <w:color w:val="auto"/>
                      <w:kern w:val="0"/>
                      <w:sz w:val="21"/>
                      <w:szCs w:val="21"/>
                      <w:lang w:bidi="ar"/>
                    </w:rPr>
                  </w:pPr>
                </w:p>
              </w:tc>
              <w:tc>
                <w:tcPr>
                  <w:tcW w:w="826" w:type="dxa"/>
                  <w:noWrap w:val="0"/>
                  <w:vAlign w:val="center"/>
                </w:tcPr>
                <w:p w14:paraId="715F2403">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西</w:t>
                  </w:r>
                </w:p>
              </w:tc>
              <w:tc>
                <w:tcPr>
                  <w:tcW w:w="952" w:type="dxa"/>
                  <w:noWrap w:val="0"/>
                  <w:vAlign w:val="center"/>
                </w:tcPr>
                <w:p w14:paraId="783EBBC2">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414</w:t>
                  </w:r>
                </w:p>
              </w:tc>
            </w:tr>
            <w:tr w14:paraId="40E4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353" w:type="dxa"/>
                  <w:noWrap w:val="0"/>
                  <w:vAlign w:val="center"/>
                </w:tcPr>
                <w:p w14:paraId="1CA4A1F7">
                  <w:pPr>
                    <w:wordWrap w:val="0"/>
                    <w:spacing w:line="240" w:lineRule="auto"/>
                    <w:jc w:val="center"/>
                    <w:rPr>
                      <w:rFonts w:hint="default" w:cs="Times New Roman"/>
                      <w:bCs/>
                      <w:color w:val="auto"/>
                      <w:kern w:val="0"/>
                      <w:sz w:val="21"/>
                      <w:szCs w:val="21"/>
                      <w:lang w:val="en-US" w:eastAsia="zh-CN" w:bidi="ar"/>
                    </w:rPr>
                  </w:pPr>
                  <w:r>
                    <w:rPr>
                      <w:rFonts w:hint="eastAsia" w:cs="Times New Roman"/>
                      <w:bCs/>
                      <w:color w:val="auto"/>
                      <w:kern w:val="0"/>
                      <w:sz w:val="21"/>
                      <w:szCs w:val="21"/>
                      <w:lang w:val="en-US" w:eastAsia="zh-CN" w:bidi="ar"/>
                    </w:rPr>
                    <w:t>名巨山水城</w:t>
                  </w:r>
                </w:p>
              </w:tc>
              <w:tc>
                <w:tcPr>
                  <w:tcW w:w="703" w:type="dxa"/>
                  <w:noWrap w:val="0"/>
                  <w:vAlign w:val="center"/>
                </w:tcPr>
                <w:p w14:paraId="1E906B6A">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-435</w:t>
                  </w:r>
                </w:p>
              </w:tc>
              <w:tc>
                <w:tcPr>
                  <w:tcW w:w="689" w:type="dxa"/>
                  <w:noWrap w:val="0"/>
                  <w:vAlign w:val="center"/>
                </w:tcPr>
                <w:p w14:paraId="100151E5">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-15</w:t>
                  </w:r>
                </w:p>
              </w:tc>
              <w:tc>
                <w:tcPr>
                  <w:tcW w:w="749" w:type="dxa"/>
                  <w:noWrap w:val="0"/>
                  <w:vAlign w:val="center"/>
                </w:tcPr>
                <w:p w14:paraId="4073A947">
                  <w:pPr>
                    <w:wordWrap w:val="0"/>
                    <w:spacing w:line="240" w:lineRule="auto"/>
                    <w:jc w:val="center"/>
                    <w:rPr>
                      <w:rFonts w:hint="default" w:ascii="Times New Roman" w:hAnsi="Times New Roman" w:eastAsia="宋体" w:cs="Times New Roman"/>
                      <w:bCs/>
                      <w:color w:val="auto"/>
                      <w:kern w:val="0"/>
                      <w:sz w:val="21"/>
                      <w:szCs w:val="21"/>
                      <w:lang w:bidi="ar"/>
                    </w:rPr>
                  </w:pPr>
                  <w:r>
                    <w:rPr>
                      <w:rFonts w:hint="eastAsia" w:cs="Times New Roman"/>
                      <w:bCs/>
                      <w:color w:val="auto"/>
                      <w:kern w:val="0"/>
                      <w:sz w:val="21"/>
                      <w:szCs w:val="21"/>
                      <w:lang w:val="en-US" w:eastAsia="zh-CN" w:bidi="ar"/>
                    </w:rPr>
                    <w:t>住宅</w:t>
                  </w:r>
                </w:p>
              </w:tc>
              <w:tc>
                <w:tcPr>
                  <w:tcW w:w="1805" w:type="dxa"/>
                  <w:noWrap w:val="0"/>
                  <w:vAlign w:val="center"/>
                </w:tcPr>
                <w:p w14:paraId="4E7B50C2">
                  <w:pPr>
                    <w:widowControl/>
                    <w:wordWrap w:val="0"/>
                    <w:spacing w:line="240" w:lineRule="auto"/>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居民，约</w:t>
                  </w:r>
                  <w:r>
                    <w:rPr>
                      <w:rFonts w:hint="eastAsia" w:cs="Times New Roman"/>
                      <w:bCs/>
                      <w:color w:val="auto"/>
                      <w:sz w:val="21"/>
                      <w:szCs w:val="21"/>
                      <w:lang w:val="en-US" w:eastAsia="zh-CN" w:bidi="ar"/>
                    </w:rPr>
                    <w:t>500</w:t>
                  </w:r>
                  <w:r>
                    <w:rPr>
                      <w:rFonts w:hint="default" w:ascii="Times New Roman" w:hAnsi="Times New Roman" w:eastAsia="宋体" w:cs="Times New Roman"/>
                      <w:bCs/>
                      <w:color w:val="auto"/>
                      <w:sz w:val="21"/>
                      <w:szCs w:val="21"/>
                      <w:lang w:bidi="ar"/>
                    </w:rPr>
                    <w:t>人</w:t>
                  </w:r>
                </w:p>
              </w:tc>
              <w:tc>
                <w:tcPr>
                  <w:tcW w:w="1361" w:type="dxa"/>
                  <w:vMerge w:val="continue"/>
                  <w:noWrap w:val="0"/>
                  <w:vAlign w:val="center"/>
                </w:tcPr>
                <w:p w14:paraId="46EC1F5E">
                  <w:pPr>
                    <w:wordWrap w:val="0"/>
                    <w:spacing w:line="240" w:lineRule="auto"/>
                    <w:jc w:val="center"/>
                    <w:rPr>
                      <w:rFonts w:hint="default" w:ascii="Times New Roman" w:hAnsi="Times New Roman" w:eastAsia="宋体" w:cs="Times New Roman"/>
                      <w:bCs/>
                      <w:color w:val="auto"/>
                      <w:kern w:val="0"/>
                      <w:sz w:val="21"/>
                      <w:szCs w:val="21"/>
                      <w:lang w:bidi="ar"/>
                    </w:rPr>
                  </w:pPr>
                </w:p>
              </w:tc>
              <w:tc>
                <w:tcPr>
                  <w:tcW w:w="826" w:type="dxa"/>
                  <w:noWrap w:val="0"/>
                  <w:vAlign w:val="center"/>
                </w:tcPr>
                <w:p w14:paraId="1DFB8213">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西南</w:t>
                  </w:r>
                </w:p>
              </w:tc>
              <w:tc>
                <w:tcPr>
                  <w:tcW w:w="952" w:type="dxa"/>
                  <w:noWrap w:val="0"/>
                  <w:vAlign w:val="center"/>
                </w:tcPr>
                <w:p w14:paraId="0B121818">
                  <w:pPr>
                    <w:wordWrap w:val="0"/>
                    <w:spacing w:line="240" w:lineRule="auto"/>
                    <w:jc w:val="center"/>
                    <w:rPr>
                      <w:rFonts w:hint="default" w:ascii="Times New Roman" w:hAnsi="Times New Roman" w:eastAsia="宋体" w:cs="Times New Roman"/>
                      <w:bCs/>
                      <w:color w:val="auto"/>
                      <w:kern w:val="0"/>
                      <w:sz w:val="21"/>
                      <w:szCs w:val="21"/>
                      <w:lang w:val="en-US" w:eastAsia="zh-CN" w:bidi="ar"/>
                    </w:rPr>
                  </w:pPr>
                  <w:r>
                    <w:rPr>
                      <w:rFonts w:hint="eastAsia" w:cs="Times New Roman"/>
                      <w:bCs/>
                      <w:color w:val="auto"/>
                      <w:kern w:val="0"/>
                      <w:sz w:val="21"/>
                      <w:szCs w:val="21"/>
                      <w:lang w:val="en-US" w:eastAsia="zh-CN" w:bidi="ar"/>
                    </w:rPr>
                    <w:t>442</w:t>
                  </w:r>
                </w:p>
              </w:tc>
            </w:tr>
          </w:tbl>
          <w:p w14:paraId="4A17BF39">
            <w:pPr>
              <w:wordWrap w:val="0"/>
              <w:spacing w:line="360" w:lineRule="auto"/>
              <w:ind w:firstLine="420" w:firstLineChars="200"/>
              <w:rPr>
                <w:rFonts w:hint="default" w:ascii="Times New Roman" w:hAnsi="Times New Roman" w:eastAsia="宋体" w:cs="Times New Roman"/>
                <w:color w:val="auto"/>
                <w:sz w:val="21"/>
                <w:szCs w:val="20"/>
              </w:rPr>
            </w:pPr>
            <w:r>
              <w:rPr>
                <w:rFonts w:hint="default" w:ascii="Times New Roman" w:hAnsi="Times New Roman" w:eastAsia="宋体" w:cs="Times New Roman"/>
                <w:color w:val="auto"/>
                <w:sz w:val="21"/>
                <w:szCs w:val="20"/>
              </w:rPr>
              <w:t>注：以项目南面边界坐标（0，0）作为X，Y坐标的参照点。</w:t>
            </w:r>
          </w:p>
          <w:p w14:paraId="2F5E519B">
            <w:pPr>
              <w:wordWrap w:val="0"/>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（2）声环境：</w:t>
            </w:r>
            <w:r>
              <w:rPr>
                <w:rFonts w:hint="default" w:ascii="Times New Roman" w:hAnsi="Times New Roman" w:eastAsia="宋体" w:cs="Times New Roman"/>
                <w:color w:val="auto"/>
                <w:sz w:val="24"/>
              </w:rPr>
              <w:t>。</w:t>
            </w:r>
          </w:p>
          <w:p w14:paraId="016449A1">
            <w:pPr>
              <w:keepNext w:val="0"/>
              <w:keepLines w:val="0"/>
              <w:widowControl/>
              <w:suppressLineNumbers w:val="0"/>
              <w:ind w:firstLine="480" w:firstLineChars="200"/>
              <w:jc w:val="left"/>
            </w:pPr>
            <w:r>
              <w:rPr>
                <w:rFonts w:hint="eastAsia" w:ascii="宋体" w:hAnsi="宋体" w:eastAsia="宋体" w:cs="宋体"/>
                <w:color w:val="000000"/>
                <w:kern w:val="0"/>
                <w:sz w:val="24"/>
                <w:szCs w:val="24"/>
                <w:lang w:val="en-US" w:eastAsia="zh-CN" w:bidi="ar"/>
              </w:rPr>
              <w:t>项目厂界</w:t>
            </w:r>
            <w:r>
              <w:rPr>
                <w:rFonts w:hint="default" w:ascii="Times New Roman" w:hAnsi="Times New Roman" w:eastAsia="宋体" w:cs="Times New Roman"/>
                <w:color w:val="000000"/>
                <w:kern w:val="0"/>
                <w:sz w:val="24"/>
                <w:szCs w:val="24"/>
                <w:lang w:val="en-US" w:eastAsia="zh-CN" w:bidi="ar"/>
              </w:rPr>
              <w:t>50m</w:t>
            </w:r>
            <w:r>
              <w:rPr>
                <w:rFonts w:hint="eastAsia" w:ascii="宋体" w:hAnsi="宋体" w:eastAsia="宋体" w:cs="宋体"/>
                <w:color w:val="000000"/>
                <w:kern w:val="0"/>
                <w:sz w:val="24"/>
                <w:szCs w:val="24"/>
                <w:lang w:val="en-US" w:eastAsia="zh-CN" w:bidi="ar"/>
              </w:rPr>
              <w:t>范围内无声环境保护目标，无需进行保护目标声环境质量现状监测。</w:t>
            </w:r>
          </w:p>
          <w:p w14:paraId="1DF0A834">
            <w:pPr>
              <w:wordWrap w:val="0"/>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（3）地下水环境：</w:t>
            </w:r>
            <w:r>
              <w:rPr>
                <w:rFonts w:hint="default" w:ascii="Times New Roman" w:hAnsi="Times New Roman" w:eastAsia="宋体" w:cs="Times New Roman"/>
                <w:color w:val="auto"/>
                <w:sz w:val="24"/>
                <w:lang w:bidi="ar"/>
              </w:rPr>
              <w:t>项目500m范围内无地下水集中式饮用水水源和热水、矿泉水、温泉等特殊地下水资源。</w:t>
            </w:r>
          </w:p>
          <w:p w14:paraId="73B08478">
            <w:pPr>
              <w:ind w:firstLine="482" w:firstLineChars="200"/>
              <w:rPr>
                <w:rFonts w:hint="default" w:ascii="Times New Roman" w:hAnsi="Times New Roman" w:cs="Times New Roman"/>
                <w:color w:val="auto"/>
              </w:rPr>
            </w:pPr>
            <w:r>
              <w:rPr>
                <w:rFonts w:hint="default" w:ascii="Times New Roman" w:hAnsi="Times New Roman" w:eastAsia="宋体" w:cs="Times New Roman"/>
                <w:b/>
                <w:bCs/>
                <w:color w:val="auto"/>
                <w:sz w:val="24"/>
              </w:rPr>
              <w:t>（4）生态环境：</w:t>
            </w:r>
            <w:r>
              <w:rPr>
                <w:rFonts w:hint="default" w:ascii="Times New Roman" w:hAnsi="Times New Roman" w:eastAsia="宋体" w:cs="Times New Roman"/>
                <w:color w:val="auto"/>
                <w:sz w:val="24"/>
                <w:lang w:bidi="ar"/>
              </w:rPr>
              <w:t>项目</w:t>
            </w:r>
            <w:r>
              <w:rPr>
                <w:rFonts w:hint="eastAsia" w:ascii="Times New Roman" w:hAnsi="Times New Roman" w:eastAsia="宋体" w:cs="Times New Roman"/>
                <w:color w:val="auto"/>
                <w:sz w:val="24"/>
                <w:lang w:val="en-US" w:eastAsia="zh-CN" w:bidi="ar"/>
              </w:rPr>
              <w:t>租用</w:t>
            </w:r>
            <w:r>
              <w:rPr>
                <w:rFonts w:hint="default" w:ascii="Times New Roman" w:hAnsi="Times New Roman" w:eastAsia="宋体" w:cs="Times New Roman"/>
                <w:color w:val="auto"/>
                <w:sz w:val="24"/>
                <w:lang w:val="en-US" w:eastAsia="zh-CN" w:bidi="ar"/>
              </w:rPr>
              <w:t>已有厂房</w:t>
            </w:r>
            <w:r>
              <w:rPr>
                <w:rFonts w:hint="default" w:ascii="Times New Roman" w:hAnsi="Times New Roman" w:eastAsia="宋体" w:cs="Times New Roman"/>
                <w:color w:val="auto"/>
                <w:sz w:val="24"/>
                <w:lang w:bidi="ar"/>
              </w:rPr>
              <w:t>进行建设，无新增用地，不涉及生态环境保护目标。</w:t>
            </w:r>
          </w:p>
        </w:tc>
      </w:tr>
      <w:tr w14:paraId="4B4BE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29" w:hRule="atLeast"/>
          <w:jc w:val="center"/>
        </w:trPr>
        <w:tc>
          <w:tcPr>
            <w:tcW w:w="456" w:type="dxa"/>
            <w:tcMar>
              <w:left w:w="28" w:type="dxa"/>
              <w:right w:w="28" w:type="dxa"/>
            </w:tcMar>
            <w:vAlign w:val="center"/>
          </w:tcPr>
          <w:p w14:paraId="04185841">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污染</w:t>
            </w:r>
          </w:p>
          <w:p w14:paraId="6185CD8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物排</w:t>
            </w:r>
          </w:p>
          <w:p w14:paraId="1B936104">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放控</w:t>
            </w:r>
          </w:p>
          <w:p w14:paraId="59BEDBC2">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制标</w:t>
            </w:r>
          </w:p>
          <w:p w14:paraId="05067A56">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准</w:t>
            </w:r>
          </w:p>
        </w:tc>
        <w:tc>
          <w:tcPr>
            <w:tcW w:w="9090" w:type="dxa"/>
          </w:tcPr>
          <w:p w14:paraId="6B4EE61D">
            <w:pPr>
              <w:adjustRightInd w:val="0"/>
              <w:snapToGrid w:val="0"/>
              <w:spacing w:line="360" w:lineRule="auto"/>
              <w:ind w:firstLine="482" w:firstLineChars="200"/>
              <w:rPr>
                <w:b/>
                <w:bCs/>
                <w:color w:val="auto"/>
                <w:sz w:val="24"/>
                <w:szCs w:val="21"/>
              </w:rPr>
            </w:pPr>
            <w:r>
              <w:rPr>
                <w:b/>
                <w:bCs/>
                <w:color w:val="auto"/>
                <w:sz w:val="24"/>
                <w:szCs w:val="21"/>
              </w:rPr>
              <w:t>1、废水排放标准</w:t>
            </w:r>
          </w:p>
          <w:p w14:paraId="0F0CA2FD">
            <w:pPr>
              <w:spacing w:line="360" w:lineRule="auto"/>
              <w:ind w:firstLine="480" w:firstLineChars="200"/>
              <w:rPr>
                <w:b/>
                <w:bCs/>
                <w:color w:val="auto"/>
                <w:szCs w:val="21"/>
                <w:lang w:bidi="ar"/>
              </w:rPr>
            </w:pPr>
            <w:r>
              <w:rPr>
                <w:color w:val="auto"/>
                <w:sz w:val="24"/>
                <w:lang w:bidi="ar"/>
              </w:rPr>
              <w:t>项目</w:t>
            </w:r>
            <w:r>
              <w:rPr>
                <w:rFonts w:hint="eastAsia"/>
                <w:color w:val="auto"/>
                <w:sz w:val="24"/>
                <w:lang w:val="en-US" w:eastAsia="zh-CN" w:bidi="ar"/>
              </w:rPr>
              <w:t>无生产废水外排</w:t>
            </w:r>
            <w:r>
              <w:rPr>
                <w:color w:val="auto"/>
                <w:sz w:val="24"/>
                <w:lang w:bidi="ar"/>
              </w:rPr>
              <w:t>，</w:t>
            </w:r>
            <w:r>
              <w:rPr>
                <w:rFonts w:hint="eastAsia"/>
                <w:color w:val="auto"/>
                <w:sz w:val="24"/>
                <w:lang w:bidi="ar"/>
              </w:rPr>
              <w:t>项目生活污水经三级化粪池预处理达到广东省地方标准《水污染物排放限值》（DB44/26-2001）第二时段三级标准后，经市政管网进入博罗县石湾镇大牛垒生活污水处理厂深度处理，尾水中氨氮和总磷执行《地表水环境质量标准》（GB3838-2002）V类标准，其余指标排放执行《城镇污水处理厂污染物排放标准》（GB18918-2002）一级A标准及广东省地方标准《水污染物排放限值》（DB44/26-2001）第二时段一级标准的较严值者标准，尾水处理达标后排入石湾镇中心排渠，经紧水河汇入东江。</w:t>
            </w:r>
            <w:r>
              <w:rPr>
                <w:color w:val="auto"/>
                <w:sz w:val="24"/>
                <w:lang w:bidi="ar"/>
              </w:rPr>
              <w:t>具体如下表所示：</w:t>
            </w:r>
          </w:p>
          <w:p w14:paraId="3B58507E">
            <w:pPr>
              <w:wordWrap/>
              <w:spacing w:line="240" w:lineRule="auto"/>
              <w:jc w:val="center"/>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rPr>
              <w:t>表</w:t>
            </w:r>
            <w:r>
              <w:rPr>
                <w:rFonts w:hint="default" w:ascii="Times New Roman" w:hAnsi="Times New Roman" w:eastAsia="宋体" w:cs="Times New Roman"/>
                <w:b/>
                <w:bCs/>
                <w:color w:val="auto"/>
                <w:sz w:val="24"/>
                <w:szCs w:val="22"/>
                <w:lang w:val="en-US" w:eastAsia="zh-CN"/>
              </w:rPr>
              <w:t>3-4</w:t>
            </w:r>
            <w:r>
              <w:rPr>
                <w:rFonts w:hint="default" w:ascii="Times New Roman" w:hAnsi="Times New Roman" w:eastAsia="宋体" w:cs="Times New Roman"/>
                <w:b/>
                <w:bCs/>
                <w:color w:val="auto"/>
                <w:sz w:val="24"/>
                <w:szCs w:val="22"/>
              </w:rPr>
              <w:t xml:space="preserve"> 生活污水排放标准（单位：mg/L）</w:t>
            </w:r>
          </w:p>
          <w:tbl>
            <w:tblPr>
              <w:tblStyle w:val="22"/>
              <w:tblW w:w="8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6"/>
              <w:gridCol w:w="786"/>
              <w:gridCol w:w="889"/>
              <w:gridCol w:w="682"/>
              <w:gridCol w:w="786"/>
              <w:gridCol w:w="786"/>
              <w:gridCol w:w="786"/>
              <w:gridCol w:w="786"/>
            </w:tblGrid>
            <w:tr w14:paraId="066CB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196" w:type="dxa"/>
                  <w:tcBorders>
                    <w:top w:val="single" w:color="auto" w:sz="4" w:space="0"/>
                    <w:left w:val="single" w:color="auto" w:sz="4" w:space="0"/>
                    <w:bottom w:val="single" w:color="auto" w:sz="4" w:space="0"/>
                    <w:right w:val="single" w:color="auto" w:sz="4" w:space="0"/>
                  </w:tcBorders>
                  <w:noWrap w:val="0"/>
                  <w:vAlign w:val="center"/>
                </w:tcPr>
                <w:p w14:paraId="5ADEBE6B">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786" w:type="dxa"/>
                  <w:tcBorders>
                    <w:top w:val="single" w:color="auto" w:sz="4" w:space="0"/>
                    <w:left w:val="nil"/>
                    <w:bottom w:val="single" w:color="auto" w:sz="4" w:space="0"/>
                    <w:right w:val="single" w:color="auto" w:sz="4" w:space="0"/>
                  </w:tcBorders>
                  <w:noWrap w:val="0"/>
                  <w:vAlign w:val="center"/>
                </w:tcPr>
                <w:p w14:paraId="7237AE23">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pH</w:t>
                  </w:r>
                </w:p>
              </w:tc>
              <w:tc>
                <w:tcPr>
                  <w:tcW w:w="889" w:type="dxa"/>
                  <w:tcBorders>
                    <w:top w:val="single" w:color="auto" w:sz="4" w:space="0"/>
                    <w:left w:val="nil"/>
                    <w:bottom w:val="single" w:color="auto" w:sz="4" w:space="0"/>
                    <w:right w:val="single" w:color="auto" w:sz="4" w:space="0"/>
                  </w:tcBorders>
                  <w:noWrap w:val="0"/>
                  <w:vAlign w:val="center"/>
                </w:tcPr>
                <w:p w14:paraId="711F3315">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COD</w:t>
                  </w:r>
                  <w:r>
                    <w:rPr>
                      <w:rFonts w:hint="default" w:ascii="Times New Roman" w:hAnsi="Times New Roman" w:eastAsia="宋体" w:cs="Times New Roman"/>
                      <w:b/>
                      <w:bCs/>
                      <w:color w:val="auto"/>
                      <w:sz w:val="21"/>
                      <w:szCs w:val="21"/>
                      <w:vertAlign w:val="subscript"/>
                    </w:rPr>
                    <w:t>Cr</w:t>
                  </w:r>
                </w:p>
              </w:tc>
              <w:tc>
                <w:tcPr>
                  <w:tcW w:w="682" w:type="dxa"/>
                  <w:tcBorders>
                    <w:top w:val="single" w:color="auto" w:sz="4" w:space="0"/>
                    <w:left w:val="nil"/>
                    <w:bottom w:val="single" w:color="auto" w:sz="4" w:space="0"/>
                    <w:right w:val="single" w:color="auto" w:sz="4" w:space="0"/>
                  </w:tcBorders>
                  <w:noWrap w:val="0"/>
                  <w:vAlign w:val="center"/>
                </w:tcPr>
                <w:p w14:paraId="50B561A1">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BOD</w:t>
                  </w:r>
                  <w:r>
                    <w:rPr>
                      <w:rFonts w:hint="default" w:ascii="Times New Roman" w:hAnsi="Times New Roman" w:eastAsia="宋体" w:cs="Times New Roman"/>
                      <w:b/>
                      <w:bCs/>
                      <w:color w:val="auto"/>
                      <w:sz w:val="21"/>
                      <w:szCs w:val="21"/>
                      <w:vertAlign w:val="subscript"/>
                    </w:rPr>
                    <w:t>5</w:t>
                  </w:r>
                </w:p>
              </w:tc>
              <w:tc>
                <w:tcPr>
                  <w:tcW w:w="786" w:type="dxa"/>
                  <w:tcBorders>
                    <w:top w:val="single" w:color="auto" w:sz="4" w:space="0"/>
                    <w:left w:val="nil"/>
                    <w:bottom w:val="single" w:color="auto" w:sz="4" w:space="0"/>
                    <w:right w:val="single" w:color="auto" w:sz="4" w:space="0"/>
                  </w:tcBorders>
                  <w:noWrap w:val="0"/>
                  <w:vAlign w:val="center"/>
                </w:tcPr>
                <w:p w14:paraId="75A0386F">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NH</w:t>
                  </w:r>
                  <w:r>
                    <w:rPr>
                      <w:rFonts w:hint="default" w:ascii="Times New Roman" w:hAnsi="Times New Roman" w:eastAsia="宋体" w:cs="Times New Roman"/>
                      <w:b/>
                      <w:bCs/>
                      <w:color w:val="auto"/>
                      <w:sz w:val="21"/>
                      <w:szCs w:val="21"/>
                      <w:vertAlign w:val="subscript"/>
                    </w:rPr>
                    <w:t>3</w:t>
                  </w:r>
                  <w:r>
                    <w:rPr>
                      <w:rFonts w:hint="default" w:ascii="Times New Roman" w:hAnsi="Times New Roman" w:eastAsia="宋体" w:cs="Times New Roman"/>
                      <w:b/>
                      <w:bCs/>
                      <w:color w:val="auto"/>
                      <w:sz w:val="21"/>
                      <w:szCs w:val="21"/>
                    </w:rPr>
                    <w:t>-N</w:t>
                  </w:r>
                </w:p>
              </w:tc>
              <w:tc>
                <w:tcPr>
                  <w:tcW w:w="786" w:type="dxa"/>
                  <w:tcBorders>
                    <w:top w:val="single" w:color="auto" w:sz="4" w:space="0"/>
                    <w:left w:val="nil"/>
                    <w:bottom w:val="single" w:color="auto" w:sz="4" w:space="0"/>
                    <w:right w:val="single" w:color="auto" w:sz="4" w:space="0"/>
                  </w:tcBorders>
                  <w:noWrap w:val="0"/>
                  <w:vAlign w:val="center"/>
                </w:tcPr>
                <w:p w14:paraId="76B3F7AB">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SS</w:t>
                  </w:r>
                </w:p>
              </w:tc>
              <w:tc>
                <w:tcPr>
                  <w:tcW w:w="786" w:type="dxa"/>
                  <w:tcBorders>
                    <w:top w:val="single" w:color="auto" w:sz="4" w:space="0"/>
                    <w:left w:val="nil"/>
                    <w:bottom w:val="single" w:color="auto" w:sz="4" w:space="0"/>
                    <w:right w:val="single" w:color="auto" w:sz="4" w:space="0"/>
                  </w:tcBorders>
                  <w:noWrap w:val="0"/>
                  <w:vAlign w:val="center"/>
                </w:tcPr>
                <w:p w14:paraId="38729530">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总磷</w:t>
                  </w:r>
                </w:p>
              </w:tc>
              <w:tc>
                <w:tcPr>
                  <w:tcW w:w="786" w:type="dxa"/>
                  <w:tcBorders>
                    <w:top w:val="single" w:color="auto" w:sz="4" w:space="0"/>
                    <w:left w:val="nil"/>
                    <w:bottom w:val="single" w:color="auto" w:sz="4" w:space="0"/>
                    <w:right w:val="single" w:color="auto" w:sz="4" w:space="0"/>
                  </w:tcBorders>
                  <w:noWrap w:val="0"/>
                  <w:vAlign w:val="center"/>
                </w:tcPr>
                <w:p w14:paraId="45AD0D44">
                  <w:pPr>
                    <w:wordWrap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总氮</w:t>
                  </w:r>
                </w:p>
              </w:tc>
            </w:tr>
            <w:tr w14:paraId="29AEA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3196" w:type="dxa"/>
                  <w:tcBorders>
                    <w:top w:val="single" w:color="auto" w:sz="4" w:space="0"/>
                    <w:left w:val="single" w:color="auto" w:sz="4" w:space="0"/>
                    <w:bottom w:val="single" w:color="auto" w:sz="4" w:space="0"/>
                    <w:right w:val="single" w:color="auto" w:sz="4" w:space="0"/>
                  </w:tcBorders>
                  <w:noWrap w:val="0"/>
                  <w:vAlign w:val="center"/>
                </w:tcPr>
                <w:p w14:paraId="39BBAF4E">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《水污染物排放标准限值》（DB44/26-2001）第二时段三级标准</w:t>
                  </w:r>
                </w:p>
              </w:tc>
              <w:tc>
                <w:tcPr>
                  <w:tcW w:w="786" w:type="dxa"/>
                  <w:tcBorders>
                    <w:top w:val="single" w:color="auto" w:sz="4" w:space="0"/>
                    <w:left w:val="nil"/>
                    <w:bottom w:val="single" w:color="auto" w:sz="4" w:space="0"/>
                    <w:right w:val="single" w:color="auto" w:sz="4" w:space="0"/>
                  </w:tcBorders>
                  <w:noWrap w:val="0"/>
                  <w:vAlign w:val="center"/>
                </w:tcPr>
                <w:p w14:paraId="7245B401">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889" w:type="dxa"/>
                  <w:tcBorders>
                    <w:top w:val="single" w:color="auto" w:sz="4" w:space="0"/>
                    <w:left w:val="nil"/>
                    <w:bottom w:val="single" w:color="auto" w:sz="4" w:space="0"/>
                    <w:right w:val="single" w:color="auto" w:sz="4" w:space="0"/>
                  </w:tcBorders>
                  <w:noWrap w:val="0"/>
                  <w:vAlign w:val="center"/>
                </w:tcPr>
                <w:p w14:paraId="4A8DBA65">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w:t>
                  </w:r>
                </w:p>
              </w:tc>
              <w:tc>
                <w:tcPr>
                  <w:tcW w:w="682" w:type="dxa"/>
                  <w:tcBorders>
                    <w:top w:val="single" w:color="auto" w:sz="4" w:space="0"/>
                    <w:left w:val="nil"/>
                    <w:bottom w:val="single" w:color="auto" w:sz="4" w:space="0"/>
                    <w:right w:val="single" w:color="auto" w:sz="4" w:space="0"/>
                  </w:tcBorders>
                  <w:noWrap w:val="0"/>
                  <w:vAlign w:val="center"/>
                </w:tcPr>
                <w:p w14:paraId="4E5ADC3E">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≤300</w:t>
                  </w:r>
                </w:p>
              </w:tc>
              <w:tc>
                <w:tcPr>
                  <w:tcW w:w="786" w:type="dxa"/>
                  <w:tcBorders>
                    <w:top w:val="single" w:color="auto" w:sz="4" w:space="0"/>
                    <w:left w:val="nil"/>
                    <w:bottom w:val="single" w:color="auto" w:sz="4" w:space="0"/>
                    <w:right w:val="single" w:color="auto" w:sz="4" w:space="0"/>
                  </w:tcBorders>
                  <w:noWrap w:val="0"/>
                  <w:vAlign w:val="center"/>
                </w:tcPr>
                <w:p w14:paraId="5C7CA999">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6" w:type="dxa"/>
                  <w:tcBorders>
                    <w:top w:val="single" w:color="auto" w:sz="4" w:space="0"/>
                    <w:left w:val="nil"/>
                    <w:bottom w:val="single" w:color="auto" w:sz="4" w:space="0"/>
                    <w:right w:val="single" w:color="auto" w:sz="4" w:space="0"/>
                  </w:tcBorders>
                  <w:noWrap w:val="0"/>
                  <w:vAlign w:val="center"/>
                </w:tcPr>
                <w:p w14:paraId="69C4004C">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786" w:type="dxa"/>
                  <w:tcBorders>
                    <w:top w:val="single" w:color="auto" w:sz="4" w:space="0"/>
                    <w:left w:val="nil"/>
                    <w:bottom w:val="single" w:color="auto" w:sz="4" w:space="0"/>
                    <w:right w:val="single" w:color="auto" w:sz="4" w:space="0"/>
                  </w:tcBorders>
                  <w:noWrap w:val="0"/>
                  <w:vAlign w:val="center"/>
                </w:tcPr>
                <w:p w14:paraId="77058030">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6" w:type="dxa"/>
                  <w:tcBorders>
                    <w:top w:val="single" w:color="auto" w:sz="4" w:space="0"/>
                    <w:left w:val="nil"/>
                    <w:bottom w:val="single" w:color="auto" w:sz="4" w:space="0"/>
                    <w:right w:val="single" w:color="auto" w:sz="4" w:space="0"/>
                  </w:tcBorders>
                  <w:noWrap w:val="0"/>
                  <w:vAlign w:val="center"/>
                </w:tcPr>
                <w:p w14:paraId="793AC616">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14:paraId="0B08F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3196" w:type="dxa"/>
                  <w:tcBorders>
                    <w:top w:val="single" w:color="auto" w:sz="4" w:space="0"/>
                    <w:left w:val="single" w:color="auto" w:sz="4" w:space="0"/>
                    <w:bottom w:val="single" w:color="auto" w:sz="4" w:space="0"/>
                    <w:right w:val="single" w:color="auto" w:sz="4" w:space="0"/>
                  </w:tcBorders>
                  <w:noWrap w:val="0"/>
                  <w:vAlign w:val="center"/>
                </w:tcPr>
                <w:p w14:paraId="783D0A5E">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《城镇污水处理厂污染物排放标准》（GB18918－2002）一级A标准</w:t>
                  </w:r>
                </w:p>
              </w:tc>
              <w:tc>
                <w:tcPr>
                  <w:tcW w:w="786" w:type="dxa"/>
                  <w:tcBorders>
                    <w:top w:val="single" w:color="auto" w:sz="4" w:space="0"/>
                    <w:left w:val="nil"/>
                    <w:bottom w:val="single" w:color="auto" w:sz="4" w:space="0"/>
                    <w:right w:val="single" w:color="auto" w:sz="4" w:space="0"/>
                  </w:tcBorders>
                  <w:noWrap w:val="0"/>
                  <w:vAlign w:val="center"/>
                </w:tcPr>
                <w:p w14:paraId="2DDA0CB4">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889" w:type="dxa"/>
                  <w:tcBorders>
                    <w:top w:val="single" w:color="auto" w:sz="4" w:space="0"/>
                    <w:left w:val="nil"/>
                    <w:bottom w:val="single" w:color="auto" w:sz="4" w:space="0"/>
                    <w:right w:val="single" w:color="auto" w:sz="4" w:space="0"/>
                  </w:tcBorders>
                  <w:noWrap w:val="0"/>
                  <w:vAlign w:val="center"/>
                </w:tcPr>
                <w:p w14:paraId="0560CE8D">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w:t>
                  </w:r>
                </w:p>
              </w:tc>
              <w:tc>
                <w:tcPr>
                  <w:tcW w:w="682" w:type="dxa"/>
                  <w:tcBorders>
                    <w:top w:val="single" w:color="auto" w:sz="4" w:space="0"/>
                    <w:left w:val="nil"/>
                    <w:bottom w:val="single" w:color="auto" w:sz="4" w:space="0"/>
                    <w:right w:val="single" w:color="auto" w:sz="4" w:space="0"/>
                  </w:tcBorders>
                  <w:noWrap w:val="0"/>
                  <w:vAlign w:val="center"/>
                </w:tcPr>
                <w:p w14:paraId="535FA360">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86" w:type="dxa"/>
                  <w:tcBorders>
                    <w:top w:val="single" w:color="auto" w:sz="4" w:space="0"/>
                    <w:left w:val="nil"/>
                    <w:bottom w:val="single" w:color="auto" w:sz="4" w:space="0"/>
                    <w:right w:val="single" w:color="auto" w:sz="4" w:space="0"/>
                  </w:tcBorders>
                  <w:noWrap w:val="0"/>
                  <w:vAlign w:val="center"/>
                </w:tcPr>
                <w:p w14:paraId="538B810A">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≤5（8）</w:t>
                  </w:r>
                </w:p>
              </w:tc>
              <w:tc>
                <w:tcPr>
                  <w:tcW w:w="786" w:type="dxa"/>
                  <w:tcBorders>
                    <w:top w:val="single" w:color="auto" w:sz="4" w:space="0"/>
                    <w:left w:val="nil"/>
                    <w:bottom w:val="single" w:color="auto" w:sz="4" w:space="0"/>
                    <w:right w:val="single" w:color="auto" w:sz="4" w:space="0"/>
                  </w:tcBorders>
                  <w:noWrap w:val="0"/>
                  <w:vAlign w:val="center"/>
                </w:tcPr>
                <w:p w14:paraId="4C3EB3D7">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86" w:type="dxa"/>
                  <w:tcBorders>
                    <w:top w:val="single" w:color="auto" w:sz="4" w:space="0"/>
                    <w:left w:val="nil"/>
                    <w:bottom w:val="single" w:color="auto" w:sz="4" w:space="0"/>
                    <w:right w:val="single" w:color="auto" w:sz="4" w:space="0"/>
                  </w:tcBorders>
                  <w:noWrap w:val="0"/>
                  <w:vAlign w:val="center"/>
                </w:tcPr>
                <w:p w14:paraId="2BDCF609">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w:t>
                  </w:r>
                </w:p>
              </w:tc>
              <w:tc>
                <w:tcPr>
                  <w:tcW w:w="786" w:type="dxa"/>
                  <w:tcBorders>
                    <w:top w:val="single" w:color="auto" w:sz="4" w:space="0"/>
                    <w:left w:val="nil"/>
                    <w:bottom w:val="single" w:color="auto" w:sz="4" w:space="0"/>
                    <w:right w:val="single" w:color="auto" w:sz="4" w:space="0"/>
                  </w:tcBorders>
                  <w:noWrap w:val="0"/>
                  <w:vAlign w:val="center"/>
                </w:tcPr>
                <w:p w14:paraId="2C723D4C">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r>
            <w:tr w14:paraId="5997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196" w:type="dxa"/>
                  <w:tcBorders>
                    <w:top w:val="single" w:color="auto" w:sz="4" w:space="0"/>
                    <w:left w:val="single" w:color="auto" w:sz="4" w:space="0"/>
                    <w:bottom w:val="single" w:color="auto" w:sz="4" w:space="0"/>
                    <w:right w:val="single" w:color="auto" w:sz="4" w:space="0"/>
                  </w:tcBorders>
                  <w:noWrap w:val="0"/>
                  <w:vAlign w:val="center"/>
                </w:tcPr>
                <w:p w14:paraId="68CBCC05">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《水污染物排放限值》（DB44/26-2001）第二时段一级标准</w:t>
                  </w:r>
                </w:p>
              </w:tc>
              <w:tc>
                <w:tcPr>
                  <w:tcW w:w="786" w:type="dxa"/>
                  <w:tcBorders>
                    <w:top w:val="single" w:color="auto" w:sz="4" w:space="0"/>
                    <w:left w:val="nil"/>
                    <w:bottom w:val="single" w:color="auto" w:sz="4" w:space="0"/>
                    <w:right w:val="single" w:color="auto" w:sz="4" w:space="0"/>
                  </w:tcBorders>
                  <w:noWrap w:val="0"/>
                  <w:vAlign w:val="center"/>
                </w:tcPr>
                <w:p w14:paraId="3D64566A">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889" w:type="dxa"/>
                  <w:tcBorders>
                    <w:top w:val="single" w:color="auto" w:sz="4" w:space="0"/>
                    <w:left w:val="nil"/>
                    <w:bottom w:val="single" w:color="auto" w:sz="4" w:space="0"/>
                    <w:right w:val="single" w:color="auto" w:sz="4" w:space="0"/>
                  </w:tcBorders>
                  <w:noWrap w:val="0"/>
                  <w:vAlign w:val="center"/>
                </w:tcPr>
                <w:p w14:paraId="08020D82">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c>
                <w:tcPr>
                  <w:tcW w:w="682" w:type="dxa"/>
                  <w:tcBorders>
                    <w:top w:val="single" w:color="auto" w:sz="4" w:space="0"/>
                    <w:left w:val="nil"/>
                    <w:bottom w:val="single" w:color="auto" w:sz="4" w:space="0"/>
                    <w:right w:val="single" w:color="auto" w:sz="4" w:space="0"/>
                  </w:tcBorders>
                  <w:noWrap w:val="0"/>
                  <w:vAlign w:val="center"/>
                </w:tcPr>
                <w:p w14:paraId="5509BA88">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786" w:type="dxa"/>
                  <w:tcBorders>
                    <w:top w:val="single" w:color="auto" w:sz="4" w:space="0"/>
                    <w:left w:val="nil"/>
                    <w:bottom w:val="single" w:color="auto" w:sz="4" w:space="0"/>
                    <w:right w:val="single" w:color="auto" w:sz="4" w:space="0"/>
                  </w:tcBorders>
                  <w:noWrap w:val="0"/>
                  <w:vAlign w:val="center"/>
                </w:tcPr>
                <w:p w14:paraId="77855DCC">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86" w:type="dxa"/>
                  <w:tcBorders>
                    <w:top w:val="single" w:color="auto" w:sz="4" w:space="0"/>
                    <w:left w:val="nil"/>
                    <w:bottom w:val="single" w:color="auto" w:sz="4" w:space="0"/>
                    <w:right w:val="single" w:color="auto" w:sz="4" w:space="0"/>
                  </w:tcBorders>
                  <w:noWrap w:val="0"/>
                  <w:vAlign w:val="center"/>
                </w:tcPr>
                <w:p w14:paraId="38C6FF17">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786" w:type="dxa"/>
                  <w:tcBorders>
                    <w:top w:val="single" w:color="auto" w:sz="4" w:space="0"/>
                    <w:left w:val="nil"/>
                    <w:bottom w:val="single" w:color="auto" w:sz="4" w:space="0"/>
                    <w:right w:val="single" w:color="auto" w:sz="4" w:space="0"/>
                  </w:tcBorders>
                  <w:noWrap w:val="0"/>
                  <w:vAlign w:val="center"/>
                </w:tcPr>
                <w:p w14:paraId="7BAB5B07">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w:t>
                  </w:r>
                </w:p>
              </w:tc>
              <w:tc>
                <w:tcPr>
                  <w:tcW w:w="786" w:type="dxa"/>
                  <w:tcBorders>
                    <w:top w:val="single" w:color="auto" w:sz="4" w:space="0"/>
                    <w:left w:val="nil"/>
                    <w:bottom w:val="single" w:color="auto" w:sz="4" w:space="0"/>
                    <w:right w:val="single" w:color="auto" w:sz="4" w:space="0"/>
                  </w:tcBorders>
                  <w:noWrap w:val="0"/>
                  <w:vAlign w:val="center"/>
                </w:tcPr>
                <w:p w14:paraId="1C6C05D4">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14:paraId="10866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196" w:type="dxa"/>
                  <w:tcBorders>
                    <w:top w:val="single" w:color="auto" w:sz="4" w:space="0"/>
                    <w:left w:val="single" w:color="auto" w:sz="4" w:space="0"/>
                    <w:bottom w:val="single" w:color="auto" w:sz="4" w:space="0"/>
                    <w:right w:val="single" w:color="auto" w:sz="4" w:space="0"/>
                  </w:tcBorders>
                  <w:noWrap w:val="0"/>
                  <w:vAlign w:val="center"/>
                </w:tcPr>
                <w:p w14:paraId="2352D010">
                  <w:pPr>
                    <w:wordWrap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《地表水环境质量标准》（GB3838-2002）Ⅴ类</w:t>
                  </w:r>
                </w:p>
              </w:tc>
              <w:tc>
                <w:tcPr>
                  <w:tcW w:w="786" w:type="dxa"/>
                  <w:tcBorders>
                    <w:top w:val="single" w:color="auto" w:sz="4" w:space="0"/>
                    <w:left w:val="nil"/>
                    <w:bottom w:val="single" w:color="auto" w:sz="4" w:space="0"/>
                    <w:right w:val="single" w:color="auto" w:sz="4" w:space="0"/>
                  </w:tcBorders>
                  <w:noWrap w:val="0"/>
                  <w:vAlign w:val="center"/>
                </w:tcPr>
                <w:p w14:paraId="10968BCE">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6～9</w:t>
                  </w:r>
                </w:p>
              </w:tc>
              <w:tc>
                <w:tcPr>
                  <w:tcW w:w="889" w:type="dxa"/>
                  <w:tcBorders>
                    <w:top w:val="single" w:color="auto" w:sz="4" w:space="0"/>
                    <w:left w:val="nil"/>
                    <w:bottom w:val="single" w:color="auto" w:sz="4" w:space="0"/>
                    <w:right w:val="single" w:color="auto" w:sz="4" w:space="0"/>
                  </w:tcBorders>
                  <w:noWrap w:val="0"/>
                  <w:vAlign w:val="center"/>
                </w:tcPr>
                <w:p w14:paraId="39D79111">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682" w:type="dxa"/>
                  <w:tcBorders>
                    <w:top w:val="single" w:color="auto" w:sz="4" w:space="0"/>
                    <w:left w:val="nil"/>
                    <w:bottom w:val="single" w:color="auto" w:sz="4" w:space="0"/>
                    <w:right w:val="single" w:color="auto" w:sz="4" w:space="0"/>
                  </w:tcBorders>
                  <w:noWrap w:val="0"/>
                  <w:vAlign w:val="center"/>
                </w:tcPr>
                <w:p w14:paraId="6DF7E80F">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786" w:type="dxa"/>
                  <w:tcBorders>
                    <w:top w:val="single" w:color="auto" w:sz="4" w:space="0"/>
                    <w:left w:val="nil"/>
                    <w:bottom w:val="single" w:color="auto" w:sz="4" w:space="0"/>
                    <w:right w:val="single" w:color="auto" w:sz="4" w:space="0"/>
                  </w:tcBorders>
                  <w:noWrap w:val="0"/>
                  <w:vAlign w:val="center"/>
                </w:tcPr>
                <w:p w14:paraId="62F3365A">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w:t>
                  </w:r>
                </w:p>
              </w:tc>
              <w:tc>
                <w:tcPr>
                  <w:tcW w:w="786" w:type="dxa"/>
                  <w:tcBorders>
                    <w:top w:val="single" w:color="auto" w:sz="4" w:space="0"/>
                    <w:left w:val="nil"/>
                    <w:bottom w:val="single" w:color="auto" w:sz="4" w:space="0"/>
                    <w:right w:val="single" w:color="auto" w:sz="4" w:space="0"/>
                  </w:tcBorders>
                  <w:noWrap w:val="0"/>
                  <w:vAlign w:val="center"/>
                </w:tcPr>
                <w:p w14:paraId="1489B901">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786" w:type="dxa"/>
                  <w:tcBorders>
                    <w:top w:val="single" w:color="auto" w:sz="4" w:space="0"/>
                    <w:left w:val="nil"/>
                    <w:bottom w:val="single" w:color="auto" w:sz="4" w:space="0"/>
                    <w:right w:val="single" w:color="auto" w:sz="4" w:space="0"/>
                  </w:tcBorders>
                  <w:noWrap w:val="0"/>
                  <w:vAlign w:val="center"/>
                </w:tcPr>
                <w:p w14:paraId="2E7C96F4">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≤0.4</w:t>
                  </w:r>
                </w:p>
              </w:tc>
              <w:tc>
                <w:tcPr>
                  <w:tcW w:w="786" w:type="dxa"/>
                  <w:tcBorders>
                    <w:top w:val="single" w:color="auto" w:sz="4" w:space="0"/>
                    <w:left w:val="nil"/>
                    <w:bottom w:val="single" w:color="auto" w:sz="4" w:space="0"/>
                    <w:right w:val="single" w:color="auto" w:sz="4" w:space="0"/>
                  </w:tcBorders>
                  <w:noWrap w:val="0"/>
                  <w:vAlign w:val="center"/>
                </w:tcPr>
                <w:p w14:paraId="7424D8E3">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r>
            <w:tr w14:paraId="3CF77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196" w:type="dxa"/>
                  <w:tcBorders>
                    <w:top w:val="single" w:color="auto" w:sz="4" w:space="0"/>
                    <w:left w:val="single" w:color="auto" w:sz="4" w:space="0"/>
                    <w:bottom w:val="single" w:color="auto" w:sz="4" w:space="0"/>
                    <w:right w:val="single" w:color="auto" w:sz="4" w:space="0"/>
                  </w:tcBorders>
                  <w:noWrap w:val="0"/>
                  <w:vAlign w:val="center"/>
                </w:tcPr>
                <w:p w14:paraId="09193961">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本项目生活污水排水执行标准</w:t>
                  </w:r>
                </w:p>
              </w:tc>
              <w:tc>
                <w:tcPr>
                  <w:tcW w:w="786" w:type="dxa"/>
                  <w:tcBorders>
                    <w:top w:val="single" w:color="auto" w:sz="4" w:space="0"/>
                    <w:left w:val="nil"/>
                    <w:bottom w:val="single" w:color="auto" w:sz="4" w:space="0"/>
                    <w:right w:val="single" w:color="auto" w:sz="4" w:space="0"/>
                  </w:tcBorders>
                  <w:noWrap w:val="0"/>
                  <w:vAlign w:val="center"/>
                </w:tcPr>
                <w:p w14:paraId="4280FAF0">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889" w:type="dxa"/>
                  <w:tcBorders>
                    <w:top w:val="single" w:color="auto" w:sz="4" w:space="0"/>
                    <w:left w:val="nil"/>
                    <w:bottom w:val="single" w:color="auto" w:sz="4" w:space="0"/>
                    <w:right w:val="single" w:color="auto" w:sz="4" w:space="0"/>
                  </w:tcBorders>
                  <w:noWrap w:val="0"/>
                  <w:vAlign w:val="center"/>
                </w:tcPr>
                <w:p w14:paraId="6DDAD52F">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w:t>
                  </w:r>
                </w:p>
              </w:tc>
              <w:tc>
                <w:tcPr>
                  <w:tcW w:w="682" w:type="dxa"/>
                  <w:tcBorders>
                    <w:top w:val="single" w:color="auto" w:sz="4" w:space="0"/>
                    <w:left w:val="nil"/>
                    <w:bottom w:val="single" w:color="auto" w:sz="4" w:space="0"/>
                    <w:right w:val="single" w:color="auto" w:sz="4" w:space="0"/>
                  </w:tcBorders>
                  <w:noWrap w:val="0"/>
                  <w:vAlign w:val="center"/>
                </w:tcPr>
                <w:p w14:paraId="7DD23034">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≤300</w:t>
                  </w:r>
                </w:p>
              </w:tc>
              <w:tc>
                <w:tcPr>
                  <w:tcW w:w="786" w:type="dxa"/>
                  <w:tcBorders>
                    <w:top w:val="single" w:color="auto" w:sz="4" w:space="0"/>
                    <w:left w:val="nil"/>
                    <w:bottom w:val="single" w:color="auto" w:sz="4" w:space="0"/>
                    <w:right w:val="single" w:color="auto" w:sz="4" w:space="0"/>
                  </w:tcBorders>
                  <w:noWrap w:val="0"/>
                  <w:vAlign w:val="center"/>
                </w:tcPr>
                <w:p w14:paraId="7439DC05">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6" w:type="dxa"/>
                  <w:tcBorders>
                    <w:top w:val="single" w:color="auto" w:sz="4" w:space="0"/>
                    <w:left w:val="nil"/>
                    <w:bottom w:val="single" w:color="auto" w:sz="4" w:space="0"/>
                    <w:right w:val="single" w:color="auto" w:sz="4" w:space="0"/>
                  </w:tcBorders>
                  <w:noWrap w:val="0"/>
                  <w:vAlign w:val="center"/>
                </w:tcPr>
                <w:p w14:paraId="25BD6E47">
                  <w:pPr>
                    <w:wordWrap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≤400</w:t>
                  </w:r>
                </w:p>
              </w:tc>
              <w:tc>
                <w:tcPr>
                  <w:tcW w:w="786" w:type="dxa"/>
                  <w:tcBorders>
                    <w:top w:val="single" w:color="auto" w:sz="4" w:space="0"/>
                    <w:left w:val="nil"/>
                    <w:bottom w:val="single" w:color="auto" w:sz="4" w:space="0"/>
                    <w:right w:val="single" w:color="auto" w:sz="4" w:space="0"/>
                  </w:tcBorders>
                  <w:noWrap w:val="0"/>
                  <w:vAlign w:val="center"/>
                </w:tcPr>
                <w:p w14:paraId="487ADD7C">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786" w:type="dxa"/>
                  <w:tcBorders>
                    <w:top w:val="single" w:color="auto" w:sz="4" w:space="0"/>
                    <w:left w:val="nil"/>
                    <w:bottom w:val="single" w:color="auto" w:sz="4" w:space="0"/>
                    <w:right w:val="single" w:color="auto" w:sz="4" w:space="0"/>
                  </w:tcBorders>
                  <w:noWrap w:val="0"/>
                  <w:vAlign w:val="center"/>
                </w:tcPr>
                <w:p w14:paraId="1D97A4B2">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r>
            <w:tr w14:paraId="04131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196" w:type="dxa"/>
                  <w:tcBorders>
                    <w:top w:val="single" w:color="auto" w:sz="4" w:space="0"/>
                    <w:left w:val="single" w:color="auto" w:sz="4" w:space="0"/>
                    <w:bottom w:val="single" w:color="auto" w:sz="4" w:space="0"/>
                    <w:right w:val="single" w:color="auto" w:sz="4" w:space="0"/>
                  </w:tcBorders>
                  <w:noWrap w:val="0"/>
                  <w:vAlign w:val="center"/>
                </w:tcPr>
                <w:p w14:paraId="699E7FE7">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污水处理厂出水执行标准</w:t>
                  </w:r>
                </w:p>
              </w:tc>
              <w:tc>
                <w:tcPr>
                  <w:tcW w:w="786" w:type="dxa"/>
                  <w:tcBorders>
                    <w:top w:val="single" w:color="auto" w:sz="4" w:space="0"/>
                    <w:left w:val="nil"/>
                    <w:bottom w:val="single" w:color="auto" w:sz="4" w:space="0"/>
                    <w:right w:val="single" w:color="auto" w:sz="4" w:space="0"/>
                  </w:tcBorders>
                  <w:noWrap w:val="0"/>
                  <w:vAlign w:val="center"/>
                </w:tcPr>
                <w:p w14:paraId="270A9BD9">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889" w:type="dxa"/>
                  <w:tcBorders>
                    <w:top w:val="single" w:color="auto" w:sz="4" w:space="0"/>
                    <w:left w:val="nil"/>
                    <w:bottom w:val="single" w:color="auto" w:sz="4" w:space="0"/>
                    <w:right w:val="single" w:color="auto" w:sz="4" w:space="0"/>
                  </w:tcBorders>
                  <w:noWrap w:val="0"/>
                  <w:vAlign w:val="center"/>
                </w:tcPr>
                <w:p w14:paraId="7519DDDE">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c>
                <w:tcPr>
                  <w:tcW w:w="682" w:type="dxa"/>
                  <w:tcBorders>
                    <w:top w:val="single" w:color="auto" w:sz="4" w:space="0"/>
                    <w:left w:val="nil"/>
                    <w:bottom w:val="single" w:color="auto" w:sz="4" w:space="0"/>
                    <w:right w:val="single" w:color="auto" w:sz="4" w:space="0"/>
                  </w:tcBorders>
                  <w:noWrap w:val="0"/>
                  <w:vAlign w:val="center"/>
                </w:tcPr>
                <w:p w14:paraId="451EBB43">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786" w:type="dxa"/>
                  <w:tcBorders>
                    <w:top w:val="single" w:color="auto" w:sz="4" w:space="0"/>
                    <w:left w:val="nil"/>
                    <w:bottom w:val="single" w:color="auto" w:sz="4" w:space="0"/>
                    <w:right w:val="single" w:color="auto" w:sz="4" w:space="0"/>
                  </w:tcBorders>
                  <w:noWrap w:val="0"/>
                  <w:vAlign w:val="center"/>
                </w:tcPr>
                <w:p w14:paraId="5867D388">
                  <w:pPr>
                    <w:wordWrap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786" w:type="dxa"/>
                  <w:tcBorders>
                    <w:top w:val="single" w:color="auto" w:sz="4" w:space="0"/>
                    <w:left w:val="nil"/>
                    <w:bottom w:val="single" w:color="auto" w:sz="4" w:space="0"/>
                    <w:right w:val="single" w:color="auto" w:sz="4" w:space="0"/>
                  </w:tcBorders>
                  <w:noWrap w:val="0"/>
                  <w:vAlign w:val="center"/>
                </w:tcPr>
                <w:p w14:paraId="4F26BA3A">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≤10</w:t>
                  </w:r>
                </w:p>
              </w:tc>
              <w:tc>
                <w:tcPr>
                  <w:tcW w:w="786" w:type="dxa"/>
                  <w:tcBorders>
                    <w:top w:val="single" w:color="auto" w:sz="4" w:space="0"/>
                    <w:left w:val="nil"/>
                    <w:bottom w:val="single" w:color="auto" w:sz="4" w:space="0"/>
                    <w:right w:val="single" w:color="auto" w:sz="4" w:space="0"/>
                  </w:tcBorders>
                  <w:noWrap w:val="0"/>
                  <w:vAlign w:val="center"/>
                </w:tcPr>
                <w:p w14:paraId="0728DE1B">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≤0.4</w:t>
                  </w:r>
                </w:p>
              </w:tc>
              <w:tc>
                <w:tcPr>
                  <w:tcW w:w="786" w:type="dxa"/>
                  <w:tcBorders>
                    <w:top w:val="single" w:color="auto" w:sz="4" w:space="0"/>
                    <w:left w:val="nil"/>
                    <w:bottom w:val="single" w:color="auto" w:sz="4" w:space="0"/>
                    <w:right w:val="single" w:color="auto" w:sz="4" w:space="0"/>
                  </w:tcBorders>
                  <w:noWrap w:val="0"/>
                  <w:vAlign w:val="center"/>
                </w:tcPr>
                <w:p w14:paraId="2DB3068A">
                  <w:pPr>
                    <w:wordWrap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≤15</w:t>
                  </w:r>
                </w:p>
              </w:tc>
            </w:tr>
          </w:tbl>
          <w:p w14:paraId="65A22B9B">
            <w:pPr>
              <w:wordWrap w:val="0"/>
              <w:adjustRightInd/>
              <w:snapToGrid/>
              <w:spacing w:line="360" w:lineRule="auto"/>
              <w:ind w:firstLine="420"/>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rPr>
              <w:t>注：1.括号外数值为水温大于12℃时的控制标准，括号内数值为水温小于等于12℃时的控制标准。</w:t>
            </w:r>
          </w:p>
          <w:p w14:paraId="26A3FFFC">
            <w:pPr>
              <w:wordWrap w:val="0"/>
              <w:adjustRightInd/>
              <w:snapToGrid/>
              <w:spacing w:line="360" w:lineRule="auto"/>
              <w:ind w:firstLine="420"/>
              <w:rPr>
                <w:rFonts w:hint="default" w:ascii="Times New Roman" w:hAnsi="Times New Roman" w:eastAsia="宋体" w:cs="Times New Roman"/>
                <w:bCs/>
                <w:color w:val="auto"/>
                <w:sz w:val="21"/>
                <w:szCs w:val="16"/>
                <w:lang w:eastAsia="zh-CN"/>
              </w:rPr>
            </w:pPr>
            <w:r>
              <w:rPr>
                <w:rFonts w:hint="default" w:ascii="Times New Roman" w:hAnsi="Times New Roman" w:eastAsia="宋体" w:cs="Times New Roman"/>
                <w:bCs/>
                <w:color w:val="auto"/>
                <w:kern w:val="2"/>
                <w:sz w:val="21"/>
                <w:szCs w:val="21"/>
                <w:lang w:bidi="ar"/>
              </w:rPr>
              <w:t>2.广东省地方标准《水污染物排放限值》（DB44/26-2001）第二时段一级标准中TP参照磷酸盐排放标准执行</w:t>
            </w:r>
            <w:r>
              <w:rPr>
                <w:rFonts w:hint="default" w:ascii="Times New Roman" w:hAnsi="Times New Roman" w:eastAsia="宋体" w:cs="Times New Roman"/>
                <w:bCs/>
                <w:color w:val="auto"/>
                <w:kern w:val="2"/>
                <w:sz w:val="21"/>
                <w:szCs w:val="21"/>
                <w:lang w:eastAsia="zh-CN" w:bidi="ar"/>
              </w:rPr>
              <w:t>。</w:t>
            </w:r>
          </w:p>
          <w:p w14:paraId="26B6C4CA">
            <w:pPr>
              <w:tabs>
                <w:tab w:val="left" w:pos="4935"/>
              </w:tabs>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2、废气排放标准</w:t>
            </w:r>
          </w:p>
          <w:p w14:paraId="18DAC624">
            <w:pPr>
              <w:ind w:firstLine="482" w:firstLineChars="200"/>
              <w:rPr>
                <w:rFonts w:hint="default"/>
                <w:color w:val="auto"/>
                <w:lang w:val="en-US" w:eastAsia="zh-CN"/>
              </w:rPr>
            </w:pPr>
            <w:r>
              <w:rPr>
                <w:rFonts w:hint="default" w:ascii="Times New Roman" w:hAnsi="Times New Roman" w:eastAsia="宋体" w:cs="Times New Roman"/>
                <w:b/>
                <w:bCs/>
                <w:color w:val="auto"/>
                <w:kern w:val="0"/>
                <w:sz w:val="24"/>
                <w:szCs w:val="24"/>
                <w:lang w:val="en-US" w:eastAsia="zh-CN" w:bidi="ar-SA"/>
              </w:rPr>
              <w:t>排气筒DA001（移印废气</w:t>
            </w:r>
            <w:r>
              <w:rPr>
                <w:rFonts w:hint="eastAsia" w:cs="Times New Roman"/>
                <w:b/>
                <w:bCs/>
                <w:color w:val="auto"/>
                <w:kern w:val="0"/>
                <w:sz w:val="24"/>
                <w:szCs w:val="24"/>
                <w:lang w:val="en-US" w:eastAsia="zh-CN" w:bidi="ar-SA"/>
              </w:rPr>
              <w:t>、注塑废气</w:t>
            </w:r>
            <w:r>
              <w:rPr>
                <w:rFonts w:hint="default" w:ascii="Times New Roman" w:hAnsi="Times New Roman" w:eastAsia="宋体" w:cs="Times New Roman"/>
                <w:b/>
                <w:bCs/>
                <w:color w:val="auto"/>
                <w:kern w:val="0"/>
                <w:sz w:val="24"/>
                <w:szCs w:val="24"/>
                <w:lang w:val="en-US" w:eastAsia="zh-CN" w:bidi="ar-SA"/>
              </w:rPr>
              <w:t>）</w:t>
            </w:r>
          </w:p>
          <w:p w14:paraId="11D75D7C">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eastAsia" w:cs="Times New Roman"/>
                <w:bCs/>
                <w:color w:val="auto"/>
                <w:sz w:val="24"/>
                <w:szCs w:val="24"/>
                <w:lang w:val="en-US" w:eastAsia="zh-CN" w:bidi="ar"/>
              </w:rPr>
              <w:t>项目</w:t>
            </w:r>
            <w:r>
              <w:rPr>
                <w:rFonts w:hint="default" w:ascii="Times New Roman" w:hAnsi="Times New Roman" w:eastAsia="宋体" w:cs="Times New Roman"/>
                <w:bCs/>
                <w:color w:val="auto"/>
                <w:sz w:val="24"/>
                <w:szCs w:val="24"/>
                <w:lang w:val="en-US" w:eastAsia="zh-CN" w:bidi="ar"/>
              </w:rPr>
              <w:t>移印工序有机废气（总VOCs）排放执行广东省《印刷行业挥发性有机化合物排放标准》（DB44/815-2010）表2第II时段标准限值要求；移印工序有机废气（NMHC）有组织废气排放执行《印刷工业大气污染物排放标准》（GB 41616—2022）表1排放限值要求。</w:t>
            </w:r>
          </w:p>
          <w:p w14:paraId="36E6BDF2">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bidi="ar"/>
              </w:rPr>
            </w:pPr>
            <w:r>
              <w:rPr>
                <w:rFonts w:hint="default" w:ascii="Times New Roman" w:hAnsi="Times New Roman" w:eastAsia="宋体" w:cs="Times New Roman"/>
                <w:bCs/>
                <w:color w:val="auto"/>
                <w:sz w:val="24"/>
                <w:szCs w:val="24"/>
                <w:lang w:val="en-US" w:eastAsia="zh-CN" w:bidi="ar"/>
              </w:rPr>
              <w:t>项目注塑过程非甲烷总烃、苯乙烯、丙烯腈、1,3-丁二烯、甲苯、乙苯排放执行《合成树脂工业污染物排放标准》（GB 31572-2015，含2024年修改单）表5大气污染物特别排放限值及表9企业边界大气污染物浓度限值。</w:t>
            </w:r>
          </w:p>
          <w:p w14:paraId="0BC1185E">
            <w:pPr>
              <w:ind w:firstLine="480" w:firstLineChars="200"/>
              <w:rPr>
                <w:rFonts w:hint="default" w:ascii="Times New Roman" w:hAnsi="Times New Roman" w:eastAsia="宋体" w:cs="Times New Roman"/>
                <w:b/>
                <w:bCs/>
                <w:color w:val="auto"/>
                <w:kern w:val="0"/>
                <w:sz w:val="24"/>
                <w:szCs w:val="24"/>
                <w:lang w:val="en-US" w:eastAsia="zh-CN" w:bidi="ar-SA"/>
              </w:rPr>
            </w:pPr>
            <w:r>
              <w:rPr>
                <w:rFonts w:hint="default" w:ascii="Times New Roman" w:hAnsi="Times New Roman" w:eastAsia="宋体" w:cs="Times New Roman"/>
                <w:bCs/>
                <w:color w:val="auto"/>
                <w:sz w:val="24"/>
                <w:szCs w:val="24"/>
                <w:lang w:val="en-US" w:eastAsia="zh-CN" w:bidi="ar"/>
              </w:rPr>
              <w:t>综上，排气筒DA00</w:t>
            </w:r>
            <w:r>
              <w:rPr>
                <w:rFonts w:hint="default" w:ascii="Times New Roman" w:hAnsi="Times New Roman" w:cs="Times New Roman"/>
                <w:bCs/>
                <w:color w:val="auto"/>
                <w:sz w:val="24"/>
                <w:szCs w:val="24"/>
                <w:lang w:val="en-US" w:eastAsia="zh-CN" w:bidi="ar"/>
              </w:rPr>
              <w:t>1</w:t>
            </w:r>
            <w:r>
              <w:rPr>
                <w:rFonts w:hint="default" w:ascii="Times New Roman" w:hAnsi="Times New Roman" w:eastAsia="宋体" w:cs="Times New Roman"/>
                <w:bCs/>
                <w:color w:val="auto"/>
                <w:sz w:val="24"/>
                <w:szCs w:val="24"/>
                <w:lang w:val="en-US" w:eastAsia="zh-CN" w:bidi="ar"/>
              </w:rPr>
              <w:t>中，非甲烷总烃有组织排放执行《合成树脂工业污染物排放标准》（GB 31572-2015，含2024年修改单）表5大气污染物特别排放限值</w:t>
            </w:r>
            <w:r>
              <w:rPr>
                <w:rFonts w:hint="eastAsia" w:ascii="Times New Roman" w:hAnsi="Times New Roman" w:eastAsia="宋体" w:cs="Times New Roman"/>
                <w:bCs/>
                <w:color w:val="auto"/>
                <w:sz w:val="24"/>
                <w:szCs w:val="24"/>
                <w:lang w:val="en-US" w:eastAsia="zh-CN" w:bidi="ar"/>
              </w:rPr>
              <w:t>和</w:t>
            </w:r>
            <w:r>
              <w:rPr>
                <w:rFonts w:hint="default" w:ascii="Times New Roman" w:hAnsi="Times New Roman" w:eastAsia="宋体" w:cs="Times New Roman"/>
                <w:bCs/>
                <w:color w:val="auto"/>
                <w:sz w:val="24"/>
                <w:szCs w:val="24"/>
                <w:lang w:val="en-US" w:eastAsia="zh-CN" w:bidi="ar"/>
              </w:rPr>
              <w:t>《印刷工业大气污染物排放标准》（GB 41616-2022）表1排放限值要求</w:t>
            </w:r>
            <w:r>
              <w:rPr>
                <w:rFonts w:hint="default" w:ascii="Times New Roman" w:hAnsi="Times New Roman" w:eastAsia="宋体" w:cs="Times New Roman"/>
                <w:bCs/>
                <w:color w:val="auto"/>
                <w:sz w:val="24"/>
                <w:szCs w:val="24"/>
                <w:lang w:eastAsia="zh-CN" w:bidi="ar"/>
              </w:rPr>
              <w:t>，</w:t>
            </w:r>
            <w:r>
              <w:rPr>
                <w:rFonts w:hint="default" w:ascii="Times New Roman" w:hAnsi="Times New Roman" w:eastAsia="宋体" w:cs="Times New Roman"/>
                <w:bCs/>
                <w:color w:val="auto"/>
                <w:sz w:val="24"/>
                <w:szCs w:val="24"/>
                <w:lang w:val="en-US" w:eastAsia="zh-CN" w:bidi="ar"/>
              </w:rPr>
              <w:t>总VOCs有组织排放执行广东省《印刷行业挥发性有机化合物排放标准》（DB44/815-2010）表2第II时段标准限值要求</w:t>
            </w:r>
            <w:r>
              <w:rPr>
                <w:rFonts w:hint="eastAsia"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臭气浓度有组织排放执行《恶臭污染物排放标准》（GB14554-93）表2恶臭污染物排放标准值。</w:t>
            </w:r>
          </w:p>
          <w:p w14:paraId="47A553B0">
            <w:pPr>
              <w:widowControl/>
              <w:numPr>
                <w:ilvl w:val="0"/>
                <w:numId w:val="0"/>
              </w:numPr>
              <w:wordWrap/>
              <w:spacing w:line="240" w:lineRule="auto"/>
              <w:ind w:left="420" w:leftChars="0" w:hanging="420" w:firstLineChars="0"/>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4"/>
                <w:szCs w:val="24"/>
                <w:lang w:val="en-US" w:eastAsia="zh-CN" w:bidi="ar-SA"/>
              </w:rPr>
              <w:t>表3-</w:t>
            </w:r>
            <w:r>
              <w:rPr>
                <w:rFonts w:hint="default" w:ascii="Times New Roman" w:hAnsi="Times New Roman" w:cs="Times New Roman"/>
                <w:b/>
                <w:bCs/>
                <w:color w:val="auto"/>
                <w:kern w:val="2"/>
                <w:sz w:val="24"/>
                <w:szCs w:val="24"/>
                <w:lang w:val="en-US" w:eastAsia="zh-CN" w:bidi="ar-SA"/>
              </w:rPr>
              <w:t xml:space="preserve">5 </w:t>
            </w:r>
            <w:r>
              <w:rPr>
                <w:rFonts w:hint="default" w:ascii="Times New Roman" w:hAnsi="Times New Roman" w:eastAsia="宋体" w:cs="Times New Roman"/>
                <w:b/>
                <w:bCs/>
                <w:color w:val="auto"/>
                <w:sz w:val="24"/>
                <w:szCs w:val="24"/>
                <w:lang w:val="en-US" w:eastAsia="zh-CN"/>
              </w:rPr>
              <w:t>项目有组织废气</w:t>
            </w:r>
            <w:r>
              <w:rPr>
                <w:rFonts w:hint="default" w:ascii="Times New Roman" w:hAnsi="Times New Roman" w:eastAsia="宋体" w:cs="Times New Roman"/>
                <w:b/>
                <w:color w:val="auto"/>
                <w:sz w:val="24"/>
                <w:szCs w:val="24"/>
                <w:lang w:val="en-US" w:eastAsia="zh-CN"/>
              </w:rPr>
              <w:t>排放</w:t>
            </w:r>
            <w:r>
              <w:rPr>
                <w:rFonts w:hint="default" w:ascii="Times New Roman" w:hAnsi="Times New Roman" w:eastAsia="宋体" w:cs="Times New Roman"/>
                <w:b/>
                <w:bCs/>
                <w:color w:val="auto"/>
                <w:sz w:val="24"/>
                <w:szCs w:val="24"/>
                <w:lang w:val="en-US" w:eastAsia="zh-CN"/>
              </w:rPr>
              <w:t>限值要求</w:t>
            </w:r>
          </w:p>
          <w:tbl>
            <w:tblPr>
              <w:tblStyle w:val="22"/>
              <w:tblW w:w="49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941"/>
              <w:gridCol w:w="1582"/>
              <w:gridCol w:w="654"/>
              <w:gridCol w:w="1320"/>
              <w:gridCol w:w="525"/>
              <w:gridCol w:w="918"/>
              <w:gridCol w:w="1865"/>
            </w:tblGrid>
            <w:tr w14:paraId="21CE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1" w:type="pct"/>
                  <w:gridSpan w:val="2"/>
                  <w:vMerge w:val="restart"/>
                  <w:noWrap w:val="0"/>
                  <w:vAlign w:val="center"/>
                </w:tcPr>
                <w:p w14:paraId="59B4DBA5">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污染源</w:t>
                  </w:r>
                </w:p>
              </w:tc>
              <w:tc>
                <w:tcPr>
                  <w:tcW w:w="905" w:type="pct"/>
                  <w:vMerge w:val="restart"/>
                  <w:noWrap w:val="0"/>
                  <w:vAlign w:val="center"/>
                </w:tcPr>
                <w:p w14:paraId="085B48F5">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污染因子</w:t>
                  </w:r>
                </w:p>
              </w:tc>
              <w:tc>
                <w:tcPr>
                  <w:tcW w:w="374" w:type="pct"/>
                  <w:vMerge w:val="restart"/>
                  <w:noWrap w:val="0"/>
                  <w:vAlign w:val="center"/>
                </w:tcPr>
                <w:p w14:paraId="36A3EED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排气筒高度</w:t>
                  </w:r>
                </w:p>
              </w:tc>
              <w:tc>
                <w:tcPr>
                  <w:tcW w:w="1581" w:type="pct"/>
                  <w:gridSpan w:val="3"/>
                  <w:noWrap w:val="0"/>
                  <w:vAlign w:val="center"/>
                </w:tcPr>
                <w:p w14:paraId="07DA09FB">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有组织</w:t>
                  </w:r>
                </w:p>
              </w:tc>
              <w:tc>
                <w:tcPr>
                  <w:tcW w:w="1067" w:type="pct"/>
                  <w:vMerge w:val="restart"/>
                  <w:noWrap w:val="0"/>
                  <w:vAlign w:val="center"/>
                </w:tcPr>
                <w:p w14:paraId="2A281FD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执行标准</w:t>
                  </w:r>
                </w:p>
              </w:tc>
            </w:tr>
            <w:tr w14:paraId="5E53F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1" w:type="pct"/>
                  <w:gridSpan w:val="2"/>
                  <w:vMerge w:val="continue"/>
                  <w:noWrap w:val="0"/>
                  <w:vAlign w:val="center"/>
                </w:tcPr>
                <w:p w14:paraId="71DFF1C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905" w:type="pct"/>
                  <w:vMerge w:val="continue"/>
                  <w:noWrap w:val="0"/>
                  <w:vAlign w:val="center"/>
                </w:tcPr>
                <w:p w14:paraId="7C53F05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374" w:type="pct"/>
                  <w:vMerge w:val="continue"/>
                  <w:noWrap w:val="0"/>
                  <w:vAlign w:val="center"/>
                </w:tcPr>
                <w:p w14:paraId="445B64F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c>
                <w:tcPr>
                  <w:tcW w:w="1055" w:type="pct"/>
                  <w:gridSpan w:val="2"/>
                  <w:noWrap w:val="0"/>
                  <w:vAlign w:val="center"/>
                </w:tcPr>
                <w:p w14:paraId="78BAD02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最高允许排放浓度mg/m</w:t>
                  </w:r>
                  <w:r>
                    <w:rPr>
                      <w:rFonts w:hint="default" w:ascii="Times New Roman" w:hAnsi="Times New Roman" w:eastAsia="宋体" w:cs="Times New Roman"/>
                      <w:b/>
                      <w:color w:val="auto"/>
                      <w:kern w:val="0"/>
                      <w:sz w:val="21"/>
                      <w:szCs w:val="21"/>
                      <w:vertAlign w:val="superscript"/>
                    </w:rPr>
                    <w:t>3</w:t>
                  </w:r>
                </w:p>
              </w:tc>
              <w:tc>
                <w:tcPr>
                  <w:tcW w:w="525" w:type="pct"/>
                  <w:noWrap w:val="0"/>
                  <w:vAlign w:val="center"/>
                </w:tcPr>
                <w:p w14:paraId="396CE34B">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b/>
                      <w:color w:val="auto"/>
                      <w:kern w:val="0"/>
                      <w:sz w:val="21"/>
                      <w:szCs w:val="21"/>
                    </w:rPr>
                    <w:t>排放速率kg/h</w:t>
                  </w:r>
                </w:p>
              </w:tc>
              <w:tc>
                <w:tcPr>
                  <w:tcW w:w="1067" w:type="pct"/>
                  <w:vMerge w:val="continue"/>
                  <w:noWrap w:val="0"/>
                  <w:vAlign w:val="center"/>
                </w:tcPr>
                <w:p w14:paraId="0DF039EC">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p>
              </w:tc>
            </w:tr>
            <w:tr w14:paraId="5F8BD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 w:type="pct"/>
                  <w:vMerge w:val="restart"/>
                  <w:noWrap w:val="0"/>
                  <w:vAlign w:val="center"/>
                </w:tcPr>
                <w:p w14:paraId="3A8EAE0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排气筒DA00</w:t>
                  </w:r>
                  <w:r>
                    <w:rPr>
                      <w:rFonts w:hint="default" w:ascii="Times New Roman" w:hAnsi="Times New Roman" w:cs="Times New Roman"/>
                      <w:color w:val="auto"/>
                      <w:sz w:val="21"/>
                      <w:szCs w:val="21"/>
                      <w:lang w:val="en-US" w:eastAsia="zh-CN"/>
                    </w:rPr>
                    <w:t>1</w:t>
                  </w:r>
                </w:p>
              </w:tc>
              <w:tc>
                <w:tcPr>
                  <w:tcW w:w="538" w:type="pct"/>
                  <w:noWrap w:val="0"/>
                  <w:vAlign w:val="center"/>
                </w:tcPr>
                <w:p w14:paraId="38BEA40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移印</w:t>
                  </w:r>
                </w:p>
              </w:tc>
              <w:tc>
                <w:tcPr>
                  <w:tcW w:w="905" w:type="pct"/>
                  <w:noWrap w:val="0"/>
                  <w:vAlign w:val="center"/>
                </w:tcPr>
                <w:p w14:paraId="05458906">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总VOCs</w:t>
                  </w:r>
                </w:p>
              </w:tc>
              <w:tc>
                <w:tcPr>
                  <w:tcW w:w="374" w:type="pct"/>
                  <w:vMerge w:val="restart"/>
                  <w:noWrap w:val="0"/>
                  <w:vAlign w:val="center"/>
                </w:tcPr>
                <w:p w14:paraId="696B9CA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18m</w:t>
                  </w:r>
                </w:p>
              </w:tc>
              <w:tc>
                <w:tcPr>
                  <w:tcW w:w="1055" w:type="pct"/>
                  <w:gridSpan w:val="2"/>
                  <w:noWrap w:val="0"/>
                  <w:vAlign w:val="center"/>
                </w:tcPr>
                <w:p w14:paraId="7C5706B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120</w:t>
                  </w:r>
                </w:p>
              </w:tc>
              <w:tc>
                <w:tcPr>
                  <w:tcW w:w="525" w:type="pct"/>
                  <w:noWrap w:val="0"/>
                  <w:vAlign w:val="center"/>
                </w:tcPr>
                <w:p w14:paraId="27FBAD6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5.1</w:t>
                  </w:r>
                </w:p>
              </w:tc>
              <w:tc>
                <w:tcPr>
                  <w:tcW w:w="1067" w:type="pct"/>
                  <w:noWrap w:val="0"/>
                  <w:vAlign w:val="center"/>
                </w:tcPr>
                <w:p w14:paraId="6C8CA68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DB44/815-2010</w:t>
                  </w:r>
                </w:p>
              </w:tc>
            </w:tr>
            <w:tr w14:paraId="232F1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 w:type="pct"/>
                  <w:vMerge w:val="continue"/>
                  <w:noWrap w:val="0"/>
                  <w:vAlign w:val="center"/>
                </w:tcPr>
                <w:p w14:paraId="774528C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38" w:type="pct"/>
                  <w:noWrap w:val="0"/>
                  <w:vAlign w:val="center"/>
                </w:tcPr>
                <w:p w14:paraId="1689240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移印</w:t>
                  </w:r>
                </w:p>
              </w:tc>
              <w:tc>
                <w:tcPr>
                  <w:tcW w:w="905" w:type="pct"/>
                  <w:noWrap w:val="0"/>
                  <w:vAlign w:val="center"/>
                </w:tcPr>
                <w:p w14:paraId="1450FBA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非甲烷总烃</w:t>
                  </w:r>
                </w:p>
              </w:tc>
              <w:tc>
                <w:tcPr>
                  <w:tcW w:w="374" w:type="pct"/>
                  <w:vMerge w:val="continue"/>
                  <w:noWrap w:val="0"/>
                  <w:vAlign w:val="center"/>
                </w:tcPr>
                <w:p w14:paraId="031F9E2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755" w:type="pct"/>
                  <w:noWrap w:val="0"/>
                  <w:vAlign w:val="center"/>
                </w:tcPr>
                <w:p w14:paraId="60D55F2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70</w:t>
                  </w:r>
                </w:p>
              </w:tc>
              <w:tc>
                <w:tcPr>
                  <w:tcW w:w="300" w:type="pct"/>
                  <w:vMerge w:val="restart"/>
                  <w:noWrap w:val="0"/>
                  <w:vAlign w:val="center"/>
                </w:tcPr>
                <w:p w14:paraId="7EAF299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60</w:t>
                  </w:r>
                </w:p>
              </w:tc>
              <w:tc>
                <w:tcPr>
                  <w:tcW w:w="525" w:type="pct"/>
                  <w:noWrap w:val="0"/>
                  <w:vAlign w:val="center"/>
                </w:tcPr>
                <w:p w14:paraId="7B5BE2F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w:t>
                  </w:r>
                </w:p>
              </w:tc>
              <w:tc>
                <w:tcPr>
                  <w:tcW w:w="1067" w:type="pct"/>
                  <w:vMerge w:val="restart"/>
                  <w:noWrap w:val="0"/>
                  <w:vAlign w:val="center"/>
                </w:tcPr>
                <w:p w14:paraId="54670F7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 31572-2015</w:t>
                  </w:r>
                  <w:r>
                    <w:rPr>
                      <w:rFonts w:hint="eastAsia" w:cs="Times New Roman"/>
                      <w:color w:val="auto"/>
                      <w:sz w:val="21"/>
                      <w:szCs w:val="21"/>
                      <w:lang w:val="en-US" w:eastAsia="zh-CN"/>
                    </w:rPr>
                    <w:t>、GB 41616</w:t>
                  </w:r>
                  <w:r>
                    <w:rPr>
                      <w:rFonts w:hint="default" w:ascii="Times New Roman" w:hAnsi="Times New Roman" w:eastAsia="宋体" w:cs="Times New Roman"/>
                      <w:color w:val="auto"/>
                      <w:sz w:val="21"/>
                      <w:szCs w:val="21"/>
                      <w:lang w:val="en-US" w:eastAsia="zh-CN"/>
                    </w:rPr>
                    <w:t>-</w:t>
                  </w:r>
                  <w:r>
                    <w:rPr>
                      <w:rFonts w:hint="eastAsia" w:cs="Times New Roman"/>
                      <w:color w:val="auto"/>
                      <w:sz w:val="21"/>
                      <w:szCs w:val="21"/>
                      <w:lang w:val="en-US" w:eastAsia="zh-CN"/>
                    </w:rPr>
                    <w:t>2022</w:t>
                  </w:r>
                </w:p>
              </w:tc>
            </w:tr>
            <w:tr w14:paraId="13F5F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 w:type="pct"/>
                  <w:vMerge w:val="continue"/>
                  <w:noWrap w:val="0"/>
                  <w:vAlign w:val="center"/>
                </w:tcPr>
                <w:p w14:paraId="13446AC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38" w:type="pct"/>
                  <w:vMerge w:val="restart"/>
                  <w:noWrap w:val="0"/>
                  <w:vAlign w:val="center"/>
                </w:tcPr>
                <w:p w14:paraId="1E82A9D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注塑</w:t>
                  </w:r>
                </w:p>
              </w:tc>
              <w:tc>
                <w:tcPr>
                  <w:tcW w:w="905" w:type="pct"/>
                  <w:noWrap w:val="0"/>
                  <w:vAlign w:val="center"/>
                </w:tcPr>
                <w:p w14:paraId="49789FA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374" w:type="pct"/>
                  <w:vMerge w:val="continue"/>
                  <w:noWrap w:val="0"/>
                  <w:vAlign w:val="center"/>
                </w:tcPr>
                <w:p w14:paraId="1BA625F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755" w:type="pct"/>
                  <w:noWrap w:val="0"/>
                  <w:vAlign w:val="center"/>
                </w:tcPr>
                <w:p w14:paraId="59D4DCCC">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300" w:type="pct"/>
                  <w:vMerge w:val="continue"/>
                  <w:noWrap w:val="0"/>
                  <w:vAlign w:val="center"/>
                </w:tcPr>
                <w:p w14:paraId="143A2F0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sz w:val="21"/>
                      <w:szCs w:val="21"/>
                      <w:lang w:val="en-US" w:eastAsia="zh-CN"/>
                    </w:rPr>
                  </w:pPr>
                </w:p>
              </w:tc>
              <w:tc>
                <w:tcPr>
                  <w:tcW w:w="525" w:type="pct"/>
                  <w:noWrap w:val="0"/>
                  <w:vAlign w:val="center"/>
                </w:tcPr>
                <w:p w14:paraId="7EA0D11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w:t>
                  </w:r>
                </w:p>
              </w:tc>
              <w:tc>
                <w:tcPr>
                  <w:tcW w:w="1067" w:type="pct"/>
                  <w:vMerge w:val="continue"/>
                  <w:noWrap w:val="0"/>
                  <w:vAlign w:val="center"/>
                </w:tcPr>
                <w:p w14:paraId="3F13619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4A8EB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 w:type="pct"/>
                  <w:vMerge w:val="continue"/>
                  <w:noWrap w:val="0"/>
                  <w:vAlign w:val="center"/>
                </w:tcPr>
                <w:p w14:paraId="11CE283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38" w:type="pct"/>
                  <w:vMerge w:val="continue"/>
                  <w:noWrap w:val="0"/>
                  <w:vAlign w:val="center"/>
                </w:tcPr>
                <w:p w14:paraId="188308A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p>
              </w:tc>
              <w:tc>
                <w:tcPr>
                  <w:tcW w:w="905" w:type="pct"/>
                  <w:noWrap w:val="0"/>
                  <w:vAlign w:val="center"/>
                </w:tcPr>
                <w:p w14:paraId="4157BE5B">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 w:val="21"/>
                      <w:szCs w:val="21"/>
                      <w:lang w:val="en-US" w:eastAsia="zh-CN"/>
                    </w:rPr>
                    <w:t>臭气浓度</w:t>
                  </w:r>
                </w:p>
              </w:tc>
              <w:tc>
                <w:tcPr>
                  <w:tcW w:w="374" w:type="pct"/>
                  <w:vMerge w:val="continue"/>
                  <w:noWrap w:val="0"/>
                  <w:vAlign w:val="center"/>
                </w:tcPr>
                <w:p w14:paraId="7DA539C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1055" w:type="pct"/>
                  <w:gridSpan w:val="2"/>
                  <w:noWrap w:val="0"/>
                  <w:vAlign w:val="center"/>
                </w:tcPr>
                <w:p w14:paraId="7EA1B105">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40000（无量纲）</w:t>
                  </w:r>
                </w:p>
              </w:tc>
              <w:tc>
                <w:tcPr>
                  <w:tcW w:w="525" w:type="pct"/>
                  <w:noWrap w:val="0"/>
                  <w:vAlign w:val="center"/>
                </w:tcPr>
                <w:p w14:paraId="5AE76BF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w:t>
                  </w:r>
                </w:p>
              </w:tc>
              <w:tc>
                <w:tcPr>
                  <w:tcW w:w="1067" w:type="pct"/>
                  <w:noWrap w:val="0"/>
                  <w:vAlign w:val="center"/>
                </w:tcPr>
                <w:p w14:paraId="336719BD">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GB14554-93</w:t>
                  </w:r>
                </w:p>
              </w:tc>
            </w:tr>
            <w:tr w14:paraId="4257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8"/>
                  <w:noWrap w:val="0"/>
                  <w:vAlign w:val="center"/>
                </w:tcPr>
                <w:p w14:paraId="65E14CDE">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注：根据要求当烟囱（或排气筒）周围半径200m距离内有建筑物时，排气筒高度还应高出最高建筑物3m以上”。项目排气筒高度为</w:t>
                  </w:r>
                  <w:r>
                    <w:rPr>
                      <w:rFonts w:hint="eastAsia" w:cs="Times New Roman"/>
                      <w:color w:val="auto"/>
                      <w:sz w:val="21"/>
                      <w:szCs w:val="21"/>
                      <w:lang w:val="en-US" w:eastAsia="zh-CN"/>
                    </w:rPr>
                    <w:t>18m</w:t>
                  </w:r>
                  <w:r>
                    <w:rPr>
                      <w:rFonts w:hint="default" w:ascii="Times New Roman" w:hAnsi="Times New Roman" w:eastAsia="宋体" w:cs="Times New Roman"/>
                      <w:color w:val="auto"/>
                      <w:sz w:val="21"/>
                      <w:szCs w:val="21"/>
                      <w:lang w:val="en-US" w:eastAsia="zh-CN"/>
                    </w:rPr>
                    <w:t>，附近200m范围内最高建筑物高度为51m，未满足高出周围200m半径范围的最高建筑5m以上的条件，故相关污染物最高允许排放速率按排放限值的50%执行。</w:t>
                  </w:r>
                </w:p>
              </w:tc>
            </w:tr>
          </w:tbl>
          <w:p w14:paraId="55C48E5E">
            <w:pPr>
              <w:keepNext w:val="0"/>
              <w:keepLines w:val="0"/>
              <w:suppressLineNumbers w:val="0"/>
              <w:wordWrap w:val="0"/>
              <w:spacing w:before="0" w:beforeAutospacing="0" w:after="0" w:afterAutospacing="0"/>
              <w:ind w:left="0" w:right="0" w:firstLine="482" w:firstLineChars="200"/>
              <w:rPr>
                <w:rFonts w:hint="default" w:ascii="Times New Roman" w:hAnsi="Times New Roman" w:eastAsia="宋体" w:cs="Times New Roman"/>
                <w:b/>
                <w:bCs w:val="0"/>
                <w:color w:val="auto"/>
                <w:sz w:val="24"/>
                <w:szCs w:val="24"/>
                <w:lang w:val="en-US" w:eastAsia="zh-CN" w:bidi="ar"/>
              </w:rPr>
            </w:pPr>
            <w:r>
              <w:rPr>
                <w:rFonts w:hint="default" w:ascii="Times New Roman" w:hAnsi="Times New Roman" w:eastAsia="宋体" w:cs="Times New Roman"/>
                <w:b/>
                <w:bCs w:val="0"/>
                <w:color w:val="auto"/>
                <w:sz w:val="24"/>
                <w:szCs w:val="24"/>
                <w:lang w:val="en-US" w:eastAsia="zh-CN" w:bidi="ar"/>
              </w:rPr>
              <w:t>厂界无组织（未被收集的工序废气、</w:t>
            </w:r>
            <w:r>
              <w:rPr>
                <w:rFonts w:hint="default" w:ascii="Times New Roman" w:hAnsi="Times New Roman" w:cs="Times New Roman"/>
                <w:b/>
                <w:bCs w:val="0"/>
                <w:color w:val="auto"/>
                <w:sz w:val="24"/>
                <w:szCs w:val="24"/>
                <w:lang w:val="en-US" w:eastAsia="zh-CN" w:bidi="ar"/>
              </w:rPr>
              <w:t>机加工废气、破碎</w:t>
            </w:r>
            <w:r>
              <w:rPr>
                <w:rFonts w:hint="default" w:ascii="Times New Roman" w:hAnsi="Times New Roman" w:eastAsia="宋体" w:cs="Times New Roman"/>
                <w:b/>
                <w:bCs w:val="0"/>
                <w:color w:val="auto"/>
                <w:sz w:val="24"/>
                <w:szCs w:val="24"/>
                <w:lang w:val="en-US" w:eastAsia="zh-CN" w:bidi="ar"/>
              </w:rPr>
              <w:t>废气）：</w:t>
            </w:r>
          </w:p>
          <w:p w14:paraId="0F039AE6">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cs="Times New Roman"/>
                <w:bCs/>
                <w:color w:val="auto"/>
                <w:sz w:val="24"/>
                <w:szCs w:val="24"/>
                <w:lang w:val="en-US" w:eastAsia="zh-CN" w:bidi="ar"/>
              </w:rPr>
              <w:t>厂界颗粒物</w:t>
            </w:r>
            <w:r>
              <w:rPr>
                <w:rFonts w:hint="eastAsia" w:cs="Times New Roman"/>
                <w:bCs/>
                <w:color w:val="auto"/>
                <w:sz w:val="24"/>
                <w:szCs w:val="24"/>
                <w:lang w:val="en-US" w:eastAsia="zh-CN" w:bidi="ar"/>
              </w:rPr>
              <w:t>、非甲烷总烃</w:t>
            </w:r>
            <w:r>
              <w:rPr>
                <w:rFonts w:hint="default" w:ascii="Times New Roman" w:hAnsi="Times New Roman" w:cs="Times New Roman"/>
                <w:bCs/>
                <w:color w:val="auto"/>
                <w:sz w:val="24"/>
                <w:szCs w:val="24"/>
                <w:lang w:val="en-US" w:eastAsia="zh-CN" w:bidi="ar"/>
              </w:rPr>
              <w:t>执行《合成树脂工业污染物排放标准》（GB31572-2015，含2024年修改单）表9企业边界大气污染物浓度限值、广东省《大气污染物排放限值》（DB44/27-2001）第二时段无组织排放浓度限值两者较严值</w:t>
            </w:r>
            <w:r>
              <w:rPr>
                <w:rFonts w:hint="default" w:ascii="Times New Roman" w:hAnsi="Times New Roman" w:cs="Times New Roman"/>
                <w:bCs/>
                <w:color w:val="auto"/>
                <w:lang w:val="en-US" w:eastAsia="zh-CN" w:bidi="ar"/>
              </w:rPr>
              <w:t>；</w:t>
            </w:r>
            <w:r>
              <w:rPr>
                <w:rFonts w:hint="default" w:ascii="Times New Roman" w:hAnsi="Times New Roman" w:eastAsia="宋体" w:cs="Times New Roman"/>
                <w:bCs/>
                <w:color w:val="auto"/>
                <w:sz w:val="24"/>
                <w:szCs w:val="24"/>
                <w:lang w:val="en-US" w:eastAsia="zh-CN" w:bidi="ar"/>
              </w:rPr>
              <w:t>甲苯执行《合成树脂工业污染物排放标准》（GB31572-2015，含2024年修改单）表9企业边界大气污染物浓度限值，总VOCs执行广东省《印刷行业挥发性有机化合物排放标准》（DB44/815-2010）表3无组织排放监控点浓度限值</w:t>
            </w:r>
            <w:r>
              <w:rPr>
                <w:rFonts w:hint="default" w:ascii="Times New Roman" w:hAnsi="Times New Roman"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臭气浓度无组织排放执行《恶臭污染物排放标准》（GB14554-93）表1恶臭污染物厂界标准值中新改扩建二级标准值。</w:t>
            </w:r>
          </w:p>
          <w:p w14:paraId="75A0EA02">
            <w:pPr>
              <w:widowControl/>
              <w:numPr>
                <w:ilvl w:val="0"/>
                <w:numId w:val="0"/>
              </w:numPr>
              <w:spacing w:line="240" w:lineRule="auto"/>
              <w:ind w:left="420" w:leftChars="0" w:hanging="420" w:firstLineChars="0"/>
              <w:jc w:val="center"/>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kern w:val="2"/>
                <w:sz w:val="24"/>
                <w:szCs w:val="24"/>
                <w:lang w:val="en-US" w:eastAsia="zh-CN" w:bidi="ar-SA"/>
              </w:rPr>
              <w:t>表3-</w:t>
            </w:r>
            <w:r>
              <w:rPr>
                <w:rFonts w:hint="default" w:ascii="Times New Roman" w:hAnsi="Times New Roman" w:cs="Times New Roman"/>
                <w:b/>
                <w:color w:val="auto"/>
                <w:kern w:val="2"/>
                <w:sz w:val="24"/>
                <w:szCs w:val="24"/>
                <w:lang w:val="en-US" w:eastAsia="zh-CN" w:bidi="ar-SA"/>
              </w:rPr>
              <w:t xml:space="preserve">6 </w:t>
            </w:r>
            <w:r>
              <w:rPr>
                <w:rFonts w:hint="default" w:ascii="Times New Roman" w:hAnsi="Times New Roman" w:eastAsia="宋体" w:cs="Times New Roman"/>
                <w:b/>
                <w:bCs/>
                <w:color w:val="auto"/>
                <w:sz w:val="24"/>
                <w:szCs w:val="24"/>
                <w:lang w:val="en-US" w:eastAsia="zh-CN"/>
              </w:rPr>
              <w:t>项目厂界无组织废气</w:t>
            </w:r>
            <w:r>
              <w:rPr>
                <w:rFonts w:hint="default" w:ascii="Times New Roman" w:hAnsi="Times New Roman" w:eastAsia="宋体" w:cs="Times New Roman"/>
                <w:b/>
                <w:color w:val="auto"/>
                <w:sz w:val="24"/>
                <w:szCs w:val="24"/>
                <w:lang w:val="en-US" w:eastAsia="zh-CN"/>
              </w:rPr>
              <w:t>排放</w:t>
            </w:r>
            <w:r>
              <w:rPr>
                <w:rFonts w:hint="default" w:ascii="Times New Roman" w:hAnsi="Times New Roman" w:eastAsia="宋体" w:cs="Times New Roman"/>
                <w:b/>
                <w:bCs/>
                <w:color w:val="auto"/>
                <w:sz w:val="24"/>
                <w:szCs w:val="24"/>
                <w:lang w:val="en-US" w:eastAsia="zh-CN"/>
              </w:rPr>
              <w:t>限值要求</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8"/>
              <w:gridCol w:w="3272"/>
              <w:gridCol w:w="3709"/>
            </w:tblGrid>
            <w:tr w14:paraId="4E25F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59" w:type="pct"/>
                  <w:noWrap w:val="0"/>
                  <w:vAlign w:val="center"/>
                </w:tcPr>
                <w:p w14:paraId="6DDDFB3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lang w:val="en-US" w:eastAsia="zh-CN" w:bidi="ar-SA"/>
                    </w:rPr>
                  </w:pPr>
                  <w:r>
                    <w:rPr>
                      <w:rFonts w:hint="default" w:ascii="Times New Roman" w:hAnsi="Times New Roman" w:eastAsia="宋体" w:cs="Times New Roman"/>
                      <w:b/>
                      <w:color w:val="auto"/>
                      <w:kern w:val="0"/>
                      <w:sz w:val="21"/>
                      <w:szCs w:val="21"/>
                    </w:rPr>
                    <w:t>污染因子</w:t>
                  </w:r>
                </w:p>
              </w:tc>
              <w:tc>
                <w:tcPr>
                  <w:tcW w:w="1846" w:type="pct"/>
                  <w:noWrap w:val="0"/>
                  <w:vAlign w:val="center"/>
                </w:tcPr>
                <w:p w14:paraId="50C31ED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vertAlign w:val="superscript"/>
                      <w:lang w:val="en-US" w:eastAsia="zh-CN" w:bidi="ar-SA"/>
                    </w:rPr>
                  </w:pPr>
                  <w:r>
                    <w:rPr>
                      <w:rFonts w:hint="default" w:ascii="Times New Roman" w:hAnsi="Times New Roman" w:eastAsia="宋体" w:cs="Times New Roman"/>
                      <w:b/>
                      <w:color w:val="auto"/>
                      <w:kern w:val="0"/>
                      <w:sz w:val="21"/>
                      <w:szCs w:val="21"/>
                    </w:rPr>
                    <w:t>无组织排放监控浓度限值mg/m</w:t>
                  </w:r>
                  <w:r>
                    <w:rPr>
                      <w:rFonts w:hint="default" w:ascii="Times New Roman" w:hAnsi="Times New Roman" w:eastAsia="宋体" w:cs="Times New Roman"/>
                      <w:b/>
                      <w:color w:val="auto"/>
                      <w:kern w:val="0"/>
                      <w:sz w:val="21"/>
                      <w:szCs w:val="21"/>
                      <w:vertAlign w:val="superscript"/>
                    </w:rPr>
                    <w:t>3</w:t>
                  </w:r>
                </w:p>
              </w:tc>
              <w:tc>
                <w:tcPr>
                  <w:tcW w:w="2093" w:type="pct"/>
                  <w:noWrap w:val="0"/>
                  <w:vAlign w:val="center"/>
                </w:tcPr>
                <w:p w14:paraId="73B6105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1"/>
                      <w:szCs w:val="21"/>
                      <w:lang w:val="en-US" w:eastAsia="zh-CN" w:bidi="ar-SA"/>
                    </w:rPr>
                  </w:pPr>
                  <w:r>
                    <w:rPr>
                      <w:rFonts w:hint="default" w:ascii="Times New Roman" w:hAnsi="Times New Roman" w:eastAsia="宋体" w:cs="Times New Roman"/>
                      <w:b/>
                      <w:color w:val="auto"/>
                      <w:kern w:val="0"/>
                      <w:sz w:val="21"/>
                      <w:szCs w:val="21"/>
                    </w:rPr>
                    <w:t>执行标准</w:t>
                  </w:r>
                </w:p>
              </w:tc>
            </w:tr>
            <w:tr w14:paraId="6F527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1E89D74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1846" w:type="pct"/>
                  <w:noWrap w:val="0"/>
                  <w:vAlign w:val="center"/>
                </w:tcPr>
                <w:p w14:paraId="7F12237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w:t>
                  </w:r>
                </w:p>
              </w:tc>
              <w:tc>
                <w:tcPr>
                  <w:tcW w:w="2093" w:type="pct"/>
                  <w:noWrap w:val="0"/>
                  <w:vAlign w:val="center"/>
                </w:tcPr>
                <w:p w14:paraId="223C7F6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GB31572-2015</w:t>
                  </w:r>
                </w:p>
              </w:tc>
            </w:tr>
            <w:tr w14:paraId="0F0F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3334ECD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1846" w:type="pct"/>
                  <w:noWrap w:val="0"/>
                  <w:vAlign w:val="center"/>
                </w:tcPr>
                <w:p w14:paraId="2E2CC1D2">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093" w:type="pct"/>
                  <w:noWrap w:val="0"/>
                  <w:vAlign w:val="center"/>
                </w:tcPr>
                <w:p w14:paraId="083E188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GB31572-2015</w:t>
                  </w:r>
                  <w:r>
                    <w:rPr>
                      <w:rFonts w:hint="default" w:ascii="Times New Roman" w:hAnsi="Times New Roman" w:eastAsia="宋体" w:cs="Times New Roman"/>
                      <w:color w:val="auto"/>
                      <w:sz w:val="21"/>
                      <w:szCs w:val="21"/>
                      <w:lang w:eastAsia="zh-CN"/>
                    </w:rPr>
                    <w:t>、DB44/27-2001</w:t>
                  </w:r>
                </w:p>
              </w:tc>
            </w:tr>
            <w:tr w14:paraId="0F1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6E9AB89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总VOCs</w:t>
                  </w:r>
                </w:p>
              </w:tc>
              <w:tc>
                <w:tcPr>
                  <w:tcW w:w="1846" w:type="pct"/>
                  <w:noWrap w:val="0"/>
                  <w:vAlign w:val="center"/>
                </w:tcPr>
                <w:p w14:paraId="14A21C7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c>
                <w:tcPr>
                  <w:tcW w:w="2093" w:type="pct"/>
                  <w:noWrap w:val="0"/>
                  <w:vAlign w:val="center"/>
                </w:tcPr>
                <w:p w14:paraId="1A8A91A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DB44/815-2010</w:t>
                  </w:r>
                </w:p>
              </w:tc>
            </w:tr>
            <w:tr w14:paraId="02185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61F7C78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臭气浓度</w:t>
                  </w:r>
                </w:p>
              </w:tc>
              <w:tc>
                <w:tcPr>
                  <w:tcW w:w="1846" w:type="pct"/>
                  <w:noWrap w:val="0"/>
                  <w:vAlign w:val="center"/>
                </w:tcPr>
                <w:p w14:paraId="2525F78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20（无量纲）</w:t>
                  </w:r>
                </w:p>
              </w:tc>
              <w:tc>
                <w:tcPr>
                  <w:tcW w:w="2093" w:type="pct"/>
                  <w:vMerge w:val="restart"/>
                  <w:noWrap w:val="0"/>
                  <w:vAlign w:val="center"/>
                </w:tcPr>
                <w:p w14:paraId="3FCDE71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GB14554-93</w:t>
                  </w:r>
                </w:p>
              </w:tc>
            </w:tr>
            <w:tr w14:paraId="4A11C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9" w:type="pct"/>
                  <w:noWrap w:val="0"/>
                  <w:vAlign w:val="center"/>
                </w:tcPr>
                <w:p w14:paraId="6778F70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苯乙烯</w:t>
                  </w:r>
                </w:p>
              </w:tc>
              <w:tc>
                <w:tcPr>
                  <w:tcW w:w="1846" w:type="pct"/>
                  <w:noWrap w:val="0"/>
                  <w:vAlign w:val="center"/>
                </w:tcPr>
                <w:p w14:paraId="0DF6127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5.0</w:t>
                  </w:r>
                </w:p>
              </w:tc>
              <w:tc>
                <w:tcPr>
                  <w:tcW w:w="2093" w:type="pct"/>
                  <w:vMerge w:val="continue"/>
                  <w:noWrap w:val="0"/>
                  <w:vAlign w:val="center"/>
                </w:tcPr>
                <w:p w14:paraId="17555ECE">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375BA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noWrap w:val="0"/>
                  <w:vAlign w:val="center"/>
                </w:tcPr>
                <w:p w14:paraId="513C230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甲苯</w:t>
                  </w:r>
                </w:p>
              </w:tc>
              <w:tc>
                <w:tcPr>
                  <w:tcW w:w="1846" w:type="pct"/>
                  <w:noWrap w:val="0"/>
                  <w:vAlign w:val="center"/>
                </w:tcPr>
                <w:p w14:paraId="3974B4B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0.8</w:t>
                  </w:r>
                </w:p>
              </w:tc>
              <w:tc>
                <w:tcPr>
                  <w:tcW w:w="2093" w:type="pct"/>
                  <w:noWrap w:val="0"/>
                  <w:vAlign w:val="center"/>
                </w:tcPr>
                <w:p w14:paraId="3E07748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GB31572-2015</w:t>
                  </w:r>
                </w:p>
              </w:tc>
            </w:tr>
          </w:tbl>
          <w:p w14:paraId="5C8C545F">
            <w:pPr>
              <w:keepNext w:val="0"/>
              <w:keepLines w:val="0"/>
              <w:suppressLineNumbers w:val="0"/>
              <w:wordWrap w:val="0"/>
              <w:spacing w:before="0" w:beforeAutospacing="0" w:after="0" w:afterAutospacing="0"/>
              <w:ind w:left="0" w:right="0" w:firstLine="482" w:firstLineChars="200"/>
              <w:rPr>
                <w:rFonts w:hint="default" w:ascii="Times New Roman" w:hAnsi="Times New Roman" w:eastAsia="宋体" w:cs="Times New Roman"/>
                <w:b/>
                <w:bCs w:val="0"/>
                <w:color w:val="auto"/>
                <w:sz w:val="24"/>
                <w:szCs w:val="24"/>
                <w:lang w:val="en-US" w:eastAsia="zh-CN" w:bidi="ar"/>
              </w:rPr>
            </w:pPr>
            <w:r>
              <w:rPr>
                <w:rFonts w:hint="default" w:ascii="Times New Roman" w:hAnsi="Times New Roman" w:eastAsia="宋体" w:cs="Times New Roman"/>
                <w:b/>
                <w:bCs w:val="0"/>
                <w:color w:val="auto"/>
                <w:sz w:val="24"/>
                <w:szCs w:val="24"/>
                <w:lang w:val="en-US" w:eastAsia="zh-CN" w:bidi="ar"/>
              </w:rPr>
              <w:t>厂区内无组织：</w:t>
            </w:r>
          </w:p>
          <w:p w14:paraId="4B749918">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厂区内NMHC无组织排放执行广东省《固定污染源挥发性有机物综合排放标准》（DB44/2367-2022）中的表3厂区内 VOCs 无组织排放限值和《印刷工业大气污染物排放标准》（GB 41616-2022）表A.1厂区内VOCs无组织排放限值的较严值。</w:t>
            </w:r>
          </w:p>
          <w:p w14:paraId="230B5DDA">
            <w:pPr>
              <w:widowControl/>
              <w:numPr>
                <w:ilvl w:val="0"/>
                <w:numId w:val="0"/>
              </w:numPr>
              <w:spacing w:line="240" w:lineRule="auto"/>
              <w:ind w:left="420" w:leftChars="0" w:hanging="420" w:firstLineChars="0"/>
              <w:jc w:val="center"/>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kern w:val="2"/>
                <w:sz w:val="24"/>
                <w:szCs w:val="24"/>
                <w:lang w:val="en-US" w:eastAsia="zh-CN" w:bidi="ar-SA"/>
              </w:rPr>
              <w:t>表3-</w:t>
            </w:r>
            <w:r>
              <w:rPr>
                <w:rFonts w:hint="default" w:ascii="Times New Roman" w:hAnsi="Times New Roman" w:cs="Times New Roman"/>
                <w:b/>
                <w:color w:val="auto"/>
                <w:kern w:val="2"/>
                <w:sz w:val="24"/>
                <w:szCs w:val="24"/>
                <w:lang w:val="en-US" w:eastAsia="zh-CN" w:bidi="ar-SA"/>
              </w:rPr>
              <w:t>7</w:t>
            </w:r>
            <w:r>
              <w:rPr>
                <w:rFonts w:hint="default" w:ascii="Times New Roman" w:hAnsi="Times New Roman" w:eastAsia="宋体" w:cs="Times New Roman"/>
                <w:b/>
                <w:bCs/>
                <w:color w:val="auto"/>
                <w:sz w:val="24"/>
                <w:szCs w:val="24"/>
                <w:lang w:val="en-US" w:eastAsia="zh-CN"/>
              </w:rPr>
              <w:t>项目厂区无组织废气</w:t>
            </w:r>
            <w:r>
              <w:rPr>
                <w:rFonts w:hint="default" w:ascii="Times New Roman" w:hAnsi="Times New Roman" w:eastAsia="宋体" w:cs="Times New Roman"/>
                <w:b/>
                <w:color w:val="auto"/>
                <w:sz w:val="24"/>
                <w:szCs w:val="24"/>
                <w:lang w:val="en-US" w:eastAsia="zh-CN"/>
              </w:rPr>
              <w:t>排放</w:t>
            </w:r>
            <w:r>
              <w:rPr>
                <w:rFonts w:hint="default" w:ascii="Times New Roman" w:hAnsi="Times New Roman" w:eastAsia="宋体" w:cs="Times New Roman"/>
                <w:b/>
                <w:bCs/>
                <w:color w:val="auto"/>
                <w:sz w:val="24"/>
                <w:szCs w:val="24"/>
                <w:lang w:val="en-US" w:eastAsia="zh-CN"/>
              </w:rPr>
              <w:t>限值要求</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b/>
                <w:bCs/>
                <w:color w:val="auto"/>
                <w:sz w:val="24"/>
                <w:szCs w:val="24"/>
                <w:lang w:val="en-US" w:eastAsia="zh-CN"/>
              </w:rPr>
              <w:t>单位：mg/m</w:t>
            </w:r>
            <w:r>
              <w:rPr>
                <w:rFonts w:hint="default" w:ascii="Times New Roman" w:hAnsi="Times New Roman" w:cs="Times New Roman"/>
                <w:b/>
                <w:bCs/>
                <w:color w:val="auto"/>
                <w:sz w:val="24"/>
                <w:szCs w:val="24"/>
                <w:vertAlign w:val="superscript"/>
                <w:lang w:val="en-US" w:eastAsia="zh-CN"/>
              </w:rPr>
              <w:t>3</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73"/>
              <w:gridCol w:w="3022"/>
              <w:gridCol w:w="2505"/>
            </w:tblGrid>
            <w:tr w14:paraId="0B4EA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80" w:type="pct"/>
                  <w:noWrap w:val="0"/>
                  <w:vAlign w:val="center"/>
                </w:tcPr>
                <w:p w14:paraId="202ABE4E">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污染物项目</w:t>
                  </w:r>
                </w:p>
              </w:tc>
              <w:tc>
                <w:tcPr>
                  <w:tcW w:w="1000" w:type="pct"/>
                  <w:noWrap w:val="0"/>
                  <w:vAlign w:val="center"/>
                </w:tcPr>
                <w:p w14:paraId="7180C856">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特别排放限值</w:t>
                  </w:r>
                </w:p>
              </w:tc>
              <w:tc>
                <w:tcPr>
                  <w:tcW w:w="1705" w:type="pct"/>
                  <w:noWrap w:val="0"/>
                  <w:vAlign w:val="center"/>
                </w:tcPr>
                <w:p w14:paraId="477D521E">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限值含义</w:t>
                  </w:r>
                </w:p>
              </w:tc>
              <w:tc>
                <w:tcPr>
                  <w:tcW w:w="1413" w:type="pct"/>
                  <w:noWrap w:val="0"/>
                  <w:vAlign w:val="center"/>
                </w:tcPr>
                <w:p w14:paraId="4080C92E">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无组织排放监控位置</w:t>
                  </w:r>
                </w:p>
              </w:tc>
            </w:tr>
            <w:tr w14:paraId="32B38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0" w:type="pct"/>
                  <w:vMerge w:val="restart"/>
                  <w:noWrap w:val="0"/>
                  <w:vAlign w:val="center"/>
                </w:tcPr>
                <w:p w14:paraId="0A75DCB2">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NMHC</w:t>
                  </w:r>
                </w:p>
              </w:tc>
              <w:tc>
                <w:tcPr>
                  <w:tcW w:w="1000" w:type="pct"/>
                  <w:noWrap w:val="0"/>
                  <w:vAlign w:val="center"/>
                </w:tcPr>
                <w:p w14:paraId="21D076C4">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705" w:type="pct"/>
                  <w:noWrap w:val="0"/>
                  <w:vAlign w:val="center"/>
                </w:tcPr>
                <w:p w14:paraId="4DD1DAA6">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监控点处1h平均浓度值</w:t>
                  </w:r>
                </w:p>
              </w:tc>
              <w:tc>
                <w:tcPr>
                  <w:tcW w:w="1413" w:type="pct"/>
                  <w:vMerge w:val="restart"/>
                  <w:noWrap w:val="0"/>
                  <w:vAlign w:val="center"/>
                </w:tcPr>
                <w:p w14:paraId="1F31F8FF">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在厂房外设置监控点</w:t>
                  </w:r>
                </w:p>
              </w:tc>
            </w:tr>
            <w:tr w14:paraId="29D17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80" w:type="pct"/>
                  <w:vMerge w:val="continue"/>
                  <w:noWrap w:val="0"/>
                  <w:vAlign w:val="center"/>
                </w:tcPr>
                <w:p w14:paraId="1B8D7D68">
                  <w:pPr>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Cs/>
                      <w:snapToGrid w:val="0"/>
                      <w:color w:val="auto"/>
                      <w:sz w:val="21"/>
                      <w:szCs w:val="21"/>
                      <w:lang w:val="en-US" w:eastAsia="zh-CN" w:bidi="ar-SA"/>
                    </w:rPr>
                  </w:pPr>
                </w:p>
              </w:tc>
              <w:tc>
                <w:tcPr>
                  <w:tcW w:w="1000" w:type="pct"/>
                  <w:noWrap w:val="0"/>
                  <w:vAlign w:val="center"/>
                </w:tcPr>
                <w:p w14:paraId="23A17248">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1705" w:type="pct"/>
                  <w:noWrap w:val="0"/>
                  <w:vAlign w:val="center"/>
                </w:tcPr>
                <w:p w14:paraId="3F48B433">
                  <w:pPr>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监控点处任意一次浓度值</w:t>
                  </w:r>
                </w:p>
              </w:tc>
              <w:tc>
                <w:tcPr>
                  <w:tcW w:w="1413" w:type="pct"/>
                  <w:vMerge w:val="continue"/>
                  <w:noWrap w:val="0"/>
                  <w:vAlign w:val="center"/>
                </w:tcPr>
                <w:p w14:paraId="23230AAC">
                  <w:pPr>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iCs/>
                      <w:snapToGrid w:val="0"/>
                      <w:color w:val="auto"/>
                      <w:sz w:val="21"/>
                      <w:szCs w:val="21"/>
                      <w:lang w:val="en-US" w:eastAsia="zh-CN" w:bidi="ar-SA"/>
                    </w:rPr>
                  </w:pPr>
                </w:p>
              </w:tc>
            </w:tr>
          </w:tbl>
          <w:p w14:paraId="317C2838">
            <w:pPr>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3、噪声排放标准</w:t>
            </w:r>
          </w:p>
          <w:p w14:paraId="36EEFB9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项目营运期噪声执行《工业企业厂界环境噪声排放标准》（GB12348-2008）</w:t>
            </w:r>
            <w:r>
              <w:rPr>
                <w:rFonts w:hint="default" w:ascii="Times New Roman" w:hAnsi="Times New Roman" w:cs="Times New Roman"/>
                <w:color w:val="auto"/>
                <w:szCs w:val="22"/>
                <w:lang w:val="en-US" w:eastAsia="zh-CN"/>
              </w:rPr>
              <w:t>2</w:t>
            </w:r>
            <w:r>
              <w:rPr>
                <w:rFonts w:hint="default" w:ascii="Times New Roman" w:hAnsi="Times New Roman" w:cs="Times New Roman"/>
                <w:color w:val="auto"/>
                <w:szCs w:val="22"/>
              </w:rPr>
              <w:t>类标准。</w:t>
            </w:r>
          </w:p>
          <w:p w14:paraId="31A423B6">
            <w:pPr>
              <w:spacing w:line="240" w:lineRule="auto"/>
              <w:jc w:val="center"/>
              <w:rPr>
                <w:rFonts w:hint="default" w:ascii="Times New Roman" w:hAnsi="Times New Roman" w:cs="Times New Roman"/>
                <w:b/>
                <w:color w:val="auto"/>
                <w:kern w:val="0"/>
              </w:rPr>
            </w:pPr>
            <w:r>
              <w:rPr>
                <w:rFonts w:hint="default" w:ascii="Times New Roman" w:hAnsi="Times New Roman" w:cs="Times New Roman"/>
                <w:b/>
                <w:color w:val="auto"/>
                <w:kern w:val="0"/>
              </w:rPr>
              <w:t>表</w:t>
            </w:r>
            <w:r>
              <w:rPr>
                <w:rFonts w:hint="default" w:ascii="Times New Roman" w:hAnsi="Times New Roman" w:cs="Times New Roman"/>
                <w:b/>
                <w:color w:val="auto"/>
                <w:kern w:val="0"/>
                <w:lang w:val="en-US" w:eastAsia="zh-CN"/>
              </w:rPr>
              <w:t>3-8</w:t>
            </w:r>
            <w:r>
              <w:rPr>
                <w:rFonts w:hint="default" w:ascii="Times New Roman" w:hAnsi="Times New Roman" w:cs="Times New Roman"/>
                <w:b/>
                <w:color w:val="auto"/>
                <w:kern w:val="0"/>
              </w:rPr>
              <w:t xml:space="preserve"> 项目营运期厂界噪声排放标准</w:t>
            </w:r>
            <w:r>
              <w:rPr>
                <w:rFonts w:hint="default" w:ascii="Times New Roman" w:hAnsi="Times New Roman" w:cs="Times New Roman"/>
                <w:b/>
                <w:bCs/>
                <w:color w:val="auto"/>
                <w:szCs w:val="22"/>
              </w:rPr>
              <w:t xml:space="preserve">   （单位：[dB(A)]）</w:t>
            </w:r>
          </w:p>
          <w:tbl>
            <w:tblPr>
              <w:tblStyle w:val="22"/>
              <w:tblW w:w="8839" w:type="dxa"/>
              <w:jc w:val="center"/>
              <w:tblLayout w:type="fixed"/>
              <w:tblCellMar>
                <w:top w:w="0" w:type="dxa"/>
                <w:left w:w="108" w:type="dxa"/>
                <w:bottom w:w="0" w:type="dxa"/>
                <w:right w:w="108" w:type="dxa"/>
              </w:tblCellMar>
            </w:tblPr>
            <w:tblGrid>
              <w:gridCol w:w="2945"/>
              <w:gridCol w:w="2947"/>
              <w:gridCol w:w="2947"/>
            </w:tblGrid>
            <w:tr w14:paraId="13460D40">
              <w:tblPrEx>
                <w:tblCellMar>
                  <w:top w:w="0" w:type="dxa"/>
                  <w:left w:w="108" w:type="dxa"/>
                  <w:bottom w:w="0" w:type="dxa"/>
                  <w:right w:w="108" w:type="dxa"/>
                </w:tblCellMar>
              </w:tblPrEx>
              <w:trPr>
                <w:trHeight w:val="262" w:hRule="atLeast"/>
                <w:jc w:val="center"/>
              </w:trPr>
              <w:tc>
                <w:tcPr>
                  <w:tcW w:w="2945" w:type="dxa"/>
                  <w:tcBorders>
                    <w:top w:val="single" w:color="auto" w:sz="4" w:space="0"/>
                    <w:left w:val="single" w:color="auto" w:sz="4" w:space="0"/>
                    <w:bottom w:val="single" w:color="auto" w:sz="4" w:space="0"/>
                    <w:right w:val="single" w:color="auto" w:sz="4" w:space="0"/>
                  </w:tcBorders>
                  <w:vAlign w:val="center"/>
                </w:tcPr>
                <w:p w14:paraId="6EB10C21">
                  <w:pPr>
                    <w:wordWrap/>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类别</w:t>
                  </w:r>
                </w:p>
              </w:tc>
              <w:tc>
                <w:tcPr>
                  <w:tcW w:w="2947" w:type="dxa"/>
                  <w:tcBorders>
                    <w:top w:val="single" w:color="auto" w:sz="4" w:space="0"/>
                    <w:left w:val="nil"/>
                    <w:bottom w:val="single" w:color="auto" w:sz="4" w:space="0"/>
                    <w:right w:val="single" w:color="auto" w:sz="4" w:space="0"/>
                  </w:tcBorders>
                  <w:vAlign w:val="center"/>
                </w:tcPr>
                <w:p w14:paraId="2E86ACC8">
                  <w:pPr>
                    <w:wordWrap/>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昼间</w:t>
                  </w:r>
                </w:p>
              </w:tc>
              <w:tc>
                <w:tcPr>
                  <w:tcW w:w="2947" w:type="dxa"/>
                  <w:tcBorders>
                    <w:top w:val="single" w:color="auto" w:sz="4" w:space="0"/>
                    <w:left w:val="nil"/>
                    <w:bottom w:val="single" w:color="auto" w:sz="4" w:space="0"/>
                    <w:right w:val="single" w:color="auto" w:sz="4" w:space="0"/>
                  </w:tcBorders>
                  <w:vAlign w:val="center"/>
                </w:tcPr>
                <w:p w14:paraId="40AFFB83">
                  <w:pPr>
                    <w:wordWrap/>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bidi="ar"/>
                    </w:rPr>
                    <w:t>夜间</w:t>
                  </w:r>
                </w:p>
              </w:tc>
            </w:tr>
            <w:tr w14:paraId="465A6406">
              <w:tblPrEx>
                <w:tblCellMar>
                  <w:top w:w="0" w:type="dxa"/>
                  <w:left w:w="108" w:type="dxa"/>
                  <w:bottom w:w="0" w:type="dxa"/>
                  <w:right w:w="108" w:type="dxa"/>
                </w:tblCellMar>
              </w:tblPrEx>
              <w:trPr>
                <w:trHeight w:val="269" w:hRule="atLeast"/>
                <w:jc w:val="center"/>
              </w:trPr>
              <w:tc>
                <w:tcPr>
                  <w:tcW w:w="2945" w:type="dxa"/>
                  <w:tcBorders>
                    <w:top w:val="single" w:color="auto" w:sz="4" w:space="0"/>
                    <w:left w:val="single" w:color="auto" w:sz="4" w:space="0"/>
                    <w:bottom w:val="single" w:color="auto" w:sz="4" w:space="0"/>
                    <w:right w:val="single" w:color="auto" w:sz="4" w:space="0"/>
                  </w:tcBorders>
                  <w:vAlign w:val="center"/>
                </w:tcPr>
                <w:p w14:paraId="234CE1C7">
                  <w:pPr>
                    <w:wordWrap/>
                    <w:snapToGrid w:val="0"/>
                    <w:spacing w:line="240" w:lineRule="auto"/>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val="en-US" w:eastAsia="zh-CN" w:bidi="ar"/>
                    </w:rPr>
                    <w:t>2</w:t>
                  </w:r>
                  <w:r>
                    <w:rPr>
                      <w:rFonts w:hint="default" w:ascii="Times New Roman" w:hAnsi="Times New Roman" w:cs="Times New Roman"/>
                      <w:color w:val="auto"/>
                      <w:sz w:val="21"/>
                      <w:szCs w:val="21"/>
                      <w:lang w:bidi="ar"/>
                    </w:rPr>
                    <w:t>类</w:t>
                  </w:r>
                </w:p>
              </w:tc>
              <w:tc>
                <w:tcPr>
                  <w:tcW w:w="2947" w:type="dxa"/>
                  <w:tcBorders>
                    <w:top w:val="single" w:color="auto" w:sz="4" w:space="0"/>
                    <w:left w:val="nil"/>
                    <w:bottom w:val="single" w:color="auto" w:sz="4" w:space="0"/>
                    <w:right w:val="single" w:color="auto" w:sz="4" w:space="0"/>
                  </w:tcBorders>
                  <w:vAlign w:val="center"/>
                </w:tcPr>
                <w:p w14:paraId="569D1973">
                  <w:pPr>
                    <w:wordWrap/>
                    <w:snapToGrid w:val="0"/>
                    <w:spacing w:line="240" w:lineRule="auto"/>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60</w:t>
                  </w:r>
                </w:p>
              </w:tc>
              <w:tc>
                <w:tcPr>
                  <w:tcW w:w="2947" w:type="dxa"/>
                  <w:tcBorders>
                    <w:top w:val="single" w:color="auto" w:sz="4" w:space="0"/>
                    <w:left w:val="nil"/>
                    <w:bottom w:val="single" w:color="auto" w:sz="4" w:space="0"/>
                    <w:right w:val="single" w:color="auto" w:sz="4" w:space="0"/>
                  </w:tcBorders>
                  <w:vAlign w:val="center"/>
                </w:tcPr>
                <w:p w14:paraId="154EF4C2">
                  <w:pPr>
                    <w:wordWrap/>
                    <w:snapToGrid w:val="0"/>
                    <w:spacing w:line="240" w:lineRule="auto"/>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50</w:t>
                  </w:r>
                </w:p>
              </w:tc>
            </w:tr>
          </w:tbl>
          <w:p w14:paraId="02582675">
            <w:pPr>
              <w:ind w:firstLine="482" w:firstLineChars="200"/>
              <w:jc w:val="left"/>
              <w:rPr>
                <w:rFonts w:hint="default" w:ascii="Times New Roman" w:hAnsi="Times New Roman" w:cs="Times New Roman"/>
                <w:b/>
                <w:color w:val="auto"/>
                <w:szCs w:val="22"/>
              </w:rPr>
            </w:pPr>
            <w:r>
              <w:rPr>
                <w:rFonts w:hint="default" w:ascii="Times New Roman" w:hAnsi="Times New Roman" w:cs="Times New Roman"/>
                <w:b/>
                <w:color w:val="auto"/>
                <w:szCs w:val="22"/>
              </w:rPr>
              <w:t>4、固体废弃物控制标准</w:t>
            </w:r>
          </w:p>
          <w:p w14:paraId="41CC946B">
            <w:pPr>
              <w:adjustRightInd w:val="0"/>
              <w:snapToGrid w:val="0"/>
              <w:ind w:firstLine="480" w:firstLineChars="200"/>
              <w:rPr>
                <w:rFonts w:hint="default" w:ascii="Times New Roman" w:hAnsi="Times New Roman" w:cs="Times New Roman"/>
                <w:bCs/>
                <w:color w:val="auto"/>
                <w:kern w:val="0"/>
                <w:szCs w:val="22"/>
              </w:rPr>
            </w:pPr>
            <w:r>
              <w:rPr>
                <w:rFonts w:hint="default" w:ascii="Times New Roman" w:hAnsi="Times New Roman" w:cs="Times New Roman"/>
                <w:bCs/>
                <w:color w:val="auto"/>
                <w:kern w:val="0"/>
                <w:szCs w:val="22"/>
              </w:rPr>
              <w:t>一般工业固废贮存应满足《中华人民共和国固体废物污染环境防治法》（2020年修订）、《广东省固体废物污染环境防治条例》（2022年修正），一般工业固体废物在厂区内采用库房、包装工具（罐、桶、包装袋等）贮存，其贮存过程应满足相应防渗漏、防雨淋、防扬尘等环境保护要求；危险废物执行《危险废物贮存污染控制标准》（GB18597-2023）。</w:t>
            </w:r>
          </w:p>
        </w:tc>
      </w:tr>
      <w:tr w14:paraId="32E33C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95" w:hRule="atLeast"/>
          <w:jc w:val="center"/>
        </w:trPr>
        <w:tc>
          <w:tcPr>
            <w:tcW w:w="456" w:type="dxa"/>
            <w:vAlign w:val="center"/>
          </w:tcPr>
          <w:p w14:paraId="15E48DE8">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总量</w:t>
            </w:r>
          </w:p>
          <w:p w14:paraId="435B4D3F">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控制</w:t>
            </w:r>
          </w:p>
          <w:p w14:paraId="4253BBF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指标</w:t>
            </w:r>
          </w:p>
        </w:tc>
        <w:tc>
          <w:tcPr>
            <w:tcW w:w="9090" w:type="dxa"/>
          </w:tcPr>
          <w:p w14:paraId="0B8A68B3">
            <w:pPr>
              <w:ind w:firstLine="480" w:firstLineChars="200"/>
              <w:rPr>
                <w:rFonts w:hint="default" w:ascii="Times New Roman" w:hAnsi="Times New Roman" w:cs="Times New Roman"/>
                <w:color w:val="auto"/>
              </w:rPr>
            </w:pPr>
            <w:r>
              <w:rPr>
                <w:rFonts w:hint="default" w:ascii="Times New Roman" w:hAnsi="Times New Roman" w:cs="Times New Roman"/>
                <w:color w:val="auto"/>
                <w:lang w:bidi="ar"/>
              </w:rPr>
              <w:t>根据项目自身特点给出项目总量控制因子及总量控制指标建议值，详如下表。</w:t>
            </w:r>
          </w:p>
          <w:p w14:paraId="2B1EBC3F">
            <w:pPr>
              <w:spacing w:line="240" w:lineRule="auto"/>
              <w:jc w:val="center"/>
              <w:rPr>
                <w:rFonts w:hint="default" w:ascii="Times New Roman" w:hAnsi="Times New Roman" w:cs="Times New Roman"/>
                <w:b/>
                <w:color w:val="auto"/>
                <w:kern w:val="0"/>
                <w:szCs w:val="22"/>
              </w:rPr>
            </w:pPr>
            <w:r>
              <w:rPr>
                <w:rFonts w:hint="default" w:ascii="Times New Roman" w:hAnsi="Times New Roman" w:cs="Times New Roman"/>
                <w:b/>
                <w:color w:val="auto"/>
                <w:kern w:val="0"/>
                <w:szCs w:val="22"/>
                <w:lang w:bidi="ar"/>
              </w:rPr>
              <w:t>表</w:t>
            </w:r>
            <w:r>
              <w:rPr>
                <w:rFonts w:hint="default" w:ascii="Times New Roman" w:hAnsi="Times New Roman" w:cs="Times New Roman"/>
                <w:b/>
                <w:color w:val="auto"/>
                <w:kern w:val="0"/>
                <w:szCs w:val="22"/>
                <w:lang w:val="en-US" w:eastAsia="zh-CN" w:bidi="ar"/>
              </w:rPr>
              <w:t>3-9</w:t>
            </w:r>
            <w:r>
              <w:rPr>
                <w:rFonts w:hint="default" w:ascii="Times New Roman" w:hAnsi="Times New Roman" w:cs="Times New Roman"/>
                <w:b/>
                <w:color w:val="auto"/>
                <w:kern w:val="0"/>
                <w:szCs w:val="22"/>
                <w:lang w:bidi="ar"/>
              </w:rPr>
              <w:t xml:space="preserve">  项目</w:t>
            </w:r>
            <w:bookmarkStart w:id="10" w:name="总量控制建议指标"/>
            <w:r>
              <w:rPr>
                <w:rFonts w:hint="default" w:ascii="Times New Roman" w:hAnsi="Times New Roman" w:cs="Times New Roman"/>
                <w:b/>
                <w:color w:val="auto"/>
                <w:kern w:val="0"/>
                <w:szCs w:val="22"/>
                <w:lang w:bidi="ar"/>
              </w:rPr>
              <w:t>总量控制建议指标</w:t>
            </w:r>
            <w:bookmarkEnd w:id="10"/>
          </w:p>
          <w:tbl>
            <w:tblPr>
              <w:tblStyle w:val="22"/>
              <w:tblW w:w="88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1244"/>
              <w:gridCol w:w="1245"/>
              <w:gridCol w:w="4156"/>
            </w:tblGrid>
            <w:tr w14:paraId="5093F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2214" w:type="dxa"/>
                  <w:tcBorders>
                    <w:top w:val="single" w:color="auto" w:sz="4" w:space="0"/>
                    <w:left w:val="single" w:color="auto" w:sz="4" w:space="0"/>
                    <w:bottom w:val="single" w:color="auto" w:sz="4" w:space="0"/>
                    <w:right w:val="single" w:color="auto" w:sz="4" w:space="0"/>
                  </w:tcBorders>
                  <w:vAlign w:val="center"/>
                </w:tcPr>
                <w:p w14:paraId="51C3CB11">
                  <w:pPr>
                    <w:spacing w:line="240" w:lineRule="auto"/>
                    <w:jc w:val="center"/>
                    <w:rPr>
                      <w:rFonts w:hint="default" w:ascii="Times New Roman" w:hAnsi="Times New Roman" w:cs="Times New Roman"/>
                      <w:b/>
                      <w:bCs/>
                      <w:color w:val="auto"/>
                      <w:sz w:val="21"/>
                      <w:szCs w:val="20"/>
                    </w:rPr>
                  </w:pPr>
                  <w:r>
                    <w:rPr>
                      <w:rFonts w:hint="default" w:ascii="Times New Roman" w:hAnsi="Times New Roman" w:cs="Times New Roman"/>
                      <w:b/>
                      <w:bCs/>
                      <w:color w:val="auto"/>
                      <w:sz w:val="21"/>
                      <w:szCs w:val="20"/>
                    </w:rPr>
                    <w:t>类别</w:t>
                  </w:r>
                </w:p>
              </w:tc>
              <w:tc>
                <w:tcPr>
                  <w:tcW w:w="2489" w:type="dxa"/>
                  <w:gridSpan w:val="2"/>
                  <w:tcBorders>
                    <w:top w:val="single" w:color="auto" w:sz="4" w:space="0"/>
                    <w:left w:val="single" w:color="auto" w:sz="4" w:space="0"/>
                    <w:bottom w:val="single" w:color="auto" w:sz="4" w:space="0"/>
                    <w:right w:val="single" w:color="auto" w:sz="4" w:space="0"/>
                  </w:tcBorders>
                  <w:vAlign w:val="center"/>
                </w:tcPr>
                <w:p w14:paraId="5642E0FA">
                  <w:pPr>
                    <w:spacing w:line="240" w:lineRule="auto"/>
                    <w:jc w:val="center"/>
                    <w:rPr>
                      <w:rFonts w:hint="default" w:ascii="Times New Roman" w:hAnsi="Times New Roman" w:cs="Times New Roman"/>
                      <w:b/>
                      <w:bCs/>
                      <w:color w:val="auto"/>
                      <w:sz w:val="21"/>
                      <w:szCs w:val="20"/>
                    </w:rPr>
                  </w:pPr>
                  <w:r>
                    <w:rPr>
                      <w:rFonts w:hint="default" w:ascii="Times New Roman" w:hAnsi="Times New Roman" w:cs="Times New Roman"/>
                      <w:b/>
                      <w:bCs/>
                      <w:color w:val="auto"/>
                      <w:sz w:val="21"/>
                      <w:szCs w:val="20"/>
                    </w:rPr>
                    <w:t>控 制 指 标</w:t>
                  </w:r>
                </w:p>
              </w:tc>
              <w:tc>
                <w:tcPr>
                  <w:tcW w:w="4156" w:type="dxa"/>
                  <w:tcBorders>
                    <w:top w:val="single" w:color="auto" w:sz="4" w:space="0"/>
                    <w:left w:val="single" w:color="auto" w:sz="4" w:space="0"/>
                    <w:bottom w:val="single" w:color="auto" w:sz="4" w:space="0"/>
                    <w:right w:val="single" w:color="auto" w:sz="4" w:space="0"/>
                  </w:tcBorders>
                  <w:vAlign w:val="center"/>
                </w:tcPr>
                <w:p w14:paraId="3630458B">
                  <w:pPr>
                    <w:spacing w:line="240" w:lineRule="auto"/>
                    <w:jc w:val="center"/>
                    <w:rPr>
                      <w:rFonts w:hint="default" w:ascii="Times New Roman" w:hAnsi="Times New Roman" w:cs="Times New Roman"/>
                      <w:b/>
                      <w:bCs/>
                      <w:color w:val="auto"/>
                      <w:sz w:val="21"/>
                      <w:szCs w:val="20"/>
                    </w:rPr>
                  </w:pPr>
                  <w:r>
                    <w:rPr>
                      <w:rFonts w:hint="default" w:ascii="Times New Roman" w:hAnsi="Times New Roman" w:cs="Times New Roman"/>
                      <w:b/>
                      <w:bCs/>
                      <w:color w:val="auto"/>
                      <w:sz w:val="21"/>
                      <w:szCs w:val="20"/>
                    </w:rPr>
                    <w:t>控制总量（t/a）</w:t>
                  </w:r>
                </w:p>
              </w:tc>
            </w:tr>
            <w:tr w14:paraId="6505B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restart"/>
                  <w:tcBorders>
                    <w:left w:val="single" w:color="auto" w:sz="4" w:space="0"/>
                    <w:right w:val="single" w:color="auto" w:sz="4" w:space="0"/>
                  </w:tcBorders>
                  <w:vAlign w:val="center"/>
                </w:tcPr>
                <w:p w14:paraId="5A26B1A8">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废水</w:t>
                  </w:r>
                </w:p>
              </w:tc>
              <w:tc>
                <w:tcPr>
                  <w:tcW w:w="2489" w:type="dxa"/>
                  <w:gridSpan w:val="2"/>
                  <w:tcBorders>
                    <w:left w:val="single" w:color="auto" w:sz="4" w:space="0"/>
                    <w:right w:val="single" w:color="auto" w:sz="4" w:space="0"/>
                  </w:tcBorders>
                  <w:vAlign w:val="center"/>
                </w:tcPr>
                <w:p w14:paraId="72049DFA">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废水量</w:t>
                  </w:r>
                </w:p>
              </w:tc>
              <w:tc>
                <w:tcPr>
                  <w:tcW w:w="4156" w:type="dxa"/>
                  <w:tcBorders>
                    <w:top w:val="single" w:color="auto" w:sz="4" w:space="0"/>
                    <w:left w:val="single" w:color="auto" w:sz="4" w:space="0"/>
                    <w:bottom w:val="single" w:color="auto" w:sz="4" w:space="0"/>
                    <w:right w:val="single" w:color="auto" w:sz="4" w:space="0"/>
                  </w:tcBorders>
                  <w:vAlign w:val="center"/>
                </w:tcPr>
                <w:p w14:paraId="72893CC0">
                  <w:pPr>
                    <w:spacing w:line="240" w:lineRule="auto"/>
                    <w:jc w:val="center"/>
                    <w:rPr>
                      <w:rFonts w:hint="default" w:ascii="Times New Roman" w:hAnsi="Times New Roman" w:cs="Times New Roman"/>
                      <w:color w:val="auto"/>
                      <w:sz w:val="21"/>
                      <w:szCs w:val="20"/>
                      <w:lang w:val="en-US" w:eastAsia="zh-CN"/>
                    </w:rPr>
                  </w:pPr>
                  <w:r>
                    <w:rPr>
                      <w:rFonts w:hint="eastAsia" w:cs="Times New Roman"/>
                      <w:color w:val="auto"/>
                      <w:sz w:val="21"/>
                      <w:szCs w:val="20"/>
                      <w:lang w:val="en-US" w:eastAsia="zh-CN"/>
                    </w:rPr>
                    <w:t>1350</w:t>
                  </w:r>
                </w:p>
              </w:tc>
            </w:tr>
            <w:tr w14:paraId="16935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1C37BBD0">
                  <w:pPr>
                    <w:spacing w:line="240" w:lineRule="auto"/>
                    <w:jc w:val="center"/>
                    <w:rPr>
                      <w:rFonts w:hint="default" w:ascii="Times New Roman" w:hAnsi="Times New Roman" w:eastAsia="宋体" w:cs="Times New Roman"/>
                      <w:color w:val="auto"/>
                      <w:sz w:val="21"/>
                      <w:szCs w:val="20"/>
                      <w:lang w:val="en-US" w:eastAsia="zh-CN"/>
                    </w:rPr>
                  </w:pPr>
                </w:p>
              </w:tc>
              <w:tc>
                <w:tcPr>
                  <w:tcW w:w="2489" w:type="dxa"/>
                  <w:gridSpan w:val="2"/>
                  <w:tcBorders>
                    <w:left w:val="single" w:color="auto" w:sz="4" w:space="0"/>
                    <w:right w:val="single" w:color="auto" w:sz="4" w:space="0"/>
                  </w:tcBorders>
                  <w:vAlign w:val="center"/>
                </w:tcPr>
                <w:p w14:paraId="2AABF63D">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化学需氧量</w:t>
                  </w:r>
                </w:p>
              </w:tc>
              <w:tc>
                <w:tcPr>
                  <w:tcW w:w="4156" w:type="dxa"/>
                  <w:tcBorders>
                    <w:top w:val="single" w:color="auto" w:sz="4" w:space="0"/>
                    <w:left w:val="single" w:color="auto" w:sz="4" w:space="0"/>
                    <w:bottom w:val="single" w:color="auto" w:sz="4" w:space="0"/>
                    <w:right w:val="single" w:color="auto" w:sz="4" w:space="0"/>
                  </w:tcBorders>
                  <w:vAlign w:val="center"/>
                </w:tcPr>
                <w:p w14:paraId="580CCED4">
                  <w:pPr>
                    <w:spacing w:line="240" w:lineRule="auto"/>
                    <w:jc w:val="center"/>
                    <w:rPr>
                      <w:rFonts w:hint="default" w:ascii="Times New Roman" w:hAnsi="Times New Roman" w:cs="Times New Roman"/>
                      <w:color w:val="auto"/>
                      <w:sz w:val="21"/>
                      <w:szCs w:val="20"/>
                      <w:lang w:val="en-US" w:eastAsia="zh-CN"/>
                    </w:rPr>
                  </w:pPr>
                  <w:r>
                    <w:rPr>
                      <w:rFonts w:hint="eastAsia" w:cs="Times New Roman"/>
                      <w:color w:val="auto"/>
                      <w:sz w:val="21"/>
                      <w:szCs w:val="20"/>
                      <w:lang w:val="en-US" w:eastAsia="zh-CN"/>
                    </w:rPr>
                    <w:t>0.054</w:t>
                  </w:r>
                </w:p>
              </w:tc>
            </w:tr>
            <w:tr w14:paraId="416FB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62F12B2D">
                  <w:pPr>
                    <w:spacing w:line="240" w:lineRule="auto"/>
                    <w:jc w:val="center"/>
                    <w:rPr>
                      <w:rFonts w:hint="default" w:ascii="Times New Roman" w:hAnsi="Times New Roman" w:cs="Times New Roman"/>
                      <w:color w:val="auto"/>
                      <w:sz w:val="21"/>
                      <w:szCs w:val="20"/>
                    </w:rPr>
                  </w:pPr>
                </w:p>
              </w:tc>
              <w:tc>
                <w:tcPr>
                  <w:tcW w:w="2489" w:type="dxa"/>
                  <w:gridSpan w:val="2"/>
                  <w:tcBorders>
                    <w:left w:val="single" w:color="auto" w:sz="4" w:space="0"/>
                    <w:right w:val="single" w:color="auto" w:sz="4" w:space="0"/>
                  </w:tcBorders>
                  <w:vAlign w:val="center"/>
                </w:tcPr>
                <w:p w14:paraId="7DCDE6EA">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氨氮</w:t>
                  </w:r>
                </w:p>
              </w:tc>
              <w:tc>
                <w:tcPr>
                  <w:tcW w:w="4156" w:type="dxa"/>
                  <w:tcBorders>
                    <w:top w:val="single" w:color="auto" w:sz="4" w:space="0"/>
                    <w:left w:val="single" w:color="auto" w:sz="4" w:space="0"/>
                    <w:bottom w:val="single" w:color="auto" w:sz="4" w:space="0"/>
                    <w:right w:val="single" w:color="auto" w:sz="4" w:space="0"/>
                  </w:tcBorders>
                  <w:vAlign w:val="center"/>
                </w:tcPr>
                <w:p w14:paraId="29D4753F">
                  <w:pPr>
                    <w:spacing w:line="240" w:lineRule="auto"/>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0.00</w:t>
                  </w:r>
                  <w:r>
                    <w:rPr>
                      <w:rFonts w:hint="eastAsia" w:cs="Times New Roman"/>
                      <w:color w:val="auto"/>
                      <w:sz w:val="21"/>
                      <w:szCs w:val="20"/>
                      <w:lang w:val="en-US" w:eastAsia="zh-CN"/>
                    </w:rPr>
                    <w:t>7</w:t>
                  </w:r>
                </w:p>
              </w:tc>
            </w:tr>
            <w:tr w14:paraId="023EF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restart"/>
                  <w:tcBorders>
                    <w:left w:val="single" w:color="auto" w:sz="4" w:space="0"/>
                    <w:right w:val="single" w:color="auto" w:sz="4" w:space="0"/>
                  </w:tcBorders>
                  <w:vAlign w:val="center"/>
                </w:tcPr>
                <w:p w14:paraId="49943ABF">
                  <w:pPr>
                    <w:spacing w:line="240" w:lineRule="auto"/>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废气</w:t>
                  </w:r>
                </w:p>
              </w:tc>
              <w:tc>
                <w:tcPr>
                  <w:tcW w:w="1244" w:type="dxa"/>
                  <w:vMerge w:val="restart"/>
                  <w:tcBorders>
                    <w:left w:val="single" w:color="auto" w:sz="4" w:space="0"/>
                    <w:right w:val="single" w:color="auto" w:sz="4" w:space="0"/>
                  </w:tcBorders>
                  <w:vAlign w:val="center"/>
                </w:tcPr>
                <w:p w14:paraId="2ED51295">
                  <w:pPr>
                    <w:spacing w:line="240" w:lineRule="auto"/>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颗粒物</w:t>
                  </w:r>
                </w:p>
              </w:tc>
              <w:tc>
                <w:tcPr>
                  <w:tcW w:w="1245" w:type="dxa"/>
                  <w:tcBorders>
                    <w:left w:val="single" w:color="auto" w:sz="4" w:space="0"/>
                    <w:right w:val="single" w:color="auto" w:sz="4" w:space="0"/>
                  </w:tcBorders>
                  <w:vAlign w:val="center"/>
                </w:tcPr>
                <w:p w14:paraId="76083268">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有组织</w:t>
                  </w:r>
                </w:p>
              </w:tc>
              <w:tc>
                <w:tcPr>
                  <w:tcW w:w="4156" w:type="dxa"/>
                  <w:tcBorders>
                    <w:top w:val="single" w:color="auto" w:sz="4" w:space="0"/>
                    <w:left w:val="single" w:color="auto" w:sz="4" w:space="0"/>
                    <w:bottom w:val="single" w:color="auto" w:sz="4" w:space="0"/>
                    <w:right w:val="single" w:color="auto" w:sz="4" w:space="0"/>
                  </w:tcBorders>
                  <w:vAlign w:val="center"/>
                </w:tcPr>
                <w:p w14:paraId="325913B6">
                  <w:pPr>
                    <w:spacing w:line="240" w:lineRule="auto"/>
                    <w:jc w:val="center"/>
                    <w:rPr>
                      <w:rFonts w:hint="default" w:ascii="Times New Roman" w:hAnsi="Times New Roman" w:eastAsia="宋体" w:cs="Times New Roman"/>
                      <w:color w:val="auto"/>
                      <w:sz w:val="21"/>
                      <w:szCs w:val="20"/>
                      <w:lang w:val="en-US" w:eastAsia="zh-CN"/>
                    </w:rPr>
                  </w:pPr>
                  <w:r>
                    <w:rPr>
                      <w:rFonts w:hint="eastAsia" w:cs="Times New Roman"/>
                      <w:color w:val="auto"/>
                      <w:sz w:val="21"/>
                      <w:szCs w:val="20"/>
                      <w:lang w:val="en-US" w:eastAsia="zh-CN"/>
                    </w:rPr>
                    <w:t>/</w:t>
                  </w:r>
                </w:p>
              </w:tc>
            </w:tr>
            <w:tr w14:paraId="2A2E0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1F6BF794">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vAlign w:val="center"/>
                </w:tcPr>
                <w:p w14:paraId="08EA16A0">
                  <w:pPr>
                    <w:spacing w:line="240" w:lineRule="auto"/>
                    <w:jc w:val="center"/>
                    <w:rPr>
                      <w:rFonts w:hint="default" w:ascii="Times New Roman" w:hAnsi="Times New Roman" w:cs="Times New Roman"/>
                      <w:color w:val="auto"/>
                      <w:sz w:val="21"/>
                      <w:szCs w:val="20"/>
                    </w:rPr>
                  </w:pPr>
                </w:p>
              </w:tc>
              <w:tc>
                <w:tcPr>
                  <w:tcW w:w="1245" w:type="dxa"/>
                  <w:tcBorders>
                    <w:left w:val="single" w:color="auto" w:sz="4" w:space="0"/>
                    <w:right w:val="single" w:color="auto" w:sz="4" w:space="0"/>
                  </w:tcBorders>
                  <w:vAlign w:val="center"/>
                </w:tcPr>
                <w:p w14:paraId="641AC224">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无组织</w:t>
                  </w:r>
                </w:p>
              </w:tc>
              <w:tc>
                <w:tcPr>
                  <w:tcW w:w="4156" w:type="dxa"/>
                  <w:tcBorders>
                    <w:top w:val="single" w:color="auto" w:sz="4" w:space="0"/>
                    <w:left w:val="single" w:color="auto" w:sz="4" w:space="0"/>
                    <w:bottom w:val="single" w:color="auto" w:sz="4" w:space="0"/>
                    <w:right w:val="single" w:color="auto" w:sz="4" w:space="0"/>
                  </w:tcBorders>
                  <w:vAlign w:val="center"/>
                </w:tcPr>
                <w:p w14:paraId="50C60753">
                  <w:pPr>
                    <w:spacing w:line="240" w:lineRule="auto"/>
                    <w:jc w:val="center"/>
                    <w:rPr>
                      <w:rFonts w:hint="default" w:ascii="Times New Roman" w:hAnsi="Times New Roman" w:cs="Times New Roman"/>
                      <w:color w:val="auto"/>
                      <w:sz w:val="21"/>
                      <w:szCs w:val="20"/>
                      <w:lang w:val="en-US" w:eastAsia="zh-CN"/>
                    </w:rPr>
                  </w:pPr>
                  <w:r>
                    <w:rPr>
                      <w:rFonts w:hint="eastAsia" w:cs="Times New Roman"/>
                      <w:color w:val="auto"/>
                      <w:sz w:val="21"/>
                      <w:szCs w:val="20"/>
                      <w:lang w:val="en-US" w:eastAsia="zh-CN"/>
                    </w:rPr>
                    <w:t>0.0414</w:t>
                  </w:r>
                </w:p>
              </w:tc>
            </w:tr>
            <w:tr w14:paraId="39807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214" w:type="dxa"/>
                  <w:vMerge w:val="continue"/>
                  <w:tcBorders>
                    <w:left w:val="single" w:color="auto" w:sz="4" w:space="0"/>
                    <w:right w:val="single" w:color="auto" w:sz="4" w:space="0"/>
                  </w:tcBorders>
                  <w:vAlign w:val="center"/>
                </w:tcPr>
                <w:p w14:paraId="139DB3BB">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vAlign w:val="center"/>
                </w:tcPr>
                <w:p w14:paraId="07CCEFFE">
                  <w:pPr>
                    <w:spacing w:line="240" w:lineRule="auto"/>
                    <w:jc w:val="center"/>
                    <w:rPr>
                      <w:rFonts w:hint="default" w:ascii="Times New Roman" w:hAnsi="Times New Roman" w:cs="Times New Roman"/>
                      <w:color w:val="auto"/>
                      <w:sz w:val="21"/>
                      <w:szCs w:val="20"/>
                    </w:rPr>
                  </w:pPr>
                </w:p>
              </w:tc>
              <w:tc>
                <w:tcPr>
                  <w:tcW w:w="1245" w:type="dxa"/>
                  <w:tcBorders>
                    <w:left w:val="single" w:color="auto" w:sz="4" w:space="0"/>
                    <w:right w:val="single" w:color="auto" w:sz="4" w:space="0"/>
                  </w:tcBorders>
                  <w:vAlign w:val="center"/>
                </w:tcPr>
                <w:p w14:paraId="6F819312">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合计</w:t>
                  </w:r>
                </w:p>
              </w:tc>
              <w:tc>
                <w:tcPr>
                  <w:tcW w:w="4156" w:type="dxa"/>
                  <w:tcBorders>
                    <w:top w:val="single" w:color="auto" w:sz="4" w:space="0"/>
                    <w:left w:val="single" w:color="auto" w:sz="4" w:space="0"/>
                    <w:bottom w:val="single" w:color="auto" w:sz="4" w:space="0"/>
                    <w:right w:val="single" w:color="auto" w:sz="4" w:space="0"/>
                  </w:tcBorders>
                  <w:vAlign w:val="center"/>
                </w:tcPr>
                <w:p w14:paraId="20FAFC52">
                  <w:pPr>
                    <w:spacing w:line="240" w:lineRule="auto"/>
                    <w:jc w:val="center"/>
                    <w:rPr>
                      <w:rFonts w:hint="default" w:ascii="Times New Roman" w:hAnsi="Times New Roman" w:cs="Times New Roman"/>
                      <w:color w:val="auto"/>
                      <w:sz w:val="21"/>
                      <w:szCs w:val="20"/>
                      <w:lang w:val="en-US" w:eastAsia="zh-CN"/>
                    </w:rPr>
                  </w:pPr>
                  <w:r>
                    <w:rPr>
                      <w:rFonts w:hint="eastAsia" w:cs="Times New Roman"/>
                      <w:color w:val="auto"/>
                      <w:sz w:val="21"/>
                      <w:szCs w:val="20"/>
                      <w:lang w:val="en-US" w:eastAsia="zh-CN"/>
                    </w:rPr>
                    <w:t>0.0414</w:t>
                  </w:r>
                </w:p>
              </w:tc>
            </w:tr>
            <w:tr w14:paraId="38199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2214" w:type="dxa"/>
                  <w:vMerge w:val="continue"/>
                  <w:tcBorders>
                    <w:left w:val="single" w:color="auto" w:sz="4" w:space="0"/>
                    <w:right w:val="single" w:color="auto" w:sz="4" w:space="0"/>
                  </w:tcBorders>
                  <w:vAlign w:val="center"/>
                </w:tcPr>
                <w:p w14:paraId="3D61FBCB">
                  <w:pPr>
                    <w:spacing w:line="240" w:lineRule="auto"/>
                    <w:jc w:val="center"/>
                    <w:rPr>
                      <w:rFonts w:hint="default" w:ascii="Times New Roman" w:hAnsi="Times New Roman" w:cs="Times New Roman"/>
                      <w:color w:val="auto"/>
                      <w:sz w:val="21"/>
                      <w:szCs w:val="20"/>
                    </w:rPr>
                  </w:pPr>
                </w:p>
              </w:tc>
              <w:tc>
                <w:tcPr>
                  <w:tcW w:w="1244" w:type="dxa"/>
                  <w:vMerge w:val="restart"/>
                  <w:tcBorders>
                    <w:left w:val="single" w:color="auto" w:sz="4" w:space="0"/>
                    <w:right w:val="single" w:color="auto" w:sz="4" w:space="0"/>
                  </w:tcBorders>
                  <w:vAlign w:val="center"/>
                </w:tcPr>
                <w:p w14:paraId="6C78B91E">
                  <w:pPr>
                    <w:spacing w:line="240" w:lineRule="auto"/>
                    <w:jc w:val="center"/>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sz w:val="21"/>
                      <w:szCs w:val="20"/>
                    </w:rPr>
                    <w:t>挥发性有机物</w:t>
                  </w:r>
                </w:p>
              </w:tc>
              <w:tc>
                <w:tcPr>
                  <w:tcW w:w="1245" w:type="dxa"/>
                  <w:tcBorders>
                    <w:left w:val="single" w:color="auto" w:sz="4" w:space="0"/>
                    <w:right w:val="single" w:color="auto" w:sz="4" w:space="0"/>
                  </w:tcBorders>
                  <w:vAlign w:val="center"/>
                </w:tcPr>
                <w:p w14:paraId="49869E50">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有组织</w:t>
                  </w:r>
                </w:p>
              </w:tc>
              <w:tc>
                <w:tcPr>
                  <w:tcW w:w="4156" w:type="dxa"/>
                  <w:tcBorders>
                    <w:top w:val="single" w:color="auto" w:sz="4" w:space="0"/>
                    <w:left w:val="single" w:color="auto" w:sz="4" w:space="0"/>
                    <w:bottom w:val="single" w:color="auto" w:sz="4" w:space="0"/>
                    <w:right w:val="single" w:color="auto" w:sz="4" w:space="0"/>
                  </w:tcBorders>
                  <w:vAlign w:val="center"/>
                </w:tcPr>
                <w:p w14:paraId="780A71E1">
                  <w:pPr>
                    <w:spacing w:line="240" w:lineRule="auto"/>
                    <w:jc w:val="center"/>
                    <w:rPr>
                      <w:rFonts w:hint="default" w:ascii="Times New Roman" w:hAnsi="Times New Roman" w:eastAsia="宋体" w:cs="Times New Roman"/>
                      <w:color w:val="auto"/>
                      <w:sz w:val="21"/>
                      <w:szCs w:val="20"/>
                      <w:lang w:val="en-US" w:eastAsia="zh-CN"/>
                    </w:rPr>
                  </w:pPr>
                  <w:r>
                    <w:rPr>
                      <w:rFonts w:hint="eastAsia" w:cs="Times New Roman"/>
                      <w:color w:val="auto"/>
                      <w:sz w:val="21"/>
                      <w:szCs w:val="20"/>
                      <w:lang w:val="en-US" w:eastAsia="zh-CN"/>
                    </w:rPr>
                    <w:t>0.0994</w:t>
                  </w:r>
                </w:p>
              </w:tc>
            </w:tr>
            <w:tr w14:paraId="0C98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2214" w:type="dxa"/>
                  <w:vMerge w:val="continue"/>
                  <w:tcBorders>
                    <w:left w:val="single" w:color="auto" w:sz="4" w:space="0"/>
                    <w:right w:val="single" w:color="auto" w:sz="4" w:space="0"/>
                  </w:tcBorders>
                  <w:vAlign w:val="center"/>
                </w:tcPr>
                <w:p w14:paraId="362C22BF">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shd w:val="clear" w:color="auto" w:fill="auto"/>
                  <w:vAlign w:val="center"/>
                </w:tcPr>
                <w:p w14:paraId="0E98113E">
                  <w:pPr>
                    <w:spacing w:line="240" w:lineRule="auto"/>
                    <w:jc w:val="center"/>
                    <w:rPr>
                      <w:rFonts w:hint="default" w:ascii="Times New Roman" w:hAnsi="Times New Roman" w:eastAsia="宋体" w:cs="Times New Roman"/>
                      <w:color w:val="auto"/>
                      <w:kern w:val="2"/>
                      <w:sz w:val="21"/>
                      <w:szCs w:val="20"/>
                      <w:lang w:val="en-US" w:eastAsia="zh-CN" w:bidi="ar-SA"/>
                    </w:rPr>
                  </w:pPr>
                </w:p>
              </w:tc>
              <w:tc>
                <w:tcPr>
                  <w:tcW w:w="1245" w:type="dxa"/>
                  <w:tcBorders>
                    <w:left w:val="single" w:color="auto" w:sz="4" w:space="0"/>
                    <w:right w:val="single" w:color="auto" w:sz="4" w:space="0"/>
                  </w:tcBorders>
                  <w:shd w:val="clear" w:color="auto" w:fill="auto"/>
                  <w:vAlign w:val="center"/>
                </w:tcPr>
                <w:p w14:paraId="43DACD18">
                  <w:pPr>
                    <w:spacing w:line="240" w:lineRule="auto"/>
                    <w:jc w:val="center"/>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kern w:val="2"/>
                      <w:sz w:val="21"/>
                      <w:szCs w:val="20"/>
                      <w:lang w:val="en-US" w:eastAsia="zh-CN" w:bidi="ar-SA"/>
                    </w:rPr>
                    <w:t>无组织</w:t>
                  </w:r>
                </w:p>
              </w:tc>
              <w:tc>
                <w:tcPr>
                  <w:tcW w:w="4156" w:type="dxa"/>
                  <w:tcBorders>
                    <w:top w:val="single" w:color="auto" w:sz="4" w:space="0"/>
                    <w:left w:val="single" w:color="auto" w:sz="4" w:space="0"/>
                    <w:bottom w:val="single" w:color="auto" w:sz="4" w:space="0"/>
                    <w:right w:val="single" w:color="auto" w:sz="4" w:space="0"/>
                  </w:tcBorders>
                  <w:vAlign w:val="center"/>
                </w:tcPr>
                <w:p w14:paraId="66A4C889">
                  <w:pPr>
                    <w:spacing w:line="240" w:lineRule="auto"/>
                    <w:jc w:val="center"/>
                    <w:rPr>
                      <w:rFonts w:hint="default" w:ascii="Times New Roman" w:hAnsi="Times New Roman" w:cs="Times New Roman"/>
                      <w:color w:val="auto"/>
                      <w:sz w:val="21"/>
                      <w:szCs w:val="20"/>
                      <w:lang w:val="en-US" w:eastAsia="zh-CN"/>
                    </w:rPr>
                  </w:pPr>
                  <w:r>
                    <w:rPr>
                      <w:rFonts w:hint="eastAsia" w:cs="Times New Roman"/>
                      <w:color w:val="auto"/>
                      <w:sz w:val="21"/>
                      <w:szCs w:val="20"/>
                      <w:lang w:val="en-US" w:eastAsia="zh-CN"/>
                    </w:rPr>
                    <w:t>0.399</w:t>
                  </w:r>
                </w:p>
              </w:tc>
            </w:tr>
            <w:tr w14:paraId="26A2D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2214" w:type="dxa"/>
                  <w:vMerge w:val="continue"/>
                  <w:tcBorders>
                    <w:left w:val="single" w:color="auto" w:sz="4" w:space="0"/>
                    <w:right w:val="single" w:color="auto" w:sz="4" w:space="0"/>
                  </w:tcBorders>
                  <w:vAlign w:val="center"/>
                </w:tcPr>
                <w:p w14:paraId="6C5E8B1D">
                  <w:pPr>
                    <w:spacing w:line="240" w:lineRule="auto"/>
                    <w:jc w:val="center"/>
                    <w:rPr>
                      <w:rFonts w:hint="default" w:ascii="Times New Roman" w:hAnsi="Times New Roman" w:cs="Times New Roman"/>
                      <w:color w:val="auto"/>
                      <w:sz w:val="21"/>
                      <w:szCs w:val="20"/>
                    </w:rPr>
                  </w:pPr>
                </w:p>
              </w:tc>
              <w:tc>
                <w:tcPr>
                  <w:tcW w:w="1244" w:type="dxa"/>
                  <w:vMerge w:val="continue"/>
                  <w:tcBorders>
                    <w:left w:val="single" w:color="auto" w:sz="4" w:space="0"/>
                    <w:right w:val="single" w:color="auto" w:sz="4" w:space="0"/>
                  </w:tcBorders>
                  <w:vAlign w:val="center"/>
                </w:tcPr>
                <w:p w14:paraId="1A960A4A">
                  <w:pPr>
                    <w:spacing w:line="240" w:lineRule="auto"/>
                    <w:jc w:val="center"/>
                    <w:rPr>
                      <w:rFonts w:hint="default" w:ascii="Times New Roman" w:hAnsi="Times New Roman" w:cs="Times New Roman"/>
                      <w:color w:val="auto"/>
                      <w:sz w:val="21"/>
                      <w:szCs w:val="20"/>
                    </w:rPr>
                  </w:pPr>
                </w:p>
              </w:tc>
              <w:tc>
                <w:tcPr>
                  <w:tcW w:w="1245" w:type="dxa"/>
                  <w:tcBorders>
                    <w:left w:val="single" w:color="auto" w:sz="4" w:space="0"/>
                    <w:right w:val="single" w:color="auto" w:sz="4" w:space="0"/>
                  </w:tcBorders>
                  <w:vAlign w:val="center"/>
                </w:tcPr>
                <w:p w14:paraId="05A490C8">
                  <w:pPr>
                    <w:spacing w:line="240" w:lineRule="auto"/>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合计</w:t>
                  </w:r>
                </w:p>
              </w:tc>
              <w:tc>
                <w:tcPr>
                  <w:tcW w:w="4156" w:type="dxa"/>
                  <w:tcBorders>
                    <w:top w:val="single" w:color="auto" w:sz="4" w:space="0"/>
                    <w:left w:val="single" w:color="auto" w:sz="4" w:space="0"/>
                    <w:bottom w:val="single" w:color="auto" w:sz="4" w:space="0"/>
                    <w:right w:val="single" w:color="auto" w:sz="4" w:space="0"/>
                  </w:tcBorders>
                  <w:vAlign w:val="center"/>
                </w:tcPr>
                <w:p w14:paraId="010A430C">
                  <w:pPr>
                    <w:spacing w:line="240" w:lineRule="auto"/>
                    <w:jc w:val="center"/>
                    <w:rPr>
                      <w:rFonts w:hint="default" w:ascii="Times New Roman" w:hAnsi="Times New Roman" w:cs="Times New Roman"/>
                      <w:color w:val="auto"/>
                      <w:sz w:val="21"/>
                      <w:szCs w:val="20"/>
                      <w:lang w:val="en-US" w:eastAsia="zh-CN"/>
                    </w:rPr>
                  </w:pPr>
                  <w:r>
                    <w:rPr>
                      <w:rFonts w:hint="eastAsia" w:cs="Times New Roman"/>
                      <w:color w:val="auto"/>
                      <w:sz w:val="21"/>
                      <w:szCs w:val="20"/>
                      <w:lang w:val="en-US" w:eastAsia="zh-CN"/>
                    </w:rPr>
                    <w:t>0.498</w:t>
                  </w:r>
                </w:p>
              </w:tc>
            </w:tr>
          </w:tbl>
          <w:p w14:paraId="4D9DAF90">
            <w:pPr>
              <w:adjustRightInd w:val="0"/>
              <w:snapToGrid w:val="0"/>
              <w:spacing w:line="240" w:lineRule="auto"/>
              <w:rPr>
                <w:rFonts w:hint="default" w:ascii="Times New Roman" w:hAnsi="Times New Roman" w:cs="Times New Roman"/>
                <w:color w:val="auto"/>
                <w:sz w:val="21"/>
                <w:szCs w:val="16"/>
              </w:rPr>
            </w:pPr>
            <w:r>
              <w:rPr>
                <w:rFonts w:hint="default" w:ascii="Times New Roman" w:hAnsi="Times New Roman" w:cs="Times New Roman"/>
                <w:color w:val="auto"/>
                <w:sz w:val="21"/>
                <w:szCs w:val="16"/>
              </w:rPr>
              <w:t>注：</w:t>
            </w:r>
            <w:r>
              <w:rPr>
                <w:rFonts w:hint="default" w:ascii="Times New Roman" w:hAnsi="Times New Roman" w:cs="Times New Roman"/>
                <w:color w:val="auto"/>
                <w:sz w:val="21"/>
                <w:szCs w:val="21"/>
              </w:rPr>
              <w:t>生活污水经三级化粪池预处理后纳入市政管网进入</w:t>
            </w: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处理</w:t>
            </w:r>
            <w:r>
              <w:rPr>
                <w:rFonts w:hint="default" w:ascii="Times New Roman" w:hAnsi="Times New Roman" w:cs="Times New Roman"/>
                <w:color w:val="auto"/>
                <w:sz w:val="21"/>
                <w:szCs w:val="16"/>
              </w:rPr>
              <w:t>，总量控制指标计入</w:t>
            </w:r>
            <w:r>
              <w:rPr>
                <w:rFonts w:hint="eastAsia" w:cs="Times New Roman"/>
                <w:color w:val="auto"/>
                <w:sz w:val="21"/>
                <w:szCs w:val="16"/>
                <w:lang w:eastAsia="zh-CN"/>
              </w:rPr>
              <w:t>博罗县石湾镇大牛垒生活污水处理厂</w:t>
            </w:r>
            <w:r>
              <w:rPr>
                <w:rFonts w:hint="default" w:ascii="Times New Roman" w:hAnsi="Times New Roman" w:cs="Times New Roman"/>
                <w:color w:val="auto"/>
                <w:sz w:val="21"/>
                <w:szCs w:val="16"/>
              </w:rPr>
              <w:t>总量指标，不再另行分配。</w:t>
            </w:r>
          </w:p>
          <w:p w14:paraId="2F2B7D7C">
            <w:pPr>
              <w:rPr>
                <w:rFonts w:hint="default" w:ascii="Times New Roman" w:hAnsi="Times New Roman" w:cs="Times New Roman"/>
                <w:color w:val="auto"/>
              </w:rPr>
            </w:pPr>
          </w:p>
        </w:tc>
      </w:tr>
    </w:tbl>
    <w:p w14:paraId="3711C941">
      <w:pPr>
        <w:pStyle w:val="18"/>
        <w:spacing w:before="0" w:beforeAutospacing="0" w:after="0" w:after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6"/>
          <w:szCs w:val="36"/>
        </w:rPr>
        <w:br w:type="page"/>
      </w:r>
      <w:r>
        <w:rPr>
          <w:rFonts w:hint="default" w:ascii="Times New Roman" w:hAnsi="Times New Roman" w:eastAsia="黑体" w:cs="Times New Roman"/>
          <w:snapToGrid w:val="0"/>
          <w:color w:val="auto"/>
          <w:sz w:val="30"/>
          <w:szCs w:val="30"/>
        </w:rPr>
        <w:t>四、主要环境影响和保护措施</w:t>
      </w:r>
    </w:p>
    <w:tbl>
      <w:tblPr>
        <w:tblStyle w:val="22"/>
        <w:tblW w:w="92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2"/>
        <w:gridCol w:w="8997"/>
      </w:tblGrid>
      <w:tr w14:paraId="00F145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9" w:hRule="atLeast"/>
          <w:jc w:val="center"/>
        </w:trPr>
        <w:tc>
          <w:tcPr>
            <w:tcW w:w="302" w:type="dxa"/>
            <w:tcMar>
              <w:left w:w="28" w:type="dxa"/>
              <w:right w:w="28" w:type="dxa"/>
            </w:tcMar>
            <w:vAlign w:val="center"/>
          </w:tcPr>
          <w:p w14:paraId="052FC287">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施工</w:t>
            </w:r>
          </w:p>
          <w:p w14:paraId="3B547B1D">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期环</w:t>
            </w:r>
          </w:p>
          <w:p w14:paraId="27B37E02">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境保</w:t>
            </w:r>
          </w:p>
          <w:p w14:paraId="6AE79B59">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护措</w:t>
            </w:r>
          </w:p>
          <w:p w14:paraId="69C622ED">
            <w:pPr>
              <w:pStyle w:val="18"/>
              <w:adjustRightInd w:val="0"/>
              <w:snapToGrid w:val="0"/>
              <w:spacing w:before="0" w:beforeAutospacing="0" w:after="0" w:afterAutospacing="0"/>
              <w:jc w:val="center"/>
              <w:rPr>
                <w:rFonts w:hint="default" w:ascii="Times New Roman" w:hAnsi="Times New Roman" w:cs="Times New Roman"/>
                <w:bCs/>
                <w:color w:val="auto"/>
                <w:kern w:val="2"/>
                <w:sz w:val="21"/>
                <w:szCs w:val="21"/>
              </w:rPr>
            </w:pPr>
            <w:r>
              <w:rPr>
                <w:rFonts w:hint="default" w:ascii="Times New Roman" w:hAnsi="Times New Roman" w:cs="Times New Roman"/>
                <w:color w:val="auto"/>
                <w:kern w:val="2"/>
                <w:sz w:val="21"/>
                <w:szCs w:val="21"/>
              </w:rPr>
              <w:t>施</w:t>
            </w:r>
          </w:p>
        </w:tc>
        <w:tc>
          <w:tcPr>
            <w:tcW w:w="8997" w:type="dxa"/>
            <w:vAlign w:val="center"/>
          </w:tcPr>
          <w:p w14:paraId="5A4BBD6F">
            <w:pPr>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 xml:space="preserve"> 项目</w:t>
            </w:r>
            <w:r>
              <w:rPr>
                <w:rFonts w:hint="eastAsia" w:cs="Times New Roman"/>
                <w:color w:val="auto"/>
                <w:lang w:val="en-US" w:eastAsia="zh-CN"/>
              </w:rPr>
              <w:t>租用</w:t>
            </w:r>
            <w:r>
              <w:rPr>
                <w:rFonts w:hint="default" w:ascii="Times New Roman" w:hAnsi="Times New Roman" w:cs="Times New Roman"/>
                <w:color w:val="auto"/>
              </w:rPr>
              <w:t>已建成厂房进行生产，施工期只需要进驻设备，无建筑、装修等工程，主要为噪声污染，对周边环境的影响较小，且随着施工期的结束而消失，因此，项目不再分析施工期的环境影响。</w:t>
            </w:r>
          </w:p>
        </w:tc>
      </w:tr>
    </w:tbl>
    <w:p w14:paraId="78B6913E">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sectPr>
          <w:type w:val="continuous"/>
          <w:pgSz w:w="11907" w:h="16840"/>
          <w:pgMar w:top="1701" w:right="1531" w:bottom="2127" w:left="1531" w:header="851" w:footer="1417" w:gutter="0"/>
          <w:cols w:space="720" w:num="1"/>
          <w:docGrid w:linePitch="312" w:charSpace="0"/>
        </w:sectPr>
      </w:pPr>
    </w:p>
    <w:tbl>
      <w:tblPr>
        <w:tblStyle w:val="22"/>
        <w:tblW w:w="128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6"/>
        <w:gridCol w:w="12583"/>
      </w:tblGrid>
      <w:tr w14:paraId="7BF630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2" w:hRule="atLeast"/>
          <w:jc w:val="center"/>
        </w:trPr>
        <w:tc>
          <w:tcPr>
            <w:tcW w:w="296" w:type="dxa"/>
            <w:tcMar>
              <w:left w:w="28" w:type="dxa"/>
              <w:right w:w="28" w:type="dxa"/>
            </w:tcMar>
            <w:vAlign w:val="center"/>
          </w:tcPr>
          <w:p w14:paraId="05B14EB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运营</w:t>
            </w:r>
          </w:p>
          <w:p w14:paraId="18FFB63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期环</w:t>
            </w:r>
          </w:p>
          <w:p w14:paraId="4A821C5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境影</w:t>
            </w:r>
          </w:p>
          <w:p w14:paraId="3DD6428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响和</w:t>
            </w:r>
          </w:p>
          <w:p w14:paraId="7908587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保护</w:t>
            </w:r>
          </w:p>
          <w:p w14:paraId="6A37F066">
            <w:pPr>
              <w:pStyle w:val="18"/>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bCs/>
                <w:color w:val="auto"/>
                <w:szCs w:val="21"/>
              </w:rPr>
              <w:t>措施</w:t>
            </w:r>
          </w:p>
        </w:tc>
        <w:tc>
          <w:tcPr>
            <w:tcW w:w="12583" w:type="dxa"/>
            <w:vAlign w:val="center"/>
          </w:tcPr>
          <w:p w14:paraId="02966EE9">
            <w:pPr>
              <w:rPr>
                <w:rFonts w:hint="default" w:ascii="Times New Roman" w:hAnsi="Times New Roman" w:cs="Times New Roman"/>
                <w:b/>
                <w:color w:val="auto"/>
              </w:rPr>
            </w:pPr>
            <w:r>
              <w:rPr>
                <w:rFonts w:hint="default" w:ascii="Times New Roman" w:hAnsi="Times New Roman" w:cs="Times New Roman"/>
                <w:b/>
                <w:color w:val="auto"/>
              </w:rPr>
              <w:t>1、废气</w:t>
            </w:r>
          </w:p>
          <w:p w14:paraId="2036E31D">
            <w:pPr>
              <w:ind w:firstLine="480" w:firstLineChars="200"/>
              <w:textAlignment w:val="baseline"/>
              <w:rPr>
                <w:rFonts w:hint="default" w:ascii="Times New Roman" w:hAnsi="Times New Roman" w:cs="Times New Roman"/>
                <w:color w:val="auto"/>
              </w:rPr>
            </w:pPr>
            <w:r>
              <w:rPr>
                <w:rFonts w:hint="default" w:ascii="Times New Roman" w:hAnsi="Times New Roman" w:cs="Times New Roman"/>
                <w:color w:val="auto"/>
              </w:rPr>
              <w:t>项目大气污染源源强核算结果及相关参数见下表：</w:t>
            </w:r>
          </w:p>
          <w:p w14:paraId="7AE98C73">
            <w:pPr>
              <w:wordWrap/>
              <w:adjustRightInd w:val="0"/>
              <w:snapToGrid w:val="0"/>
              <w:spacing w:line="240" w:lineRule="auto"/>
              <w:ind w:firstLine="482" w:firstLineChars="200"/>
              <w:jc w:val="center"/>
              <w:rPr>
                <w:rFonts w:hint="default" w:ascii="Times New Roman" w:hAnsi="Times New Roman" w:cs="Times New Roman"/>
                <w:bCs/>
                <w:color w:val="auto"/>
                <w:kern w:val="21"/>
              </w:rPr>
            </w:pPr>
            <w:bookmarkStart w:id="11" w:name="项目废气污染治理措施"/>
            <w:r>
              <w:rPr>
                <w:rFonts w:hint="default" w:ascii="Times New Roman" w:hAnsi="Times New Roman" w:cs="Times New Roman"/>
                <w:b/>
                <w:color w:val="auto"/>
                <w:kern w:val="21"/>
              </w:rPr>
              <w:t>表</w:t>
            </w:r>
            <w:r>
              <w:rPr>
                <w:rFonts w:hint="default" w:ascii="Times New Roman" w:hAnsi="Times New Roman" w:cs="Times New Roman"/>
                <w:b/>
                <w:color w:val="auto"/>
                <w:kern w:val="21"/>
                <w:lang w:val="en-US" w:eastAsia="zh-CN"/>
              </w:rPr>
              <w:t>4-1</w:t>
            </w:r>
            <w:r>
              <w:rPr>
                <w:rFonts w:hint="default" w:ascii="Times New Roman" w:hAnsi="Times New Roman" w:cs="Times New Roman"/>
                <w:b/>
                <w:color w:val="auto"/>
                <w:kern w:val="21"/>
              </w:rPr>
              <w:t xml:space="preserve"> 项目废气污染治理措施</w:t>
            </w:r>
            <w:bookmarkEnd w:id="11"/>
            <w:r>
              <w:rPr>
                <w:rFonts w:hint="default" w:ascii="Times New Roman" w:hAnsi="Times New Roman" w:cs="Times New Roman"/>
                <w:b/>
                <w:color w:val="auto"/>
                <w:kern w:val="21"/>
              </w:rPr>
              <w:t>及产排情况一览表</w:t>
            </w:r>
          </w:p>
          <w:tbl>
            <w:tblPr>
              <w:tblStyle w:val="23"/>
              <w:tblW w:w="12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020"/>
              <w:gridCol w:w="900"/>
              <w:gridCol w:w="899"/>
              <w:gridCol w:w="945"/>
              <w:gridCol w:w="919"/>
              <w:gridCol w:w="1290"/>
              <w:gridCol w:w="780"/>
              <w:gridCol w:w="660"/>
              <w:gridCol w:w="675"/>
              <w:gridCol w:w="656"/>
              <w:gridCol w:w="930"/>
              <w:gridCol w:w="915"/>
              <w:gridCol w:w="901"/>
            </w:tblGrid>
            <w:tr w14:paraId="5C0A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87" w:type="dxa"/>
                  <w:vMerge w:val="restart"/>
                  <w:vAlign w:val="center"/>
                </w:tcPr>
                <w:p w14:paraId="7A32BD10">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产污环节</w:t>
                  </w:r>
                </w:p>
              </w:tc>
              <w:tc>
                <w:tcPr>
                  <w:tcW w:w="1020" w:type="dxa"/>
                  <w:vMerge w:val="restart"/>
                  <w:vAlign w:val="center"/>
                </w:tcPr>
                <w:p w14:paraId="04193539">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污染物种类</w:t>
                  </w:r>
                </w:p>
              </w:tc>
              <w:tc>
                <w:tcPr>
                  <w:tcW w:w="900" w:type="dxa"/>
                  <w:vMerge w:val="restart"/>
                  <w:vAlign w:val="center"/>
                </w:tcPr>
                <w:p w14:paraId="532A1AA9">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排放形式</w:t>
                  </w:r>
                </w:p>
              </w:tc>
              <w:tc>
                <w:tcPr>
                  <w:tcW w:w="2763" w:type="dxa"/>
                  <w:gridSpan w:val="3"/>
                  <w:vAlign w:val="center"/>
                </w:tcPr>
                <w:p w14:paraId="371F058F">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污染物产生情况</w:t>
                  </w:r>
                </w:p>
              </w:tc>
              <w:tc>
                <w:tcPr>
                  <w:tcW w:w="4061" w:type="dxa"/>
                  <w:gridSpan w:val="5"/>
                  <w:vAlign w:val="center"/>
                </w:tcPr>
                <w:p w14:paraId="17C361D9">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主要污染治理措施</w:t>
                  </w:r>
                </w:p>
              </w:tc>
              <w:tc>
                <w:tcPr>
                  <w:tcW w:w="2746" w:type="dxa"/>
                  <w:gridSpan w:val="3"/>
                  <w:vAlign w:val="center"/>
                </w:tcPr>
                <w:p w14:paraId="5F282D3B">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污染物排放情况</w:t>
                  </w:r>
                </w:p>
              </w:tc>
            </w:tr>
            <w:tr w14:paraId="403D8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887" w:type="dxa"/>
                  <w:vMerge w:val="continue"/>
                  <w:vAlign w:val="center"/>
                </w:tcPr>
                <w:p w14:paraId="3379ADF1">
                  <w:pPr>
                    <w:wordWrap/>
                    <w:adjustRightInd w:val="0"/>
                    <w:snapToGrid w:val="0"/>
                    <w:spacing w:line="240" w:lineRule="auto"/>
                    <w:jc w:val="center"/>
                    <w:rPr>
                      <w:rFonts w:hint="default" w:ascii="Times New Roman" w:hAnsi="Times New Roman" w:cs="Times New Roman"/>
                      <w:b/>
                      <w:color w:val="auto"/>
                      <w:kern w:val="21"/>
                      <w:sz w:val="21"/>
                      <w:szCs w:val="21"/>
                    </w:rPr>
                  </w:pPr>
                </w:p>
              </w:tc>
              <w:tc>
                <w:tcPr>
                  <w:tcW w:w="1020" w:type="dxa"/>
                  <w:vMerge w:val="continue"/>
                  <w:vAlign w:val="center"/>
                </w:tcPr>
                <w:p w14:paraId="39C298A4">
                  <w:pPr>
                    <w:wordWrap/>
                    <w:adjustRightInd w:val="0"/>
                    <w:snapToGrid w:val="0"/>
                    <w:spacing w:line="240" w:lineRule="auto"/>
                    <w:jc w:val="center"/>
                    <w:rPr>
                      <w:rFonts w:hint="default" w:ascii="Times New Roman" w:hAnsi="Times New Roman" w:cs="Times New Roman"/>
                      <w:b/>
                      <w:color w:val="auto"/>
                      <w:kern w:val="21"/>
                      <w:sz w:val="21"/>
                      <w:szCs w:val="21"/>
                    </w:rPr>
                  </w:pPr>
                </w:p>
              </w:tc>
              <w:tc>
                <w:tcPr>
                  <w:tcW w:w="900" w:type="dxa"/>
                  <w:vMerge w:val="continue"/>
                  <w:vAlign w:val="center"/>
                </w:tcPr>
                <w:p w14:paraId="62301124">
                  <w:pPr>
                    <w:adjustRightInd w:val="0"/>
                    <w:snapToGrid w:val="0"/>
                    <w:spacing w:line="240" w:lineRule="auto"/>
                    <w:jc w:val="center"/>
                    <w:rPr>
                      <w:rFonts w:hint="default" w:ascii="Times New Roman" w:hAnsi="Times New Roman" w:cs="Times New Roman"/>
                      <w:b/>
                      <w:color w:val="auto"/>
                      <w:kern w:val="21"/>
                      <w:sz w:val="21"/>
                      <w:szCs w:val="21"/>
                    </w:rPr>
                  </w:pPr>
                </w:p>
              </w:tc>
              <w:tc>
                <w:tcPr>
                  <w:tcW w:w="899" w:type="dxa"/>
                  <w:vAlign w:val="center"/>
                </w:tcPr>
                <w:p w14:paraId="0BEB992D">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产生量（t/a）</w:t>
                  </w:r>
                </w:p>
              </w:tc>
              <w:tc>
                <w:tcPr>
                  <w:tcW w:w="945" w:type="dxa"/>
                  <w:vAlign w:val="center"/>
                </w:tcPr>
                <w:p w14:paraId="6913A24C">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产生速率（kg/h）</w:t>
                  </w:r>
                </w:p>
              </w:tc>
              <w:tc>
                <w:tcPr>
                  <w:tcW w:w="919" w:type="dxa"/>
                  <w:vAlign w:val="center"/>
                </w:tcPr>
                <w:p w14:paraId="3BD623D5">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产生浓度（mg/m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w:t>
                  </w:r>
                </w:p>
              </w:tc>
              <w:tc>
                <w:tcPr>
                  <w:tcW w:w="1290" w:type="dxa"/>
                  <w:vAlign w:val="center"/>
                </w:tcPr>
                <w:p w14:paraId="50BF660E">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治理措施</w:t>
                  </w:r>
                </w:p>
              </w:tc>
              <w:tc>
                <w:tcPr>
                  <w:tcW w:w="780" w:type="dxa"/>
                  <w:vAlign w:val="center"/>
                </w:tcPr>
                <w:p w14:paraId="5810068D">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处理风量（m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/h）</w:t>
                  </w:r>
                </w:p>
              </w:tc>
              <w:tc>
                <w:tcPr>
                  <w:tcW w:w="660" w:type="dxa"/>
                  <w:vAlign w:val="center"/>
                </w:tcPr>
                <w:p w14:paraId="6B3F5EDF">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收集效率%</w:t>
                  </w:r>
                </w:p>
              </w:tc>
              <w:tc>
                <w:tcPr>
                  <w:tcW w:w="675" w:type="dxa"/>
                  <w:vAlign w:val="center"/>
                </w:tcPr>
                <w:p w14:paraId="6E2C9AC3">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去除效率%</w:t>
                  </w:r>
                </w:p>
              </w:tc>
              <w:tc>
                <w:tcPr>
                  <w:tcW w:w="656" w:type="dxa"/>
                  <w:vAlign w:val="center"/>
                </w:tcPr>
                <w:p w14:paraId="002572F4">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是否为可行性技术</w:t>
                  </w:r>
                </w:p>
              </w:tc>
              <w:tc>
                <w:tcPr>
                  <w:tcW w:w="930" w:type="dxa"/>
                  <w:vAlign w:val="center"/>
                </w:tcPr>
                <w:p w14:paraId="468F35F0">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排放量（t/a）</w:t>
                  </w:r>
                </w:p>
              </w:tc>
              <w:tc>
                <w:tcPr>
                  <w:tcW w:w="915" w:type="dxa"/>
                  <w:vAlign w:val="center"/>
                </w:tcPr>
                <w:p w14:paraId="3BC51620">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排放速率（kg/h）</w:t>
                  </w:r>
                </w:p>
              </w:tc>
              <w:tc>
                <w:tcPr>
                  <w:tcW w:w="901" w:type="dxa"/>
                  <w:vAlign w:val="center"/>
                </w:tcPr>
                <w:p w14:paraId="5A8DA14A">
                  <w:pPr>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排放浓度（mg/m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w:t>
                  </w:r>
                </w:p>
              </w:tc>
            </w:tr>
            <w:tr w14:paraId="094A1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87" w:type="dxa"/>
                  <w:vAlign w:val="center"/>
                </w:tcPr>
                <w:p w14:paraId="526A7979">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移印</w:t>
                  </w:r>
                </w:p>
              </w:tc>
              <w:tc>
                <w:tcPr>
                  <w:tcW w:w="1020" w:type="dxa"/>
                  <w:vAlign w:val="center"/>
                </w:tcPr>
                <w:p w14:paraId="3DE85D08">
                  <w:pPr>
                    <w:wordWrap/>
                    <w:adjustRightInd w:val="0"/>
                    <w:snapToGrid w:val="0"/>
                    <w:spacing w:line="240" w:lineRule="auto"/>
                    <w:jc w:val="center"/>
                    <w:rPr>
                      <w:rFonts w:hint="eastAsia"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900" w:type="dxa"/>
                  <w:vMerge w:val="restart"/>
                  <w:vAlign w:val="center"/>
                </w:tcPr>
                <w:p w14:paraId="0A312139">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val="en-US" w:eastAsia="zh-CN"/>
                    </w:rPr>
                    <w:t>DA001</w:t>
                  </w:r>
                </w:p>
              </w:tc>
              <w:tc>
                <w:tcPr>
                  <w:tcW w:w="899" w:type="dxa"/>
                  <w:vAlign w:val="center"/>
                </w:tcPr>
                <w:p w14:paraId="720DDF19">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w:t>
                  </w:r>
                  <w:r>
                    <w:rPr>
                      <w:rFonts w:hint="eastAsia" w:cs="Times New Roman"/>
                      <w:bCs/>
                      <w:color w:val="auto"/>
                      <w:sz w:val="21"/>
                      <w:szCs w:val="21"/>
                      <w:lang w:val="en-US" w:eastAsia="zh-CN"/>
                    </w:rPr>
                    <w:t>135</w:t>
                  </w:r>
                </w:p>
              </w:tc>
              <w:tc>
                <w:tcPr>
                  <w:tcW w:w="945" w:type="dxa"/>
                  <w:vAlign w:val="center"/>
                </w:tcPr>
                <w:p w14:paraId="061DD63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w:t>
                  </w:r>
                  <w:r>
                    <w:rPr>
                      <w:rFonts w:hint="eastAsia" w:cs="Times New Roman"/>
                      <w:bCs/>
                      <w:color w:val="auto"/>
                      <w:sz w:val="21"/>
                      <w:szCs w:val="21"/>
                      <w:lang w:val="en-US" w:eastAsia="zh-CN"/>
                    </w:rPr>
                    <w:t>56</w:t>
                  </w:r>
                </w:p>
              </w:tc>
              <w:tc>
                <w:tcPr>
                  <w:tcW w:w="919" w:type="dxa"/>
                  <w:vAlign w:val="center"/>
                </w:tcPr>
                <w:p w14:paraId="631E709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0.2</w:t>
                  </w:r>
                </w:p>
              </w:tc>
              <w:tc>
                <w:tcPr>
                  <w:tcW w:w="1290" w:type="dxa"/>
                  <w:vMerge w:val="restart"/>
                  <w:vAlign w:val="center"/>
                </w:tcPr>
                <w:p w14:paraId="08AE4DBF">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rPr>
                    <w:t>水喷淋塔+干式过滤棉+</w:t>
                  </w:r>
                  <w:r>
                    <w:rPr>
                      <w:rFonts w:hint="default" w:ascii="Times New Roman" w:hAnsi="Times New Roman" w:cs="Times New Roman"/>
                      <w:bCs/>
                      <w:color w:val="auto"/>
                      <w:kern w:val="21"/>
                      <w:sz w:val="21"/>
                      <w:szCs w:val="21"/>
                      <w:lang w:eastAsia="zh-CN"/>
                    </w:rPr>
                    <w:t>二级活性炭</w:t>
                  </w:r>
                  <w:r>
                    <w:rPr>
                      <w:rFonts w:hint="default" w:ascii="Times New Roman" w:hAnsi="Times New Roman" w:cs="Times New Roman"/>
                      <w:bCs/>
                      <w:color w:val="auto"/>
                      <w:kern w:val="21"/>
                      <w:sz w:val="21"/>
                      <w:szCs w:val="21"/>
                    </w:rPr>
                    <w:t>吸附装置</w:t>
                  </w:r>
                </w:p>
              </w:tc>
              <w:tc>
                <w:tcPr>
                  <w:tcW w:w="780" w:type="dxa"/>
                  <w:vMerge w:val="restart"/>
                  <w:vAlign w:val="center"/>
                </w:tcPr>
                <w:p w14:paraId="301BB392">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eastAsia" w:ascii="Times New Roman" w:hAnsi="Times New Roman" w:cs="Times New Roman"/>
                      <w:bCs/>
                      <w:color w:val="auto"/>
                      <w:kern w:val="21"/>
                      <w:sz w:val="21"/>
                      <w:szCs w:val="21"/>
                      <w:lang w:val="en-US" w:eastAsia="zh-CN"/>
                    </w:rPr>
                    <w:t>280</w:t>
                  </w:r>
                  <w:r>
                    <w:rPr>
                      <w:rFonts w:hint="default" w:ascii="Times New Roman" w:hAnsi="Times New Roman" w:cs="Times New Roman"/>
                      <w:bCs/>
                      <w:color w:val="auto"/>
                      <w:kern w:val="21"/>
                      <w:sz w:val="21"/>
                      <w:szCs w:val="21"/>
                      <w:lang w:val="en-US" w:eastAsia="zh-CN"/>
                    </w:rPr>
                    <w:t>00</w:t>
                  </w:r>
                </w:p>
              </w:tc>
              <w:tc>
                <w:tcPr>
                  <w:tcW w:w="660" w:type="dxa"/>
                  <w:vAlign w:val="center"/>
                </w:tcPr>
                <w:p w14:paraId="617660DD">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50</w:t>
                  </w:r>
                </w:p>
              </w:tc>
              <w:tc>
                <w:tcPr>
                  <w:tcW w:w="675" w:type="dxa"/>
                  <w:vAlign w:val="center"/>
                </w:tcPr>
                <w:p w14:paraId="16348A21">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Merge w:val="restart"/>
                  <w:vAlign w:val="center"/>
                </w:tcPr>
                <w:p w14:paraId="0F27F7EA">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val="en-US" w:eastAsia="zh-CN"/>
                    </w:rPr>
                    <w:t>是</w:t>
                  </w:r>
                </w:p>
              </w:tc>
              <w:tc>
                <w:tcPr>
                  <w:tcW w:w="930" w:type="dxa"/>
                  <w:vAlign w:val="center"/>
                </w:tcPr>
                <w:p w14:paraId="3DC8B68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0.0034</w:t>
                  </w:r>
                </w:p>
              </w:tc>
              <w:tc>
                <w:tcPr>
                  <w:tcW w:w="915" w:type="dxa"/>
                  <w:vAlign w:val="center"/>
                </w:tcPr>
                <w:p w14:paraId="170DAF1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0.0014</w:t>
                  </w:r>
                </w:p>
              </w:tc>
              <w:tc>
                <w:tcPr>
                  <w:tcW w:w="901" w:type="dxa"/>
                  <w:vAlign w:val="center"/>
                </w:tcPr>
                <w:p w14:paraId="179375C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0.05</w:t>
                  </w:r>
                </w:p>
              </w:tc>
            </w:tr>
            <w:tr w14:paraId="54242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87" w:type="dxa"/>
                  <w:vMerge w:val="restart"/>
                  <w:vAlign w:val="center"/>
                </w:tcPr>
                <w:p w14:paraId="38C28692">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注塑</w:t>
                  </w:r>
                </w:p>
              </w:tc>
              <w:tc>
                <w:tcPr>
                  <w:tcW w:w="1020" w:type="dxa"/>
                  <w:vAlign w:val="center"/>
                </w:tcPr>
                <w:p w14:paraId="3D2DFBD6">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900" w:type="dxa"/>
                  <w:vMerge w:val="continue"/>
                  <w:vAlign w:val="center"/>
                </w:tcPr>
                <w:p w14:paraId="29B8FB6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899" w:type="dxa"/>
                  <w:vAlign w:val="center"/>
                </w:tcPr>
                <w:p w14:paraId="17737D0F">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385</w:t>
                  </w:r>
                </w:p>
              </w:tc>
              <w:tc>
                <w:tcPr>
                  <w:tcW w:w="945" w:type="dxa"/>
                  <w:vAlign w:val="center"/>
                </w:tcPr>
                <w:p w14:paraId="1EFD5F8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0.08</w:t>
                  </w:r>
                </w:p>
              </w:tc>
              <w:tc>
                <w:tcPr>
                  <w:tcW w:w="919" w:type="dxa"/>
                  <w:vAlign w:val="center"/>
                </w:tcPr>
                <w:p w14:paraId="1332351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2.86</w:t>
                  </w:r>
                </w:p>
              </w:tc>
              <w:tc>
                <w:tcPr>
                  <w:tcW w:w="1290" w:type="dxa"/>
                  <w:vMerge w:val="continue"/>
                  <w:vAlign w:val="center"/>
                </w:tcPr>
                <w:p w14:paraId="3D6B356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780" w:type="dxa"/>
                  <w:vMerge w:val="continue"/>
                  <w:vAlign w:val="center"/>
                </w:tcPr>
                <w:p w14:paraId="33737AA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660" w:type="dxa"/>
                  <w:vAlign w:val="center"/>
                </w:tcPr>
                <w:p w14:paraId="65B0EE6C">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50</w:t>
                  </w:r>
                </w:p>
              </w:tc>
              <w:tc>
                <w:tcPr>
                  <w:tcW w:w="675" w:type="dxa"/>
                  <w:vAlign w:val="center"/>
                </w:tcPr>
                <w:p w14:paraId="71A0D0A0">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75</w:t>
                  </w:r>
                </w:p>
              </w:tc>
              <w:tc>
                <w:tcPr>
                  <w:tcW w:w="656" w:type="dxa"/>
                  <w:vMerge w:val="continue"/>
                  <w:vAlign w:val="center"/>
                </w:tcPr>
                <w:p w14:paraId="1DC83FBB">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930" w:type="dxa"/>
                  <w:vAlign w:val="center"/>
                </w:tcPr>
                <w:p w14:paraId="7EDF271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096</w:t>
                  </w:r>
                </w:p>
              </w:tc>
              <w:tc>
                <w:tcPr>
                  <w:tcW w:w="915" w:type="dxa"/>
                  <w:vAlign w:val="center"/>
                </w:tcPr>
                <w:p w14:paraId="6742FBD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w:t>
                  </w:r>
                  <w:r>
                    <w:rPr>
                      <w:rFonts w:hint="eastAsia" w:cs="Times New Roman"/>
                      <w:bCs/>
                      <w:color w:val="auto"/>
                      <w:sz w:val="21"/>
                      <w:szCs w:val="21"/>
                      <w:lang w:val="en-US" w:eastAsia="zh-CN"/>
                    </w:rPr>
                    <w:t>2</w:t>
                  </w:r>
                </w:p>
              </w:tc>
              <w:tc>
                <w:tcPr>
                  <w:tcW w:w="901" w:type="dxa"/>
                  <w:vAlign w:val="center"/>
                </w:tcPr>
                <w:p w14:paraId="7968B19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71</w:t>
                  </w:r>
                </w:p>
              </w:tc>
            </w:tr>
            <w:tr w14:paraId="37C61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87" w:type="dxa"/>
                  <w:vMerge w:val="continue"/>
                  <w:vAlign w:val="center"/>
                </w:tcPr>
                <w:p w14:paraId="184C000E">
                  <w:pPr>
                    <w:adjustRightInd w:val="0"/>
                    <w:snapToGrid w:val="0"/>
                    <w:spacing w:line="240" w:lineRule="auto"/>
                    <w:jc w:val="center"/>
                    <w:rPr>
                      <w:rFonts w:hint="default" w:ascii="Times New Roman" w:hAnsi="Times New Roman" w:cs="Times New Roman"/>
                      <w:bCs/>
                      <w:color w:val="auto"/>
                      <w:sz w:val="21"/>
                      <w:szCs w:val="21"/>
                      <w:lang w:val="en-US" w:eastAsia="zh-CN" w:bidi="ar"/>
                    </w:rPr>
                  </w:pPr>
                </w:p>
              </w:tc>
              <w:tc>
                <w:tcPr>
                  <w:tcW w:w="1020" w:type="dxa"/>
                  <w:vAlign w:val="center"/>
                </w:tcPr>
                <w:p w14:paraId="7C8A475B">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臭气浓度</w:t>
                  </w:r>
                </w:p>
              </w:tc>
              <w:tc>
                <w:tcPr>
                  <w:tcW w:w="900" w:type="dxa"/>
                  <w:vMerge w:val="continue"/>
                  <w:vAlign w:val="center"/>
                </w:tcPr>
                <w:p w14:paraId="0552C19C">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2763" w:type="dxa"/>
                  <w:gridSpan w:val="3"/>
                  <w:vAlign w:val="center"/>
                </w:tcPr>
                <w:p w14:paraId="5750427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1290" w:type="dxa"/>
                  <w:vMerge w:val="continue"/>
                  <w:vAlign w:val="center"/>
                </w:tcPr>
                <w:p w14:paraId="6CCC16CA">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780" w:type="dxa"/>
                  <w:vMerge w:val="continue"/>
                  <w:vAlign w:val="center"/>
                </w:tcPr>
                <w:p w14:paraId="6AD7C3CB">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p>
              </w:tc>
              <w:tc>
                <w:tcPr>
                  <w:tcW w:w="4737" w:type="dxa"/>
                  <w:gridSpan w:val="6"/>
                  <w:vAlign w:val="center"/>
                </w:tcPr>
                <w:p w14:paraId="082E419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r>
            <w:tr w14:paraId="0C52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3F32821E">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破碎</w:t>
                  </w:r>
                </w:p>
              </w:tc>
              <w:tc>
                <w:tcPr>
                  <w:tcW w:w="1020" w:type="dxa"/>
                  <w:vMerge w:val="restart"/>
                  <w:vAlign w:val="center"/>
                </w:tcPr>
                <w:p w14:paraId="3CCDA5E7">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颗粒物</w:t>
                  </w:r>
                </w:p>
              </w:tc>
              <w:tc>
                <w:tcPr>
                  <w:tcW w:w="900" w:type="dxa"/>
                  <w:vMerge w:val="restart"/>
                  <w:vAlign w:val="center"/>
                </w:tcPr>
                <w:p w14:paraId="5D91C794">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无组织</w:t>
                  </w:r>
                </w:p>
              </w:tc>
              <w:tc>
                <w:tcPr>
                  <w:tcW w:w="899" w:type="dxa"/>
                  <w:vAlign w:val="center"/>
                </w:tcPr>
                <w:p w14:paraId="55CED210">
                  <w:pPr>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0.0014</w:t>
                  </w:r>
                </w:p>
              </w:tc>
              <w:tc>
                <w:tcPr>
                  <w:tcW w:w="945" w:type="dxa"/>
                  <w:vAlign w:val="center"/>
                </w:tcPr>
                <w:p w14:paraId="131142CB">
                  <w:pPr>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0.0023</w:t>
                  </w:r>
                </w:p>
              </w:tc>
              <w:tc>
                <w:tcPr>
                  <w:tcW w:w="919" w:type="dxa"/>
                  <w:vAlign w:val="center"/>
                </w:tcPr>
                <w:p w14:paraId="14B93468">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1290" w:type="dxa"/>
                  <w:vMerge w:val="restart"/>
                  <w:vAlign w:val="center"/>
                </w:tcPr>
                <w:p w14:paraId="47006142">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加强密闭</w:t>
                  </w:r>
                </w:p>
              </w:tc>
              <w:tc>
                <w:tcPr>
                  <w:tcW w:w="780" w:type="dxa"/>
                  <w:vAlign w:val="center"/>
                </w:tcPr>
                <w:p w14:paraId="355D5B76">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60" w:type="dxa"/>
                  <w:vAlign w:val="center"/>
                </w:tcPr>
                <w:p w14:paraId="767E77F2">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75" w:type="dxa"/>
                  <w:vAlign w:val="center"/>
                </w:tcPr>
                <w:p w14:paraId="206A36D0">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656" w:type="dxa"/>
                  <w:vAlign w:val="center"/>
                </w:tcPr>
                <w:p w14:paraId="31E459D0">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c>
                <w:tcPr>
                  <w:tcW w:w="930" w:type="dxa"/>
                  <w:vAlign w:val="center"/>
                </w:tcPr>
                <w:p w14:paraId="13FB0A15">
                  <w:pPr>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0.0014</w:t>
                  </w:r>
                </w:p>
              </w:tc>
              <w:tc>
                <w:tcPr>
                  <w:tcW w:w="915" w:type="dxa"/>
                  <w:vAlign w:val="center"/>
                </w:tcPr>
                <w:p w14:paraId="2366A368">
                  <w:pPr>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0.0023</w:t>
                  </w:r>
                </w:p>
              </w:tc>
              <w:tc>
                <w:tcPr>
                  <w:tcW w:w="901" w:type="dxa"/>
                  <w:vAlign w:val="center"/>
                </w:tcPr>
                <w:p w14:paraId="3452FE8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w:t>
                  </w:r>
                </w:p>
              </w:tc>
            </w:tr>
            <w:tr w14:paraId="3A237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1B416813">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电火花</w:t>
                  </w:r>
                </w:p>
              </w:tc>
              <w:tc>
                <w:tcPr>
                  <w:tcW w:w="1020" w:type="dxa"/>
                  <w:vMerge w:val="continue"/>
                  <w:vAlign w:val="center"/>
                </w:tcPr>
                <w:p w14:paraId="73D81885">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060B0F97">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899" w:type="dxa"/>
                  <w:vAlign w:val="center"/>
                </w:tcPr>
                <w:p w14:paraId="3271C143">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0.04</w:t>
                  </w:r>
                </w:p>
              </w:tc>
              <w:tc>
                <w:tcPr>
                  <w:tcW w:w="945" w:type="dxa"/>
                  <w:vAlign w:val="center"/>
                </w:tcPr>
                <w:p w14:paraId="4E02ADB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0.022</w:t>
                  </w:r>
                </w:p>
              </w:tc>
              <w:tc>
                <w:tcPr>
                  <w:tcW w:w="919" w:type="dxa"/>
                  <w:vAlign w:val="center"/>
                </w:tcPr>
                <w:p w14:paraId="4580091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1290" w:type="dxa"/>
                  <w:vMerge w:val="continue"/>
                  <w:vAlign w:val="center"/>
                </w:tcPr>
                <w:p w14:paraId="5714F90A">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780" w:type="dxa"/>
                  <w:vAlign w:val="center"/>
                </w:tcPr>
                <w:p w14:paraId="1FBDF422">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w:t>
                  </w:r>
                </w:p>
              </w:tc>
              <w:tc>
                <w:tcPr>
                  <w:tcW w:w="660" w:type="dxa"/>
                  <w:vAlign w:val="center"/>
                </w:tcPr>
                <w:p w14:paraId="01B05040">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w:t>
                  </w:r>
                </w:p>
              </w:tc>
              <w:tc>
                <w:tcPr>
                  <w:tcW w:w="675" w:type="dxa"/>
                  <w:vAlign w:val="center"/>
                </w:tcPr>
                <w:p w14:paraId="7E7685C9">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w:t>
                  </w:r>
                </w:p>
              </w:tc>
              <w:tc>
                <w:tcPr>
                  <w:tcW w:w="656" w:type="dxa"/>
                  <w:vAlign w:val="center"/>
                </w:tcPr>
                <w:p w14:paraId="40E4EF34">
                  <w:pPr>
                    <w:wordWrap/>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w:t>
                  </w:r>
                </w:p>
              </w:tc>
              <w:tc>
                <w:tcPr>
                  <w:tcW w:w="930" w:type="dxa"/>
                  <w:vAlign w:val="center"/>
                </w:tcPr>
                <w:p w14:paraId="11AE5FD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0.04</w:t>
                  </w:r>
                </w:p>
              </w:tc>
              <w:tc>
                <w:tcPr>
                  <w:tcW w:w="915" w:type="dxa"/>
                  <w:vAlign w:val="center"/>
                </w:tcPr>
                <w:p w14:paraId="370469FB">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0.022</w:t>
                  </w:r>
                </w:p>
              </w:tc>
              <w:tc>
                <w:tcPr>
                  <w:tcW w:w="901" w:type="dxa"/>
                  <w:vAlign w:val="center"/>
                </w:tcPr>
                <w:p w14:paraId="6514DF48">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w:t>
                  </w:r>
                </w:p>
              </w:tc>
            </w:tr>
            <w:tr w14:paraId="2B04F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41A4A4A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注塑</w:t>
                  </w:r>
                </w:p>
              </w:tc>
              <w:tc>
                <w:tcPr>
                  <w:tcW w:w="1020" w:type="dxa"/>
                  <w:vMerge w:val="restart"/>
                  <w:vAlign w:val="center"/>
                </w:tcPr>
                <w:p w14:paraId="062A2D52">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非甲烷总烃</w:t>
                  </w:r>
                </w:p>
              </w:tc>
              <w:tc>
                <w:tcPr>
                  <w:tcW w:w="900" w:type="dxa"/>
                  <w:vMerge w:val="continue"/>
                  <w:vAlign w:val="center"/>
                </w:tcPr>
                <w:p w14:paraId="2407BC3F">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899" w:type="dxa"/>
                  <w:vAlign w:val="center"/>
                </w:tcPr>
                <w:p w14:paraId="6CDAD1DA">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385</w:t>
                  </w:r>
                </w:p>
              </w:tc>
              <w:tc>
                <w:tcPr>
                  <w:tcW w:w="945" w:type="dxa"/>
                  <w:vAlign w:val="center"/>
                </w:tcPr>
                <w:p w14:paraId="285C561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rPr>
                    <w:t>0.08</w:t>
                  </w:r>
                </w:p>
              </w:tc>
              <w:tc>
                <w:tcPr>
                  <w:tcW w:w="919" w:type="dxa"/>
                  <w:vAlign w:val="center"/>
                </w:tcPr>
                <w:p w14:paraId="6E276F8B">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1290" w:type="dxa"/>
                  <w:vMerge w:val="continue"/>
                  <w:vAlign w:val="center"/>
                </w:tcPr>
                <w:p w14:paraId="505B67BE">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780" w:type="dxa"/>
                  <w:vAlign w:val="center"/>
                </w:tcPr>
                <w:p w14:paraId="0ACA4F6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60" w:type="dxa"/>
                  <w:vAlign w:val="center"/>
                </w:tcPr>
                <w:p w14:paraId="7E81BBC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75" w:type="dxa"/>
                  <w:vAlign w:val="center"/>
                </w:tcPr>
                <w:p w14:paraId="2D69D064">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56" w:type="dxa"/>
                  <w:vAlign w:val="center"/>
                </w:tcPr>
                <w:p w14:paraId="77BE4E03">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930" w:type="dxa"/>
                  <w:vAlign w:val="center"/>
                </w:tcPr>
                <w:p w14:paraId="76AE9B0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385</w:t>
                  </w:r>
                </w:p>
              </w:tc>
              <w:tc>
                <w:tcPr>
                  <w:tcW w:w="915" w:type="dxa"/>
                  <w:vAlign w:val="center"/>
                </w:tcPr>
                <w:p w14:paraId="1657B99B">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rPr>
                    <w:t>0.08</w:t>
                  </w:r>
                </w:p>
              </w:tc>
              <w:tc>
                <w:tcPr>
                  <w:tcW w:w="901" w:type="dxa"/>
                  <w:vAlign w:val="center"/>
                </w:tcPr>
                <w:p w14:paraId="7726345E">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r>
            <w:tr w14:paraId="14232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5FF459F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机加工</w:t>
                  </w:r>
                </w:p>
              </w:tc>
              <w:tc>
                <w:tcPr>
                  <w:tcW w:w="1020" w:type="dxa"/>
                  <w:vMerge w:val="continue"/>
                  <w:vAlign w:val="center"/>
                </w:tcPr>
                <w:p w14:paraId="615BEE2C">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6EC762AC">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899" w:type="dxa"/>
                  <w:vAlign w:val="center"/>
                </w:tcPr>
                <w:p w14:paraId="52A8AC0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0.00026</w:t>
                  </w:r>
                </w:p>
              </w:tc>
              <w:tc>
                <w:tcPr>
                  <w:tcW w:w="945" w:type="dxa"/>
                  <w:vAlign w:val="center"/>
                </w:tcPr>
                <w:p w14:paraId="0B6AEB3D">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0.00014</w:t>
                  </w:r>
                </w:p>
              </w:tc>
              <w:tc>
                <w:tcPr>
                  <w:tcW w:w="919" w:type="dxa"/>
                  <w:vAlign w:val="center"/>
                </w:tcPr>
                <w:p w14:paraId="1150F3CE">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1290" w:type="dxa"/>
                  <w:vMerge w:val="continue"/>
                  <w:vAlign w:val="center"/>
                </w:tcPr>
                <w:p w14:paraId="0AC4D7D8">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780" w:type="dxa"/>
                  <w:vAlign w:val="center"/>
                </w:tcPr>
                <w:p w14:paraId="3F02C4C5">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60" w:type="dxa"/>
                  <w:vAlign w:val="center"/>
                </w:tcPr>
                <w:p w14:paraId="1616F07B">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75" w:type="dxa"/>
                  <w:vAlign w:val="center"/>
                </w:tcPr>
                <w:p w14:paraId="0EBD4AF7">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56" w:type="dxa"/>
                  <w:vAlign w:val="center"/>
                </w:tcPr>
                <w:p w14:paraId="6202A15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930" w:type="dxa"/>
                  <w:vAlign w:val="center"/>
                </w:tcPr>
                <w:p w14:paraId="4F2442F1">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0.00026</w:t>
                  </w:r>
                </w:p>
              </w:tc>
              <w:tc>
                <w:tcPr>
                  <w:tcW w:w="915" w:type="dxa"/>
                  <w:vAlign w:val="center"/>
                </w:tcPr>
                <w:p w14:paraId="34CE9B68">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0.00014</w:t>
                  </w:r>
                </w:p>
              </w:tc>
              <w:tc>
                <w:tcPr>
                  <w:tcW w:w="901" w:type="dxa"/>
                  <w:vAlign w:val="center"/>
                </w:tcPr>
                <w:p w14:paraId="5B830F0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r>
            <w:tr w14:paraId="7BC21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7F720C06">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电火花</w:t>
                  </w:r>
                </w:p>
              </w:tc>
              <w:tc>
                <w:tcPr>
                  <w:tcW w:w="1020" w:type="dxa"/>
                  <w:vMerge w:val="continue"/>
                  <w:vAlign w:val="center"/>
                </w:tcPr>
                <w:p w14:paraId="18936947">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1AE4BDB0">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899" w:type="dxa"/>
                  <w:vAlign w:val="center"/>
                </w:tcPr>
                <w:p w14:paraId="6FAFD22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0.000002</w:t>
                  </w:r>
                </w:p>
              </w:tc>
              <w:tc>
                <w:tcPr>
                  <w:tcW w:w="945" w:type="dxa"/>
                  <w:vAlign w:val="center"/>
                </w:tcPr>
                <w:p w14:paraId="4F6B34B9">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0.000001</w:t>
                  </w:r>
                </w:p>
              </w:tc>
              <w:tc>
                <w:tcPr>
                  <w:tcW w:w="919" w:type="dxa"/>
                  <w:vAlign w:val="center"/>
                </w:tcPr>
                <w:p w14:paraId="578D8DC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1290" w:type="dxa"/>
                  <w:vMerge w:val="continue"/>
                  <w:vAlign w:val="center"/>
                </w:tcPr>
                <w:p w14:paraId="4BA418AD">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780" w:type="dxa"/>
                  <w:vAlign w:val="center"/>
                </w:tcPr>
                <w:p w14:paraId="16F7FB61">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60" w:type="dxa"/>
                  <w:vAlign w:val="center"/>
                </w:tcPr>
                <w:p w14:paraId="19569CF4">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75" w:type="dxa"/>
                  <w:vAlign w:val="center"/>
                </w:tcPr>
                <w:p w14:paraId="417AE9D2">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56" w:type="dxa"/>
                  <w:vAlign w:val="center"/>
                </w:tcPr>
                <w:p w14:paraId="289AA9C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930" w:type="dxa"/>
                  <w:vAlign w:val="center"/>
                </w:tcPr>
                <w:p w14:paraId="1092F6B9">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0.000002</w:t>
                  </w:r>
                </w:p>
              </w:tc>
              <w:tc>
                <w:tcPr>
                  <w:tcW w:w="915" w:type="dxa"/>
                  <w:vAlign w:val="center"/>
                </w:tcPr>
                <w:p w14:paraId="536F2093">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0.000001</w:t>
                  </w:r>
                </w:p>
              </w:tc>
              <w:tc>
                <w:tcPr>
                  <w:tcW w:w="901" w:type="dxa"/>
                  <w:vAlign w:val="center"/>
                </w:tcPr>
                <w:p w14:paraId="47342E7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r>
            <w:tr w14:paraId="51B4D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03283A17">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移印</w:t>
                  </w:r>
                </w:p>
              </w:tc>
              <w:tc>
                <w:tcPr>
                  <w:tcW w:w="1020" w:type="dxa"/>
                  <w:vMerge w:val="continue"/>
                  <w:vAlign w:val="center"/>
                </w:tcPr>
                <w:p w14:paraId="124DB2CE">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00" w:type="dxa"/>
                  <w:vMerge w:val="continue"/>
                  <w:vAlign w:val="center"/>
                </w:tcPr>
                <w:p w14:paraId="2B954EE9">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899" w:type="dxa"/>
                  <w:vAlign w:val="center"/>
                </w:tcPr>
                <w:p w14:paraId="65FF003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w:t>
                  </w:r>
                  <w:r>
                    <w:rPr>
                      <w:rFonts w:hint="eastAsia" w:cs="Times New Roman"/>
                      <w:bCs/>
                      <w:color w:val="auto"/>
                      <w:sz w:val="21"/>
                      <w:szCs w:val="21"/>
                      <w:lang w:val="en-US" w:eastAsia="zh-CN"/>
                    </w:rPr>
                    <w:t>135</w:t>
                  </w:r>
                </w:p>
              </w:tc>
              <w:tc>
                <w:tcPr>
                  <w:tcW w:w="945" w:type="dxa"/>
                  <w:vAlign w:val="center"/>
                </w:tcPr>
                <w:p w14:paraId="45865360">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0.00</w:t>
                  </w:r>
                  <w:r>
                    <w:rPr>
                      <w:rFonts w:hint="eastAsia" w:cs="Times New Roman"/>
                      <w:bCs/>
                      <w:color w:val="auto"/>
                      <w:sz w:val="21"/>
                      <w:szCs w:val="21"/>
                      <w:lang w:val="en-US" w:eastAsia="zh-CN"/>
                    </w:rPr>
                    <w:t>56</w:t>
                  </w:r>
                </w:p>
              </w:tc>
              <w:tc>
                <w:tcPr>
                  <w:tcW w:w="919" w:type="dxa"/>
                  <w:vAlign w:val="center"/>
                </w:tcPr>
                <w:p w14:paraId="0E727E8F">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1290" w:type="dxa"/>
                  <w:vMerge w:val="continue"/>
                  <w:vAlign w:val="center"/>
                </w:tcPr>
                <w:p w14:paraId="596FE63A">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780" w:type="dxa"/>
                  <w:vAlign w:val="center"/>
                </w:tcPr>
                <w:p w14:paraId="772FEC73">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60" w:type="dxa"/>
                  <w:vAlign w:val="center"/>
                </w:tcPr>
                <w:p w14:paraId="25C7718C">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75" w:type="dxa"/>
                  <w:vAlign w:val="center"/>
                </w:tcPr>
                <w:p w14:paraId="132CF2EA">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656" w:type="dxa"/>
                  <w:vAlign w:val="center"/>
                </w:tcPr>
                <w:p w14:paraId="6BDDA510">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c>
                <w:tcPr>
                  <w:tcW w:w="930" w:type="dxa"/>
                  <w:vAlign w:val="center"/>
                </w:tcPr>
                <w:p w14:paraId="4555B088">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w:t>
                  </w:r>
                  <w:r>
                    <w:rPr>
                      <w:rFonts w:hint="eastAsia" w:cs="Times New Roman"/>
                      <w:bCs/>
                      <w:color w:val="auto"/>
                      <w:sz w:val="21"/>
                      <w:szCs w:val="21"/>
                      <w:lang w:val="en-US" w:eastAsia="zh-CN"/>
                    </w:rPr>
                    <w:t>135</w:t>
                  </w:r>
                </w:p>
              </w:tc>
              <w:tc>
                <w:tcPr>
                  <w:tcW w:w="915" w:type="dxa"/>
                  <w:vAlign w:val="center"/>
                </w:tcPr>
                <w:p w14:paraId="17843CC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rPr>
                    <w:t>0.00</w:t>
                  </w:r>
                  <w:r>
                    <w:rPr>
                      <w:rFonts w:hint="eastAsia" w:cs="Times New Roman"/>
                      <w:bCs/>
                      <w:color w:val="auto"/>
                      <w:sz w:val="21"/>
                      <w:szCs w:val="21"/>
                      <w:lang w:val="en-US" w:eastAsia="zh-CN"/>
                    </w:rPr>
                    <w:t>56</w:t>
                  </w:r>
                </w:p>
              </w:tc>
              <w:tc>
                <w:tcPr>
                  <w:tcW w:w="901" w:type="dxa"/>
                  <w:vAlign w:val="center"/>
                </w:tcPr>
                <w:p w14:paraId="5830DB2C">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cs="Times New Roman"/>
                      <w:bCs/>
                      <w:color w:val="auto"/>
                      <w:sz w:val="21"/>
                      <w:szCs w:val="21"/>
                      <w:lang w:val="en-US" w:eastAsia="zh-CN" w:bidi="ar"/>
                    </w:rPr>
                    <w:t>/</w:t>
                  </w:r>
                </w:p>
              </w:tc>
            </w:tr>
            <w:tr w14:paraId="069AC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7" w:type="dxa"/>
                  <w:vAlign w:val="center"/>
                </w:tcPr>
                <w:p w14:paraId="2C824153">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default" w:ascii="Times New Roman" w:hAnsi="Times New Roman" w:cs="Times New Roman"/>
                      <w:bCs/>
                      <w:color w:val="auto"/>
                      <w:sz w:val="21"/>
                      <w:szCs w:val="21"/>
                      <w:lang w:val="en-US" w:eastAsia="zh-CN" w:bidi="ar"/>
                    </w:rPr>
                    <w:t>注塑</w:t>
                  </w:r>
                </w:p>
              </w:tc>
              <w:tc>
                <w:tcPr>
                  <w:tcW w:w="1020" w:type="dxa"/>
                  <w:vAlign w:val="center"/>
                </w:tcPr>
                <w:p w14:paraId="15561091">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臭气浓度</w:t>
                  </w:r>
                </w:p>
              </w:tc>
              <w:tc>
                <w:tcPr>
                  <w:tcW w:w="900" w:type="dxa"/>
                  <w:vMerge w:val="continue"/>
                  <w:vAlign w:val="center"/>
                </w:tcPr>
                <w:p w14:paraId="6A6E97D8">
                  <w:pPr>
                    <w:wordWrap/>
                    <w:adjustRightInd w:val="0"/>
                    <w:snapToGrid w:val="0"/>
                    <w:spacing w:line="240" w:lineRule="auto"/>
                    <w:jc w:val="center"/>
                    <w:rPr>
                      <w:rFonts w:hint="default" w:ascii="Times New Roman" w:hAnsi="Times New Roman" w:cs="Times New Roman"/>
                      <w:bCs/>
                      <w:color w:val="auto"/>
                      <w:kern w:val="21"/>
                      <w:sz w:val="21"/>
                      <w:szCs w:val="21"/>
                      <w:lang w:val="en-US" w:eastAsia="zh-CN"/>
                    </w:rPr>
                  </w:pPr>
                </w:p>
              </w:tc>
              <w:tc>
                <w:tcPr>
                  <w:tcW w:w="9570" w:type="dxa"/>
                  <w:gridSpan w:val="11"/>
                  <w:vAlign w:val="center"/>
                </w:tcPr>
                <w:p w14:paraId="28C4131C">
                  <w:pPr>
                    <w:adjustRightInd w:val="0"/>
                    <w:snapToGrid w:val="0"/>
                    <w:spacing w:line="240" w:lineRule="auto"/>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w:t>
                  </w:r>
                </w:p>
              </w:tc>
            </w:tr>
          </w:tbl>
          <w:p w14:paraId="0E933D79">
            <w:pPr>
              <w:adjustRightInd w:val="0"/>
              <w:snapToGrid w:val="0"/>
              <w:ind w:firstLine="480" w:firstLineChars="200"/>
              <w:rPr>
                <w:rFonts w:hint="default" w:ascii="Times New Roman" w:hAnsi="Times New Roman" w:cs="Times New Roman"/>
                <w:color w:val="auto"/>
              </w:rPr>
            </w:pPr>
          </w:p>
        </w:tc>
      </w:tr>
    </w:tbl>
    <w:p w14:paraId="58BEFD36">
      <w:pPr>
        <w:adjustRightInd w:val="0"/>
        <w:snapToGrid w:val="0"/>
        <w:jc w:val="center"/>
        <w:rPr>
          <w:rFonts w:hint="default" w:ascii="Times New Roman" w:hAnsi="Times New Roman" w:cs="Times New Roman"/>
          <w:bCs/>
          <w:color w:val="auto"/>
          <w:szCs w:val="21"/>
        </w:rPr>
        <w:sectPr>
          <w:pgSz w:w="16840" w:h="11907" w:orient="landscape"/>
          <w:pgMar w:top="1531" w:right="1701" w:bottom="1531" w:left="2127" w:header="851" w:footer="850" w:gutter="0"/>
          <w:cols w:space="720" w:num="1"/>
          <w:docGrid w:linePitch="312" w:charSpace="0"/>
        </w:sectPr>
      </w:pPr>
    </w:p>
    <w:tbl>
      <w:tblPr>
        <w:tblStyle w:val="22"/>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3"/>
        <w:gridCol w:w="8688"/>
      </w:tblGrid>
      <w:tr w14:paraId="56189C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52" w:hRule="atLeast"/>
          <w:jc w:val="center"/>
        </w:trPr>
        <w:tc>
          <w:tcPr>
            <w:tcW w:w="293" w:type="dxa"/>
            <w:tcMar>
              <w:left w:w="28" w:type="dxa"/>
              <w:right w:w="28" w:type="dxa"/>
            </w:tcMar>
            <w:vAlign w:val="center"/>
          </w:tcPr>
          <w:p w14:paraId="1C79521B">
            <w:pPr>
              <w:pStyle w:val="30"/>
              <w:rPr>
                <w:rFonts w:hint="default" w:ascii="Times New Roman" w:hAnsi="Times New Roman" w:cs="Times New Roman"/>
                <w:color w:val="auto"/>
              </w:rPr>
            </w:pPr>
          </w:p>
        </w:tc>
        <w:tc>
          <w:tcPr>
            <w:tcW w:w="8688" w:type="dxa"/>
          </w:tcPr>
          <w:p w14:paraId="56188935">
            <w:pPr>
              <w:ind w:firstLine="480" w:firstLineChars="200"/>
              <w:rPr>
                <w:rFonts w:hint="default" w:ascii="Times New Roman" w:hAnsi="Times New Roman" w:cs="Times New Roman"/>
                <w:bCs/>
                <w:color w:val="auto"/>
              </w:rPr>
            </w:pPr>
            <w:r>
              <w:rPr>
                <w:rFonts w:hint="default" w:ascii="Times New Roman" w:hAnsi="Times New Roman" w:cs="Times New Roman"/>
                <w:bCs/>
                <w:color w:val="auto"/>
              </w:rPr>
              <w:t>项目废气产排情况核算过程如下：</w:t>
            </w:r>
          </w:p>
          <w:p w14:paraId="7CD9BCB5">
            <w:pPr>
              <w:widowControl/>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（1）产排情况</w:t>
            </w:r>
          </w:p>
          <w:p w14:paraId="29F42868">
            <w:pPr>
              <w:numPr>
                <w:ilvl w:val="0"/>
                <w:numId w:val="0"/>
              </w:numPr>
              <w:wordWrap/>
              <w:adjustRightInd w:val="0"/>
              <w:snapToGrid w:val="0"/>
              <w:ind w:firstLine="482" w:firstLineChars="200"/>
              <w:rPr>
                <w:rFonts w:hint="default" w:ascii="Times New Roman" w:hAnsi="Times New Roman" w:cs="Times New Roman"/>
                <w:b/>
                <w:bCs/>
                <w:color w:val="auto"/>
                <w:szCs w:val="22"/>
                <w:lang w:val="en-US" w:eastAsia="zh-CN"/>
              </w:rPr>
            </w:pPr>
            <w:r>
              <w:rPr>
                <w:rFonts w:hint="eastAsia" w:cs="Times New Roman"/>
                <w:b/>
                <w:bCs/>
                <w:color w:val="auto"/>
                <w:kern w:val="2"/>
                <w:sz w:val="24"/>
                <w:szCs w:val="22"/>
                <w:lang w:val="en-US" w:eastAsia="zh-CN" w:bidi="ar-SA"/>
              </w:rPr>
              <w:t>1</w:t>
            </w:r>
            <w:r>
              <w:rPr>
                <w:rFonts w:hint="default" w:ascii="Times New Roman" w:hAnsi="Times New Roman" w:eastAsia="宋体" w:cs="Times New Roman"/>
                <w:b/>
                <w:bCs/>
                <w:color w:val="auto"/>
                <w:kern w:val="2"/>
                <w:sz w:val="24"/>
                <w:szCs w:val="22"/>
                <w:lang w:val="en-US" w:eastAsia="zh-CN" w:bidi="ar-SA"/>
              </w:rPr>
              <w:t>）</w:t>
            </w:r>
            <w:r>
              <w:rPr>
                <w:rFonts w:hint="default" w:ascii="Times New Roman" w:hAnsi="Times New Roman" w:cs="Times New Roman"/>
                <w:b/>
                <w:bCs/>
                <w:color w:val="auto"/>
                <w:szCs w:val="22"/>
                <w:lang w:val="en-US" w:eastAsia="zh-CN"/>
              </w:rPr>
              <w:t>注塑废气</w:t>
            </w:r>
          </w:p>
          <w:p w14:paraId="735D7964">
            <w:pPr>
              <w:numPr>
                <w:ilvl w:val="0"/>
                <w:numId w:val="0"/>
              </w:numPr>
              <w:wordWrap/>
              <w:adjustRightInd w:val="0"/>
              <w:snapToGrid w:val="0"/>
              <w:ind w:left="482" w:hanging="482" w:hangingChars="200"/>
              <w:rPr>
                <w:rFonts w:hint="default" w:ascii="Times New Roman" w:hAnsi="Times New Roman" w:cs="Times New Roman"/>
                <w:b/>
                <w:bCs/>
                <w:color w:val="auto"/>
                <w:szCs w:val="22"/>
                <w:lang w:val="en-US" w:eastAsia="zh-CN"/>
              </w:rPr>
            </w:pPr>
            <w:r>
              <w:rPr>
                <w:rFonts w:hint="default" w:ascii="Times New Roman" w:hAnsi="Times New Roman" w:cs="Times New Roman"/>
                <w:b/>
                <w:bCs/>
                <w:color w:val="auto"/>
                <w:szCs w:val="22"/>
                <w:lang w:val="en-US" w:eastAsia="zh-CN"/>
              </w:rPr>
              <w:t xml:space="preserve">    ①非甲烷总烃</w:t>
            </w:r>
          </w:p>
          <w:p w14:paraId="77C5EEFB">
            <w:pPr>
              <w:numPr>
                <w:ilvl w:val="0"/>
                <w:numId w:val="0"/>
              </w:numPr>
              <w:wordWrap/>
              <w:adjustRightInd w:val="0"/>
              <w:snapToGrid w:val="0"/>
              <w:ind w:firstLine="48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rPr>
              <w:t>注塑工序对</w:t>
            </w:r>
            <w:r>
              <w:rPr>
                <w:rFonts w:hint="eastAsia" w:cs="Times New Roman"/>
                <w:color w:val="auto"/>
                <w:lang w:val="en-US" w:eastAsia="zh-CN"/>
              </w:rPr>
              <w:t>PA66、PBT、ABS、POM</w:t>
            </w:r>
            <w:r>
              <w:rPr>
                <w:rFonts w:hint="default" w:ascii="Times New Roman" w:hAnsi="Times New Roman" w:cs="Times New Roman"/>
                <w:color w:val="auto"/>
              </w:rPr>
              <w:t>塑胶粒及</w:t>
            </w:r>
            <w:r>
              <w:rPr>
                <w:rFonts w:hint="eastAsia" w:cs="Times New Roman"/>
                <w:color w:val="auto"/>
                <w:lang w:eastAsia="zh-CN"/>
              </w:rPr>
              <w:t>色粉</w:t>
            </w:r>
            <w:r>
              <w:rPr>
                <w:rFonts w:hint="default" w:ascii="Times New Roman" w:hAnsi="Times New Roman" w:cs="Times New Roman"/>
                <w:color w:val="auto"/>
              </w:rPr>
              <w:t>原料加热熔化，项目注塑温度</w:t>
            </w:r>
            <w:r>
              <w:rPr>
                <w:rFonts w:hint="eastAsia" w:cs="Times New Roman"/>
                <w:color w:val="auto"/>
                <w:lang w:val="en-US" w:eastAsia="zh-CN"/>
              </w:rPr>
              <w:t>控制</w:t>
            </w:r>
            <w:r>
              <w:rPr>
                <w:rFonts w:hint="default" w:ascii="Times New Roman" w:hAnsi="Times New Roman" w:cs="Times New Roman"/>
                <w:color w:val="auto"/>
              </w:rPr>
              <w:t>低于其分解温度，故原料不发生分解，该工序产生的主要污染物为非甲烷总烃。参考</w:t>
            </w:r>
            <w:r>
              <w:rPr>
                <w:rFonts w:hint="default" w:ascii="Times New Roman" w:hAnsi="Times New Roman" w:cs="Times New Roman"/>
                <w:color w:val="auto"/>
                <w:sz w:val="24"/>
                <w:szCs w:val="24"/>
                <w:lang w:val="en-US" w:eastAsia="zh-CN"/>
              </w:rPr>
              <w:t>《广东省塑料制品与制造业、人造石制造业、电子元件制造业挥发性有机化合物排放系数使用指南》</w:t>
            </w:r>
            <w:r>
              <w:rPr>
                <w:rFonts w:hint="default" w:ascii="Times New Roman" w:hAnsi="Times New Roman" w:cs="Times New Roman"/>
                <w:color w:val="auto"/>
                <w:lang w:eastAsia="zh-CN"/>
              </w:rPr>
              <w:t>，排放系数为2.368kg/t塑胶原料用量</w:t>
            </w:r>
            <w:r>
              <w:rPr>
                <w:rFonts w:hint="default" w:ascii="Times New Roman" w:hAnsi="Times New Roman" w:cs="Times New Roman"/>
                <w:color w:val="auto"/>
              </w:rPr>
              <w:t>，项目塑料产品总重量为</w:t>
            </w:r>
            <w:r>
              <w:rPr>
                <w:rFonts w:hint="eastAsia" w:cs="Times New Roman"/>
                <w:color w:val="auto"/>
                <w:lang w:val="en-US" w:eastAsia="zh-CN"/>
              </w:rPr>
              <w:t>325</w:t>
            </w:r>
            <w:r>
              <w:rPr>
                <w:rFonts w:hint="default" w:ascii="Times New Roman" w:hAnsi="Times New Roman" w:cs="Times New Roman"/>
                <w:color w:val="auto"/>
              </w:rPr>
              <w:t>t/a，计算得出注塑过程非甲烷总烃产生量</w:t>
            </w:r>
            <w:r>
              <w:rPr>
                <w:rFonts w:hint="default" w:ascii="Times New Roman" w:hAnsi="Times New Roman" w:cs="Times New Roman"/>
                <w:color w:val="auto"/>
                <w:highlight w:val="none"/>
              </w:rPr>
              <w:t>为</w:t>
            </w:r>
            <w:r>
              <w:rPr>
                <w:rFonts w:hint="eastAsia" w:cs="Times New Roman"/>
                <w:color w:val="auto"/>
                <w:highlight w:val="none"/>
                <w:lang w:val="en-US" w:eastAsia="zh-CN"/>
              </w:rPr>
              <w:t>0.77</w:t>
            </w:r>
            <w:r>
              <w:rPr>
                <w:rFonts w:hint="default" w:ascii="Times New Roman" w:hAnsi="Times New Roman" w:cs="Times New Roman"/>
                <w:color w:val="auto"/>
                <w:highlight w:val="none"/>
              </w:rPr>
              <w:t>t/a</w:t>
            </w:r>
            <w:r>
              <w:rPr>
                <w:rFonts w:hint="default" w:ascii="Times New Roman" w:hAnsi="Times New Roman" w:cs="Times New Roman"/>
                <w:color w:val="auto"/>
                <w:highlight w:val="none"/>
                <w:lang w:eastAsia="zh-CN"/>
              </w:rPr>
              <w:t>。</w:t>
            </w:r>
          </w:p>
          <w:p w14:paraId="3CC442EC">
            <w:pPr>
              <w:numPr>
                <w:ilvl w:val="0"/>
                <w:numId w:val="0"/>
              </w:numPr>
              <w:wordWrap/>
              <w:adjustRightInd w:val="0"/>
              <w:snapToGrid w:val="0"/>
              <w:ind w:firstLine="482" w:firstLineChars="200"/>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②臭气</w:t>
            </w:r>
          </w:p>
          <w:p w14:paraId="1EA1B9EF">
            <w:pPr>
              <w:numPr>
                <w:ilvl w:val="0"/>
                <w:numId w:val="0"/>
              </w:numPr>
              <w:wordWrap/>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rPr>
              <w:t>项目注塑过程中，除产生有机废气外会伴有明显的异味，项目以臭气浓度进行表征，影响的范围集中在污染源产生的位置至厂房边界，因臭气浓度较小，项目只对其进行定性分析，注塑工序产生的臭气随非甲烷总烃被收集处理后经排气筒排放，未被收集的臭气在保持车间通风的情况下无组织排放，不会对周边大气环境造成不利影响。</w:t>
            </w:r>
          </w:p>
          <w:p w14:paraId="2F68429A">
            <w:pPr>
              <w:numPr>
                <w:ilvl w:val="0"/>
                <w:numId w:val="0"/>
              </w:numPr>
              <w:wordWrap/>
              <w:adjustRightInd w:val="0"/>
              <w:snapToGrid w:val="0"/>
              <w:ind w:firstLine="482" w:firstLineChars="200"/>
              <w:rPr>
                <w:rFonts w:hint="default" w:ascii="Times New Roman" w:hAnsi="Times New Roman" w:cs="Times New Roman"/>
                <w:b/>
                <w:bCs/>
                <w:color w:val="auto"/>
                <w:szCs w:val="22"/>
                <w:lang w:val="en-US" w:eastAsia="zh-CN"/>
              </w:rPr>
            </w:pPr>
            <w:r>
              <w:rPr>
                <w:rFonts w:hint="eastAsia" w:cs="Times New Roman"/>
                <w:b/>
                <w:bCs/>
                <w:color w:val="auto"/>
                <w:kern w:val="2"/>
                <w:sz w:val="24"/>
                <w:szCs w:val="22"/>
                <w:lang w:val="en-US" w:eastAsia="zh-CN" w:bidi="ar-SA"/>
              </w:rPr>
              <w:t>2</w:t>
            </w:r>
            <w:r>
              <w:rPr>
                <w:rFonts w:hint="default" w:ascii="Times New Roman" w:hAnsi="Times New Roman" w:eastAsia="宋体" w:cs="Times New Roman"/>
                <w:b/>
                <w:bCs/>
                <w:color w:val="auto"/>
                <w:kern w:val="2"/>
                <w:sz w:val="24"/>
                <w:szCs w:val="22"/>
                <w:lang w:val="en-US" w:eastAsia="zh-CN" w:bidi="ar-SA"/>
              </w:rPr>
              <w:t>）</w:t>
            </w:r>
            <w:r>
              <w:rPr>
                <w:rFonts w:hint="default" w:ascii="Times New Roman" w:hAnsi="Times New Roman" w:cs="Times New Roman"/>
                <w:b/>
                <w:bCs/>
                <w:color w:val="auto"/>
                <w:szCs w:val="22"/>
                <w:lang w:val="en-US" w:eastAsia="zh-CN"/>
              </w:rPr>
              <w:t>破碎粉尘</w:t>
            </w:r>
          </w:p>
          <w:p w14:paraId="13FF8049">
            <w:pPr>
              <w:ind w:firstLine="480" w:firstLineChars="200"/>
              <w:rPr>
                <w:rFonts w:hint="default" w:ascii="Times New Roman" w:hAnsi="Times New Roman" w:cs="Times New Roman"/>
                <w:b/>
                <w:color w:val="auto"/>
                <w:kern w:val="21"/>
                <w:lang w:val="en-US" w:eastAsia="zh-CN"/>
              </w:rPr>
            </w:pPr>
            <w:r>
              <w:rPr>
                <w:rFonts w:hint="default" w:ascii="Times New Roman" w:hAnsi="Times New Roman" w:cs="Times New Roman"/>
                <w:color w:val="auto"/>
              </w:rPr>
              <w:t>项目注塑过程会产生废料，</w:t>
            </w:r>
            <w:r>
              <w:rPr>
                <w:rFonts w:hint="eastAsia" w:cs="Times New Roman"/>
                <w:color w:val="auto"/>
                <w:lang w:val="en-US" w:eastAsia="zh-CN"/>
              </w:rPr>
              <w:t>质检</w:t>
            </w:r>
            <w:r>
              <w:rPr>
                <w:rFonts w:hint="default" w:ascii="Times New Roman" w:hAnsi="Times New Roman" w:cs="Times New Roman"/>
                <w:color w:val="auto"/>
              </w:rPr>
              <w:t>过程会产生不合格品，成品仅为塑料制品，不与其他零配件进行组装，使用碎料机进行破碎后可回用于生产，碎料过程会产生一定量的粉尘，项目以颗粒物进行表征。参考《排放源统计调查产排污核算方法和系数手册》42废弃资源综合利用行业系数手册中4220非金属废料和碎屑加工处理行业系数表，</w:t>
            </w:r>
            <w:r>
              <w:rPr>
                <w:rFonts w:hint="default" w:ascii="Times New Roman" w:hAnsi="Times New Roman" w:cs="Times New Roman"/>
                <w:color w:val="auto"/>
                <w:lang w:val="en-US" w:eastAsia="zh-CN"/>
              </w:rPr>
              <w:t>取</w:t>
            </w:r>
            <w:r>
              <w:rPr>
                <w:rFonts w:hint="default" w:ascii="Times New Roman" w:hAnsi="Times New Roman" w:cs="Times New Roman"/>
                <w:color w:val="auto"/>
              </w:rPr>
              <w:t>废</w:t>
            </w:r>
            <w:r>
              <w:rPr>
                <w:rFonts w:hint="default" w:ascii="Times New Roman" w:hAnsi="Times New Roman" w:cs="Times New Roman"/>
                <w:color w:val="auto"/>
                <w:lang w:val="en-US" w:eastAsia="zh-CN"/>
              </w:rPr>
              <w:t>ABS</w:t>
            </w:r>
            <w:r>
              <w:rPr>
                <w:rFonts w:hint="default" w:ascii="Times New Roman" w:hAnsi="Times New Roman" w:cs="Times New Roman"/>
                <w:color w:val="auto"/>
              </w:rPr>
              <w:t>干法破碎工序颗粒物产污系数为</w:t>
            </w:r>
            <w:r>
              <w:rPr>
                <w:rFonts w:hint="default" w:ascii="Times New Roman" w:hAnsi="Times New Roman" w:cs="Times New Roman"/>
                <w:color w:val="auto"/>
                <w:lang w:val="en-US" w:eastAsia="zh-CN"/>
              </w:rPr>
              <w:t>425</w:t>
            </w:r>
            <w:r>
              <w:rPr>
                <w:rFonts w:hint="default" w:ascii="Times New Roman" w:hAnsi="Times New Roman" w:cs="Times New Roman"/>
                <w:color w:val="auto"/>
              </w:rPr>
              <w:t>g/t原料。项目塑料粒使用量为</w:t>
            </w:r>
            <w:r>
              <w:rPr>
                <w:rFonts w:hint="eastAsia" w:cs="Times New Roman"/>
                <w:color w:val="auto"/>
                <w:lang w:val="en-US" w:eastAsia="zh-CN"/>
              </w:rPr>
              <w:t>326</w:t>
            </w:r>
            <w:r>
              <w:rPr>
                <w:rFonts w:hint="default" w:ascii="Times New Roman" w:hAnsi="Times New Roman" w:cs="Times New Roman"/>
                <w:color w:val="auto"/>
              </w:rPr>
              <w:t>t/a，根据企业提供资料，废料及不合格品约占原料量的1%，则废料及不合格品产生量为</w:t>
            </w:r>
            <w:r>
              <w:rPr>
                <w:rFonts w:hint="eastAsia" w:cs="Times New Roman"/>
                <w:color w:val="auto"/>
                <w:lang w:val="en-US" w:eastAsia="zh-CN"/>
              </w:rPr>
              <w:t>3.26</w:t>
            </w:r>
            <w:r>
              <w:rPr>
                <w:rFonts w:hint="default" w:ascii="Times New Roman" w:hAnsi="Times New Roman" w:cs="Times New Roman"/>
                <w:color w:val="auto"/>
              </w:rPr>
              <w:t>t/a，计算得出废料及不合格品碎料过程颗粒物产生量为</w:t>
            </w:r>
            <w:r>
              <w:rPr>
                <w:rFonts w:hint="default" w:ascii="Times New Roman" w:hAnsi="Times New Roman" w:cs="Times New Roman"/>
                <w:color w:val="auto"/>
                <w:lang w:val="en-US" w:eastAsia="zh-CN"/>
              </w:rPr>
              <w:t>0.00</w:t>
            </w:r>
            <w:r>
              <w:rPr>
                <w:rFonts w:hint="eastAsia" w:cs="Times New Roman"/>
                <w:color w:val="auto"/>
                <w:lang w:val="en-US" w:eastAsia="zh-CN"/>
              </w:rPr>
              <w:t>14</w:t>
            </w:r>
            <w:r>
              <w:rPr>
                <w:rFonts w:hint="default" w:ascii="Times New Roman" w:hAnsi="Times New Roman" w:cs="Times New Roman"/>
                <w:color w:val="auto"/>
              </w:rPr>
              <w:t>t/a，产生速率为</w:t>
            </w:r>
            <w:r>
              <w:rPr>
                <w:rFonts w:hint="default" w:ascii="Times New Roman" w:hAnsi="Times New Roman" w:cs="Times New Roman"/>
                <w:color w:val="auto"/>
                <w:lang w:val="en-US" w:eastAsia="zh-CN"/>
              </w:rPr>
              <w:t>0.00</w:t>
            </w:r>
            <w:r>
              <w:rPr>
                <w:rFonts w:hint="eastAsia" w:cs="Times New Roman"/>
                <w:color w:val="auto"/>
                <w:lang w:val="en-US" w:eastAsia="zh-CN"/>
              </w:rPr>
              <w:t>23</w:t>
            </w:r>
            <w:r>
              <w:rPr>
                <w:rFonts w:hint="default" w:ascii="Times New Roman" w:hAnsi="Times New Roman" w:cs="Times New Roman"/>
                <w:color w:val="auto"/>
              </w:rPr>
              <w:t>kg/h（按年300天，每天2小时计算）。</w:t>
            </w:r>
            <w:r>
              <w:rPr>
                <w:rFonts w:hint="default" w:ascii="Times New Roman" w:hAnsi="Times New Roman" w:cs="Times New Roman"/>
                <w:color w:val="auto"/>
                <w:szCs w:val="22"/>
              </w:rPr>
              <w:t>因产生量极小，在加强通风的条件下在车间无组织排放，对周边大气环境影响较小。</w:t>
            </w:r>
          </w:p>
          <w:p w14:paraId="539D225B">
            <w:pPr>
              <w:wordWrap/>
              <w:adjustRightInd w:val="0"/>
              <w:snapToGrid w:val="0"/>
              <w:ind w:firstLine="482" w:firstLineChars="200"/>
              <w:rPr>
                <w:rFonts w:hint="default" w:ascii="Times New Roman" w:hAnsi="Times New Roman" w:cs="Times New Roman"/>
                <w:b/>
                <w:color w:val="auto"/>
                <w:kern w:val="21"/>
                <w:lang w:val="en-US" w:eastAsia="zh-CN"/>
              </w:rPr>
            </w:pPr>
            <w:r>
              <w:rPr>
                <w:rFonts w:hint="eastAsia" w:cs="Times New Roman"/>
                <w:b/>
                <w:color w:val="auto"/>
                <w:kern w:val="21"/>
                <w:lang w:val="en-US" w:eastAsia="zh-CN"/>
              </w:rPr>
              <w:t>3</w:t>
            </w:r>
            <w:r>
              <w:rPr>
                <w:rFonts w:hint="default" w:ascii="Times New Roman" w:hAnsi="Times New Roman" w:cs="Times New Roman"/>
                <w:b/>
                <w:color w:val="auto"/>
                <w:kern w:val="21"/>
                <w:lang w:val="en-US" w:eastAsia="zh-CN"/>
              </w:rPr>
              <w:t>）移印废气</w:t>
            </w:r>
          </w:p>
          <w:p w14:paraId="384D5781">
            <w:pPr>
              <w:wordWrap/>
              <w:adjustRightInd w:val="0"/>
              <w:snapToGrid w:val="0"/>
              <w:ind w:firstLine="480" w:firstLineChars="200"/>
              <w:rPr>
                <w:rFonts w:hint="default" w:ascii="Times New Roman" w:hAnsi="Times New Roman" w:cs="Times New Roman"/>
                <w:b w:val="0"/>
                <w:bCs/>
                <w:color w:val="auto"/>
                <w:kern w:val="21"/>
                <w:lang w:val="en-US" w:eastAsia="zh-CN"/>
              </w:rPr>
            </w:pPr>
            <w:r>
              <w:rPr>
                <w:rFonts w:hint="default" w:ascii="Times New Roman" w:hAnsi="Times New Roman" w:cs="Times New Roman"/>
                <w:b w:val="0"/>
                <w:bCs/>
                <w:color w:val="auto"/>
                <w:kern w:val="21"/>
                <w:lang w:val="en-US" w:eastAsia="zh-CN"/>
              </w:rPr>
              <w:t>项目移印工序使用水性油墨中会产生少量非甲烷总烃，年工作时间为2400h，以非甲烷总烃表征。根据水性油墨的VOC检测报告可知，水性油墨的挥发性有机化合物含量为4.5%，水性油墨使用量为</w:t>
            </w:r>
            <w:r>
              <w:rPr>
                <w:rFonts w:hint="eastAsia" w:cs="Times New Roman"/>
                <w:b w:val="0"/>
                <w:bCs/>
                <w:color w:val="auto"/>
                <w:kern w:val="21"/>
                <w:lang w:val="en-US" w:eastAsia="zh-CN"/>
              </w:rPr>
              <w:t>0.6</w:t>
            </w:r>
            <w:r>
              <w:rPr>
                <w:rFonts w:hint="default" w:ascii="Times New Roman" w:hAnsi="Times New Roman" w:cs="Times New Roman"/>
                <w:b w:val="0"/>
                <w:bCs/>
                <w:color w:val="auto"/>
                <w:kern w:val="21"/>
                <w:lang w:val="en-US" w:eastAsia="zh-CN"/>
              </w:rPr>
              <w:t>t/a，计算得出移印过程非甲烷总烃产生量为0.02</w:t>
            </w:r>
            <w:r>
              <w:rPr>
                <w:rFonts w:hint="eastAsia" w:cs="Times New Roman"/>
                <w:b w:val="0"/>
                <w:bCs/>
                <w:color w:val="auto"/>
                <w:kern w:val="21"/>
                <w:lang w:val="en-US" w:eastAsia="zh-CN"/>
              </w:rPr>
              <w:t>7</w:t>
            </w:r>
            <w:r>
              <w:rPr>
                <w:rFonts w:hint="default" w:ascii="Times New Roman" w:hAnsi="Times New Roman" w:cs="Times New Roman"/>
                <w:b w:val="0"/>
                <w:bCs/>
                <w:color w:val="auto"/>
                <w:kern w:val="21"/>
                <w:lang w:val="en-US" w:eastAsia="zh-CN"/>
              </w:rPr>
              <w:t>t/a</w:t>
            </w:r>
            <w:r>
              <w:rPr>
                <w:rFonts w:hint="eastAsia" w:cs="Times New Roman"/>
                <w:b w:val="0"/>
                <w:bCs/>
                <w:color w:val="auto"/>
                <w:kern w:val="21"/>
                <w:lang w:val="en-US" w:eastAsia="zh-CN"/>
              </w:rPr>
              <w:t>，</w:t>
            </w:r>
            <w:r>
              <w:rPr>
                <w:rFonts w:hint="default" w:ascii="Times New Roman" w:hAnsi="Times New Roman" w:cs="Times New Roman"/>
                <w:color w:val="auto"/>
              </w:rPr>
              <w:t>产生速率为</w:t>
            </w:r>
            <w:r>
              <w:rPr>
                <w:rFonts w:hint="default" w:ascii="Times New Roman" w:hAnsi="Times New Roman" w:cs="Times New Roman"/>
                <w:color w:val="auto"/>
                <w:lang w:val="en-US" w:eastAsia="zh-CN"/>
              </w:rPr>
              <w:t>0.0</w:t>
            </w:r>
            <w:r>
              <w:rPr>
                <w:rFonts w:hint="eastAsia" w:ascii="Times New Roman" w:hAnsi="Times New Roman" w:cs="Times New Roman"/>
                <w:color w:val="auto"/>
                <w:lang w:val="en-US" w:eastAsia="zh-CN"/>
              </w:rPr>
              <w:t>113</w:t>
            </w:r>
            <w:r>
              <w:rPr>
                <w:rFonts w:hint="default" w:ascii="Times New Roman" w:hAnsi="Times New Roman" w:cs="Times New Roman"/>
                <w:color w:val="auto"/>
              </w:rPr>
              <w:t>kg/h</w:t>
            </w:r>
            <w:r>
              <w:rPr>
                <w:rFonts w:hint="default" w:ascii="Times New Roman" w:hAnsi="Times New Roman" w:cs="Times New Roman"/>
                <w:b w:val="0"/>
                <w:bCs/>
                <w:color w:val="auto"/>
                <w:kern w:val="21"/>
                <w:lang w:val="en-US" w:eastAsia="zh-CN"/>
              </w:rPr>
              <w:t>。</w:t>
            </w:r>
          </w:p>
          <w:p w14:paraId="1B64F93A">
            <w:pPr>
              <w:wordWrap/>
              <w:adjustRightInd w:val="0"/>
              <w:snapToGrid w:val="0"/>
              <w:ind w:firstLine="482" w:firstLineChars="200"/>
              <w:rPr>
                <w:rFonts w:hint="default" w:ascii="Times New Roman" w:hAnsi="Times New Roman" w:eastAsia="宋体" w:cs="Times New Roman"/>
                <w:b/>
                <w:color w:val="auto"/>
                <w:kern w:val="21"/>
                <w:lang w:eastAsia="zh-CN"/>
              </w:rPr>
            </w:pPr>
            <w:r>
              <w:rPr>
                <w:rFonts w:hint="eastAsia" w:cs="Times New Roman"/>
                <w:b/>
                <w:color w:val="auto"/>
                <w:kern w:val="21"/>
                <w:lang w:val="en-US" w:eastAsia="zh-CN"/>
              </w:rPr>
              <w:t>4</w:t>
            </w:r>
            <w:r>
              <w:rPr>
                <w:rFonts w:hint="default" w:ascii="Times New Roman" w:hAnsi="Times New Roman" w:cs="Times New Roman"/>
                <w:b/>
                <w:color w:val="auto"/>
                <w:kern w:val="21"/>
              </w:rPr>
              <w:t>）机加工</w:t>
            </w:r>
            <w:r>
              <w:rPr>
                <w:rFonts w:hint="default" w:ascii="Times New Roman" w:hAnsi="Times New Roman" w:cs="Times New Roman"/>
                <w:b/>
                <w:color w:val="auto"/>
                <w:kern w:val="21"/>
                <w:lang w:val="en-US" w:eastAsia="zh-CN"/>
              </w:rPr>
              <w:t>油雾</w:t>
            </w:r>
          </w:p>
          <w:p w14:paraId="7052BA08">
            <w:pPr>
              <w:wordWrap/>
              <w:adjustRightInd w:val="0"/>
              <w:snapToGrid w:val="0"/>
              <w:spacing w:line="360" w:lineRule="auto"/>
              <w:ind w:firstLine="480" w:firstLineChars="200"/>
              <w:rPr>
                <w:rFonts w:hint="default" w:ascii="Times New Roman" w:hAnsi="Times New Roman" w:cs="Times New Roman"/>
                <w:color w:val="auto"/>
                <w:szCs w:val="22"/>
                <w:highlight w:val="none"/>
              </w:rPr>
            </w:pPr>
            <w:r>
              <w:rPr>
                <w:rFonts w:hint="default" w:ascii="Times New Roman" w:hAnsi="Times New Roman" w:cs="Times New Roman"/>
                <w:color w:val="auto"/>
                <w:szCs w:val="22"/>
                <w:highlight w:val="none"/>
              </w:rPr>
              <w:t>项目</w:t>
            </w:r>
            <w:r>
              <w:rPr>
                <w:rFonts w:hint="default" w:ascii="Times New Roman" w:hAnsi="Times New Roman" w:cs="Times New Roman"/>
                <w:color w:val="auto"/>
                <w:szCs w:val="22"/>
                <w:highlight w:val="none"/>
                <w:lang w:val="en-US" w:eastAsia="zh-CN"/>
              </w:rPr>
              <w:t>对工件进行机加工的过程中</w:t>
            </w:r>
            <w:r>
              <w:rPr>
                <w:rFonts w:hint="default" w:ascii="Times New Roman" w:hAnsi="Times New Roman" w:cs="Times New Roman"/>
                <w:color w:val="auto"/>
                <w:szCs w:val="22"/>
                <w:highlight w:val="none"/>
              </w:rPr>
              <w:t>，</w:t>
            </w:r>
            <w:r>
              <w:rPr>
                <w:rFonts w:hint="default" w:ascii="Times New Roman" w:hAnsi="Times New Roman" w:cs="Times New Roman"/>
                <w:color w:val="auto"/>
                <w:szCs w:val="22"/>
                <w:highlight w:val="none"/>
                <w:lang w:val="en-US" w:eastAsia="zh-CN"/>
              </w:rPr>
              <w:t>需使用切削液对切削面进行润滑和冷却，</w:t>
            </w:r>
            <w:r>
              <w:rPr>
                <w:rFonts w:hint="default" w:ascii="Times New Roman" w:hAnsi="Times New Roman" w:cs="Times New Roman"/>
                <w:color w:val="auto"/>
                <w:szCs w:val="22"/>
                <w:highlight w:val="none"/>
              </w:rPr>
              <w:t>附着在工件表面的</w:t>
            </w:r>
            <w:r>
              <w:rPr>
                <w:rFonts w:hint="default" w:ascii="Times New Roman" w:hAnsi="Times New Roman" w:cs="Times New Roman"/>
                <w:color w:val="auto"/>
                <w:szCs w:val="22"/>
                <w:highlight w:val="none"/>
                <w:lang w:val="en-US" w:eastAsia="zh-CN"/>
              </w:rPr>
              <w:t>切削液</w:t>
            </w:r>
            <w:r>
              <w:rPr>
                <w:rFonts w:hint="default" w:ascii="Times New Roman" w:hAnsi="Times New Roman" w:cs="Times New Roman"/>
                <w:color w:val="auto"/>
                <w:szCs w:val="22"/>
                <w:highlight w:val="none"/>
              </w:rPr>
              <w:t>在高温下气化，会分解出</w:t>
            </w:r>
            <w:r>
              <w:rPr>
                <w:rFonts w:hint="default" w:ascii="Times New Roman" w:hAnsi="Times New Roman" w:cs="Times New Roman"/>
                <w:color w:val="auto"/>
                <w:szCs w:val="22"/>
                <w:highlight w:val="none"/>
                <w:lang w:val="en-US" w:eastAsia="zh-CN"/>
              </w:rPr>
              <w:t>少量</w:t>
            </w:r>
            <w:r>
              <w:rPr>
                <w:rFonts w:hint="default" w:ascii="Times New Roman" w:hAnsi="Times New Roman" w:cs="Times New Roman"/>
                <w:color w:val="auto"/>
                <w:szCs w:val="22"/>
                <w:highlight w:val="none"/>
              </w:rPr>
              <w:t>烃类物质，主要污染物为非甲烷总烃。根据生态环境保护部《排放源统计调查产排污核算方法和系数手册》中“33-37，431-434机械行业系数手册”-“湿式机加工件”-“车床加工、铣床加工、刨床加工、磨床加工、镗床加工、钳床加工、钻床加工、加工中心加工、数控中心加工”挥发性有机物产污系数为5.64kg/t原料，项目</w:t>
            </w:r>
            <w:r>
              <w:rPr>
                <w:rFonts w:hint="default" w:ascii="Times New Roman" w:hAnsi="Times New Roman" w:cs="Times New Roman"/>
                <w:color w:val="auto"/>
                <w:szCs w:val="22"/>
                <w:highlight w:val="none"/>
                <w:lang w:val="en-US" w:eastAsia="zh-CN"/>
              </w:rPr>
              <w:t>切削液</w:t>
            </w:r>
            <w:r>
              <w:rPr>
                <w:rFonts w:hint="default" w:ascii="Times New Roman" w:hAnsi="Times New Roman" w:cs="Times New Roman"/>
                <w:color w:val="auto"/>
                <w:szCs w:val="22"/>
                <w:highlight w:val="none"/>
              </w:rPr>
              <w:t>使用量为</w:t>
            </w:r>
            <w:r>
              <w:rPr>
                <w:rFonts w:hint="default" w:ascii="Times New Roman" w:hAnsi="Times New Roman" w:cs="Times New Roman"/>
                <w:color w:val="auto"/>
                <w:szCs w:val="22"/>
                <w:highlight w:val="none"/>
                <w:lang w:val="en-US" w:eastAsia="zh-CN"/>
              </w:rPr>
              <w:t>0.</w:t>
            </w:r>
            <w:r>
              <w:rPr>
                <w:rFonts w:hint="eastAsia" w:cs="Times New Roman"/>
                <w:color w:val="auto"/>
                <w:szCs w:val="22"/>
                <w:highlight w:val="none"/>
                <w:lang w:val="en-US" w:eastAsia="zh-CN"/>
              </w:rPr>
              <w:t>2</w:t>
            </w:r>
            <w:r>
              <w:rPr>
                <w:rFonts w:hint="default" w:ascii="Times New Roman" w:hAnsi="Times New Roman" w:cs="Times New Roman"/>
                <w:color w:val="auto"/>
                <w:szCs w:val="22"/>
                <w:highlight w:val="none"/>
              </w:rPr>
              <w:t>t/a，计算得出非甲烷总烃产生量为</w:t>
            </w:r>
            <w:r>
              <w:rPr>
                <w:rFonts w:hint="default" w:ascii="Times New Roman" w:hAnsi="Times New Roman" w:cs="Times New Roman"/>
                <w:color w:val="auto"/>
                <w:szCs w:val="22"/>
                <w:highlight w:val="none"/>
                <w:lang w:val="en-US" w:eastAsia="zh-CN"/>
              </w:rPr>
              <w:t>0.00</w:t>
            </w:r>
            <w:r>
              <w:rPr>
                <w:rFonts w:hint="eastAsia" w:cs="Times New Roman"/>
                <w:color w:val="auto"/>
                <w:szCs w:val="22"/>
                <w:highlight w:val="none"/>
                <w:lang w:val="en-US" w:eastAsia="zh-CN"/>
              </w:rPr>
              <w:t>026</w:t>
            </w:r>
            <w:r>
              <w:rPr>
                <w:rFonts w:hint="default" w:ascii="Times New Roman" w:hAnsi="Times New Roman" w:cs="Times New Roman"/>
                <w:color w:val="auto"/>
                <w:szCs w:val="22"/>
                <w:highlight w:val="none"/>
              </w:rPr>
              <w:t>t/a</w:t>
            </w:r>
            <w:r>
              <w:rPr>
                <w:rFonts w:hint="eastAsia" w:cs="Times New Roman"/>
                <w:color w:val="auto"/>
                <w:szCs w:val="22"/>
                <w:highlight w:val="none"/>
                <w:lang w:eastAsia="zh-CN"/>
              </w:rPr>
              <w:t>，</w:t>
            </w:r>
            <w:r>
              <w:rPr>
                <w:rFonts w:hint="default" w:ascii="Times New Roman" w:hAnsi="Times New Roman" w:cs="Times New Roman"/>
                <w:color w:val="auto"/>
              </w:rPr>
              <w:t>产生速率为</w:t>
            </w:r>
            <w:r>
              <w:rPr>
                <w:rFonts w:hint="default" w:ascii="Times New Roman" w:hAnsi="Times New Roman" w:cs="Times New Roman"/>
                <w:color w:val="auto"/>
                <w:lang w:val="en-US" w:eastAsia="zh-CN"/>
              </w:rPr>
              <w:t>0.00</w:t>
            </w:r>
            <w:r>
              <w:rPr>
                <w:rFonts w:hint="eastAsia" w:ascii="Times New Roman" w:hAnsi="Times New Roman" w:cs="Times New Roman"/>
                <w:color w:val="auto"/>
                <w:lang w:val="en-US" w:eastAsia="zh-CN"/>
              </w:rPr>
              <w:t>014</w:t>
            </w:r>
            <w:r>
              <w:rPr>
                <w:rFonts w:hint="default" w:ascii="Times New Roman" w:hAnsi="Times New Roman" w:cs="Times New Roman"/>
                <w:color w:val="auto"/>
              </w:rPr>
              <w:t>kg/h（按年300天，每天</w:t>
            </w:r>
            <w:r>
              <w:rPr>
                <w:rFonts w:hint="eastAsia" w:ascii="Times New Roman" w:hAnsi="Times New Roman" w:cs="Times New Roman"/>
                <w:color w:val="auto"/>
                <w:lang w:val="en-US" w:eastAsia="zh-CN"/>
              </w:rPr>
              <w:t>6</w:t>
            </w:r>
            <w:r>
              <w:rPr>
                <w:rFonts w:hint="default" w:ascii="Times New Roman" w:hAnsi="Times New Roman" w:cs="Times New Roman"/>
                <w:color w:val="auto"/>
              </w:rPr>
              <w:t>小时计算）</w:t>
            </w:r>
            <w:r>
              <w:rPr>
                <w:rFonts w:hint="default" w:ascii="Times New Roman" w:hAnsi="Times New Roman" w:cs="Times New Roman"/>
                <w:color w:val="auto"/>
                <w:szCs w:val="22"/>
                <w:highlight w:val="none"/>
              </w:rPr>
              <w:t>。</w:t>
            </w:r>
          </w:p>
          <w:p w14:paraId="720CA7C1">
            <w:pPr>
              <w:wordWrap/>
              <w:ind w:firstLine="482" w:firstLineChars="200"/>
              <w:rPr>
                <w:rFonts w:hint="default" w:ascii="Times New Roman" w:hAnsi="Times New Roman" w:eastAsia="宋体" w:cs="Times New Roman"/>
                <w:b/>
                <w:bCs/>
                <w:color w:val="auto"/>
                <w:szCs w:val="22"/>
                <w:lang w:val="en-US" w:eastAsia="zh-CN"/>
              </w:rPr>
            </w:pPr>
            <w:r>
              <w:rPr>
                <w:rFonts w:hint="eastAsia" w:cs="Times New Roman"/>
                <w:b/>
                <w:bCs/>
                <w:color w:val="auto"/>
                <w:szCs w:val="22"/>
                <w:lang w:val="en-US" w:eastAsia="zh-CN"/>
              </w:rPr>
              <w:t>5</w:t>
            </w:r>
            <w:r>
              <w:rPr>
                <w:rFonts w:hint="default" w:ascii="Times New Roman" w:hAnsi="Times New Roman" w:cs="Times New Roman"/>
                <w:b/>
                <w:bCs/>
                <w:color w:val="auto"/>
                <w:szCs w:val="22"/>
                <w:lang w:val="en-US" w:eastAsia="zh-CN"/>
              </w:rPr>
              <w:t>）</w:t>
            </w:r>
            <w:bookmarkStart w:id="12" w:name="电火花加工"/>
            <w:r>
              <w:rPr>
                <w:rFonts w:hint="default" w:ascii="Times New Roman" w:hAnsi="Times New Roman" w:cs="Times New Roman"/>
                <w:b/>
                <w:bCs/>
                <w:color w:val="auto"/>
                <w:szCs w:val="22"/>
                <w:lang w:val="en-US" w:eastAsia="zh-CN"/>
              </w:rPr>
              <w:t>电火花加工</w:t>
            </w:r>
            <w:bookmarkEnd w:id="12"/>
          </w:p>
          <w:p w14:paraId="035E8125">
            <w:pPr>
              <w:wordWrap/>
              <w:adjustRightInd w:val="0"/>
              <w:snapToGrid w:val="0"/>
              <w:ind w:firstLine="480" w:firstLineChars="200"/>
              <w:jc w:val="both"/>
              <w:rPr>
                <w:rFonts w:hint="default" w:ascii="Times New Roman" w:hAnsi="Times New Roman" w:cs="Times New Roman"/>
                <w:color w:val="auto"/>
                <w:sz w:val="24"/>
                <w:szCs w:val="22"/>
                <w:highlight w:val="none"/>
                <w:lang w:val="en-US" w:eastAsia="zh-CN"/>
              </w:rPr>
            </w:pPr>
            <w:r>
              <w:rPr>
                <w:rFonts w:hint="default" w:ascii="Times New Roman" w:hAnsi="Times New Roman" w:cs="Times New Roman"/>
                <w:color w:val="auto"/>
                <w:sz w:val="24"/>
                <w:szCs w:val="22"/>
                <w:highlight w:val="none"/>
                <w:lang w:val="en-US" w:eastAsia="zh-CN"/>
              </w:rPr>
              <w:t>项目使用火花机对工件进行加工过程，附着在工件表面的火花油在高温下气化，少量火花油会分解出烃类物质，主要污染物为颗粒物和非甲烷总烃。</w:t>
            </w:r>
          </w:p>
          <w:p w14:paraId="2D49E9F6">
            <w:pPr>
              <w:wordWrap/>
              <w:adjustRightInd w:val="0"/>
              <w:snapToGrid w:val="0"/>
              <w:ind w:firstLine="480" w:firstLineChars="200"/>
              <w:jc w:val="both"/>
              <w:rPr>
                <w:rFonts w:hint="default" w:ascii="Times New Roman" w:hAnsi="Times New Roman" w:cs="Times New Roman"/>
                <w:color w:val="auto"/>
                <w:sz w:val="24"/>
                <w:szCs w:val="22"/>
                <w:highlight w:val="none"/>
                <w:lang w:val="en-US" w:eastAsia="zh-CN"/>
              </w:rPr>
            </w:pPr>
            <w:r>
              <w:rPr>
                <w:rFonts w:hint="default" w:ascii="Times New Roman" w:hAnsi="Times New Roman" w:cs="Times New Roman"/>
                <w:color w:val="auto"/>
                <w:sz w:val="24"/>
                <w:szCs w:val="22"/>
                <w:highlight w:val="none"/>
                <w:lang w:val="en-US" w:eastAsia="zh-CN"/>
              </w:rPr>
              <w:t>根据生态环境保护部《排放源统计调查产排污核算方法和系数手册》中“33-37，431-434机械行业系数手册”-“热处理”-“热处理件”-“淬火油”-“整体热处理（淬火/回火）”中挥发性有机物产生系数为0.01kg/t原料，颗粒物产生系数为200kg/t原料，项目火花油使用量为0.</w:t>
            </w:r>
            <w:r>
              <w:rPr>
                <w:rFonts w:hint="eastAsia" w:cs="Times New Roman"/>
                <w:color w:val="auto"/>
                <w:sz w:val="24"/>
                <w:szCs w:val="22"/>
                <w:highlight w:val="none"/>
                <w:lang w:val="en-US" w:eastAsia="zh-CN"/>
              </w:rPr>
              <w:t>2</w:t>
            </w:r>
            <w:r>
              <w:rPr>
                <w:rFonts w:hint="default" w:ascii="Times New Roman" w:hAnsi="Times New Roman" w:cs="Times New Roman"/>
                <w:color w:val="auto"/>
                <w:sz w:val="24"/>
                <w:szCs w:val="22"/>
                <w:highlight w:val="none"/>
                <w:lang w:val="en-US" w:eastAsia="zh-CN"/>
              </w:rPr>
              <w:t>t/a，计算得出颗粒物产生量为0.</w:t>
            </w:r>
            <w:r>
              <w:rPr>
                <w:rFonts w:hint="eastAsia" w:cs="Times New Roman"/>
                <w:color w:val="auto"/>
                <w:sz w:val="24"/>
                <w:szCs w:val="22"/>
                <w:highlight w:val="none"/>
                <w:lang w:val="en-US" w:eastAsia="zh-CN"/>
              </w:rPr>
              <w:t>04</w:t>
            </w:r>
            <w:r>
              <w:rPr>
                <w:rFonts w:hint="default" w:ascii="Times New Roman" w:hAnsi="Times New Roman" w:cs="Times New Roman"/>
                <w:color w:val="auto"/>
                <w:sz w:val="24"/>
                <w:szCs w:val="22"/>
                <w:highlight w:val="none"/>
                <w:lang w:val="en-US" w:eastAsia="zh-CN"/>
              </w:rPr>
              <w:t>t/a</w:t>
            </w:r>
            <w:r>
              <w:rPr>
                <w:rFonts w:hint="eastAsia" w:cs="Times New Roman"/>
                <w:color w:val="auto"/>
                <w:sz w:val="24"/>
                <w:szCs w:val="22"/>
                <w:highlight w:val="none"/>
                <w:lang w:val="en-US" w:eastAsia="zh-CN"/>
              </w:rPr>
              <w:t>，</w:t>
            </w:r>
            <w:r>
              <w:rPr>
                <w:rFonts w:hint="default" w:ascii="Times New Roman" w:hAnsi="Times New Roman" w:cs="Times New Roman"/>
                <w:color w:val="auto"/>
              </w:rPr>
              <w:t>产生速率为</w:t>
            </w:r>
            <w:r>
              <w:rPr>
                <w:rFonts w:hint="default" w:ascii="Times New Roman" w:hAnsi="Times New Roman" w:cs="Times New Roman"/>
                <w:color w:val="auto"/>
                <w:lang w:val="en-US" w:eastAsia="zh-CN"/>
              </w:rPr>
              <w:t>0.0</w:t>
            </w:r>
            <w:r>
              <w:rPr>
                <w:rFonts w:hint="eastAsia" w:ascii="Times New Roman" w:hAnsi="Times New Roman" w:cs="Times New Roman"/>
                <w:color w:val="auto"/>
                <w:lang w:val="en-US" w:eastAsia="zh-CN"/>
              </w:rPr>
              <w:t>22</w:t>
            </w:r>
            <w:r>
              <w:rPr>
                <w:rFonts w:hint="default" w:ascii="Times New Roman" w:hAnsi="Times New Roman" w:cs="Times New Roman"/>
                <w:color w:val="auto"/>
              </w:rPr>
              <w:t>kg/h（按年300天，每天</w:t>
            </w:r>
            <w:r>
              <w:rPr>
                <w:rFonts w:hint="eastAsia" w:ascii="Times New Roman" w:hAnsi="Times New Roman" w:cs="Times New Roman"/>
                <w:color w:val="auto"/>
                <w:lang w:val="en-US" w:eastAsia="zh-CN"/>
              </w:rPr>
              <w:t>6</w:t>
            </w:r>
            <w:r>
              <w:rPr>
                <w:rFonts w:hint="default" w:ascii="Times New Roman" w:hAnsi="Times New Roman" w:cs="Times New Roman"/>
                <w:color w:val="auto"/>
              </w:rPr>
              <w:t>小时计算）</w:t>
            </w:r>
            <w:r>
              <w:rPr>
                <w:rFonts w:hint="default" w:ascii="Times New Roman" w:hAnsi="Times New Roman" w:cs="Times New Roman"/>
                <w:color w:val="auto"/>
                <w:sz w:val="24"/>
                <w:szCs w:val="22"/>
                <w:highlight w:val="none"/>
                <w:lang w:val="en-US" w:eastAsia="zh-CN"/>
              </w:rPr>
              <w:t>，非甲烷总烃产生量为0.00000</w:t>
            </w:r>
            <w:r>
              <w:rPr>
                <w:rFonts w:hint="eastAsia" w:cs="Times New Roman"/>
                <w:color w:val="auto"/>
                <w:sz w:val="24"/>
                <w:szCs w:val="22"/>
                <w:highlight w:val="none"/>
                <w:lang w:val="en-US" w:eastAsia="zh-CN"/>
              </w:rPr>
              <w:t>2</w:t>
            </w:r>
            <w:r>
              <w:rPr>
                <w:rFonts w:hint="default" w:ascii="Times New Roman" w:hAnsi="Times New Roman" w:cs="Times New Roman"/>
                <w:color w:val="auto"/>
                <w:sz w:val="24"/>
                <w:szCs w:val="22"/>
                <w:highlight w:val="none"/>
                <w:lang w:val="en-US" w:eastAsia="zh-CN"/>
              </w:rPr>
              <w:t>t/a</w:t>
            </w:r>
            <w:r>
              <w:rPr>
                <w:rFonts w:hint="eastAsia" w:cs="Times New Roman"/>
                <w:color w:val="auto"/>
                <w:sz w:val="24"/>
                <w:szCs w:val="22"/>
                <w:highlight w:val="none"/>
                <w:lang w:val="en-US" w:eastAsia="zh-CN"/>
              </w:rPr>
              <w:t>，</w:t>
            </w:r>
            <w:r>
              <w:rPr>
                <w:rFonts w:hint="default" w:ascii="Times New Roman" w:hAnsi="Times New Roman" w:cs="Times New Roman"/>
                <w:color w:val="auto"/>
              </w:rPr>
              <w:t>产生速率为</w:t>
            </w:r>
            <w:r>
              <w:rPr>
                <w:rFonts w:hint="default" w:ascii="Times New Roman" w:hAnsi="Times New Roman" w:cs="Times New Roman"/>
                <w:color w:val="auto"/>
                <w:lang w:val="en-US" w:eastAsia="zh-CN"/>
              </w:rPr>
              <w:t>0.00</w:t>
            </w:r>
            <w:r>
              <w:rPr>
                <w:rFonts w:hint="eastAsia" w:cs="Times New Roman"/>
                <w:color w:val="auto"/>
                <w:lang w:val="en-US" w:eastAsia="zh-CN"/>
              </w:rPr>
              <w:t>0001</w:t>
            </w:r>
            <w:r>
              <w:rPr>
                <w:rFonts w:hint="default" w:ascii="Times New Roman" w:hAnsi="Times New Roman" w:cs="Times New Roman"/>
                <w:color w:val="auto"/>
              </w:rPr>
              <w:t>kg/h（按年300天，每天</w:t>
            </w:r>
            <w:r>
              <w:rPr>
                <w:rFonts w:hint="eastAsia" w:ascii="Times New Roman" w:hAnsi="Times New Roman" w:cs="Times New Roman"/>
                <w:color w:val="auto"/>
                <w:lang w:val="en-US" w:eastAsia="zh-CN"/>
              </w:rPr>
              <w:t>6</w:t>
            </w:r>
            <w:r>
              <w:rPr>
                <w:rFonts w:hint="default" w:ascii="Times New Roman" w:hAnsi="Times New Roman" w:cs="Times New Roman"/>
                <w:color w:val="auto"/>
              </w:rPr>
              <w:t>小时计算）</w:t>
            </w:r>
            <w:r>
              <w:rPr>
                <w:rFonts w:hint="default" w:ascii="Times New Roman" w:hAnsi="Times New Roman" w:cs="Times New Roman"/>
                <w:color w:val="auto"/>
                <w:sz w:val="24"/>
                <w:szCs w:val="22"/>
                <w:highlight w:val="none"/>
                <w:lang w:val="en-US" w:eastAsia="zh-CN"/>
              </w:rPr>
              <w:t>。</w:t>
            </w:r>
          </w:p>
          <w:p w14:paraId="59447A3C">
            <w:pPr>
              <w:widowControl w:val="0"/>
              <w:spacing w:before="15" w:beforeAutospacing="0" w:after="0" w:afterAutospacing="0" w:line="360" w:lineRule="auto"/>
              <w:ind w:firstLine="482" w:firstLineChars="200"/>
              <w:jc w:val="both"/>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b/>
                <w:bCs w:val="0"/>
                <w:color w:val="auto"/>
                <w:spacing w:val="0"/>
                <w:kern w:val="21"/>
                <w:sz w:val="24"/>
                <w:szCs w:val="24"/>
                <w:lang w:val="en-US" w:eastAsia="zh-CN"/>
              </w:rPr>
              <w:t>排气筒DA00</w:t>
            </w:r>
            <w:r>
              <w:rPr>
                <w:rFonts w:hint="eastAsia" w:cs="Times New Roman"/>
                <w:b/>
                <w:bCs w:val="0"/>
                <w:color w:val="auto"/>
                <w:spacing w:val="0"/>
                <w:kern w:val="21"/>
                <w:sz w:val="24"/>
                <w:szCs w:val="24"/>
                <w:lang w:val="en-US" w:eastAsia="zh-CN"/>
              </w:rPr>
              <w:t>1</w:t>
            </w:r>
            <w:r>
              <w:rPr>
                <w:rFonts w:hint="default" w:ascii="Times New Roman" w:hAnsi="Times New Roman" w:eastAsia="宋体" w:cs="Times New Roman"/>
                <w:b/>
                <w:bCs/>
                <w:color w:val="auto"/>
                <w:spacing w:val="0"/>
                <w:kern w:val="0"/>
                <w:sz w:val="24"/>
                <w:szCs w:val="24"/>
                <w:highlight w:val="none"/>
                <w:lang w:val="en-US" w:eastAsia="zh-CN" w:bidi="ar-SA"/>
              </w:rPr>
              <w:t>废气收集排放说明</w:t>
            </w:r>
            <w:r>
              <w:rPr>
                <w:rFonts w:hint="default" w:ascii="Times New Roman" w:hAnsi="Times New Roman" w:eastAsia="宋体" w:cs="Times New Roman"/>
                <w:b/>
                <w:bCs/>
                <w:color w:val="auto"/>
                <w:kern w:val="0"/>
                <w:sz w:val="24"/>
                <w:szCs w:val="24"/>
                <w:lang w:val="en-US" w:eastAsia="zh-CN" w:bidi="ar-SA"/>
              </w:rPr>
              <w:t>：</w:t>
            </w:r>
          </w:p>
          <w:p w14:paraId="368A14D0">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项目共设</w:t>
            </w:r>
            <w:r>
              <w:rPr>
                <w:rFonts w:hint="eastAsia" w:cs="Times New Roman"/>
                <w:color w:val="auto"/>
                <w:sz w:val="24"/>
                <w:szCs w:val="24"/>
                <w:lang w:val="en-US" w:eastAsia="zh-CN"/>
              </w:rPr>
              <w:t>32</w:t>
            </w:r>
            <w:r>
              <w:rPr>
                <w:rFonts w:hint="default" w:ascii="Times New Roman" w:hAnsi="Times New Roman" w:eastAsia="宋体" w:cs="Times New Roman"/>
                <w:color w:val="auto"/>
                <w:sz w:val="24"/>
                <w:szCs w:val="24"/>
              </w:rPr>
              <w:t>台</w:t>
            </w:r>
            <w:r>
              <w:rPr>
                <w:rFonts w:hint="default" w:ascii="Times New Roman" w:hAnsi="Times New Roman" w:cs="Times New Roman"/>
                <w:color w:val="auto"/>
                <w:sz w:val="24"/>
                <w:szCs w:val="24"/>
                <w:lang w:val="en-US" w:eastAsia="zh-CN"/>
              </w:rPr>
              <w:t>卧式</w:t>
            </w:r>
            <w:r>
              <w:rPr>
                <w:rFonts w:hint="default" w:ascii="Times New Roman" w:hAnsi="Times New Roman" w:eastAsia="宋体" w:cs="Times New Roman"/>
                <w:color w:val="auto"/>
                <w:sz w:val="24"/>
                <w:szCs w:val="24"/>
              </w:rPr>
              <w:t>注塑机</w:t>
            </w:r>
            <w:r>
              <w:rPr>
                <w:rFonts w:hint="default" w:ascii="Times New Roman" w:hAnsi="Times New Roman" w:eastAsia="宋体" w:cs="Times New Roman"/>
                <w:color w:val="auto"/>
                <w:sz w:val="24"/>
                <w:szCs w:val="24"/>
                <w:lang w:eastAsia="zh-CN"/>
              </w:rPr>
              <w:t>、</w:t>
            </w:r>
            <w:r>
              <w:rPr>
                <w:rFonts w:hint="eastAsia" w:cs="Times New Roman"/>
                <w:color w:val="auto"/>
                <w:sz w:val="24"/>
                <w:szCs w:val="24"/>
                <w:lang w:val="en-US" w:eastAsia="zh-CN"/>
              </w:rPr>
              <w:t>40</w:t>
            </w:r>
            <w:r>
              <w:rPr>
                <w:rFonts w:hint="default" w:ascii="Times New Roman" w:hAnsi="Times New Roman" w:eastAsia="宋体" w:cs="Times New Roman"/>
                <w:color w:val="auto"/>
                <w:sz w:val="24"/>
                <w:szCs w:val="24"/>
                <w:lang w:val="en-US" w:eastAsia="zh-CN"/>
              </w:rPr>
              <w:t>台</w:t>
            </w:r>
            <w:r>
              <w:rPr>
                <w:rFonts w:hint="default" w:ascii="Times New Roman" w:hAnsi="Times New Roman" w:cs="Times New Roman"/>
                <w:color w:val="auto"/>
                <w:sz w:val="24"/>
                <w:szCs w:val="24"/>
                <w:lang w:val="en-US" w:eastAsia="zh-CN"/>
              </w:rPr>
              <w:t>立式注塑机</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台</w:t>
            </w:r>
            <w:r>
              <w:rPr>
                <w:rFonts w:hint="eastAsia" w:cs="Times New Roman"/>
                <w:color w:val="auto"/>
                <w:sz w:val="24"/>
                <w:szCs w:val="24"/>
                <w:lang w:val="en-US" w:eastAsia="zh-CN"/>
              </w:rPr>
              <w:t>移印机</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建设单位拟在每台</w:t>
            </w:r>
            <w:r>
              <w:rPr>
                <w:rFonts w:hint="default" w:ascii="Times New Roman" w:hAnsi="Times New Roman" w:eastAsia="宋体" w:cs="Times New Roman"/>
                <w:color w:val="auto"/>
                <w:sz w:val="24"/>
                <w:szCs w:val="24"/>
                <w:lang w:val="en-US" w:eastAsia="zh-CN"/>
              </w:rPr>
              <w:t>产污设备出料口或人工焊接工位</w:t>
            </w:r>
            <w:r>
              <w:rPr>
                <w:rFonts w:hint="default" w:ascii="Times New Roman" w:hAnsi="Times New Roman" w:eastAsia="宋体" w:cs="Times New Roman"/>
                <w:color w:val="auto"/>
                <w:sz w:val="24"/>
                <w:szCs w:val="24"/>
              </w:rPr>
              <w:t>上方设置集气罩收集</w:t>
            </w:r>
            <w:r>
              <w:rPr>
                <w:rFonts w:hint="default" w:ascii="Times New Roman" w:hAnsi="Times New Roman" w:eastAsia="宋体" w:cs="Times New Roman"/>
                <w:color w:val="auto"/>
                <w:sz w:val="24"/>
                <w:szCs w:val="24"/>
                <w:lang w:val="en-US" w:eastAsia="zh-CN"/>
              </w:rPr>
              <w:t>废气</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废气集气罩口加装软帘成为U型环状设计</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三面围挡，仅留一个出入口，点对点进行废气收集。</w:t>
            </w:r>
            <w:r>
              <w:rPr>
                <w:rFonts w:hint="default" w:ascii="Times New Roman" w:hAnsi="Times New Roman" w:eastAsia="宋体" w:cs="Times New Roman"/>
                <w:color w:val="auto"/>
                <w:sz w:val="24"/>
                <w:szCs w:val="24"/>
              </w:rPr>
              <w:t>集气罩所需风量根据《环境工程技术手册：废气处理工程技术手册》（王纯、张殿印主编，化学工业出版社，2013年</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月第</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版），集气罩风量计算公式：</w:t>
            </w:r>
          </w:p>
          <w:p w14:paraId="370942D6">
            <w:pPr>
              <w:keepNext w:val="0"/>
              <w:keepLines w:val="0"/>
              <w:suppressLineNumbers w:val="0"/>
              <w:wordWrap/>
              <w:spacing w:before="0" w:beforeAutospacing="0" w:after="0" w:afterAutospacing="0"/>
              <w:ind w:left="0" w:right="0" w:firstLine="480" w:firstLineChars="200"/>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lang w:val="en-US" w:eastAsia="zh-CN"/>
              </w:rPr>
              <w:t>WhV</w:t>
            </w:r>
            <w:r>
              <w:rPr>
                <w:rFonts w:hint="default" w:ascii="Times New Roman" w:hAnsi="Times New Roman" w:cs="Times New Roman"/>
                <w:color w:val="auto"/>
                <w:sz w:val="24"/>
                <w:szCs w:val="24"/>
                <w:vertAlign w:val="subscript"/>
                <w:lang w:val="en-US" w:eastAsia="zh-CN"/>
              </w:rPr>
              <w:t>x</w:t>
            </w:r>
          </w:p>
          <w:p w14:paraId="335D2BE2">
            <w:pPr>
              <w:keepNext w:val="0"/>
              <w:keepLines w:val="0"/>
              <w:suppressLineNumbers w:val="0"/>
              <w:wordWrap/>
              <w:spacing w:before="0" w:beforeAutospacing="0" w:after="0" w:afterAutospacing="0"/>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式中：Q----集气罩所需风量，m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/s；</w:t>
            </w:r>
          </w:p>
          <w:p w14:paraId="10F6E42C">
            <w:pPr>
              <w:keepNext w:val="0"/>
              <w:keepLines w:val="0"/>
              <w:suppressLineNumbers w:val="0"/>
              <w:wordWrap/>
              <w:spacing w:before="0" w:beforeAutospacing="0" w:after="0" w:afterAutospacing="0"/>
              <w:ind w:left="0" w:right="0" w:firstLine="1200" w:firstLineChars="5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W—罩口长度，m；</w:t>
            </w:r>
          </w:p>
          <w:p w14:paraId="04DAA5D5">
            <w:pPr>
              <w:keepNext w:val="0"/>
              <w:keepLines w:val="0"/>
              <w:suppressLineNumbers w:val="0"/>
              <w:wordWrap/>
              <w:spacing w:before="0" w:beforeAutospacing="0" w:after="0" w:afterAutospacing="0"/>
              <w:ind w:left="0" w:right="0" w:firstLine="1200" w:firstLineChars="5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h</w:t>
            </w:r>
            <w:r>
              <w:rPr>
                <w:rFonts w:hint="default" w:ascii="Times New Roman" w:hAnsi="Times New Roman" w:cs="Times New Roman"/>
                <w:color w:val="auto"/>
                <w:sz w:val="24"/>
                <w:szCs w:val="24"/>
              </w:rPr>
              <w:t>----污染物产生点至罩口的距离，m；</w:t>
            </w:r>
          </w:p>
          <w:p w14:paraId="056303DE">
            <w:pPr>
              <w:keepNext w:val="0"/>
              <w:keepLines w:val="0"/>
              <w:suppressLineNumbers w:val="0"/>
              <w:wordWrap w:val="0"/>
              <w:spacing w:before="0" w:beforeAutospacing="0" w:after="0" w:afterAutospacing="0"/>
              <w:ind w:left="0" w:right="0" w:firstLine="1200" w:firstLineChars="5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rPr>
              <w:t>V</w:t>
            </w:r>
            <w:r>
              <w:rPr>
                <w:rFonts w:hint="default" w:ascii="Times New Roman" w:hAnsi="Times New Roman" w:cs="Times New Roman"/>
                <w:color w:val="auto"/>
                <w:sz w:val="24"/>
                <w:szCs w:val="24"/>
                <w:vertAlign w:val="subscript"/>
              </w:rPr>
              <w:t>X</w:t>
            </w:r>
            <w:r>
              <w:rPr>
                <w:rFonts w:hint="default" w:ascii="Times New Roman" w:hAnsi="Times New Roman" w:cs="Times New Roman"/>
                <w:color w:val="auto"/>
                <w:sz w:val="24"/>
                <w:szCs w:val="24"/>
              </w:rPr>
              <w:t>----最小控制风速，m/s。</w:t>
            </w:r>
          </w:p>
          <w:p w14:paraId="023D63E2">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firstLine="420" w:firstLineChars="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1"/>
                <w:szCs w:val="21"/>
                <w:lang w:val="en-US" w:eastAsia="zh-CN" w:bidi="ar-SA"/>
              </w:rPr>
              <w:t>表4-</w:t>
            </w:r>
            <w:r>
              <w:rPr>
                <w:rFonts w:hint="default" w:ascii="Times New Roman" w:hAnsi="Times New Roman" w:cs="Times New Roman"/>
                <w:b/>
                <w:bCs/>
                <w:color w:val="auto"/>
                <w:kern w:val="2"/>
                <w:sz w:val="21"/>
                <w:szCs w:val="21"/>
                <w:lang w:val="en-US" w:eastAsia="zh-CN" w:bidi="ar-SA"/>
              </w:rPr>
              <w:t>4</w:t>
            </w:r>
            <w:r>
              <w:rPr>
                <w:rFonts w:hint="default" w:ascii="Times New Roman" w:hAnsi="Times New Roman" w:eastAsia="宋体" w:cs="Times New Roman"/>
                <w:b/>
                <w:bCs/>
                <w:color w:val="auto"/>
                <w:kern w:val="2"/>
                <w:sz w:val="18"/>
                <w:szCs w:val="18"/>
                <w:lang w:val="en-US" w:eastAsia="zh-CN" w:bidi="ar-SA"/>
              </w:rPr>
              <w:t xml:space="preserve"> </w:t>
            </w:r>
            <w:r>
              <w:rPr>
                <w:rFonts w:hint="default" w:ascii="Times New Roman" w:hAnsi="Times New Roman" w:eastAsia="宋体" w:cs="Times New Roman"/>
                <w:b/>
                <w:bCs/>
                <w:color w:val="auto"/>
                <w:sz w:val="24"/>
                <w:szCs w:val="24"/>
                <w:lang w:val="en-US" w:eastAsia="zh-CN"/>
              </w:rPr>
              <w:t>管道风量一览表</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95"/>
              <w:gridCol w:w="883"/>
              <w:gridCol w:w="1262"/>
              <w:gridCol w:w="1262"/>
              <w:gridCol w:w="1262"/>
              <w:gridCol w:w="1264"/>
              <w:gridCol w:w="1150"/>
            </w:tblGrid>
            <w:tr w14:paraId="7E1B0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3" w:hRule="atLeast"/>
                <w:jc w:val="center"/>
              </w:trPr>
              <w:tc>
                <w:tcPr>
                  <w:tcW w:w="1195" w:type="dxa"/>
                  <w:tcBorders>
                    <w:top w:val="single" w:color="000000" w:sz="4" w:space="0"/>
                    <w:left w:val="single" w:color="000000" w:sz="4" w:space="0"/>
                    <w:right w:val="single" w:color="000000" w:sz="4" w:space="0"/>
                  </w:tcBorders>
                  <w:noWrap w:val="0"/>
                  <w:vAlign w:val="center"/>
                </w:tcPr>
                <w:p w14:paraId="3E6AA49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设备名称</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1A6EDF8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设备数量</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CFFF44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集气罩罩口长度（m）</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C0BEA9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产生点至罩口距离h（m）</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233EC35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敞开面控制风速Vx(m/s)</w:t>
                  </w:r>
                </w:p>
              </w:tc>
              <w:tc>
                <w:tcPr>
                  <w:tcW w:w="1264" w:type="dxa"/>
                  <w:tcBorders>
                    <w:top w:val="single" w:color="000000" w:sz="4" w:space="0"/>
                    <w:left w:val="single" w:color="000000" w:sz="4" w:space="0"/>
                    <w:right w:val="single" w:color="000000" w:sz="4" w:space="0"/>
                  </w:tcBorders>
                  <w:noWrap w:val="0"/>
                  <w:vAlign w:val="center"/>
                </w:tcPr>
                <w:p w14:paraId="5058595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单个集气罩风量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r>
                    <w:rPr>
                      <w:rFonts w:hint="default" w:ascii="Times New Roman" w:hAnsi="Times New Roman" w:eastAsia="宋体" w:cs="Times New Roman"/>
                      <w:b/>
                      <w:bCs/>
                      <w:color w:val="auto"/>
                      <w:sz w:val="21"/>
                      <w:szCs w:val="21"/>
                      <w:lang w:eastAsia="zh-CN"/>
                    </w:rPr>
                    <w:t>）</w:t>
                  </w:r>
                </w:p>
              </w:tc>
              <w:tc>
                <w:tcPr>
                  <w:tcW w:w="1150" w:type="dxa"/>
                  <w:tcBorders>
                    <w:top w:val="single" w:color="000000" w:sz="4" w:space="0"/>
                    <w:left w:val="single" w:color="000000" w:sz="4" w:space="0"/>
                    <w:right w:val="single" w:color="000000" w:sz="4" w:space="0"/>
                  </w:tcBorders>
                  <w:noWrap w:val="0"/>
                  <w:vAlign w:val="center"/>
                </w:tcPr>
                <w:p w14:paraId="21E1072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总排气</w:t>
                  </w:r>
                  <w:r>
                    <w:rPr>
                      <w:rFonts w:hint="default" w:ascii="Times New Roman" w:hAnsi="Times New Roman" w:eastAsia="宋体" w:cs="Times New Roman"/>
                      <w:b/>
                      <w:bCs/>
                      <w:color w:val="auto"/>
                      <w:sz w:val="21"/>
                      <w:szCs w:val="21"/>
                    </w:rPr>
                    <w:t>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rPr>
                    <w:t>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/h</w:t>
                  </w:r>
                  <w:r>
                    <w:rPr>
                      <w:rFonts w:hint="default" w:ascii="Times New Roman" w:hAnsi="Times New Roman" w:eastAsia="宋体" w:cs="Times New Roman"/>
                      <w:b/>
                      <w:bCs/>
                      <w:color w:val="auto"/>
                      <w:sz w:val="21"/>
                      <w:szCs w:val="21"/>
                      <w:lang w:eastAsia="zh-CN"/>
                    </w:rPr>
                    <w:t>）</w:t>
                  </w:r>
                </w:p>
              </w:tc>
            </w:tr>
            <w:tr w14:paraId="5B7B0E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1195" w:type="dxa"/>
                  <w:tcBorders>
                    <w:top w:val="single" w:color="000000" w:sz="4" w:space="0"/>
                    <w:left w:val="single" w:color="000000" w:sz="4" w:space="0"/>
                    <w:bottom w:val="single" w:color="000000" w:sz="4" w:space="0"/>
                    <w:right w:val="single" w:color="000000" w:sz="4" w:space="0"/>
                  </w:tcBorders>
                  <w:noWrap w:val="0"/>
                  <w:vAlign w:val="center"/>
                </w:tcPr>
                <w:p w14:paraId="09C08F1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卧式</w:t>
                  </w:r>
                  <w:r>
                    <w:rPr>
                      <w:rFonts w:hint="default" w:ascii="Times New Roman" w:hAnsi="Times New Roman" w:eastAsia="宋体" w:cs="Times New Roman"/>
                      <w:color w:val="auto"/>
                      <w:sz w:val="21"/>
                      <w:szCs w:val="21"/>
                      <w:lang w:val="en-US" w:eastAsia="zh-CN"/>
                    </w:rPr>
                    <w:t>注塑机</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68C51BC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w:t>
                  </w:r>
                  <w:r>
                    <w:rPr>
                      <w:rFonts w:hint="default" w:ascii="Times New Roman" w:hAnsi="Times New Roman" w:eastAsia="宋体" w:cs="Times New Roman"/>
                      <w:color w:val="auto"/>
                      <w:sz w:val="21"/>
                      <w:szCs w:val="21"/>
                      <w:lang w:val="en-US" w:eastAsia="zh-CN"/>
                    </w:rPr>
                    <w:t>台</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1CD500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0.6</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46970A6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2849398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0B0676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324</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312F22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10368</w:t>
                  </w:r>
                </w:p>
              </w:tc>
            </w:tr>
            <w:tr w14:paraId="77BBC5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1195" w:type="dxa"/>
                  <w:tcBorders>
                    <w:top w:val="single" w:color="000000" w:sz="4" w:space="0"/>
                    <w:left w:val="single" w:color="000000" w:sz="4" w:space="0"/>
                    <w:bottom w:val="single" w:color="000000" w:sz="4" w:space="0"/>
                    <w:right w:val="single" w:color="000000" w:sz="4" w:space="0"/>
                  </w:tcBorders>
                  <w:noWrap w:val="0"/>
                  <w:vAlign w:val="center"/>
                </w:tcPr>
                <w:p w14:paraId="7483E64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立式注塑机</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614EDB9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w:t>
                  </w:r>
                  <w:r>
                    <w:rPr>
                      <w:rFonts w:hint="default" w:ascii="Times New Roman" w:hAnsi="Times New Roman" w:eastAsia="宋体" w:cs="Times New Roman"/>
                      <w:color w:val="auto"/>
                      <w:sz w:val="21"/>
                      <w:szCs w:val="21"/>
                      <w:lang w:val="en-US" w:eastAsia="zh-CN"/>
                    </w:rPr>
                    <w:t>台</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2470DEA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0.5</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6B4E3CB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0CED471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0.5</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11BDC7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270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1527A4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10800</w:t>
                  </w:r>
                </w:p>
              </w:tc>
            </w:tr>
            <w:tr w14:paraId="3BE59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1195" w:type="dxa"/>
                  <w:tcBorders>
                    <w:top w:val="single" w:color="000000" w:sz="4" w:space="0"/>
                    <w:left w:val="single" w:color="000000" w:sz="4" w:space="0"/>
                    <w:bottom w:val="single" w:color="000000" w:sz="4" w:space="0"/>
                    <w:right w:val="single" w:color="000000" w:sz="4" w:space="0"/>
                  </w:tcBorders>
                  <w:noWrap w:val="0"/>
                  <w:vAlign w:val="center"/>
                </w:tcPr>
                <w:p w14:paraId="63CD96F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移印机</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5018749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w:t>
                  </w:r>
                  <w:r>
                    <w:rPr>
                      <w:rFonts w:hint="default" w:ascii="Times New Roman" w:hAnsi="Times New Roman" w:eastAsia="宋体" w:cs="Times New Roman"/>
                      <w:color w:val="auto"/>
                      <w:sz w:val="21"/>
                      <w:szCs w:val="21"/>
                      <w:lang w:val="en-US" w:eastAsia="zh-CN"/>
                    </w:rPr>
                    <w:t>台</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196B21F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0.4</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6D9AC49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1262" w:type="dxa"/>
                  <w:tcBorders>
                    <w:top w:val="single" w:color="000000" w:sz="4" w:space="0"/>
                    <w:left w:val="single" w:color="000000" w:sz="4" w:space="0"/>
                    <w:bottom w:val="single" w:color="000000" w:sz="4" w:space="0"/>
                    <w:right w:val="single" w:color="000000" w:sz="4" w:space="0"/>
                  </w:tcBorders>
                  <w:noWrap w:val="0"/>
                  <w:vAlign w:val="center"/>
                </w:tcPr>
                <w:p w14:paraId="7294D3F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2AEDFB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216</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4D0BBE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2160</w:t>
                  </w:r>
                </w:p>
              </w:tc>
            </w:tr>
            <w:tr w14:paraId="314D6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jc w:val="center"/>
              </w:trPr>
              <w:tc>
                <w:tcPr>
                  <w:tcW w:w="7128" w:type="dxa"/>
                  <w:gridSpan w:val="6"/>
                  <w:tcBorders>
                    <w:top w:val="single" w:color="000000" w:sz="4" w:space="0"/>
                    <w:left w:val="single" w:color="000000" w:sz="4" w:space="0"/>
                    <w:bottom w:val="single" w:color="000000" w:sz="4" w:space="0"/>
                    <w:right w:val="single" w:color="000000" w:sz="4" w:space="0"/>
                  </w:tcBorders>
                  <w:noWrap w:val="0"/>
                  <w:vAlign w:val="center"/>
                </w:tcPr>
                <w:p w14:paraId="3911B8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14:paraId="704E0C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22720</w:t>
                  </w:r>
                </w:p>
              </w:tc>
            </w:tr>
          </w:tbl>
          <w:p w14:paraId="022D65DC">
            <w:pPr>
              <w:keepNext w:val="0"/>
              <w:keepLines w:val="0"/>
              <w:suppressLineNumbers w:val="0"/>
              <w:wordWrap/>
              <w:adjustRightInd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由此计算出集气罩总风量为</w:t>
            </w:r>
            <w:r>
              <w:rPr>
                <w:rFonts w:hint="eastAsia" w:cs="Times New Roman"/>
                <w:color w:val="auto"/>
                <w:sz w:val="24"/>
                <w:szCs w:val="24"/>
                <w:lang w:val="en-US" w:eastAsia="zh-CN"/>
              </w:rPr>
              <w:t>23328</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/h，考虑风量损失，</w:t>
            </w:r>
            <w:r>
              <w:rPr>
                <w:rFonts w:hint="default" w:ascii="Times New Roman" w:hAnsi="Times New Roman" w:eastAsia="宋体" w:cs="Times New Roman"/>
                <w:color w:val="auto"/>
                <w:sz w:val="24"/>
                <w:szCs w:val="24"/>
                <w:lang w:val="en-US" w:eastAsia="zh-CN"/>
              </w:rPr>
              <w:t>根据《吸附法工业有机废气治理工程技术规范》（HJ2026-2013），设计风量宜按照最大废气排放量的120%进行设计，因此项目</w:t>
            </w:r>
            <w:r>
              <w:rPr>
                <w:rFonts w:hint="default" w:ascii="Times New Roman" w:hAnsi="Times New Roman" w:eastAsia="宋体" w:cs="Times New Roman"/>
                <w:color w:val="auto"/>
                <w:sz w:val="24"/>
                <w:szCs w:val="24"/>
              </w:rPr>
              <w:t>设计收集风量为</w:t>
            </w:r>
            <w:r>
              <w:rPr>
                <w:rFonts w:hint="eastAsia" w:cs="Times New Roman"/>
                <w:color w:val="auto"/>
                <w:sz w:val="24"/>
                <w:szCs w:val="24"/>
                <w:lang w:val="en-US" w:eastAsia="zh-CN"/>
              </w:rPr>
              <w:t>27993</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w:t>
            </w:r>
            <w:r>
              <w:rPr>
                <w:rFonts w:hint="eastAsia" w:cs="Times New Roman"/>
                <w:color w:val="auto"/>
                <w:sz w:val="24"/>
                <w:szCs w:val="24"/>
                <w:lang w:eastAsia="zh-CN"/>
              </w:rPr>
              <w:t>，</w:t>
            </w:r>
            <w:r>
              <w:rPr>
                <w:rFonts w:hint="eastAsia" w:cs="Times New Roman"/>
                <w:color w:val="auto"/>
                <w:sz w:val="24"/>
                <w:szCs w:val="24"/>
                <w:lang w:val="en-US" w:eastAsia="zh-CN"/>
              </w:rPr>
              <w:t>按28000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w:t>
            </w:r>
            <w:r>
              <w:rPr>
                <w:rFonts w:hint="eastAsia" w:ascii="Times New Roman" w:hAnsi="Times New Roman" w:eastAsia="宋体" w:cs="Times New Roman"/>
                <w:color w:val="auto"/>
                <w:sz w:val="24"/>
                <w:szCs w:val="24"/>
                <w:lang w:val="en-US" w:eastAsia="zh-CN"/>
              </w:rPr>
              <w:t>计</w:t>
            </w:r>
            <w:r>
              <w:rPr>
                <w:rFonts w:hint="default" w:ascii="Times New Roman" w:hAnsi="Times New Roman" w:eastAsia="宋体" w:cs="Times New Roman"/>
                <w:color w:val="auto"/>
                <w:sz w:val="24"/>
                <w:szCs w:val="24"/>
              </w:rPr>
              <w:t>。</w:t>
            </w:r>
          </w:p>
          <w:p w14:paraId="2E4082D7">
            <w:pPr>
              <w:keepNext w:val="0"/>
              <w:keepLines w:val="0"/>
              <w:suppressLineNumbers w:val="0"/>
              <w:wordWrap/>
              <w:adjustRightInd w:val="0"/>
              <w:spacing w:before="0" w:beforeAutospacing="0" w:after="0" w:afterAutospacing="0"/>
              <w:ind w:left="0" w:right="0"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收集效率：</w:t>
            </w:r>
          </w:p>
          <w:p w14:paraId="46E67569">
            <w:pPr>
              <w:keepNext w:val="0"/>
              <w:keepLines w:val="0"/>
              <w:suppressLineNumbers w:val="0"/>
              <w:wordWrap/>
              <w:adjustRightInd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参考《广东省生态环境厅关于印发工业源挥发性有机物和氮氧化物减排量核算方法的通知》（粤环函〔2023〕538号）废气收集集气效率参考值，</w:t>
            </w:r>
            <w:r>
              <w:rPr>
                <w:rFonts w:hint="default" w:ascii="Times New Roman" w:hAnsi="Times New Roman" w:eastAsia="宋体" w:cs="Times New Roman"/>
                <w:color w:val="auto"/>
                <w:sz w:val="24"/>
                <w:szCs w:val="24"/>
                <w:lang w:val="en-US" w:eastAsia="zh-CN"/>
              </w:rPr>
              <w:t>包围型集气设备通过软质垂帘四周围挡（偶有部分敞开）敞开面控制风速不小于0.3m/s的集气效率为50%</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项目满足该集气设备的收集情况，</w:t>
            </w:r>
            <w:r>
              <w:rPr>
                <w:rFonts w:hint="default" w:ascii="Times New Roman" w:hAnsi="Times New Roman" w:eastAsia="宋体" w:cs="Times New Roman"/>
                <w:color w:val="auto"/>
                <w:sz w:val="24"/>
                <w:szCs w:val="24"/>
              </w:rPr>
              <w:t>敞开面最小控制风速为0.5m/s，</w:t>
            </w:r>
            <w:r>
              <w:rPr>
                <w:rFonts w:hint="default" w:ascii="Times New Roman" w:hAnsi="Times New Roman" w:eastAsia="宋体" w:cs="Times New Roman"/>
                <w:color w:val="auto"/>
                <w:sz w:val="24"/>
                <w:szCs w:val="24"/>
                <w:lang w:val="en-US" w:eastAsia="zh-CN"/>
              </w:rPr>
              <w:t>因此</w:t>
            </w:r>
            <w:r>
              <w:rPr>
                <w:rFonts w:hint="default" w:ascii="Times New Roman" w:hAnsi="Times New Roman" w:eastAsia="宋体" w:cs="Times New Roman"/>
                <w:color w:val="auto"/>
                <w:sz w:val="24"/>
                <w:szCs w:val="24"/>
              </w:rPr>
              <w:t>集气效率</w:t>
            </w:r>
            <w:r>
              <w:rPr>
                <w:rFonts w:hint="default" w:ascii="Times New Roman" w:hAnsi="Times New Roman" w:eastAsia="宋体" w:cs="Times New Roman"/>
                <w:color w:val="auto"/>
                <w:sz w:val="24"/>
                <w:szCs w:val="24"/>
                <w:lang w:val="en-US" w:eastAsia="zh-CN"/>
              </w:rPr>
              <w:t>取50</w:t>
            </w:r>
            <w:r>
              <w:rPr>
                <w:rFonts w:hint="default" w:ascii="Times New Roman" w:hAnsi="Times New Roman" w:eastAsia="宋体" w:cs="Times New Roman"/>
                <w:color w:val="auto"/>
                <w:sz w:val="24"/>
                <w:szCs w:val="24"/>
              </w:rPr>
              <w:t>%。</w:t>
            </w:r>
          </w:p>
          <w:p w14:paraId="7EF48BD9">
            <w:pPr>
              <w:keepNext w:val="0"/>
              <w:keepLines w:val="0"/>
              <w:widowControl/>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u w:val="single"/>
              </w:rPr>
            </w:pPr>
            <w:r>
              <w:rPr>
                <w:rFonts w:hint="default" w:ascii="Times New Roman" w:hAnsi="Times New Roman" w:eastAsia="宋体" w:cs="Times New Roman"/>
                <w:color w:val="auto"/>
                <w:sz w:val="24"/>
                <w:szCs w:val="24"/>
                <w:u w:val="single"/>
              </w:rPr>
              <w:t>项目</w:t>
            </w:r>
            <w:r>
              <w:rPr>
                <w:rFonts w:hint="default" w:ascii="Times New Roman" w:hAnsi="Times New Roman" w:eastAsia="宋体" w:cs="Times New Roman"/>
                <w:color w:val="auto"/>
                <w:sz w:val="24"/>
                <w:szCs w:val="24"/>
                <w:u w:val="single"/>
                <w:lang w:val="en-US" w:eastAsia="zh-CN"/>
              </w:rPr>
              <w:t>注塑、</w:t>
            </w:r>
            <w:r>
              <w:rPr>
                <w:rFonts w:hint="eastAsia" w:cs="Times New Roman"/>
                <w:color w:val="auto"/>
                <w:sz w:val="24"/>
                <w:szCs w:val="24"/>
                <w:u w:val="single"/>
                <w:lang w:val="en-US" w:eastAsia="zh-CN"/>
              </w:rPr>
              <w:t>移印</w:t>
            </w:r>
            <w:r>
              <w:rPr>
                <w:rFonts w:hint="default" w:ascii="Times New Roman" w:hAnsi="Times New Roman" w:eastAsia="宋体" w:cs="Times New Roman"/>
                <w:color w:val="auto"/>
                <w:sz w:val="24"/>
                <w:szCs w:val="24"/>
                <w:u w:val="single"/>
                <w:lang w:val="en-US" w:eastAsia="zh-CN"/>
              </w:rPr>
              <w:t>工序废气</w:t>
            </w:r>
            <w:r>
              <w:rPr>
                <w:rFonts w:hint="default" w:ascii="Times New Roman" w:hAnsi="Times New Roman" w:eastAsia="宋体" w:cs="Times New Roman"/>
                <w:color w:val="auto"/>
                <w:sz w:val="24"/>
                <w:szCs w:val="24"/>
                <w:u w:val="single"/>
              </w:rPr>
              <w:t>经集气罩收集至“水喷淋+干式过滤+二级活性炭吸附”装置处理后引至排气筒</w:t>
            </w:r>
            <w:r>
              <w:rPr>
                <w:rFonts w:hint="eastAsia" w:cs="Times New Roman"/>
                <w:color w:val="auto"/>
                <w:sz w:val="24"/>
                <w:szCs w:val="24"/>
                <w:u w:val="single"/>
                <w:lang w:eastAsia="zh-CN"/>
              </w:rPr>
              <w:t>DA001</w:t>
            </w:r>
            <w:r>
              <w:rPr>
                <w:rFonts w:hint="default" w:ascii="Times New Roman" w:hAnsi="Times New Roman" w:eastAsia="宋体" w:cs="Times New Roman"/>
                <w:color w:val="auto"/>
                <w:sz w:val="24"/>
                <w:szCs w:val="24"/>
                <w:u w:val="single"/>
              </w:rPr>
              <w:t>排放</w:t>
            </w:r>
            <w:r>
              <w:rPr>
                <w:rFonts w:hint="default" w:ascii="Times New Roman" w:hAnsi="Times New Roman" w:eastAsia="宋体" w:cs="Times New Roman"/>
                <w:color w:val="auto"/>
                <w:sz w:val="24"/>
                <w:szCs w:val="24"/>
                <w:u w:val="single"/>
                <w:lang w:eastAsia="zh-CN"/>
              </w:rPr>
              <w:t>，</w:t>
            </w:r>
            <w:r>
              <w:rPr>
                <w:rFonts w:hint="default" w:ascii="Times New Roman" w:hAnsi="Times New Roman" w:eastAsia="宋体" w:cs="Times New Roman"/>
                <w:color w:val="auto"/>
                <w:sz w:val="24"/>
                <w:szCs w:val="24"/>
                <w:u w:val="single"/>
                <w:lang w:val="en-US" w:eastAsia="zh-CN"/>
              </w:rPr>
              <w:t>排放风量为</w:t>
            </w:r>
            <w:r>
              <w:rPr>
                <w:rFonts w:hint="eastAsia" w:cs="Times New Roman"/>
                <w:color w:val="auto"/>
                <w:sz w:val="24"/>
                <w:szCs w:val="24"/>
                <w:u w:val="single"/>
                <w:lang w:val="en-US" w:eastAsia="zh-CN"/>
              </w:rPr>
              <w:t>28000</w:t>
            </w:r>
            <w:r>
              <w:rPr>
                <w:rFonts w:hint="default" w:ascii="Times New Roman" w:hAnsi="Times New Roman" w:eastAsia="宋体" w:cs="Times New Roman"/>
                <w:color w:val="auto"/>
                <w:sz w:val="24"/>
                <w:szCs w:val="24"/>
                <w:u w:val="single"/>
              </w:rPr>
              <w:t>m</w:t>
            </w:r>
            <w:r>
              <w:rPr>
                <w:rFonts w:hint="default" w:ascii="Times New Roman" w:hAnsi="Times New Roman" w:eastAsia="宋体" w:cs="Times New Roman"/>
                <w:color w:val="auto"/>
                <w:sz w:val="24"/>
                <w:szCs w:val="24"/>
                <w:u w:val="single"/>
                <w:vertAlign w:val="superscript"/>
              </w:rPr>
              <w:t>3</w:t>
            </w:r>
            <w:r>
              <w:rPr>
                <w:rFonts w:hint="default" w:ascii="Times New Roman" w:hAnsi="Times New Roman" w:eastAsia="宋体" w:cs="Times New Roman"/>
                <w:color w:val="auto"/>
                <w:sz w:val="24"/>
                <w:szCs w:val="24"/>
                <w:u w:val="single"/>
              </w:rPr>
              <w:t>/h</w:t>
            </w:r>
            <w:r>
              <w:rPr>
                <w:rFonts w:hint="default" w:ascii="Times New Roman" w:hAnsi="Times New Roman" w:eastAsia="宋体" w:cs="Times New Roman"/>
                <w:b w:val="0"/>
                <w:bCs w:val="0"/>
                <w:color w:val="auto"/>
                <w:spacing w:val="0"/>
                <w:sz w:val="24"/>
                <w:szCs w:val="24"/>
                <w:u w:val="single"/>
                <w:lang w:val="en-US" w:eastAsia="zh-CN"/>
              </w:rPr>
              <w:t>，排放高度为</w:t>
            </w:r>
            <w:r>
              <w:rPr>
                <w:rFonts w:hint="eastAsia" w:cs="Times New Roman"/>
                <w:b w:val="0"/>
                <w:bCs w:val="0"/>
                <w:color w:val="auto"/>
                <w:spacing w:val="0"/>
                <w:sz w:val="24"/>
                <w:szCs w:val="24"/>
                <w:u w:val="single"/>
                <w:lang w:val="en-US" w:eastAsia="zh-CN"/>
              </w:rPr>
              <w:t>18m</w:t>
            </w:r>
            <w:r>
              <w:rPr>
                <w:rFonts w:hint="default" w:ascii="Times New Roman" w:hAnsi="Times New Roman" w:eastAsia="宋体" w:cs="Times New Roman"/>
                <w:color w:val="auto"/>
                <w:sz w:val="24"/>
                <w:szCs w:val="24"/>
                <w:u w:val="single"/>
              </w:rPr>
              <w:t>。</w:t>
            </w:r>
          </w:p>
          <w:p w14:paraId="4DB61B65">
            <w:pPr>
              <w:keepNext w:val="0"/>
              <w:keepLines w:val="0"/>
              <w:widowControl/>
              <w:suppressLineNumbers w:val="0"/>
              <w:wordWrap w:val="0"/>
              <w:spacing w:before="0" w:beforeAutospacing="0" w:after="0" w:afterAutospacing="0"/>
              <w:ind w:left="0" w:right="0"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处理效率：</w:t>
            </w:r>
          </w:p>
          <w:p w14:paraId="5AFCF16C">
            <w:pPr>
              <w:keepNext w:val="0"/>
              <w:keepLines w:val="0"/>
              <w:widowControl/>
              <w:suppressLineNumbers w:val="0"/>
              <w:wordWrap w:val="0"/>
              <w:spacing w:before="0" w:beforeAutospacing="0" w:after="0" w:afterAutospacing="0"/>
              <w:ind w:left="0" w:right="0"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①有机废气</w:t>
            </w:r>
          </w:p>
          <w:p w14:paraId="01CBC591">
            <w:pPr>
              <w:keepNext w:val="0"/>
              <w:keepLines w:val="0"/>
              <w:widowControl/>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因注塑温度较高，导致注塑机挥发的有机废气温度较高，若直接进入吸附装置处理，会影响吸附效果，因此项目在吸附装置前设置水喷淋塔对有机废气进行降温至40°C以下，并使用干式过滤棉除去水分，使进入活性炭吸附装置的废气符合《广东省生态环境厅关于印发工业源挥发性有机物和氮氧化物减排量核算方法的通知》（粤环函〔2023〕538号）活性炭吸附技术“装置入口废气温度不高于40°C”的要求。</w:t>
            </w:r>
            <w:r>
              <w:rPr>
                <w:rFonts w:hint="default" w:ascii="Times New Roman" w:hAnsi="Times New Roman" w:eastAsia="宋体" w:cs="Times New Roman"/>
                <w:color w:val="auto"/>
                <w:sz w:val="24"/>
                <w:szCs w:val="24"/>
                <w:lang w:val="en-US" w:eastAsia="zh-CN"/>
              </w:rPr>
              <w:t>水喷淋和干式过滤仅起到降温和干燥的作用，不具有处理效率。参考</w:t>
            </w:r>
            <w:r>
              <w:rPr>
                <w:rFonts w:hint="default" w:ascii="Times New Roman" w:hAnsi="Times New Roman" w:eastAsia="宋体" w:cs="Times New Roman"/>
                <w:color w:val="auto"/>
                <w:sz w:val="24"/>
                <w:szCs w:val="24"/>
              </w:rPr>
              <w:t>《广东省家具制造行业挥发性有机废气治理技术指南》（广东省环保厅2014年12月）等提出的关于活性炭吸附有机废气的处理效率，吸附法基本在50%~80%之间，</w:t>
            </w:r>
            <w:r>
              <w:rPr>
                <w:rFonts w:hint="default" w:ascii="Times New Roman" w:hAnsi="Times New Roman" w:eastAsia="宋体" w:cs="Times New Roman"/>
                <w:color w:val="auto"/>
                <w:sz w:val="24"/>
                <w:szCs w:val="24"/>
                <w:lang w:val="en-US" w:eastAsia="zh-CN"/>
              </w:rPr>
              <w:t>项目单级处理效率按60%计，</w:t>
            </w:r>
            <w:r>
              <w:rPr>
                <w:rFonts w:hint="default" w:ascii="Times New Roman" w:hAnsi="Times New Roman" w:eastAsia="宋体" w:cs="Times New Roman"/>
                <w:color w:val="auto"/>
                <w:sz w:val="24"/>
                <w:szCs w:val="24"/>
              </w:rPr>
              <w:t>计算得出二级活性炭吸附装置处理效率为1-（1-</w:t>
            </w:r>
            <w:r>
              <w:rPr>
                <w:rFonts w:hint="default"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84</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废气产生浓度较低，二级活性炭吸附装置处理效果不明显，因此</w:t>
            </w: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val="en-US" w:eastAsia="zh-CN"/>
              </w:rPr>
              <w:t>注塑</w:t>
            </w:r>
            <w:r>
              <w:rPr>
                <w:rFonts w:hint="default" w:ascii="Times New Roman" w:hAnsi="Times New Roman" w:cs="Times New Roman"/>
                <w:color w:val="auto"/>
                <w:sz w:val="24"/>
                <w:szCs w:val="24"/>
                <w:lang w:val="en-US" w:eastAsia="zh-CN"/>
              </w:rPr>
              <w:t>和</w:t>
            </w:r>
            <w:r>
              <w:rPr>
                <w:rFonts w:hint="eastAsia" w:cs="Times New Roman"/>
                <w:color w:val="auto"/>
                <w:sz w:val="24"/>
                <w:szCs w:val="24"/>
                <w:lang w:val="en-US" w:eastAsia="zh-CN"/>
              </w:rPr>
              <w:t>移印</w:t>
            </w:r>
            <w:r>
              <w:rPr>
                <w:rFonts w:hint="default" w:ascii="Times New Roman" w:hAnsi="Times New Roman" w:eastAsia="宋体" w:cs="Times New Roman"/>
                <w:color w:val="auto"/>
                <w:sz w:val="24"/>
                <w:szCs w:val="24"/>
                <w:lang w:val="en-US" w:eastAsia="zh-CN"/>
              </w:rPr>
              <w:t>工序有机废气处理效率按75%计</w:t>
            </w:r>
            <w:r>
              <w:rPr>
                <w:rFonts w:hint="default" w:ascii="Times New Roman" w:hAnsi="Times New Roman" w:eastAsia="宋体" w:cs="Times New Roman"/>
                <w:color w:val="auto"/>
                <w:sz w:val="24"/>
                <w:szCs w:val="24"/>
              </w:rPr>
              <w:t>。</w:t>
            </w:r>
          </w:p>
          <w:p w14:paraId="7E5E2DAC">
            <w:pPr>
              <w:keepNext w:val="0"/>
              <w:keepLines w:val="0"/>
              <w:suppressLineNumbers w:val="0"/>
              <w:wordWrap/>
              <w:spacing w:before="0" w:beforeAutospacing="0" w:after="0" w:afterAutospacing="0"/>
              <w:ind w:left="0" w:right="0"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val="en-US" w:eastAsia="zh-CN"/>
              </w:rPr>
              <w:t>排气筒</w:t>
            </w:r>
            <w:r>
              <w:rPr>
                <w:rFonts w:hint="eastAsia" w:cs="Times New Roman"/>
                <w:color w:val="auto"/>
                <w:sz w:val="24"/>
                <w:szCs w:val="24"/>
                <w:lang w:val="en-US" w:eastAsia="zh-CN"/>
              </w:rPr>
              <w:t>DA001</w:t>
            </w:r>
            <w:r>
              <w:rPr>
                <w:rFonts w:hint="default" w:ascii="Times New Roman" w:hAnsi="Times New Roman" w:eastAsia="宋体" w:cs="Times New Roman"/>
                <w:color w:val="auto"/>
                <w:sz w:val="24"/>
                <w:szCs w:val="24"/>
              </w:rPr>
              <w:t>废气产排情况见下表：</w:t>
            </w:r>
            <w:r>
              <w:rPr>
                <w:rFonts w:hint="eastAsia" w:cs="Times New Roman"/>
                <w:color w:val="auto"/>
                <w:sz w:val="24"/>
                <w:szCs w:val="24"/>
                <w:lang w:val="en-US" w:eastAsia="zh-CN"/>
              </w:rPr>
              <w:t xml:space="preserve"> </w:t>
            </w:r>
          </w:p>
          <w:p w14:paraId="13675C95">
            <w:pPr>
              <w:keepNext w:val="0"/>
              <w:keepLines w:val="0"/>
              <w:numPr>
                <w:ilvl w:val="0"/>
                <w:numId w:val="0"/>
              </w:numPr>
              <w:suppressLineNumbers w:val="0"/>
              <w:tabs>
                <w:tab w:val="left" w:pos="0"/>
              </w:tabs>
              <w:wordWrap/>
              <w:spacing w:before="0" w:beforeAutospacing="0" w:after="0" w:afterAutospacing="0" w:line="240" w:lineRule="auto"/>
              <w:ind w:left="0" w:leftChars="0" w:right="0" w:rightChars="0" w:firstLine="420" w:firstLineChars="0"/>
              <w:jc w:val="center"/>
              <w:rPr>
                <w:rFonts w:hint="default" w:ascii="Times New Roman" w:hAnsi="Times New Roman" w:eastAsia="宋体" w:cs="Times New Roman"/>
                <w:b/>
                <w:color w:val="auto"/>
                <w:kern w:val="0"/>
                <w:sz w:val="24"/>
                <w:szCs w:val="24"/>
              </w:rPr>
            </w:pPr>
            <w:r>
              <w:rPr>
                <w:rFonts w:hint="default" w:ascii="Times New Roman" w:hAnsi="Times New Roman" w:eastAsia="宋体" w:cs="Times New Roman"/>
                <w:b/>
                <w:color w:val="auto"/>
                <w:kern w:val="0"/>
                <w:sz w:val="24"/>
                <w:szCs w:val="24"/>
                <w:lang w:val="en-US" w:eastAsia="zh-CN" w:bidi="ar-SA"/>
              </w:rPr>
              <w:t>表4-</w:t>
            </w:r>
            <w:r>
              <w:rPr>
                <w:rFonts w:hint="default" w:ascii="Times New Roman" w:hAnsi="Times New Roman" w:cs="Times New Roman"/>
                <w:b/>
                <w:color w:val="auto"/>
                <w:kern w:val="0"/>
                <w:sz w:val="24"/>
                <w:szCs w:val="24"/>
                <w:lang w:val="en-US" w:eastAsia="zh-CN" w:bidi="ar-SA"/>
              </w:rPr>
              <w:t>5</w:t>
            </w:r>
            <w:r>
              <w:rPr>
                <w:rFonts w:hint="default" w:ascii="Times New Roman" w:hAnsi="Times New Roman" w:eastAsia="宋体" w:cs="Times New Roman"/>
                <w:b/>
                <w:color w:val="auto"/>
                <w:kern w:val="0"/>
                <w:sz w:val="24"/>
                <w:szCs w:val="24"/>
                <w:lang w:val="en-US" w:eastAsia="zh-CN" w:bidi="ar-SA"/>
              </w:rPr>
              <w:t xml:space="preserve"> </w:t>
            </w:r>
            <w:r>
              <w:rPr>
                <w:rFonts w:hint="default" w:ascii="Times New Roman" w:hAnsi="Times New Roman" w:eastAsia="宋体" w:cs="Times New Roman"/>
                <w:b/>
                <w:color w:val="auto"/>
                <w:kern w:val="0"/>
                <w:sz w:val="24"/>
                <w:szCs w:val="24"/>
              </w:rPr>
              <w:t>项目</w:t>
            </w:r>
            <w:r>
              <w:rPr>
                <w:rFonts w:hint="default" w:ascii="Times New Roman" w:hAnsi="Times New Roman" w:eastAsia="宋体" w:cs="Times New Roman"/>
                <w:b/>
                <w:color w:val="auto"/>
                <w:kern w:val="0"/>
                <w:sz w:val="24"/>
                <w:szCs w:val="24"/>
                <w:lang w:val="en-US" w:eastAsia="zh-CN"/>
              </w:rPr>
              <w:t>排气筒</w:t>
            </w:r>
            <w:r>
              <w:rPr>
                <w:rFonts w:hint="eastAsia" w:cs="Times New Roman"/>
                <w:b/>
                <w:color w:val="auto"/>
                <w:kern w:val="0"/>
                <w:sz w:val="24"/>
                <w:szCs w:val="24"/>
                <w:lang w:val="en-US" w:eastAsia="zh-CN"/>
              </w:rPr>
              <w:t>DA001</w:t>
            </w:r>
            <w:r>
              <w:rPr>
                <w:rFonts w:hint="default" w:ascii="Times New Roman" w:hAnsi="Times New Roman" w:eastAsia="宋体" w:cs="Times New Roman"/>
                <w:b/>
                <w:color w:val="auto"/>
                <w:kern w:val="0"/>
                <w:sz w:val="24"/>
                <w:szCs w:val="24"/>
              </w:rPr>
              <w:t>废气产排情况一览表</w:t>
            </w:r>
          </w:p>
          <w:tbl>
            <w:tblPr>
              <w:tblStyle w:val="22"/>
              <w:tblW w:w="8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11"/>
              <w:gridCol w:w="478"/>
              <w:gridCol w:w="590"/>
              <w:gridCol w:w="582"/>
              <w:gridCol w:w="779"/>
              <w:gridCol w:w="882"/>
              <w:gridCol w:w="940"/>
              <w:gridCol w:w="619"/>
              <w:gridCol w:w="769"/>
              <w:gridCol w:w="742"/>
              <w:gridCol w:w="866"/>
            </w:tblGrid>
            <w:tr w14:paraId="7CBFC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CC6FCA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w:t>
                  </w:r>
                </w:p>
                <w:p w14:paraId="684539C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方式</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14B445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排气筒编号</w:t>
                  </w:r>
                </w:p>
              </w:tc>
              <w:tc>
                <w:tcPr>
                  <w:tcW w:w="47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94B910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污染源</w:t>
                  </w:r>
                </w:p>
              </w:tc>
              <w:tc>
                <w:tcPr>
                  <w:tcW w:w="59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11C593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644045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收集效率</w:t>
                  </w:r>
                  <w:r>
                    <w:rPr>
                      <w:rFonts w:hint="default" w:ascii="Times New Roman" w:hAnsi="Times New Roman" w:eastAsia="宋体" w:cs="Times New Roman"/>
                      <w:b/>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32EB13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产生量（t/a）</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9AE140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产生速率（kg/h）</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EBD1B9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产生浓度（mg/m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2A90B5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处理效率（%）</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42675F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排放量（t/a）</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727357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排放速率（kg/h）</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80D8B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排放浓度（mg/m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w:t>
                  </w:r>
                </w:p>
              </w:tc>
            </w:tr>
            <w:tr w14:paraId="7B8F7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5AE52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2E0F7C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eastAsia" w:cs="Times New Roman"/>
                      <w:bCs/>
                      <w:color w:val="auto"/>
                      <w:sz w:val="21"/>
                      <w:szCs w:val="21"/>
                      <w:lang w:val="en-US" w:eastAsia="zh-CN"/>
                    </w:rPr>
                    <w:t>1</w:t>
                  </w:r>
                </w:p>
              </w:tc>
              <w:tc>
                <w:tcPr>
                  <w:tcW w:w="478"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7078778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注塑</w:t>
                  </w:r>
                </w:p>
              </w:tc>
              <w:tc>
                <w:tcPr>
                  <w:tcW w:w="590"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2B56E56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非甲烷总烃</w:t>
                  </w: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AA5B57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19A95E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385</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28903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0.08</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99AC2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2.86</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E8B11C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85AC5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096</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211A5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w:t>
                  </w:r>
                  <w:r>
                    <w:rPr>
                      <w:rFonts w:hint="eastAsia" w:cs="Times New Roman"/>
                      <w:bCs/>
                      <w:color w:val="auto"/>
                      <w:sz w:val="21"/>
                      <w:szCs w:val="21"/>
                      <w:lang w:val="en-US" w:eastAsia="zh-CN"/>
                    </w:rPr>
                    <w:t>2</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DA2D64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71</w:t>
                  </w:r>
                </w:p>
              </w:tc>
            </w:tr>
            <w:tr w14:paraId="7886E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8A5853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7381BF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8" w:type="dxa"/>
                  <w:vMerge w:val="continue"/>
                  <w:tcBorders>
                    <w:left w:val="single" w:color="auto" w:sz="4" w:space="0"/>
                    <w:right w:val="single" w:color="auto" w:sz="4" w:space="0"/>
                  </w:tcBorders>
                  <w:noWrap w:val="0"/>
                  <w:tcMar>
                    <w:left w:w="28" w:type="dxa"/>
                    <w:right w:w="28" w:type="dxa"/>
                  </w:tcMar>
                  <w:vAlign w:val="center"/>
                </w:tcPr>
                <w:p w14:paraId="0EF9C43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4B77968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B17603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1075257">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385</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86F3583">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0.08</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5E0C3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C1E0D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EA93644">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w:t>
                  </w:r>
                  <w:r>
                    <w:rPr>
                      <w:rFonts w:hint="eastAsia" w:cs="Times New Roman"/>
                      <w:bCs/>
                      <w:color w:val="auto"/>
                      <w:sz w:val="21"/>
                      <w:szCs w:val="21"/>
                      <w:lang w:val="en-US" w:eastAsia="zh-CN"/>
                    </w:rPr>
                    <w:t>385</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1952D7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0.08</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9EFF5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724F1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208"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F69B4A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8" w:type="dxa"/>
                  <w:vMerge w:val="continue"/>
                  <w:tcBorders>
                    <w:left w:val="single" w:color="auto" w:sz="4" w:space="0"/>
                    <w:right w:val="single" w:color="auto" w:sz="4" w:space="0"/>
                  </w:tcBorders>
                  <w:noWrap w:val="0"/>
                  <w:tcMar>
                    <w:left w:w="28" w:type="dxa"/>
                    <w:right w:w="28" w:type="dxa"/>
                  </w:tcMar>
                  <w:vAlign w:val="center"/>
                </w:tcPr>
                <w:p w14:paraId="545C8576">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289648E4">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01822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DBCAB4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0.77</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5768C43">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0.16</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082A5C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04B3EE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331B05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0.481</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57DC72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0.1</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CE156C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r w14:paraId="6FB02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FD18B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有组织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334EA4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DA00</w:t>
                  </w:r>
                  <w:r>
                    <w:rPr>
                      <w:rFonts w:hint="eastAsia" w:cs="Times New Roman"/>
                      <w:bCs/>
                      <w:color w:val="auto"/>
                      <w:sz w:val="21"/>
                      <w:szCs w:val="21"/>
                      <w:lang w:val="en-US" w:eastAsia="zh-CN"/>
                    </w:rPr>
                    <w:t>1</w:t>
                  </w:r>
                </w:p>
              </w:tc>
              <w:tc>
                <w:tcPr>
                  <w:tcW w:w="478"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53F4295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移印</w:t>
                  </w:r>
                </w:p>
              </w:tc>
              <w:tc>
                <w:tcPr>
                  <w:tcW w:w="590" w:type="dxa"/>
                  <w:vMerge w:val="restart"/>
                  <w:tcBorders>
                    <w:top w:val="single" w:color="auto" w:sz="4" w:space="0"/>
                    <w:left w:val="single" w:color="auto" w:sz="4" w:space="0"/>
                    <w:right w:val="single" w:color="auto" w:sz="4" w:space="0"/>
                  </w:tcBorders>
                  <w:noWrap w:val="0"/>
                  <w:tcMar>
                    <w:left w:w="28" w:type="dxa"/>
                    <w:right w:w="28" w:type="dxa"/>
                  </w:tcMar>
                  <w:vAlign w:val="center"/>
                </w:tcPr>
                <w:p w14:paraId="578888FC">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非甲烷总烃</w:t>
                  </w: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4632D6">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86811C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w:t>
                  </w:r>
                  <w:r>
                    <w:rPr>
                      <w:rFonts w:hint="eastAsia" w:cs="Times New Roman"/>
                      <w:bCs/>
                      <w:color w:val="auto"/>
                      <w:sz w:val="21"/>
                      <w:szCs w:val="21"/>
                      <w:lang w:val="en-US" w:eastAsia="zh-CN"/>
                    </w:rPr>
                    <w:t>135</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92F9241">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w:t>
                  </w:r>
                  <w:r>
                    <w:rPr>
                      <w:rFonts w:hint="eastAsia" w:cs="Times New Roman"/>
                      <w:bCs/>
                      <w:color w:val="auto"/>
                      <w:sz w:val="21"/>
                      <w:szCs w:val="21"/>
                      <w:lang w:val="en-US" w:eastAsia="zh-CN"/>
                    </w:rPr>
                    <w:t>56</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8C6AB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0.2</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2F97DD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75</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740283E">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0.0034</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952DD47">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0.0014</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EE73BF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0.05</w:t>
                  </w:r>
                </w:p>
              </w:tc>
            </w:tr>
            <w:tr w14:paraId="0B0E5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845EE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w:t>
                  </w:r>
                </w:p>
              </w:tc>
              <w:tc>
                <w:tcPr>
                  <w:tcW w:w="6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782A1F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478" w:type="dxa"/>
                  <w:vMerge w:val="continue"/>
                  <w:tcBorders>
                    <w:left w:val="single" w:color="auto" w:sz="4" w:space="0"/>
                    <w:right w:val="single" w:color="auto" w:sz="4" w:space="0"/>
                  </w:tcBorders>
                  <w:noWrap w:val="0"/>
                  <w:tcMar>
                    <w:left w:w="28" w:type="dxa"/>
                    <w:right w:w="28" w:type="dxa"/>
                  </w:tcMar>
                  <w:vAlign w:val="center"/>
                </w:tcPr>
                <w:p w14:paraId="75BACBCA">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5C1398BD">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5795BB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C7BE8D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0.01</w:t>
                  </w:r>
                  <w:r>
                    <w:rPr>
                      <w:rFonts w:hint="eastAsia" w:cs="Times New Roman"/>
                      <w:bCs/>
                      <w:color w:val="auto"/>
                      <w:sz w:val="21"/>
                      <w:szCs w:val="21"/>
                      <w:lang w:val="en-US" w:eastAsia="zh-CN"/>
                    </w:rPr>
                    <w:t>35</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00CB0D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0.00</w:t>
                  </w:r>
                  <w:r>
                    <w:rPr>
                      <w:rFonts w:hint="eastAsia" w:cs="Times New Roman"/>
                      <w:bCs/>
                      <w:color w:val="auto"/>
                      <w:sz w:val="21"/>
                      <w:szCs w:val="21"/>
                      <w:lang w:val="en-US" w:eastAsia="zh-CN"/>
                    </w:rPr>
                    <w:t>56</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6A01D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33F5352">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7C5AD81">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0.01</w:t>
                  </w:r>
                  <w:r>
                    <w:rPr>
                      <w:rFonts w:hint="eastAsia" w:cs="Times New Roman"/>
                      <w:bCs/>
                      <w:color w:val="auto"/>
                      <w:sz w:val="21"/>
                      <w:szCs w:val="21"/>
                      <w:lang w:val="en-US" w:eastAsia="zh-CN"/>
                    </w:rPr>
                    <w:t>35</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6A56EAC">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0.00</w:t>
                  </w:r>
                  <w:r>
                    <w:rPr>
                      <w:rFonts w:hint="eastAsia" w:cs="Times New Roman"/>
                      <w:bCs/>
                      <w:color w:val="auto"/>
                      <w:sz w:val="21"/>
                      <w:szCs w:val="21"/>
                      <w:lang w:val="en-US" w:eastAsia="zh-CN"/>
                    </w:rPr>
                    <w:t>56</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DA28605">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w:t>
                  </w:r>
                </w:p>
              </w:tc>
            </w:tr>
            <w:tr w14:paraId="77E91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208"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0219BB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合计</w:t>
                  </w:r>
                </w:p>
              </w:tc>
              <w:tc>
                <w:tcPr>
                  <w:tcW w:w="478" w:type="dxa"/>
                  <w:vMerge w:val="continue"/>
                  <w:tcBorders>
                    <w:left w:val="single" w:color="auto" w:sz="4" w:space="0"/>
                    <w:right w:val="single" w:color="auto" w:sz="4" w:space="0"/>
                  </w:tcBorders>
                  <w:noWrap w:val="0"/>
                  <w:tcMar>
                    <w:left w:w="28" w:type="dxa"/>
                    <w:right w:w="28" w:type="dxa"/>
                  </w:tcMar>
                  <w:vAlign w:val="center"/>
                </w:tcPr>
                <w:p w14:paraId="58D8F98F">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90" w:type="dxa"/>
                  <w:vMerge w:val="continue"/>
                  <w:tcBorders>
                    <w:left w:val="single" w:color="auto" w:sz="4" w:space="0"/>
                    <w:right w:val="single" w:color="auto" w:sz="4" w:space="0"/>
                  </w:tcBorders>
                  <w:noWrap w:val="0"/>
                  <w:tcMar>
                    <w:left w:w="28" w:type="dxa"/>
                    <w:right w:w="28" w:type="dxa"/>
                  </w:tcMar>
                  <w:vAlign w:val="center"/>
                </w:tcPr>
                <w:p w14:paraId="5FFD9BF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rPr>
                  </w:pPr>
                </w:p>
              </w:tc>
              <w:tc>
                <w:tcPr>
                  <w:tcW w:w="5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A7ACF9D">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7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396EF8">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0.024</w:t>
                  </w:r>
                </w:p>
              </w:tc>
              <w:tc>
                <w:tcPr>
                  <w:tcW w:w="88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A2507E0">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0.0112</w:t>
                  </w:r>
                </w:p>
              </w:tc>
              <w:tc>
                <w:tcPr>
                  <w:tcW w:w="94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B6A61AB">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61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C41AB0E">
                  <w:pPr>
                    <w:keepNext w:val="0"/>
                    <w:keepLines w:val="0"/>
                    <w:suppressLineNumbers w:val="0"/>
                    <w:wordWrap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7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B400855">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0.0169</w:t>
                  </w:r>
                </w:p>
              </w:tc>
              <w:tc>
                <w:tcPr>
                  <w:tcW w:w="74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1DBAB3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0.007</w:t>
                  </w:r>
                </w:p>
              </w:tc>
              <w:tc>
                <w:tcPr>
                  <w:tcW w:w="86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6ECF09">
                  <w:pPr>
                    <w:keepNext w:val="0"/>
                    <w:keepLines w:val="0"/>
                    <w:suppressLineNumbers w:val="0"/>
                    <w:wordWrap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bl>
          <w:p w14:paraId="7156E9EB">
            <w:pPr>
              <w:wordWrap/>
              <w:adjustRightInd w:val="0"/>
              <w:snapToGrid w:val="0"/>
              <w:ind w:firstLine="482" w:firstLineChars="200"/>
              <w:jc w:val="left"/>
              <w:rPr>
                <w:rFonts w:hint="default" w:ascii="Times New Roman" w:hAnsi="Times New Roman" w:cs="Times New Roman"/>
                <w:b/>
                <w:color w:val="auto"/>
                <w:kern w:val="21"/>
              </w:rPr>
            </w:pPr>
            <w:r>
              <w:rPr>
                <w:rFonts w:hint="default" w:ascii="Times New Roman" w:hAnsi="Times New Roman" w:cs="Times New Roman"/>
                <w:b/>
                <w:color w:val="auto"/>
                <w:kern w:val="21"/>
              </w:rPr>
              <w:t>（2）废气排放口情况</w:t>
            </w:r>
          </w:p>
          <w:p w14:paraId="38A277B9">
            <w:pPr>
              <w:wordWrap/>
              <w:adjustRightInd w:val="0"/>
              <w:snapToGrid w:val="0"/>
              <w:spacing w:line="240" w:lineRule="auto"/>
              <w:ind w:firstLine="482" w:firstLineChars="200"/>
              <w:jc w:val="center"/>
              <w:rPr>
                <w:rFonts w:hint="default" w:ascii="Times New Roman" w:hAnsi="Times New Roman" w:cs="Times New Roman"/>
                <w:b/>
                <w:color w:val="auto"/>
                <w:kern w:val="21"/>
              </w:rPr>
            </w:pPr>
            <w:r>
              <w:rPr>
                <w:rFonts w:hint="default" w:ascii="Times New Roman" w:hAnsi="Times New Roman" w:cs="Times New Roman"/>
                <w:b/>
                <w:color w:val="auto"/>
                <w:kern w:val="21"/>
              </w:rPr>
              <w:t>表</w:t>
            </w:r>
            <w:r>
              <w:rPr>
                <w:rFonts w:hint="default" w:ascii="Times New Roman" w:hAnsi="Times New Roman" w:cs="Times New Roman"/>
                <w:b/>
                <w:color w:val="auto"/>
                <w:kern w:val="21"/>
                <w:lang w:val="en-US" w:eastAsia="zh-CN"/>
              </w:rPr>
              <w:t>4-6</w:t>
            </w:r>
            <w:r>
              <w:rPr>
                <w:rFonts w:hint="default" w:ascii="Times New Roman" w:hAnsi="Times New Roman" w:cs="Times New Roman"/>
                <w:b/>
                <w:color w:val="auto"/>
                <w:kern w:val="21"/>
              </w:rPr>
              <w:t xml:space="preserve"> 项目废气排</w:t>
            </w:r>
            <w:r>
              <w:rPr>
                <w:rFonts w:hint="default" w:ascii="Times New Roman" w:hAnsi="Times New Roman" w:cs="Times New Roman"/>
                <w:b/>
                <w:color w:val="auto"/>
                <w:kern w:val="21"/>
                <w:lang w:val="en-US" w:eastAsia="zh-CN"/>
              </w:rPr>
              <w:t>放</w:t>
            </w:r>
            <w:r>
              <w:rPr>
                <w:rFonts w:hint="default" w:ascii="Times New Roman" w:hAnsi="Times New Roman" w:cs="Times New Roman"/>
                <w:b/>
                <w:color w:val="auto"/>
                <w:kern w:val="21"/>
              </w:rPr>
              <w:t>口基本情况一览表</w:t>
            </w:r>
          </w:p>
          <w:tbl>
            <w:tblPr>
              <w:tblStyle w:val="23"/>
              <w:tblW w:w="8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1074"/>
              <w:gridCol w:w="984"/>
              <w:gridCol w:w="939"/>
              <w:gridCol w:w="725"/>
              <w:gridCol w:w="858"/>
              <w:gridCol w:w="819"/>
              <w:gridCol w:w="1046"/>
              <w:gridCol w:w="1012"/>
            </w:tblGrid>
            <w:tr w14:paraId="35F70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919" w:type="dxa"/>
                  <w:vMerge w:val="restart"/>
                  <w:vAlign w:val="center"/>
                </w:tcPr>
                <w:p w14:paraId="5C7B8177">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排放口编号</w:t>
                  </w:r>
                </w:p>
              </w:tc>
              <w:tc>
                <w:tcPr>
                  <w:tcW w:w="1074" w:type="dxa"/>
                  <w:vMerge w:val="restart"/>
                  <w:vAlign w:val="center"/>
                </w:tcPr>
                <w:p w14:paraId="4DB503CB">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污染物种类</w:t>
                  </w:r>
                </w:p>
              </w:tc>
              <w:tc>
                <w:tcPr>
                  <w:tcW w:w="1923" w:type="dxa"/>
                  <w:gridSpan w:val="2"/>
                  <w:vAlign w:val="center"/>
                </w:tcPr>
                <w:p w14:paraId="1A2CDD3A">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排放口地理位置</w:t>
                  </w:r>
                </w:p>
              </w:tc>
              <w:tc>
                <w:tcPr>
                  <w:tcW w:w="725" w:type="dxa"/>
                  <w:vMerge w:val="restart"/>
                  <w:vAlign w:val="center"/>
                </w:tcPr>
                <w:p w14:paraId="7FA7B640">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排放高度/m</w:t>
                  </w:r>
                </w:p>
              </w:tc>
              <w:tc>
                <w:tcPr>
                  <w:tcW w:w="858" w:type="dxa"/>
                  <w:vMerge w:val="restart"/>
                  <w:vAlign w:val="center"/>
                </w:tcPr>
                <w:p w14:paraId="23DF8ADD">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排气筒内径/m</w:t>
                  </w:r>
                </w:p>
              </w:tc>
              <w:tc>
                <w:tcPr>
                  <w:tcW w:w="819" w:type="dxa"/>
                  <w:vMerge w:val="restart"/>
                  <w:vAlign w:val="center"/>
                </w:tcPr>
                <w:p w14:paraId="20301501">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排气温度/℃</w:t>
                  </w:r>
                </w:p>
              </w:tc>
              <w:tc>
                <w:tcPr>
                  <w:tcW w:w="1046" w:type="dxa"/>
                  <w:vMerge w:val="restart"/>
                  <w:vAlign w:val="center"/>
                </w:tcPr>
                <w:p w14:paraId="593C0DAB">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风量（m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/h）</w:t>
                  </w:r>
                </w:p>
              </w:tc>
              <w:tc>
                <w:tcPr>
                  <w:tcW w:w="1012" w:type="dxa"/>
                  <w:vMerge w:val="restart"/>
                  <w:vAlign w:val="center"/>
                </w:tcPr>
                <w:p w14:paraId="7B9F5CB1">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排放口类型</w:t>
                  </w:r>
                </w:p>
              </w:tc>
            </w:tr>
            <w:tr w14:paraId="18554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919" w:type="dxa"/>
                  <w:vMerge w:val="continue"/>
                  <w:vAlign w:val="center"/>
                </w:tcPr>
                <w:p w14:paraId="1E545B3F">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1074" w:type="dxa"/>
                  <w:vMerge w:val="continue"/>
                  <w:vAlign w:val="center"/>
                </w:tcPr>
                <w:p w14:paraId="399E953A">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84" w:type="dxa"/>
                  <w:vAlign w:val="center"/>
                </w:tcPr>
                <w:p w14:paraId="010B49BF">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经度/°</w:t>
                  </w:r>
                </w:p>
              </w:tc>
              <w:tc>
                <w:tcPr>
                  <w:tcW w:w="939" w:type="dxa"/>
                  <w:vAlign w:val="center"/>
                </w:tcPr>
                <w:p w14:paraId="71652A59">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纬度/°</w:t>
                  </w:r>
                </w:p>
              </w:tc>
              <w:tc>
                <w:tcPr>
                  <w:tcW w:w="725" w:type="dxa"/>
                  <w:vMerge w:val="continue"/>
                  <w:vAlign w:val="center"/>
                </w:tcPr>
                <w:p w14:paraId="49EA1075">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58" w:type="dxa"/>
                  <w:vMerge w:val="continue"/>
                  <w:vAlign w:val="center"/>
                </w:tcPr>
                <w:p w14:paraId="0BF4B124">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819" w:type="dxa"/>
                  <w:vMerge w:val="continue"/>
                  <w:vAlign w:val="center"/>
                </w:tcPr>
                <w:p w14:paraId="46F92FC5">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1046" w:type="dxa"/>
                  <w:vMerge w:val="continue"/>
                  <w:vAlign w:val="center"/>
                </w:tcPr>
                <w:p w14:paraId="324BD8F8">
                  <w:pPr>
                    <w:wordWrap/>
                    <w:adjustRightInd w:val="0"/>
                    <w:snapToGrid w:val="0"/>
                    <w:spacing w:line="240" w:lineRule="auto"/>
                    <w:jc w:val="center"/>
                    <w:rPr>
                      <w:rFonts w:hint="default" w:ascii="Times New Roman" w:hAnsi="Times New Roman" w:cs="Times New Roman"/>
                      <w:bCs/>
                      <w:color w:val="auto"/>
                      <w:kern w:val="21"/>
                      <w:sz w:val="21"/>
                      <w:szCs w:val="21"/>
                    </w:rPr>
                  </w:pPr>
                </w:p>
              </w:tc>
              <w:tc>
                <w:tcPr>
                  <w:tcW w:w="1012" w:type="dxa"/>
                  <w:vMerge w:val="continue"/>
                  <w:vAlign w:val="center"/>
                </w:tcPr>
                <w:p w14:paraId="5B5942E5">
                  <w:pPr>
                    <w:wordWrap/>
                    <w:adjustRightInd w:val="0"/>
                    <w:snapToGrid w:val="0"/>
                    <w:spacing w:line="240" w:lineRule="auto"/>
                    <w:jc w:val="center"/>
                    <w:rPr>
                      <w:rFonts w:hint="default" w:ascii="Times New Roman" w:hAnsi="Times New Roman" w:cs="Times New Roman"/>
                      <w:bCs/>
                      <w:color w:val="auto"/>
                      <w:kern w:val="21"/>
                      <w:sz w:val="21"/>
                      <w:szCs w:val="21"/>
                    </w:rPr>
                  </w:pPr>
                </w:p>
              </w:tc>
            </w:tr>
            <w:tr w14:paraId="3B2A1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919" w:type="dxa"/>
                  <w:vAlign w:val="center"/>
                </w:tcPr>
                <w:p w14:paraId="5CE87C8F">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DA001</w:t>
                  </w:r>
                </w:p>
              </w:tc>
              <w:tc>
                <w:tcPr>
                  <w:tcW w:w="1074" w:type="dxa"/>
                  <w:vAlign w:val="center"/>
                </w:tcPr>
                <w:p w14:paraId="5A8DE158">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rPr>
                    <w:t>VOCs</w:t>
                  </w:r>
                  <w:r>
                    <w:rPr>
                      <w:rFonts w:hint="default" w:ascii="Times New Roman" w:hAnsi="Times New Roman" w:cs="Times New Roman"/>
                      <w:bCs/>
                      <w:color w:val="auto"/>
                      <w:kern w:val="21"/>
                      <w:sz w:val="21"/>
                      <w:szCs w:val="21"/>
                      <w:lang w:eastAsia="zh-CN"/>
                    </w:rPr>
                    <w:t>、</w:t>
                  </w:r>
                  <w:r>
                    <w:rPr>
                      <w:rFonts w:hint="default" w:ascii="Times New Roman" w:hAnsi="Times New Roman" w:cs="Times New Roman"/>
                      <w:bCs/>
                      <w:color w:val="auto"/>
                      <w:kern w:val="21"/>
                      <w:sz w:val="21"/>
                      <w:szCs w:val="21"/>
                      <w:lang w:val="en-US" w:eastAsia="zh-CN"/>
                    </w:rPr>
                    <w:t>非甲烷总烃、臭气浓度</w:t>
                  </w:r>
                </w:p>
              </w:tc>
              <w:tc>
                <w:tcPr>
                  <w:tcW w:w="984" w:type="dxa"/>
                  <w:vAlign w:val="center"/>
                </w:tcPr>
                <w:p w14:paraId="013789A9">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113.897468°</w:t>
                  </w:r>
                </w:p>
              </w:tc>
              <w:tc>
                <w:tcPr>
                  <w:tcW w:w="939" w:type="dxa"/>
                  <w:vAlign w:val="center"/>
                </w:tcPr>
                <w:p w14:paraId="4F7A5390">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23.152445°</w:t>
                  </w:r>
                </w:p>
              </w:tc>
              <w:tc>
                <w:tcPr>
                  <w:tcW w:w="725" w:type="dxa"/>
                  <w:vAlign w:val="center"/>
                </w:tcPr>
                <w:p w14:paraId="396FCB36">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18</w:t>
                  </w:r>
                </w:p>
              </w:tc>
              <w:tc>
                <w:tcPr>
                  <w:tcW w:w="858" w:type="dxa"/>
                  <w:vAlign w:val="center"/>
                </w:tcPr>
                <w:p w14:paraId="4113E607">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0.8</w:t>
                  </w:r>
                </w:p>
              </w:tc>
              <w:tc>
                <w:tcPr>
                  <w:tcW w:w="819" w:type="dxa"/>
                  <w:vAlign w:val="center"/>
                </w:tcPr>
                <w:p w14:paraId="42014E9E">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25</w:t>
                  </w:r>
                </w:p>
              </w:tc>
              <w:tc>
                <w:tcPr>
                  <w:tcW w:w="1046" w:type="dxa"/>
                  <w:vAlign w:val="center"/>
                </w:tcPr>
                <w:p w14:paraId="18C0D185">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28000</w:t>
                  </w:r>
                </w:p>
              </w:tc>
              <w:tc>
                <w:tcPr>
                  <w:tcW w:w="1012" w:type="dxa"/>
                  <w:vAlign w:val="center"/>
                </w:tcPr>
                <w:p w14:paraId="4786DFB5">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一般排放口</w:t>
                  </w:r>
                </w:p>
              </w:tc>
            </w:tr>
          </w:tbl>
          <w:p w14:paraId="32CD5221">
            <w:pPr>
              <w:ind w:firstLine="482" w:firstLineChars="200"/>
              <w:textAlignment w:val="baseline"/>
              <w:rPr>
                <w:rFonts w:hint="default" w:ascii="Times New Roman" w:hAnsi="Times New Roman" w:cs="Times New Roman"/>
                <w:b/>
                <w:color w:val="auto"/>
                <w:kern w:val="0"/>
              </w:rPr>
            </w:pPr>
            <w:r>
              <w:rPr>
                <w:rFonts w:hint="default" w:ascii="Times New Roman" w:hAnsi="Times New Roman" w:cs="Times New Roman"/>
                <w:b/>
                <w:color w:val="auto"/>
                <w:kern w:val="0"/>
              </w:rPr>
              <w:t>（3）废气达标分析</w:t>
            </w:r>
          </w:p>
          <w:p w14:paraId="32EDBC34">
            <w:pPr>
              <w:spacing w:line="240" w:lineRule="auto"/>
              <w:ind w:firstLine="482" w:firstLineChars="200"/>
              <w:rPr>
                <w:rFonts w:hint="default" w:ascii="Times New Roman" w:hAnsi="Times New Roman" w:cs="Times New Roman"/>
                <w:b/>
                <w:color w:val="auto"/>
                <w:szCs w:val="32"/>
              </w:rPr>
            </w:pPr>
            <w:r>
              <w:rPr>
                <w:rFonts w:hint="default" w:ascii="Times New Roman" w:hAnsi="Times New Roman" w:cs="Times New Roman"/>
                <w:b/>
                <w:color w:val="auto"/>
                <w:szCs w:val="32"/>
              </w:rPr>
              <w:t>1）有组织排放</w:t>
            </w:r>
          </w:p>
          <w:p w14:paraId="7B674DB5">
            <w:pPr>
              <w:spacing w:line="240" w:lineRule="auto"/>
              <w:jc w:val="center"/>
              <w:rPr>
                <w:rFonts w:hint="default" w:ascii="Times New Roman" w:hAnsi="Times New Roman" w:cs="Times New Roman"/>
                <w:b/>
                <w:color w:val="auto"/>
                <w:szCs w:val="32"/>
              </w:rPr>
            </w:pPr>
            <w:r>
              <w:rPr>
                <w:rFonts w:hint="default" w:ascii="Times New Roman" w:hAnsi="Times New Roman" w:cs="Times New Roman"/>
                <w:b/>
                <w:color w:val="auto"/>
                <w:szCs w:val="32"/>
              </w:rPr>
              <w:t>表</w:t>
            </w:r>
            <w:r>
              <w:rPr>
                <w:rFonts w:hint="default" w:ascii="Times New Roman" w:hAnsi="Times New Roman" w:cs="Times New Roman"/>
                <w:b/>
                <w:color w:val="auto"/>
                <w:szCs w:val="32"/>
                <w:lang w:val="en-US" w:eastAsia="zh-CN"/>
              </w:rPr>
              <w:t>4-7</w:t>
            </w:r>
            <w:r>
              <w:rPr>
                <w:rFonts w:hint="default" w:ascii="Times New Roman" w:hAnsi="Times New Roman" w:cs="Times New Roman"/>
                <w:b/>
                <w:color w:val="auto"/>
                <w:szCs w:val="32"/>
              </w:rPr>
              <w:t xml:space="preserve"> 项目废气污染物排放达标情况一览表</w:t>
            </w:r>
          </w:p>
          <w:tbl>
            <w:tblPr>
              <w:tblStyle w:val="22"/>
              <w:tblW w:w="8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675"/>
              <w:gridCol w:w="1204"/>
              <w:gridCol w:w="1247"/>
              <w:gridCol w:w="1105"/>
              <w:gridCol w:w="1150"/>
              <w:gridCol w:w="1150"/>
            </w:tblGrid>
            <w:tr w14:paraId="17E7A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25" w:type="dxa"/>
                  <w:vAlign w:val="center"/>
                </w:tcPr>
                <w:p w14:paraId="769E373B">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污染源</w:t>
                  </w:r>
                </w:p>
              </w:tc>
              <w:tc>
                <w:tcPr>
                  <w:tcW w:w="1675" w:type="dxa"/>
                  <w:vAlign w:val="center"/>
                </w:tcPr>
                <w:p w14:paraId="261850E7">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污染物</w:t>
                  </w:r>
                </w:p>
              </w:tc>
              <w:tc>
                <w:tcPr>
                  <w:tcW w:w="1204" w:type="dxa"/>
                  <w:vAlign w:val="center"/>
                </w:tcPr>
                <w:p w14:paraId="6DFB40E0">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排放浓度</w:t>
                  </w:r>
                </w:p>
                <w:p w14:paraId="05432027">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mg/m³</w:t>
                  </w:r>
                </w:p>
              </w:tc>
              <w:tc>
                <w:tcPr>
                  <w:tcW w:w="1247" w:type="dxa"/>
                  <w:vAlign w:val="center"/>
                </w:tcPr>
                <w:p w14:paraId="7CF53F0B">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浓度限值mg/m³</w:t>
                  </w:r>
                </w:p>
              </w:tc>
              <w:tc>
                <w:tcPr>
                  <w:tcW w:w="1105" w:type="dxa"/>
                  <w:vAlign w:val="center"/>
                </w:tcPr>
                <w:p w14:paraId="01094F52">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排放速率</w:t>
                  </w:r>
                </w:p>
                <w:p w14:paraId="59C4931B">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kg/h</w:t>
                  </w:r>
                </w:p>
              </w:tc>
              <w:tc>
                <w:tcPr>
                  <w:tcW w:w="1150" w:type="dxa"/>
                  <w:vAlign w:val="center"/>
                </w:tcPr>
                <w:p w14:paraId="2B54CD48">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速率限值kg/h</w:t>
                  </w:r>
                </w:p>
              </w:tc>
              <w:tc>
                <w:tcPr>
                  <w:tcW w:w="1150" w:type="dxa"/>
                  <w:vAlign w:val="center"/>
                </w:tcPr>
                <w:p w14:paraId="4BF9E599">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达标情况</w:t>
                  </w:r>
                </w:p>
              </w:tc>
            </w:tr>
            <w:tr w14:paraId="355D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25" w:type="dxa"/>
                  <w:vAlign w:val="center"/>
                </w:tcPr>
                <w:p w14:paraId="2AC6AD3A">
                  <w:pPr>
                    <w:spacing w:line="240" w:lineRule="auto"/>
                    <w:jc w:val="center"/>
                    <w:rPr>
                      <w:rFonts w:hint="eastAsia" w:ascii="Times New Roman" w:hAnsi="Times New Roman" w:eastAsia="宋体" w:cs="Times New Roman"/>
                      <w:color w:val="auto"/>
                      <w:kern w:val="11"/>
                      <w:sz w:val="21"/>
                      <w:szCs w:val="21"/>
                      <w:lang w:val="en-US" w:eastAsia="zh-CN"/>
                    </w:rPr>
                  </w:pPr>
                  <w:r>
                    <w:rPr>
                      <w:rFonts w:hint="eastAsia" w:cs="Times New Roman"/>
                      <w:color w:val="auto"/>
                      <w:kern w:val="11"/>
                      <w:sz w:val="21"/>
                      <w:szCs w:val="21"/>
                      <w:lang w:val="en-US" w:eastAsia="zh-CN"/>
                    </w:rPr>
                    <w:t>DA001</w:t>
                  </w:r>
                </w:p>
              </w:tc>
              <w:tc>
                <w:tcPr>
                  <w:tcW w:w="1675" w:type="dxa"/>
                  <w:vAlign w:val="center"/>
                </w:tcPr>
                <w:p w14:paraId="0CADE305">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bCs/>
                      <w:color w:val="auto"/>
                      <w:kern w:val="21"/>
                      <w:sz w:val="21"/>
                      <w:szCs w:val="21"/>
                      <w:lang w:val="en-US" w:eastAsia="zh-CN"/>
                    </w:rPr>
                    <w:t>非甲烷总烃</w:t>
                  </w:r>
                </w:p>
              </w:tc>
              <w:tc>
                <w:tcPr>
                  <w:tcW w:w="1204" w:type="dxa"/>
                  <w:vAlign w:val="center"/>
                </w:tcPr>
                <w:p w14:paraId="2409809F">
                  <w:pPr>
                    <w:widowControl/>
                    <w:wordWrap/>
                    <w:spacing w:line="240" w:lineRule="auto"/>
                    <w:jc w:val="center"/>
                    <w:textAlignment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0.76</w:t>
                  </w:r>
                </w:p>
              </w:tc>
              <w:tc>
                <w:tcPr>
                  <w:tcW w:w="1247" w:type="dxa"/>
                  <w:vAlign w:val="center"/>
                </w:tcPr>
                <w:p w14:paraId="1C57AC83">
                  <w:pPr>
                    <w:spacing w:line="240" w:lineRule="auto"/>
                    <w:jc w:val="center"/>
                    <w:rPr>
                      <w:rFonts w:hint="default" w:ascii="Times New Roman" w:hAnsi="Times New Roman" w:cs="Times New Roman"/>
                      <w:color w:val="auto"/>
                      <w:kern w:val="11"/>
                      <w:sz w:val="21"/>
                      <w:szCs w:val="21"/>
                      <w:lang w:val="en-US" w:eastAsia="zh-CN"/>
                    </w:rPr>
                  </w:pPr>
                  <w:r>
                    <w:rPr>
                      <w:rFonts w:hint="eastAsia" w:cs="Times New Roman"/>
                      <w:color w:val="auto"/>
                      <w:kern w:val="11"/>
                      <w:sz w:val="21"/>
                      <w:szCs w:val="21"/>
                      <w:lang w:val="en-US" w:eastAsia="zh-CN"/>
                    </w:rPr>
                    <w:t>60</w:t>
                  </w:r>
                </w:p>
              </w:tc>
              <w:tc>
                <w:tcPr>
                  <w:tcW w:w="1105" w:type="dxa"/>
                  <w:vAlign w:val="center"/>
                </w:tcPr>
                <w:p w14:paraId="72337080">
                  <w:pPr>
                    <w:widowControl/>
                    <w:wordWrap/>
                    <w:spacing w:line="240" w:lineRule="auto"/>
                    <w:jc w:val="center"/>
                    <w:textAlignment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0.034</w:t>
                  </w:r>
                </w:p>
              </w:tc>
              <w:tc>
                <w:tcPr>
                  <w:tcW w:w="1150" w:type="dxa"/>
                  <w:vAlign w:val="center"/>
                </w:tcPr>
                <w:p w14:paraId="4678EB85">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lang w:val="en-US" w:eastAsia="zh-CN"/>
                    </w:rPr>
                    <w:t>/</w:t>
                  </w:r>
                </w:p>
              </w:tc>
              <w:tc>
                <w:tcPr>
                  <w:tcW w:w="1150" w:type="dxa"/>
                  <w:vAlign w:val="center"/>
                </w:tcPr>
                <w:p w14:paraId="29D5178F">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达标</w:t>
                  </w:r>
                </w:p>
              </w:tc>
            </w:tr>
          </w:tbl>
          <w:p w14:paraId="2B46B672">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由上表可知，项目排气筒DA001 非甲烷总烃有组织排放执行《合成树脂工业污染物排放标准》（GB 31572-2015，含2024年修改单）表5大气污染物特别排放限值和《印刷工业大气污染物排放标准》（GB 41616-2022）表1排放限值要求</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Cs w:val="21"/>
              </w:rPr>
              <w:t>对周边环境造成的影响较小</w:t>
            </w:r>
            <w:r>
              <w:rPr>
                <w:rFonts w:hint="default" w:ascii="Times New Roman" w:hAnsi="Times New Roman" w:cs="Times New Roman"/>
                <w:bCs/>
                <w:color w:val="auto"/>
                <w:szCs w:val="22"/>
              </w:rPr>
              <w:t>。</w:t>
            </w:r>
          </w:p>
          <w:p w14:paraId="4AF035EA">
            <w:pPr>
              <w:wordWrap/>
              <w:adjustRightInd w:val="0"/>
              <w:snapToGrid w:val="0"/>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szCs w:val="22"/>
                <w:lang w:val="en-US" w:eastAsia="zh-CN"/>
              </w:rPr>
              <w:t>2）无组织排放</w:t>
            </w:r>
          </w:p>
          <w:p w14:paraId="06CA69CB">
            <w:pPr>
              <w:keepNext w:val="0"/>
              <w:keepLines w:val="0"/>
              <w:suppressLineNumbers w:val="0"/>
              <w:wordWrap w:val="0"/>
              <w:spacing w:before="0" w:beforeAutospacing="0" w:after="0" w:afterAutospacing="0"/>
              <w:ind w:left="0" w:right="0" w:firstLine="480" w:firstLineChars="200"/>
              <w:rPr>
                <w:rFonts w:hint="default" w:ascii="Times New Roman" w:hAnsi="Times New Roman" w:cs="Times New Roman"/>
                <w:color w:val="auto"/>
                <w:szCs w:val="22"/>
              </w:rPr>
            </w:pPr>
            <w:r>
              <w:rPr>
                <w:rFonts w:hint="default" w:ascii="Times New Roman" w:hAnsi="Times New Roman" w:cs="Times New Roman"/>
                <w:color w:val="auto"/>
                <w:lang w:val="en-US" w:eastAsia="zh-CN"/>
              </w:rPr>
              <w:t>项目注塑废气、</w:t>
            </w:r>
            <w:r>
              <w:rPr>
                <w:rFonts w:hint="eastAsia" w:cs="Times New Roman"/>
                <w:color w:val="auto"/>
                <w:lang w:val="en-US" w:eastAsia="zh-CN"/>
              </w:rPr>
              <w:t>移印</w:t>
            </w:r>
            <w:r>
              <w:rPr>
                <w:rFonts w:hint="default" w:ascii="Times New Roman" w:hAnsi="Times New Roman" w:cs="Times New Roman"/>
                <w:color w:val="auto"/>
                <w:lang w:val="en-US" w:eastAsia="zh-CN"/>
              </w:rPr>
              <w:t>废气</w:t>
            </w:r>
            <w:r>
              <w:rPr>
                <w:rFonts w:hint="default" w:ascii="Times New Roman" w:hAnsi="Times New Roman" w:cs="Times New Roman"/>
                <w:color w:val="auto"/>
                <w:szCs w:val="22"/>
                <w:lang w:val="en-US" w:eastAsia="zh-CN"/>
              </w:rPr>
              <w:t>收集至</w:t>
            </w:r>
            <w:r>
              <w:rPr>
                <w:rFonts w:hint="default" w:ascii="Times New Roman" w:hAnsi="Times New Roman" w:cs="Times New Roman"/>
                <w:color w:val="auto"/>
                <w:szCs w:val="22"/>
              </w:rPr>
              <w:t>“水喷淋塔+干式过滤棉+</w:t>
            </w:r>
            <w:r>
              <w:rPr>
                <w:rFonts w:hint="default" w:ascii="Times New Roman" w:hAnsi="Times New Roman" w:cs="Times New Roman"/>
                <w:color w:val="auto"/>
                <w:szCs w:val="22"/>
                <w:lang w:eastAsia="zh-CN"/>
              </w:rPr>
              <w:t>二级活性炭</w:t>
            </w:r>
            <w:r>
              <w:rPr>
                <w:rFonts w:hint="default" w:ascii="Times New Roman" w:hAnsi="Times New Roman" w:cs="Times New Roman"/>
                <w:color w:val="auto"/>
                <w:szCs w:val="22"/>
              </w:rPr>
              <w:t>吸附装置”处理后引至排气筒</w:t>
            </w:r>
            <w:r>
              <w:rPr>
                <w:rFonts w:hint="eastAsia" w:cs="Times New Roman"/>
                <w:color w:val="auto"/>
                <w:szCs w:val="22"/>
                <w:lang w:eastAsia="zh-CN"/>
              </w:rPr>
              <w:t>DA001</w:t>
            </w:r>
            <w:r>
              <w:rPr>
                <w:rFonts w:hint="default" w:ascii="Times New Roman" w:hAnsi="Times New Roman" w:cs="Times New Roman"/>
                <w:color w:val="auto"/>
                <w:szCs w:val="22"/>
              </w:rPr>
              <w:t>排放</w:t>
            </w:r>
            <w:r>
              <w:rPr>
                <w:rFonts w:hint="default" w:ascii="Times New Roman" w:hAnsi="Times New Roman" w:cs="Times New Roman"/>
                <w:color w:val="auto"/>
                <w:szCs w:val="22"/>
                <w:lang w:val="en-US" w:eastAsia="zh-CN"/>
              </w:rPr>
              <w:t>，</w:t>
            </w:r>
            <w:r>
              <w:rPr>
                <w:rFonts w:hint="default" w:ascii="Times New Roman" w:hAnsi="Times New Roman" w:cs="Times New Roman"/>
                <w:color w:val="auto"/>
                <w:szCs w:val="22"/>
              </w:rPr>
              <w:t>未被收集的有机废气</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非甲烷总烃、臭气</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以及机加工（油雾）和破碎颗粒物、电火花加工过程废气（颗粒物、非甲烷总烃）在车间无组织排放</w:t>
            </w:r>
            <w:r>
              <w:rPr>
                <w:rFonts w:hint="default" w:ascii="Times New Roman" w:hAnsi="Times New Roman" w:cs="Times New Roman"/>
                <w:color w:val="auto"/>
                <w:szCs w:val="22"/>
              </w:rPr>
              <w:t>。根据产排污分析，</w:t>
            </w:r>
            <w:r>
              <w:rPr>
                <w:rFonts w:hint="default" w:ascii="Times New Roman" w:hAnsi="Times New Roman" w:cs="Times New Roman"/>
                <w:color w:val="auto"/>
                <w:szCs w:val="22"/>
                <w:lang w:val="en-US" w:eastAsia="zh-CN"/>
              </w:rPr>
              <w:t>厂界</w:t>
            </w:r>
            <w:r>
              <w:rPr>
                <w:rFonts w:hint="default" w:ascii="Times New Roman" w:hAnsi="Times New Roman" w:cs="Times New Roman"/>
                <w:color w:val="auto"/>
                <w:szCs w:val="22"/>
              </w:rPr>
              <w:t>颗粒物无组织排放量为</w:t>
            </w:r>
            <w:r>
              <w:rPr>
                <w:rFonts w:hint="eastAsia" w:cs="Times New Roman"/>
                <w:color w:val="auto"/>
                <w:szCs w:val="22"/>
                <w:lang w:val="en-US" w:eastAsia="zh-CN"/>
              </w:rPr>
              <w:t>0.0414</w:t>
            </w:r>
            <w:r>
              <w:rPr>
                <w:rFonts w:hint="default" w:ascii="Times New Roman" w:hAnsi="Times New Roman" w:cs="Times New Roman"/>
                <w:color w:val="auto"/>
                <w:szCs w:val="22"/>
              </w:rPr>
              <w:t>t/a，排放速率为</w:t>
            </w:r>
            <w:r>
              <w:rPr>
                <w:rFonts w:hint="eastAsia" w:cs="Times New Roman"/>
                <w:color w:val="auto"/>
                <w:szCs w:val="22"/>
                <w:lang w:val="en-US" w:eastAsia="zh-CN"/>
              </w:rPr>
              <w:t>0.0243</w:t>
            </w:r>
            <w:r>
              <w:rPr>
                <w:rFonts w:hint="default" w:ascii="Times New Roman" w:hAnsi="Times New Roman" w:cs="Times New Roman"/>
                <w:color w:val="auto"/>
                <w:szCs w:val="22"/>
              </w:rPr>
              <w:t>kg/h，</w:t>
            </w:r>
            <w:r>
              <w:rPr>
                <w:rFonts w:hint="default" w:ascii="Times New Roman" w:hAnsi="Times New Roman" w:cs="Times New Roman"/>
                <w:color w:val="auto"/>
                <w:szCs w:val="22"/>
                <w:lang w:val="en-US" w:eastAsia="zh-CN"/>
              </w:rPr>
              <w:t>厂界</w:t>
            </w:r>
            <w:r>
              <w:rPr>
                <w:rFonts w:hint="default" w:ascii="Times New Roman" w:hAnsi="Times New Roman" w:cs="Times New Roman"/>
                <w:color w:val="auto"/>
                <w:szCs w:val="22"/>
              </w:rPr>
              <w:t>VOCs无组织排放量为</w:t>
            </w:r>
            <w:r>
              <w:rPr>
                <w:rFonts w:hint="default" w:ascii="Times New Roman" w:hAnsi="Times New Roman" w:cs="Times New Roman"/>
                <w:color w:val="auto"/>
                <w:szCs w:val="22"/>
                <w:lang w:val="en-US" w:eastAsia="zh-CN"/>
              </w:rPr>
              <w:t>0.132</w:t>
            </w:r>
            <w:r>
              <w:rPr>
                <w:rFonts w:hint="default" w:ascii="Times New Roman" w:hAnsi="Times New Roman" w:cs="Times New Roman"/>
                <w:color w:val="auto"/>
                <w:szCs w:val="22"/>
              </w:rPr>
              <w:t>t/a，排放速率为</w:t>
            </w:r>
            <w:r>
              <w:rPr>
                <w:rFonts w:hint="default" w:ascii="Times New Roman" w:hAnsi="Times New Roman" w:cs="Times New Roman"/>
                <w:color w:val="auto"/>
                <w:szCs w:val="22"/>
                <w:lang w:val="en-US" w:eastAsia="zh-CN"/>
              </w:rPr>
              <w:t>0.0274</w:t>
            </w:r>
            <w:r>
              <w:rPr>
                <w:rFonts w:hint="default" w:ascii="Times New Roman" w:hAnsi="Times New Roman" w:cs="Times New Roman"/>
                <w:color w:val="auto"/>
                <w:szCs w:val="22"/>
              </w:rPr>
              <w:t>kg/h，</w:t>
            </w:r>
            <w:r>
              <w:rPr>
                <w:rFonts w:hint="default" w:ascii="Times New Roman" w:hAnsi="Times New Roman" w:cs="Times New Roman"/>
                <w:color w:val="auto"/>
                <w:szCs w:val="22"/>
                <w:lang w:val="en-US" w:eastAsia="zh-CN"/>
              </w:rPr>
              <w:t>厂界非甲烷总烃</w:t>
            </w:r>
            <w:r>
              <w:rPr>
                <w:rFonts w:hint="default" w:ascii="Times New Roman" w:hAnsi="Times New Roman" w:cs="Times New Roman"/>
                <w:color w:val="auto"/>
                <w:szCs w:val="22"/>
              </w:rPr>
              <w:t>无组织排放量为</w:t>
            </w:r>
            <w:r>
              <w:rPr>
                <w:rFonts w:hint="eastAsia" w:cs="Times New Roman"/>
                <w:color w:val="auto"/>
                <w:szCs w:val="22"/>
                <w:lang w:val="en-US" w:eastAsia="zh-CN"/>
              </w:rPr>
              <w:t>0.3988</w:t>
            </w:r>
            <w:r>
              <w:rPr>
                <w:rFonts w:hint="default" w:ascii="Times New Roman" w:hAnsi="Times New Roman" w:cs="Times New Roman"/>
                <w:color w:val="auto"/>
                <w:szCs w:val="22"/>
              </w:rPr>
              <w:t>t/a，排放速率为</w:t>
            </w:r>
            <w:r>
              <w:rPr>
                <w:rFonts w:hint="eastAsia" w:cs="Times New Roman"/>
                <w:color w:val="auto"/>
                <w:szCs w:val="22"/>
                <w:lang w:val="en-US" w:eastAsia="zh-CN"/>
              </w:rPr>
              <w:t>0.0857</w:t>
            </w:r>
            <w:r>
              <w:rPr>
                <w:rFonts w:hint="default" w:ascii="Times New Roman" w:hAnsi="Times New Roman" w:cs="Times New Roman"/>
                <w:color w:val="auto"/>
                <w:szCs w:val="22"/>
              </w:rPr>
              <w:t>kg/h，预计</w:t>
            </w:r>
            <w:r>
              <w:rPr>
                <w:rFonts w:hint="default" w:ascii="Times New Roman" w:hAnsi="Times New Roman" w:cs="Times New Roman"/>
                <w:bCs/>
                <w:color w:val="auto"/>
                <w:sz w:val="24"/>
                <w:szCs w:val="24"/>
                <w:lang w:val="en-US" w:eastAsia="zh-CN" w:bidi="ar"/>
              </w:rPr>
              <w:t>厂界颗粒物</w:t>
            </w:r>
            <w:r>
              <w:rPr>
                <w:rFonts w:hint="eastAsia" w:cs="Times New Roman"/>
                <w:bCs/>
                <w:color w:val="auto"/>
                <w:sz w:val="24"/>
                <w:szCs w:val="24"/>
                <w:lang w:val="en-US" w:eastAsia="zh-CN" w:bidi="ar"/>
              </w:rPr>
              <w:t>、非甲烷总烃</w:t>
            </w:r>
            <w:r>
              <w:rPr>
                <w:rFonts w:hint="default" w:ascii="Times New Roman" w:hAnsi="Times New Roman" w:cs="Times New Roman"/>
                <w:bCs/>
                <w:color w:val="auto"/>
                <w:sz w:val="24"/>
                <w:szCs w:val="24"/>
                <w:lang w:val="en-US" w:eastAsia="zh-CN" w:bidi="ar"/>
              </w:rPr>
              <w:t>无组织排放可达到</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w:t>
            </w:r>
            <w:r>
              <w:rPr>
                <w:rFonts w:hint="default" w:ascii="Times New Roman" w:hAnsi="Times New Roman" w:cs="Times New Roman"/>
                <w:bCs/>
                <w:color w:val="auto"/>
                <w:lang w:eastAsia="zh-CN" w:bidi="ar"/>
              </w:rPr>
              <w:t>《</w:t>
            </w:r>
            <w:r>
              <w:rPr>
                <w:rFonts w:hint="default" w:ascii="Times New Roman" w:hAnsi="Times New Roman" w:cs="Times New Roman"/>
                <w:bCs/>
                <w:color w:val="auto"/>
                <w:lang w:bidi="ar"/>
              </w:rPr>
              <w:t>合成树脂工业污染物排放标准》（GB31572-2015，含2024年修改单）表</w:t>
            </w:r>
            <w:r>
              <w:rPr>
                <w:rFonts w:hint="default" w:ascii="Times New Roman" w:hAnsi="Times New Roman" w:cs="Times New Roman"/>
                <w:bCs/>
                <w:color w:val="auto"/>
                <w:lang w:val="en-US" w:eastAsia="zh-CN" w:bidi="ar"/>
              </w:rPr>
              <w:t>9企业边界大气污染物浓度限值两者较严值</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bCs/>
                <w:color w:val="auto"/>
                <w:sz w:val="24"/>
                <w:szCs w:val="24"/>
                <w:lang w:val="en-US" w:eastAsia="zh-CN" w:bidi="ar"/>
              </w:rPr>
              <w:t>总VOCs无组织</w:t>
            </w:r>
            <w:r>
              <w:rPr>
                <w:rFonts w:hint="default" w:ascii="Times New Roman" w:hAnsi="Times New Roman" w:cs="Times New Roman"/>
                <w:bCs/>
                <w:color w:val="auto"/>
                <w:sz w:val="24"/>
                <w:szCs w:val="24"/>
                <w:lang w:val="en-US" w:eastAsia="zh-CN" w:bidi="ar"/>
              </w:rPr>
              <w:t>排放可达到</w:t>
            </w:r>
            <w:r>
              <w:rPr>
                <w:rFonts w:hint="default" w:ascii="Times New Roman" w:hAnsi="Times New Roman" w:eastAsia="宋体" w:cs="Times New Roman"/>
                <w:bCs/>
                <w:color w:val="auto"/>
                <w:sz w:val="24"/>
                <w:szCs w:val="24"/>
                <w:lang w:val="en-US" w:eastAsia="zh-CN" w:bidi="ar"/>
              </w:rPr>
              <w:t>《印刷行业挥发性有机化合物排放标准》（DB44/815-2010）表3无组织排放监控点浓度限值</w:t>
            </w:r>
            <w:r>
              <w:rPr>
                <w:rFonts w:hint="default" w:ascii="Times New Roman" w:hAnsi="Times New Roman" w:eastAsia="宋体" w:cs="Times New Roman"/>
                <w:b w:val="0"/>
                <w:bCs/>
                <w:color w:val="auto"/>
                <w:kern w:val="2"/>
                <w:sz w:val="24"/>
                <w:szCs w:val="24"/>
                <w:highlight w:val="none"/>
                <w:lang w:val="en-US" w:eastAsia="zh-CN" w:bidi="ar-SA"/>
              </w:rPr>
              <w:t>，</w:t>
            </w:r>
            <w:r>
              <w:rPr>
                <w:rFonts w:hint="default" w:ascii="Times New Roman" w:hAnsi="Times New Roman" w:eastAsia="宋体" w:cs="Times New Roman"/>
                <w:bCs/>
                <w:color w:val="auto"/>
                <w:sz w:val="24"/>
                <w:szCs w:val="24"/>
                <w:lang w:val="en-US" w:eastAsia="zh-CN" w:bidi="ar"/>
              </w:rPr>
              <w:t>臭气浓度无组织排放执行《恶臭污染物排放标准》（GB14554-93）表1恶臭污染物厂界标准值中新改扩建二级标准值；</w:t>
            </w:r>
            <w:r>
              <w:rPr>
                <w:rFonts w:hint="default" w:ascii="Times New Roman" w:hAnsi="Times New Roman" w:cs="Times New Roman"/>
                <w:color w:val="auto"/>
                <w:szCs w:val="32"/>
              </w:rPr>
              <w:t>VOCs厂区内无组织排放可以达到</w:t>
            </w:r>
            <w:r>
              <w:rPr>
                <w:rFonts w:hint="default" w:ascii="Times New Roman" w:hAnsi="Times New Roman" w:cs="Times New Roman"/>
                <w:color w:val="auto"/>
                <w:szCs w:val="22"/>
              </w:rPr>
              <w:t>广东省《固定污染源挥发性有机物综合排放标准》（DB 44/2367-2022）表3厂区内VOCs无组织排放限值</w:t>
            </w:r>
            <w:r>
              <w:rPr>
                <w:rFonts w:hint="default" w:ascii="Times New Roman" w:hAnsi="Times New Roman" w:cs="Times New Roman"/>
                <w:color w:val="auto"/>
                <w:szCs w:val="32"/>
              </w:rPr>
              <w:t>，</w:t>
            </w:r>
            <w:r>
              <w:rPr>
                <w:rFonts w:hint="default" w:ascii="Times New Roman" w:hAnsi="Times New Roman" w:cs="Times New Roman"/>
                <w:color w:val="auto"/>
                <w:szCs w:val="21"/>
              </w:rPr>
              <w:t>对周边环境造成的影响较小。</w:t>
            </w:r>
          </w:p>
          <w:p w14:paraId="2D33F51A">
            <w:pPr>
              <w:ind w:firstLine="480" w:firstLineChars="200"/>
              <w:rPr>
                <w:rFonts w:hint="default" w:ascii="Times New Roman" w:hAnsi="Times New Roman" w:cs="Times New Roman"/>
                <w:color w:val="auto"/>
                <w:szCs w:val="22"/>
              </w:rPr>
            </w:pPr>
            <w:r>
              <w:rPr>
                <w:rFonts w:hint="default" w:ascii="Times New Roman" w:hAnsi="Times New Roman" w:cs="Times New Roman"/>
                <w:bCs/>
                <w:color w:val="auto"/>
                <w:szCs w:val="22"/>
              </w:rPr>
              <w:t>综上所述，项目建成后废气排放</w:t>
            </w:r>
            <w:r>
              <w:rPr>
                <w:rFonts w:hint="default" w:ascii="Times New Roman" w:hAnsi="Times New Roman" w:cs="Times New Roman"/>
                <w:color w:val="auto"/>
                <w:szCs w:val="21"/>
              </w:rPr>
              <w:t>对周边环境造成的影响较小</w:t>
            </w:r>
            <w:r>
              <w:rPr>
                <w:rFonts w:hint="default" w:ascii="Times New Roman" w:hAnsi="Times New Roman" w:cs="Times New Roman"/>
                <w:bCs/>
                <w:color w:val="auto"/>
                <w:szCs w:val="22"/>
              </w:rPr>
              <w:t>。</w:t>
            </w:r>
          </w:p>
          <w:p w14:paraId="4574A3EF">
            <w:pPr>
              <w:wordWrap/>
              <w:adjustRightInd w:val="0"/>
              <w:snapToGrid w:val="0"/>
              <w:ind w:firstLine="482" w:firstLineChars="200"/>
              <w:rPr>
                <w:rFonts w:hint="default" w:ascii="Times New Roman" w:hAnsi="Times New Roman" w:cs="Times New Roman"/>
                <w:b/>
                <w:color w:val="auto"/>
                <w:kern w:val="21"/>
              </w:rPr>
            </w:pPr>
            <w:r>
              <w:rPr>
                <w:rFonts w:hint="default" w:ascii="Times New Roman" w:hAnsi="Times New Roman" w:cs="Times New Roman"/>
                <w:b/>
                <w:bCs/>
                <w:color w:val="auto"/>
                <w:szCs w:val="22"/>
              </w:rPr>
              <w:t>（4）</w:t>
            </w:r>
            <w:r>
              <w:rPr>
                <w:rFonts w:hint="default" w:ascii="Times New Roman" w:hAnsi="Times New Roman" w:cs="Times New Roman"/>
                <w:b/>
                <w:color w:val="auto"/>
                <w:kern w:val="21"/>
              </w:rPr>
              <w:t>非正常工况</w:t>
            </w:r>
          </w:p>
          <w:p w14:paraId="428FED57">
            <w:pPr>
              <w:wordWrap/>
              <w:adjustRightInd w:val="0"/>
              <w:snapToGrid w:val="0"/>
              <w:ind w:firstLine="480" w:firstLineChars="200"/>
              <w:rPr>
                <w:rFonts w:hint="default" w:ascii="Times New Roman" w:hAnsi="Times New Roman" w:cs="Times New Roman"/>
                <w:b/>
                <w:color w:val="auto"/>
                <w:kern w:val="21"/>
              </w:rPr>
            </w:pPr>
            <w:r>
              <w:rPr>
                <w:rFonts w:hint="default" w:ascii="Times New Roman" w:hAnsi="Times New Roman" w:cs="Times New Roman"/>
                <w:color w:val="auto"/>
                <w:lang w:bidi="ar"/>
              </w:rPr>
              <w:t>非正常情况指生产过程中生产设备开停、检修、工艺设备运转异常等非正常工况或污染防治设施非正常状况，以及污染物排放控制达不到应有效率等情况下的排放。本次评价考虑废气处理设施在非正常状况条件下</w:t>
            </w:r>
            <w:r>
              <w:rPr>
                <w:rFonts w:hint="default" w:ascii="Times New Roman" w:hAnsi="Times New Roman" w:cs="Times New Roman"/>
                <w:color w:val="auto"/>
                <w:lang w:val="en-US" w:eastAsia="zh-CN" w:bidi="ar"/>
              </w:rPr>
              <w:t>处理效率按20%进行</w:t>
            </w:r>
            <w:r>
              <w:rPr>
                <w:rFonts w:hint="default" w:ascii="Times New Roman" w:hAnsi="Times New Roman" w:cs="Times New Roman"/>
                <w:color w:val="auto"/>
                <w:lang w:bidi="ar"/>
              </w:rPr>
              <w:t>。</w:t>
            </w:r>
            <w:r>
              <w:rPr>
                <w:rFonts w:hint="default" w:ascii="Times New Roman" w:hAnsi="Times New Roman" w:cs="Times New Roman"/>
                <w:bCs/>
                <w:color w:val="auto"/>
                <w:kern w:val="21"/>
              </w:rPr>
              <w:t>项目污染源非正常工况下污染物排放情况见下表。</w:t>
            </w:r>
          </w:p>
          <w:p w14:paraId="3EF1B4F6">
            <w:pPr>
              <w:wordWrap/>
              <w:adjustRightInd w:val="0"/>
              <w:snapToGrid w:val="0"/>
              <w:spacing w:line="240" w:lineRule="auto"/>
              <w:ind w:firstLine="482" w:firstLineChars="200"/>
              <w:jc w:val="center"/>
              <w:rPr>
                <w:rFonts w:hint="default" w:ascii="Times New Roman" w:hAnsi="Times New Roman" w:cs="Times New Roman"/>
                <w:b/>
                <w:color w:val="auto"/>
                <w:kern w:val="21"/>
              </w:rPr>
            </w:pPr>
            <w:r>
              <w:rPr>
                <w:rFonts w:hint="default" w:ascii="Times New Roman" w:hAnsi="Times New Roman" w:cs="Times New Roman"/>
                <w:b/>
                <w:color w:val="auto"/>
                <w:kern w:val="21"/>
              </w:rPr>
              <w:t>表</w:t>
            </w:r>
            <w:r>
              <w:rPr>
                <w:rFonts w:hint="default" w:ascii="Times New Roman" w:hAnsi="Times New Roman" w:cs="Times New Roman"/>
                <w:b/>
                <w:color w:val="auto"/>
                <w:kern w:val="21"/>
                <w:lang w:val="en-US" w:eastAsia="zh-CN"/>
              </w:rPr>
              <w:t>4-9</w:t>
            </w:r>
            <w:r>
              <w:rPr>
                <w:rFonts w:hint="default" w:ascii="Times New Roman" w:hAnsi="Times New Roman" w:cs="Times New Roman"/>
                <w:b/>
                <w:color w:val="auto"/>
                <w:kern w:val="21"/>
              </w:rPr>
              <w:t xml:space="preserve"> 污染源非正常排放核算表</w:t>
            </w:r>
          </w:p>
          <w:tbl>
            <w:tblPr>
              <w:tblStyle w:val="23"/>
              <w:tblW w:w="8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193"/>
              <w:gridCol w:w="900"/>
              <w:gridCol w:w="1241"/>
              <w:gridCol w:w="1071"/>
              <w:gridCol w:w="915"/>
              <w:gridCol w:w="884"/>
              <w:gridCol w:w="1398"/>
            </w:tblGrid>
            <w:tr w14:paraId="60207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834" w:type="dxa"/>
                  <w:vAlign w:val="center"/>
                </w:tcPr>
                <w:p w14:paraId="3BEF0D62">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污染源</w:t>
                  </w:r>
                </w:p>
              </w:tc>
              <w:tc>
                <w:tcPr>
                  <w:tcW w:w="1193" w:type="dxa"/>
                  <w:vAlign w:val="center"/>
                </w:tcPr>
                <w:p w14:paraId="48DEE159">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非正常排放原因</w:t>
                  </w:r>
                </w:p>
              </w:tc>
              <w:tc>
                <w:tcPr>
                  <w:tcW w:w="900" w:type="dxa"/>
                  <w:vAlign w:val="center"/>
                </w:tcPr>
                <w:p w14:paraId="686D8063">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w:t>
                  </w:r>
                </w:p>
              </w:tc>
              <w:tc>
                <w:tcPr>
                  <w:tcW w:w="1241" w:type="dxa"/>
                  <w:vAlign w:val="center"/>
                </w:tcPr>
                <w:p w14:paraId="6A52913C">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非正常排放浓度（mg/m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w:t>
                  </w:r>
                </w:p>
              </w:tc>
              <w:tc>
                <w:tcPr>
                  <w:tcW w:w="1071" w:type="dxa"/>
                  <w:vAlign w:val="center"/>
                </w:tcPr>
                <w:p w14:paraId="394AB75B">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非正常排放速率（kg/h）</w:t>
                  </w:r>
                </w:p>
              </w:tc>
              <w:tc>
                <w:tcPr>
                  <w:tcW w:w="915" w:type="dxa"/>
                  <w:vAlign w:val="center"/>
                </w:tcPr>
                <w:p w14:paraId="0FBE9285">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单次持续时间/h</w:t>
                  </w:r>
                </w:p>
              </w:tc>
              <w:tc>
                <w:tcPr>
                  <w:tcW w:w="884" w:type="dxa"/>
                  <w:vAlign w:val="center"/>
                </w:tcPr>
                <w:p w14:paraId="62F3029D">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年发生频次/次</w:t>
                  </w:r>
                </w:p>
              </w:tc>
              <w:tc>
                <w:tcPr>
                  <w:tcW w:w="1398" w:type="dxa"/>
                  <w:vAlign w:val="center"/>
                </w:tcPr>
                <w:p w14:paraId="17921867">
                  <w:pPr>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应对措施</w:t>
                  </w:r>
                </w:p>
              </w:tc>
            </w:tr>
            <w:tr w14:paraId="64335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834" w:type="dxa"/>
                  <w:vAlign w:val="center"/>
                </w:tcPr>
                <w:p w14:paraId="230A3F25">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eastAsia" w:cs="Times New Roman"/>
                      <w:bCs/>
                      <w:color w:val="auto"/>
                      <w:kern w:val="21"/>
                      <w:sz w:val="21"/>
                      <w:szCs w:val="21"/>
                      <w:lang w:val="en-US" w:eastAsia="zh-CN"/>
                    </w:rPr>
                    <w:t>注塑</w:t>
                  </w:r>
                  <w:r>
                    <w:rPr>
                      <w:rFonts w:hint="default" w:ascii="Times New Roman" w:hAnsi="Times New Roman" w:cs="Times New Roman"/>
                      <w:bCs/>
                      <w:color w:val="auto"/>
                      <w:kern w:val="21"/>
                      <w:sz w:val="21"/>
                      <w:szCs w:val="21"/>
                      <w:lang w:val="en-US" w:eastAsia="zh-CN"/>
                    </w:rPr>
                    <w:t>、</w:t>
                  </w:r>
                  <w:r>
                    <w:rPr>
                      <w:rFonts w:hint="eastAsia" w:cs="Times New Roman"/>
                      <w:bCs/>
                      <w:color w:val="auto"/>
                      <w:kern w:val="21"/>
                      <w:sz w:val="21"/>
                      <w:szCs w:val="21"/>
                      <w:lang w:val="en-US" w:eastAsia="zh-CN"/>
                    </w:rPr>
                    <w:t>移印</w:t>
                  </w:r>
                </w:p>
              </w:tc>
              <w:tc>
                <w:tcPr>
                  <w:tcW w:w="1193" w:type="dxa"/>
                  <w:vAlign w:val="center"/>
                </w:tcPr>
                <w:p w14:paraId="1E2614BF">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eastAsia="zh-CN"/>
                    </w:rPr>
                    <w:t>“</w:t>
                  </w:r>
                  <w:r>
                    <w:rPr>
                      <w:rFonts w:hint="default" w:ascii="Times New Roman" w:hAnsi="Times New Roman" w:cs="Times New Roman"/>
                      <w:bCs/>
                      <w:color w:val="auto"/>
                      <w:kern w:val="21"/>
                      <w:sz w:val="21"/>
                      <w:szCs w:val="21"/>
                    </w:rPr>
                    <w:t>水喷淋塔+干式过滤棉+</w:t>
                  </w:r>
                  <w:r>
                    <w:rPr>
                      <w:rFonts w:hint="default" w:ascii="Times New Roman" w:hAnsi="Times New Roman" w:cs="Times New Roman"/>
                      <w:bCs/>
                      <w:color w:val="auto"/>
                      <w:kern w:val="21"/>
                      <w:sz w:val="21"/>
                      <w:szCs w:val="21"/>
                      <w:lang w:eastAsia="zh-CN"/>
                    </w:rPr>
                    <w:t>二级活性炭</w:t>
                  </w:r>
                  <w:r>
                    <w:rPr>
                      <w:rFonts w:hint="default" w:ascii="Times New Roman" w:hAnsi="Times New Roman" w:cs="Times New Roman"/>
                      <w:bCs/>
                      <w:color w:val="auto"/>
                      <w:kern w:val="21"/>
                      <w:sz w:val="21"/>
                      <w:szCs w:val="21"/>
                    </w:rPr>
                    <w:t>吸附装置</w:t>
                  </w:r>
                  <w:r>
                    <w:rPr>
                      <w:rFonts w:hint="default" w:ascii="Times New Roman" w:hAnsi="Times New Roman" w:cs="Times New Roman"/>
                      <w:bCs/>
                      <w:color w:val="auto"/>
                      <w:kern w:val="21"/>
                      <w:sz w:val="21"/>
                      <w:szCs w:val="21"/>
                      <w:lang w:eastAsia="zh-CN"/>
                    </w:rPr>
                    <w:t>”</w:t>
                  </w:r>
                  <w:r>
                    <w:rPr>
                      <w:rFonts w:hint="default" w:ascii="Times New Roman" w:hAnsi="Times New Roman" w:cs="Times New Roman"/>
                      <w:bCs/>
                      <w:color w:val="auto"/>
                      <w:kern w:val="21"/>
                      <w:sz w:val="21"/>
                      <w:szCs w:val="21"/>
                      <w:lang w:val="en-US" w:eastAsia="zh-CN"/>
                    </w:rPr>
                    <w:t>故障</w:t>
                  </w:r>
                </w:p>
              </w:tc>
              <w:tc>
                <w:tcPr>
                  <w:tcW w:w="900" w:type="dxa"/>
                  <w:vAlign w:val="center"/>
                </w:tcPr>
                <w:p w14:paraId="76FC5283">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lang w:val="en-US" w:eastAsia="zh-CN"/>
                    </w:rPr>
                    <w:t>非甲烷总烃</w:t>
                  </w:r>
                </w:p>
              </w:tc>
              <w:tc>
                <w:tcPr>
                  <w:tcW w:w="1241" w:type="dxa"/>
                  <w:vAlign w:val="center"/>
                </w:tcPr>
                <w:p w14:paraId="7A3BF678">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2.4</w:t>
                  </w:r>
                </w:p>
              </w:tc>
              <w:tc>
                <w:tcPr>
                  <w:tcW w:w="1071" w:type="dxa"/>
                  <w:vAlign w:val="center"/>
                </w:tcPr>
                <w:p w14:paraId="1496070C">
                  <w:pPr>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0.0685</w:t>
                  </w:r>
                </w:p>
              </w:tc>
              <w:tc>
                <w:tcPr>
                  <w:tcW w:w="915" w:type="dxa"/>
                  <w:vAlign w:val="center"/>
                </w:tcPr>
                <w:p w14:paraId="040EAE3F">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884" w:type="dxa"/>
                  <w:vAlign w:val="center"/>
                </w:tcPr>
                <w:p w14:paraId="47AACBB7">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w:t>
                  </w:r>
                </w:p>
              </w:tc>
              <w:tc>
                <w:tcPr>
                  <w:tcW w:w="1398" w:type="dxa"/>
                  <w:vAlign w:val="center"/>
                </w:tcPr>
                <w:p w14:paraId="1EBEA7D2">
                  <w:pPr>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加强治理设施的维护保养，做好日常巡查</w:t>
                  </w:r>
                </w:p>
              </w:tc>
            </w:tr>
          </w:tbl>
          <w:p w14:paraId="1005FA1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（5）可行性分析</w:t>
            </w:r>
          </w:p>
          <w:p w14:paraId="63C9FCD8">
            <w:pPr>
              <w:wordWrap/>
              <w:autoSpaceDE w:val="0"/>
              <w:autoSpaceDN w:val="0"/>
              <w:adjustRightInd w:val="0"/>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注塑、</w:t>
            </w:r>
            <w:r>
              <w:rPr>
                <w:rFonts w:hint="eastAsia" w:cs="Times New Roman"/>
                <w:color w:val="auto"/>
                <w:szCs w:val="22"/>
                <w:lang w:eastAsia="zh-CN"/>
              </w:rPr>
              <w:t>移印</w:t>
            </w:r>
            <w:r>
              <w:rPr>
                <w:rFonts w:hint="default" w:ascii="Times New Roman" w:hAnsi="Times New Roman" w:cs="Times New Roman"/>
                <w:color w:val="auto"/>
                <w:szCs w:val="22"/>
              </w:rPr>
              <w:t>工序废气经集气罩收集至“水喷淋+干式过滤+二级活性炭吸附”装置处理后引至排气筒</w:t>
            </w:r>
            <w:r>
              <w:rPr>
                <w:rFonts w:hint="eastAsia" w:cs="Times New Roman"/>
                <w:color w:val="auto"/>
                <w:szCs w:val="22"/>
                <w:lang w:eastAsia="zh-CN"/>
              </w:rPr>
              <w:t>DA001</w:t>
            </w:r>
            <w:r>
              <w:rPr>
                <w:rFonts w:hint="default" w:ascii="Times New Roman" w:hAnsi="Times New Roman" w:cs="Times New Roman"/>
                <w:color w:val="auto"/>
                <w:szCs w:val="22"/>
              </w:rPr>
              <w:t>排放。</w:t>
            </w:r>
          </w:p>
          <w:p w14:paraId="657816C0">
            <w:pPr>
              <w:wordWrap/>
              <w:autoSpaceDE w:val="0"/>
              <w:autoSpaceDN w:val="0"/>
              <w:adjustRightInd w:val="0"/>
              <w:ind w:firstLine="480" w:firstLineChars="200"/>
              <w:rPr>
                <w:rFonts w:hint="default" w:ascii="Times New Roman" w:hAnsi="Times New Roman" w:cs="Times New Roman"/>
                <w:color w:val="auto"/>
                <w:szCs w:val="22"/>
              </w:rPr>
            </w:pPr>
            <w:r>
              <w:rPr>
                <w:rFonts w:hint="default" w:ascii="Times New Roman" w:hAnsi="Times New Roman" w:cs="Times New Roman"/>
                <w:color w:val="auto"/>
                <w:sz w:val="24"/>
                <w:szCs w:val="24"/>
                <w:lang w:val="en-US" w:eastAsia="zh-CN" w:bidi="ar-SA"/>
              </w:rPr>
              <w:t>根据项目生产工艺，</w:t>
            </w:r>
            <w:r>
              <w:rPr>
                <w:rFonts w:hint="default" w:ascii="Times New Roman" w:hAnsi="Times New Roman" w:eastAsia="宋体" w:cs="Times New Roman"/>
                <w:color w:val="auto"/>
                <w:sz w:val="24"/>
                <w:szCs w:val="24"/>
                <w:lang w:val="en-US" w:eastAsia="zh-CN" w:bidi="ar-SA"/>
              </w:rPr>
              <w:t>参照《排污许可证申请与核发技术规范 橡胶和塑料制品工业》（HJ1122-2020），</w:t>
            </w:r>
            <w:r>
              <w:rPr>
                <w:rFonts w:hint="default" w:ascii="Times New Roman" w:hAnsi="Times New Roman" w:cs="Times New Roman"/>
                <w:color w:val="auto"/>
                <w:sz w:val="24"/>
                <w:szCs w:val="24"/>
                <w:lang w:val="en-US" w:eastAsia="zh-CN" w:bidi="ar-SA"/>
              </w:rPr>
              <w:t>项目废气处理设施可行性情况见下表</w:t>
            </w:r>
            <w:r>
              <w:rPr>
                <w:rFonts w:hint="default" w:ascii="Times New Roman" w:hAnsi="Times New Roman" w:cs="Times New Roman"/>
                <w:color w:val="auto"/>
                <w:szCs w:val="22"/>
              </w:rPr>
              <w:t>。</w:t>
            </w:r>
          </w:p>
          <w:p w14:paraId="15BDA419">
            <w:pPr>
              <w:spacing w:line="240" w:lineRule="auto"/>
              <w:jc w:val="center"/>
              <w:rPr>
                <w:rFonts w:hint="default" w:ascii="Times New Roman" w:hAnsi="Times New Roman" w:cs="Times New Roman"/>
                <w:b/>
                <w:color w:val="auto"/>
                <w:spacing w:val="-10"/>
                <w:szCs w:val="22"/>
              </w:rPr>
            </w:pPr>
            <w:bookmarkStart w:id="13" w:name="_Toc66187261"/>
            <w:bookmarkStart w:id="14" w:name="_Toc66192285"/>
            <w:r>
              <w:rPr>
                <w:rFonts w:hint="default" w:ascii="Times New Roman" w:hAnsi="Times New Roman" w:cs="Times New Roman"/>
                <w:b/>
                <w:color w:val="auto"/>
                <w:szCs w:val="32"/>
              </w:rPr>
              <w:t>表</w:t>
            </w:r>
            <w:r>
              <w:rPr>
                <w:rFonts w:hint="default" w:ascii="Times New Roman" w:hAnsi="Times New Roman" w:cs="Times New Roman"/>
                <w:b/>
                <w:color w:val="auto"/>
                <w:szCs w:val="32"/>
                <w:lang w:val="en-US" w:eastAsia="zh-CN"/>
              </w:rPr>
              <w:t>4-10</w:t>
            </w:r>
            <w:r>
              <w:rPr>
                <w:rFonts w:hint="default" w:ascii="Times New Roman" w:hAnsi="Times New Roman" w:cs="Times New Roman"/>
                <w:b/>
                <w:color w:val="auto"/>
                <w:szCs w:val="32"/>
              </w:rPr>
              <w:t xml:space="preserve">  项目废气处理设施可行性情况一览表</w:t>
            </w:r>
            <w:bookmarkEnd w:id="13"/>
            <w:bookmarkEnd w:id="14"/>
          </w:p>
          <w:tbl>
            <w:tblPr>
              <w:tblStyle w:val="22"/>
              <w:tblW w:w="502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80"/>
              <w:gridCol w:w="1170"/>
              <w:gridCol w:w="735"/>
              <w:gridCol w:w="1035"/>
              <w:gridCol w:w="675"/>
              <w:gridCol w:w="1793"/>
              <w:gridCol w:w="644"/>
              <w:gridCol w:w="873"/>
            </w:tblGrid>
            <w:tr w14:paraId="61269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467" w:type="pct"/>
                  <w:vMerge w:val="restart"/>
                  <w:vAlign w:val="center"/>
                </w:tcPr>
                <w:p w14:paraId="5317E4D4">
                  <w:pPr>
                    <w:spacing w:line="240" w:lineRule="auto"/>
                    <w:jc w:val="center"/>
                    <w:rPr>
                      <w:rFonts w:hint="default" w:ascii="Times New Roman" w:hAnsi="Times New Roman" w:eastAsia="宋体" w:cs="Times New Roman"/>
                      <w:b/>
                      <w:bCs/>
                      <w:color w:val="auto"/>
                      <w:kern w:val="11"/>
                      <w:sz w:val="21"/>
                      <w:szCs w:val="21"/>
                      <w:lang w:val="en-US" w:eastAsia="zh-CN"/>
                    </w:rPr>
                  </w:pPr>
                  <w:r>
                    <w:rPr>
                      <w:rFonts w:hint="default" w:ascii="Times New Roman" w:hAnsi="Times New Roman" w:cs="Times New Roman"/>
                      <w:b/>
                      <w:bCs/>
                      <w:color w:val="auto"/>
                      <w:kern w:val="11"/>
                      <w:sz w:val="21"/>
                      <w:szCs w:val="21"/>
                      <w:lang w:val="en-US" w:eastAsia="zh-CN"/>
                    </w:rPr>
                    <w:t>排污单位类别</w:t>
                  </w:r>
                </w:p>
              </w:tc>
              <w:tc>
                <w:tcPr>
                  <w:tcW w:w="458" w:type="pct"/>
                  <w:vMerge w:val="restart"/>
                  <w:vAlign w:val="center"/>
                </w:tcPr>
                <w:p w14:paraId="6C83DA70">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主要生产单元</w:t>
                  </w:r>
                </w:p>
              </w:tc>
              <w:tc>
                <w:tcPr>
                  <w:tcW w:w="688" w:type="pct"/>
                  <w:vMerge w:val="restart"/>
                  <w:vAlign w:val="center"/>
                </w:tcPr>
                <w:p w14:paraId="42EF3970">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生产设施</w:t>
                  </w:r>
                </w:p>
              </w:tc>
              <w:tc>
                <w:tcPr>
                  <w:tcW w:w="432" w:type="pct"/>
                  <w:vMerge w:val="restart"/>
                  <w:vAlign w:val="center"/>
                </w:tcPr>
                <w:p w14:paraId="6F4F6936">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废气产污环节</w:t>
                  </w:r>
                </w:p>
              </w:tc>
              <w:tc>
                <w:tcPr>
                  <w:tcW w:w="608" w:type="pct"/>
                  <w:vMerge w:val="restart"/>
                  <w:vAlign w:val="center"/>
                </w:tcPr>
                <w:p w14:paraId="24DECF8E">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污染物种类</w:t>
                  </w:r>
                </w:p>
              </w:tc>
              <w:tc>
                <w:tcPr>
                  <w:tcW w:w="397" w:type="pct"/>
                  <w:vMerge w:val="restart"/>
                  <w:vAlign w:val="center"/>
                </w:tcPr>
                <w:p w14:paraId="242AE002">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排放形式</w:t>
                  </w:r>
                </w:p>
              </w:tc>
              <w:tc>
                <w:tcPr>
                  <w:tcW w:w="1433" w:type="pct"/>
                  <w:gridSpan w:val="2"/>
                  <w:vAlign w:val="center"/>
                </w:tcPr>
                <w:p w14:paraId="6CDBB318">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污染防治设施</w:t>
                  </w:r>
                </w:p>
              </w:tc>
              <w:tc>
                <w:tcPr>
                  <w:tcW w:w="513" w:type="pct"/>
                  <w:vMerge w:val="restart"/>
                  <w:vAlign w:val="center"/>
                </w:tcPr>
                <w:p w14:paraId="0B024DF3">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排放口类型</w:t>
                  </w:r>
                </w:p>
              </w:tc>
            </w:tr>
            <w:tr w14:paraId="384EE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467" w:type="pct"/>
                  <w:vMerge w:val="continue"/>
                  <w:vAlign w:val="center"/>
                </w:tcPr>
                <w:p w14:paraId="4E0AA00F">
                  <w:pPr>
                    <w:spacing w:line="240" w:lineRule="auto"/>
                    <w:jc w:val="center"/>
                    <w:rPr>
                      <w:rFonts w:hint="default" w:ascii="Times New Roman" w:hAnsi="Times New Roman" w:cs="Times New Roman"/>
                      <w:b/>
                      <w:bCs/>
                      <w:color w:val="auto"/>
                      <w:kern w:val="11"/>
                      <w:sz w:val="21"/>
                      <w:szCs w:val="21"/>
                    </w:rPr>
                  </w:pPr>
                </w:p>
              </w:tc>
              <w:tc>
                <w:tcPr>
                  <w:tcW w:w="458" w:type="pct"/>
                  <w:vMerge w:val="continue"/>
                  <w:vAlign w:val="center"/>
                </w:tcPr>
                <w:p w14:paraId="0BADF592">
                  <w:pPr>
                    <w:spacing w:line="240" w:lineRule="auto"/>
                    <w:jc w:val="center"/>
                    <w:rPr>
                      <w:rFonts w:hint="default" w:ascii="Times New Roman" w:hAnsi="Times New Roman" w:cs="Times New Roman"/>
                      <w:b/>
                      <w:bCs/>
                      <w:color w:val="auto"/>
                      <w:kern w:val="11"/>
                      <w:sz w:val="21"/>
                      <w:szCs w:val="21"/>
                    </w:rPr>
                  </w:pPr>
                </w:p>
              </w:tc>
              <w:tc>
                <w:tcPr>
                  <w:tcW w:w="688" w:type="pct"/>
                  <w:vMerge w:val="continue"/>
                  <w:vAlign w:val="center"/>
                </w:tcPr>
                <w:p w14:paraId="0D34E059">
                  <w:pPr>
                    <w:spacing w:line="240" w:lineRule="auto"/>
                    <w:jc w:val="center"/>
                    <w:rPr>
                      <w:rFonts w:hint="default" w:ascii="Times New Roman" w:hAnsi="Times New Roman" w:cs="Times New Roman"/>
                      <w:b/>
                      <w:bCs/>
                      <w:color w:val="auto"/>
                      <w:kern w:val="11"/>
                      <w:sz w:val="21"/>
                      <w:szCs w:val="21"/>
                    </w:rPr>
                  </w:pPr>
                </w:p>
              </w:tc>
              <w:tc>
                <w:tcPr>
                  <w:tcW w:w="432" w:type="pct"/>
                  <w:vMerge w:val="continue"/>
                  <w:vAlign w:val="center"/>
                </w:tcPr>
                <w:p w14:paraId="2782F5A7">
                  <w:pPr>
                    <w:spacing w:line="240" w:lineRule="auto"/>
                    <w:jc w:val="center"/>
                    <w:rPr>
                      <w:rFonts w:hint="default" w:ascii="Times New Roman" w:hAnsi="Times New Roman" w:cs="Times New Roman"/>
                      <w:b/>
                      <w:bCs/>
                      <w:color w:val="auto"/>
                      <w:kern w:val="11"/>
                      <w:sz w:val="21"/>
                      <w:szCs w:val="21"/>
                    </w:rPr>
                  </w:pPr>
                </w:p>
              </w:tc>
              <w:tc>
                <w:tcPr>
                  <w:tcW w:w="608" w:type="pct"/>
                  <w:vMerge w:val="continue"/>
                  <w:vAlign w:val="center"/>
                </w:tcPr>
                <w:p w14:paraId="630DBF3A">
                  <w:pPr>
                    <w:spacing w:line="240" w:lineRule="auto"/>
                    <w:jc w:val="center"/>
                    <w:rPr>
                      <w:rFonts w:hint="default" w:ascii="Times New Roman" w:hAnsi="Times New Roman" w:cs="Times New Roman"/>
                      <w:b/>
                      <w:bCs/>
                      <w:color w:val="auto"/>
                      <w:kern w:val="11"/>
                      <w:sz w:val="21"/>
                      <w:szCs w:val="21"/>
                    </w:rPr>
                  </w:pPr>
                </w:p>
              </w:tc>
              <w:tc>
                <w:tcPr>
                  <w:tcW w:w="397" w:type="pct"/>
                  <w:vMerge w:val="continue"/>
                  <w:vAlign w:val="center"/>
                </w:tcPr>
                <w:p w14:paraId="27C8194D">
                  <w:pPr>
                    <w:spacing w:line="240" w:lineRule="auto"/>
                    <w:jc w:val="center"/>
                    <w:rPr>
                      <w:rFonts w:hint="default" w:ascii="Times New Roman" w:hAnsi="Times New Roman" w:cs="Times New Roman"/>
                      <w:b/>
                      <w:bCs/>
                      <w:color w:val="auto"/>
                      <w:kern w:val="11"/>
                      <w:sz w:val="21"/>
                      <w:szCs w:val="21"/>
                    </w:rPr>
                  </w:pPr>
                </w:p>
              </w:tc>
              <w:tc>
                <w:tcPr>
                  <w:tcW w:w="1054" w:type="pct"/>
                  <w:vAlign w:val="center"/>
                </w:tcPr>
                <w:p w14:paraId="0F55544A">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污染防治设施名称及工艺</w:t>
                  </w:r>
                </w:p>
              </w:tc>
              <w:tc>
                <w:tcPr>
                  <w:tcW w:w="378" w:type="pct"/>
                  <w:vAlign w:val="center"/>
                </w:tcPr>
                <w:p w14:paraId="5C059525">
                  <w:pPr>
                    <w:spacing w:line="240" w:lineRule="auto"/>
                    <w:jc w:val="center"/>
                    <w:rPr>
                      <w:rFonts w:hint="default" w:ascii="Times New Roman" w:hAnsi="Times New Roman" w:cs="Times New Roman"/>
                      <w:b/>
                      <w:bCs/>
                      <w:color w:val="auto"/>
                      <w:kern w:val="11"/>
                      <w:sz w:val="21"/>
                      <w:szCs w:val="21"/>
                    </w:rPr>
                  </w:pPr>
                  <w:r>
                    <w:rPr>
                      <w:rFonts w:hint="default" w:ascii="Times New Roman" w:hAnsi="Times New Roman" w:cs="Times New Roman"/>
                      <w:b/>
                      <w:bCs/>
                      <w:color w:val="auto"/>
                      <w:kern w:val="11"/>
                      <w:sz w:val="21"/>
                      <w:szCs w:val="21"/>
                    </w:rPr>
                    <w:t>是否为可行性技术</w:t>
                  </w:r>
                </w:p>
              </w:tc>
              <w:tc>
                <w:tcPr>
                  <w:tcW w:w="513" w:type="pct"/>
                  <w:vMerge w:val="continue"/>
                  <w:vAlign w:val="center"/>
                </w:tcPr>
                <w:p w14:paraId="5A0FFCB2">
                  <w:pPr>
                    <w:spacing w:line="240" w:lineRule="auto"/>
                    <w:jc w:val="center"/>
                    <w:rPr>
                      <w:rFonts w:hint="default" w:ascii="Times New Roman" w:hAnsi="Times New Roman" w:cs="Times New Roman"/>
                      <w:b/>
                      <w:bCs/>
                      <w:color w:val="auto"/>
                      <w:kern w:val="11"/>
                      <w:sz w:val="21"/>
                      <w:szCs w:val="21"/>
                    </w:rPr>
                  </w:pPr>
                </w:p>
              </w:tc>
            </w:tr>
            <w:tr w14:paraId="4B07E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467" w:type="pct"/>
                  <w:vAlign w:val="center"/>
                </w:tcPr>
                <w:p w14:paraId="4F8092EF">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塑料零件及其他塑料制品</w:t>
                  </w:r>
                </w:p>
              </w:tc>
              <w:tc>
                <w:tcPr>
                  <w:tcW w:w="458" w:type="pct"/>
                  <w:vAlign w:val="center"/>
                </w:tcPr>
                <w:p w14:paraId="67D77916">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注塑成型</w:t>
                  </w:r>
                </w:p>
              </w:tc>
              <w:tc>
                <w:tcPr>
                  <w:tcW w:w="688" w:type="pct"/>
                  <w:vAlign w:val="center"/>
                </w:tcPr>
                <w:p w14:paraId="55F72189">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注塑机</w:t>
                  </w:r>
                </w:p>
              </w:tc>
              <w:tc>
                <w:tcPr>
                  <w:tcW w:w="432" w:type="pct"/>
                  <w:vAlign w:val="center"/>
                </w:tcPr>
                <w:p w14:paraId="020D421B">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挥发废气</w:t>
                  </w:r>
                </w:p>
              </w:tc>
              <w:tc>
                <w:tcPr>
                  <w:tcW w:w="608" w:type="pct"/>
                  <w:vAlign w:val="center"/>
                </w:tcPr>
                <w:p w14:paraId="24870789">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非甲烷总烃、臭气浓度</w:t>
                  </w:r>
                </w:p>
              </w:tc>
              <w:tc>
                <w:tcPr>
                  <w:tcW w:w="397" w:type="pct"/>
                  <w:vAlign w:val="center"/>
                </w:tcPr>
                <w:p w14:paraId="66D15A06">
                  <w:pPr>
                    <w:spacing w:line="240" w:lineRule="auto"/>
                    <w:jc w:val="center"/>
                    <w:rPr>
                      <w:rFonts w:hint="default" w:ascii="Times New Roman" w:hAnsi="Times New Roman" w:cs="Times New Roman"/>
                      <w:color w:val="auto"/>
                      <w:kern w:val="11"/>
                      <w:sz w:val="21"/>
                      <w:szCs w:val="21"/>
                      <w:lang w:val="en-US" w:eastAsia="zh-CN"/>
                    </w:rPr>
                  </w:pPr>
                  <w:r>
                    <w:rPr>
                      <w:rFonts w:hint="default" w:ascii="Times New Roman" w:hAnsi="Times New Roman" w:cs="Times New Roman"/>
                      <w:color w:val="auto"/>
                      <w:kern w:val="11"/>
                      <w:sz w:val="21"/>
                      <w:szCs w:val="21"/>
                    </w:rPr>
                    <w:t>有组织</w:t>
                  </w:r>
                </w:p>
              </w:tc>
              <w:tc>
                <w:tcPr>
                  <w:tcW w:w="1054" w:type="pct"/>
                  <w:vAlign w:val="center"/>
                </w:tcPr>
                <w:p w14:paraId="7284D865">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喷淋；</w:t>
                  </w:r>
                  <w:r>
                    <w:rPr>
                      <w:rFonts w:hint="default" w:ascii="Times New Roman" w:hAnsi="Times New Roman" w:cs="Times New Roman"/>
                      <w:b w:val="0"/>
                      <w:bCs w:val="0"/>
                      <w:color w:val="auto"/>
                      <w:kern w:val="11"/>
                      <w:sz w:val="21"/>
                      <w:szCs w:val="21"/>
                    </w:rPr>
                    <w:t>吸附</w:t>
                  </w:r>
                  <w:r>
                    <w:rPr>
                      <w:rFonts w:hint="default" w:ascii="Times New Roman" w:hAnsi="Times New Roman" w:cs="Times New Roman"/>
                      <w:color w:val="auto"/>
                      <w:kern w:val="11"/>
                      <w:sz w:val="21"/>
                      <w:szCs w:val="21"/>
                    </w:rPr>
                    <w:t>；吸附浓缩+热力燃烧/催化燃烧</w:t>
                  </w:r>
                </w:p>
              </w:tc>
              <w:tc>
                <w:tcPr>
                  <w:tcW w:w="378" w:type="pct"/>
                  <w:vAlign w:val="center"/>
                </w:tcPr>
                <w:p w14:paraId="4CF3EB67">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52"/>
                  </w:r>
                  <w:r>
                    <w:rPr>
                      <w:rFonts w:hint="default" w:ascii="Times New Roman" w:hAnsi="Times New Roman" w:cs="Times New Roman"/>
                      <w:color w:val="auto"/>
                      <w:kern w:val="11"/>
                      <w:sz w:val="21"/>
                      <w:szCs w:val="21"/>
                    </w:rPr>
                    <w:t>是</w:t>
                  </w:r>
                </w:p>
                <w:p w14:paraId="66C6DB74">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sym w:font="Wingdings 2" w:char="00A3"/>
                  </w:r>
                  <w:r>
                    <w:rPr>
                      <w:rFonts w:hint="default" w:ascii="Times New Roman" w:hAnsi="Times New Roman" w:cs="Times New Roman"/>
                      <w:color w:val="auto"/>
                      <w:kern w:val="11"/>
                      <w:sz w:val="21"/>
                      <w:szCs w:val="21"/>
                    </w:rPr>
                    <w:t>否</w:t>
                  </w:r>
                </w:p>
              </w:tc>
              <w:tc>
                <w:tcPr>
                  <w:tcW w:w="513" w:type="pct"/>
                  <w:vAlign w:val="center"/>
                </w:tcPr>
                <w:p w14:paraId="4C97F43E">
                  <w:pPr>
                    <w:spacing w:line="240" w:lineRule="auto"/>
                    <w:jc w:val="center"/>
                    <w:rPr>
                      <w:rFonts w:hint="default" w:ascii="Times New Roman" w:hAnsi="Times New Roman" w:cs="Times New Roman"/>
                      <w:color w:val="auto"/>
                      <w:kern w:val="11"/>
                      <w:sz w:val="21"/>
                      <w:szCs w:val="21"/>
                    </w:rPr>
                  </w:pPr>
                  <w:r>
                    <w:rPr>
                      <w:rFonts w:hint="default" w:ascii="Times New Roman" w:hAnsi="Times New Roman" w:cs="Times New Roman"/>
                      <w:color w:val="auto"/>
                      <w:kern w:val="11"/>
                      <w:sz w:val="21"/>
                      <w:szCs w:val="21"/>
                    </w:rPr>
                    <w:t>一般排放口</w:t>
                  </w:r>
                </w:p>
              </w:tc>
            </w:tr>
          </w:tbl>
          <w:p w14:paraId="533EDB18">
            <w:pPr>
              <w:bidi w:val="0"/>
              <w:ind w:firstLine="482" w:firstLineChars="20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①活性炭吸附装置</w:t>
            </w:r>
          </w:p>
          <w:p w14:paraId="44D10F85">
            <w:pPr>
              <w:wordWrap/>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表</w:t>
            </w:r>
            <w:r>
              <w:rPr>
                <w:rFonts w:hint="default" w:ascii="Times New Roman" w:hAnsi="Times New Roman" w:cs="Times New Roman"/>
                <w:b/>
                <w:bCs/>
                <w:color w:val="auto"/>
                <w:lang w:val="en-US" w:eastAsia="zh-CN"/>
              </w:rPr>
              <w:t>4-11</w:t>
            </w:r>
            <w:r>
              <w:rPr>
                <w:rFonts w:hint="default" w:ascii="Times New Roman" w:hAnsi="Times New Roman" w:cs="Times New Roman"/>
                <w:b/>
                <w:bCs/>
                <w:color w:val="auto"/>
              </w:rPr>
              <w:t xml:space="preserve"> 项目</w:t>
            </w:r>
            <w:bookmarkStart w:id="15" w:name="活性炭吸附装置主要参数"/>
            <w:r>
              <w:rPr>
                <w:rFonts w:hint="default" w:ascii="Times New Roman" w:hAnsi="Times New Roman" w:cs="Times New Roman"/>
                <w:b/>
                <w:bCs/>
                <w:color w:val="auto"/>
              </w:rPr>
              <w:t>活性炭吸附装置主要参数</w:t>
            </w:r>
            <w:bookmarkEnd w:id="15"/>
            <w:r>
              <w:rPr>
                <w:rFonts w:hint="default" w:ascii="Times New Roman" w:hAnsi="Times New Roman" w:cs="Times New Roman"/>
                <w:b/>
                <w:bCs/>
                <w:color w:val="auto"/>
              </w:rPr>
              <w:t>一览表</w:t>
            </w:r>
          </w:p>
          <w:tbl>
            <w:tblPr>
              <w:tblStyle w:val="22"/>
              <w:tblW w:w="8279" w:type="dxa"/>
              <w:jc w:val="center"/>
              <w:tblLayout w:type="fixed"/>
              <w:tblCellMar>
                <w:top w:w="0" w:type="dxa"/>
                <w:left w:w="108" w:type="dxa"/>
                <w:bottom w:w="0" w:type="dxa"/>
                <w:right w:w="108" w:type="dxa"/>
              </w:tblCellMar>
            </w:tblPr>
            <w:tblGrid>
              <w:gridCol w:w="2872"/>
              <w:gridCol w:w="2629"/>
              <w:gridCol w:w="2778"/>
            </w:tblGrid>
            <w:tr w14:paraId="032D2C7F">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26C41539">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对应排气筒编号</w:t>
                  </w:r>
                </w:p>
              </w:tc>
              <w:tc>
                <w:tcPr>
                  <w:tcW w:w="5407" w:type="dxa"/>
                  <w:gridSpan w:val="2"/>
                  <w:tcBorders>
                    <w:top w:val="single" w:color="000000" w:sz="4" w:space="0"/>
                    <w:left w:val="single" w:color="000000" w:sz="4" w:space="0"/>
                    <w:bottom w:val="single" w:color="000000" w:sz="4" w:space="0"/>
                    <w:right w:val="single" w:color="000000" w:sz="4" w:space="0"/>
                  </w:tcBorders>
                  <w:noWrap w:val="0"/>
                  <w:vAlign w:val="center"/>
                </w:tcPr>
                <w:p w14:paraId="16887054">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DA001</w:t>
                  </w:r>
                </w:p>
              </w:tc>
            </w:tr>
            <w:tr w14:paraId="7BAA5861">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15EBC692">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系统处理风量Q</w:t>
                  </w:r>
                </w:p>
              </w:tc>
              <w:tc>
                <w:tcPr>
                  <w:tcW w:w="5407" w:type="dxa"/>
                  <w:gridSpan w:val="2"/>
                  <w:tcBorders>
                    <w:top w:val="single" w:color="000000" w:sz="4" w:space="0"/>
                    <w:left w:val="single" w:color="000000" w:sz="4" w:space="0"/>
                    <w:bottom w:val="single" w:color="000000" w:sz="4" w:space="0"/>
                    <w:right w:val="single" w:color="000000" w:sz="4" w:space="0"/>
                  </w:tcBorders>
                  <w:noWrap w:val="0"/>
                  <w:vAlign w:val="center"/>
                </w:tcPr>
                <w:p w14:paraId="78F5FB30">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28000</w:t>
                  </w:r>
                  <w:r>
                    <w:rPr>
                      <w:rFonts w:hint="default" w:ascii="Times New Roman" w:hAnsi="Times New Roman" w:eastAsia="宋体" w:cs="Times New Roman"/>
                      <w:color w:val="auto"/>
                      <w:kern w:val="0"/>
                      <w:sz w:val="21"/>
                      <w:szCs w:val="21"/>
                      <w:lang w:bidi="ar"/>
                    </w:rPr>
                    <w:t>m</w:t>
                  </w:r>
                  <w:r>
                    <w:rPr>
                      <w:rFonts w:hint="default" w:ascii="Times New Roman" w:hAnsi="Times New Roman" w:eastAsia="宋体" w:cs="Times New Roman"/>
                      <w:color w:val="auto"/>
                      <w:kern w:val="0"/>
                      <w:sz w:val="21"/>
                      <w:szCs w:val="21"/>
                      <w:vertAlign w:val="superscript"/>
                      <w:lang w:bidi="ar"/>
                    </w:rPr>
                    <w:t>3</w:t>
                  </w:r>
                  <w:r>
                    <w:rPr>
                      <w:rFonts w:hint="default" w:ascii="Times New Roman" w:hAnsi="Times New Roman" w:eastAsia="宋体" w:cs="Times New Roman"/>
                      <w:color w:val="auto"/>
                      <w:kern w:val="0"/>
                      <w:sz w:val="21"/>
                      <w:szCs w:val="21"/>
                      <w:lang w:bidi="ar"/>
                    </w:rPr>
                    <w:t>/h</w:t>
                  </w:r>
                </w:p>
              </w:tc>
            </w:tr>
            <w:tr w14:paraId="26CBD8BE">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2E23FB02">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数量</w:t>
                  </w:r>
                </w:p>
              </w:tc>
              <w:tc>
                <w:tcPr>
                  <w:tcW w:w="5407" w:type="dxa"/>
                  <w:gridSpan w:val="2"/>
                  <w:tcBorders>
                    <w:top w:val="single" w:color="000000" w:sz="4" w:space="0"/>
                    <w:left w:val="single" w:color="000000" w:sz="4" w:space="0"/>
                    <w:bottom w:val="single" w:color="000000" w:sz="4" w:space="0"/>
                    <w:right w:val="single" w:color="000000" w:sz="4" w:space="0"/>
                  </w:tcBorders>
                  <w:noWrap w:val="0"/>
                  <w:vAlign w:val="center"/>
                </w:tcPr>
                <w:p w14:paraId="5A3C3728">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1套</w:t>
                  </w:r>
                </w:p>
              </w:tc>
            </w:tr>
            <w:tr w14:paraId="0A015750">
              <w:tblPrEx>
                <w:tblCellMar>
                  <w:top w:w="0" w:type="dxa"/>
                  <w:left w:w="108" w:type="dxa"/>
                  <w:bottom w:w="0" w:type="dxa"/>
                  <w:right w:w="108" w:type="dxa"/>
                </w:tblCellMar>
              </w:tblPrEx>
              <w:trPr>
                <w:trHeight w:val="416"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27A6DAC4">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塔体尺寸</w:t>
                  </w:r>
                  <w:r>
                    <w:rPr>
                      <w:rFonts w:hint="default" w:ascii="Times New Roman" w:hAnsi="Times New Roman" w:eastAsia="宋体" w:cs="Times New Roman"/>
                      <w:b/>
                      <w:bCs/>
                      <w:color w:val="auto"/>
                      <w:sz w:val="21"/>
                      <w:szCs w:val="21"/>
                    </w:rPr>
                    <w:t>（长L×宽B×高H）</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5A393A4B">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2.2</w:t>
                  </w:r>
                  <w:r>
                    <w:rPr>
                      <w:rFonts w:hint="default" w:ascii="Times New Roman" w:hAnsi="Times New Roman" w:eastAsia="宋体" w:cs="Times New Roman"/>
                      <w:color w:val="auto"/>
                      <w:kern w:val="0"/>
                      <w:sz w:val="21"/>
                      <w:szCs w:val="21"/>
                      <w:lang w:bidi="ar"/>
                    </w:rPr>
                    <w:t>m×</w:t>
                  </w:r>
                  <w:r>
                    <w:rPr>
                      <w:rFonts w:hint="eastAsia" w:cs="Times New Roman"/>
                      <w:color w:val="auto"/>
                      <w:kern w:val="0"/>
                      <w:sz w:val="21"/>
                      <w:szCs w:val="21"/>
                      <w:lang w:val="en-US" w:eastAsia="zh-CN" w:bidi="ar"/>
                    </w:rPr>
                    <w:t>2.2</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1</w:t>
                  </w:r>
                  <w:r>
                    <w:rPr>
                      <w:rFonts w:hint="eastAsia" w:cs="Times New Roman"/>
                      <w:color w:val="auto"/>
                      <w:kern w:val="0"/>
                      <w:sz w:val="21"/>
                      <w:szCs w:val="21"/>
                      <w:lang w:val="en-US" w:eastAsia="zh-CN" w:bidi="ar"/>
                    </w:rPr>
                    <w:t>.2</w:t>
                  </w:r>
                  <w:r>
                    <w:rPr>
                      <w:rFonts w:hint="default" w:ascii="Times New Roman" w:hAnsi="Times New Roman" w:cs="Times New Roman"/>
                      <w:color w:val="auto"/>
                      <w:kern w:val="0"/>
                      <w:sz w:val="21"/>
                      <w:szCs w:val="21"/>
                      <w:lang w:val="en-US" w:eastAsia="zh-CN" w:bidi="ar"/>
                    </w:rPr>
                    <w:t>m</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49DE75F8">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2.2</w:t>
                  </w:r>
                  <w:r>
                    <w:rPr>
                      <w:rFonts w:hint="default" w:ascii="Times New Roman" w:hAnsi="Times New Roman" w:eastAsia="宋体" w:cs="Times New Roman"/>
                      <w:color w:val="auto"/>
                      <w:kern w:val="0"/>
                      <w:sz w:val="21"/>
                      <w:szCs w:val="21"/>
                      <w:lang w:bidi="ar"/>
                    </w:rPr>
                    <w:t>m×</w:t>
                  </w:r>
                  <w:r>
                    <w:rPr>
                      <w:rFonts w:hint="eastAsia" w:cs="Times New Roman"/>
                      <w:color w:val="auto"/>
                      <w:kern w:val="0"/>
                      <w:sz w:val="21"/>
                      <w:szCs w:val="21"/>
                      <w:lang w:val="en-US" w:eastAsia="zh-CN" w:bidi="ar"/>
                    </w:rPr>
                    <w:t>2.2</w:t>
                  </w:r>
                  <w:r>
                    <w:rPr>
                      <w:rFonts w:hint="default" w:ascii="Times New Roman" w:hAnsi="Times New Roman" w:eastAsia="宋体" w:cs="Times New Roman"/>
                      <w:color w:val="auto"/>
                      <w:kern w:val="0"/>
                      <w:sz w:val="21"/>
                      <w:szCs w:val="21"/>
                      <w:lang w:bidi="ar"/>
                    </w:rPr>
                    <w:t>m×</w:t>
                  </w:r>
                  <w:r>
                    <w:rPr>
                      <w:rFonts w:hint="default" w:ascii="Times New Roman" w:hAnsi="Times New Roman" w:cs="Times New Roman"/>
                      <w:color w:val="auto"/>
                      <w:kern w:val="0"/>
                      <w:sz w:val="21"/>
                      <w:szCs w:val="21"/>
                      <w:lang w:val="en-US" w:eastAsia="zh-CN" w:bidi="ar"/>
                    </w:rPr>
                    <w:t>1</w:t>
                  </w:r>
                  <w:r>
                    <w:rPr>
                      <w:rFonts w:hint="eastAsia" w:cs="Times New Roman"/>
                      <w:color w:val="auto"/>
                      <w:kern w:val="0"/>
                      <w:sz w:val="21"/>
                      <w:szCs w:val="21"/>
                      <w:lang w:val="en-US" w:eastAsia="zh-CN" w:bidi="ar"/>
                    </w:rPr>
                    <w:t>.2</w:t>
                  </w:r>
                  <w:r>
                    <w:rPr>
                      <w:rFonts w:hint="default" w:ascii="Times New Roman" w:hAnsi="Times New Roman" w:cs="Times New Roman"/>
                      <w:color w:val="auto"/>
                      <w:kern w:val="0"/>
                      <w:sz w:val="21"/>
                      <w:szCs w:val="21"/>
                      <w:lang w:val="en-US" w:eastAsia="zh-CN" w:bidi="ar"/>
                    </w:rPr>
                    <w:t>m</w:t>
                  </w:r>
                </w:p>
              </w:tc>
            </w:tr>
            <w:tr w14:paraId="2EA77011">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529DCA3B">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吸附剂</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0FAC31D2">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蜂窝式</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53A4A4C7">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蜂窝式</w:t>
                  </w:r>
                </w:p>
              </w:tc>
            </w:tr>
            <w:tr w14:paraId="26F46B06">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778EAFFC">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孔隙率P</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7BF7CF2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75</w:t>
                  </w:r>
                  <w:r>
                    <w:rPr>
                      <w:rFonts w:hint="default" w:ascii="Times New Roman" w:hAnsi="Times New Roman" w:eastAsia="宋体" w:cs="Times New Roman"/>
                      <w:color w:val="auto"/>
                      <w:kern w:val="0"/>
                      <w:sz w:val="21"/>
                      <w:szCs w:val="21"/>
                      <w:lang w:val="en-US" w:eastAsia="zh-CN" w:bidi="ar"/>
                    </w:rPr>
                    <w:t>%</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4349ACBA">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75</w:t>
                  </w:r>
                  <w:r>
                    <w:rPr>
                      <w:rFonts w:hint="default" w:ascii="Times New Roman" w:hAnsi="Times New Roman" w:eastAsia="宋体" w:cs="Times New Roman"/>
                      <w:color w:val="auto"/>
                      <w:kern w:val="0"/>
                      <w:sz w:val="21"/>
                      <w:szCs w:val="21"/>
                      <w:lang w:val="en-US" w:eastAsia="zh-CN" w:bidi="ar"/>
                    </w:rPr>
                    <w:t>%</w:t>
                  </w:r>
                </w:p>
              </w:tc>
            </w:tr>
            <w:tr w14:paraId="6B274899">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37D96C89">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吸附剂层数q</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5A8AC554">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r>
                    <w:rPr>
                      <w:rFonts w:hint="default" w:ascii="Times New Roman" w:hAnsi="Times New Roman" w:eastAsia="宋体" w:cs="Times New Roman"/>
                      <w:color w:val="auto"/>
                      <w:kern w:val="0"/>
                      <w:sz w:val="21"/>
                      <w:szCs w:val="21"/>
                      <w:lang w:bidi="ar"/>
                    </w:rPr>
                    <w:t>层</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163BE7D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r>
                    <w:rPr>
                      <w:rFonts w:hint="default" w:ascii="Times New Roman" w:hAnsi="Times New Roman" w:eastAsia="宋体" w:cs="Times New Roman"/>
                      <w:color w:val="auto"/>
                      <w:kern w:val="0"/>
                      <w:sz w:val="21"/>
                      <w:szCs w:val="21"/>
                      <w:lang w:bidi="ar"/>
                    </w:rPr>
                    <w:t>层</w:t>
                  </w:r>
                </w:p>
              </w:tc>
            </w:tr>
            <w:tr w14:paraId="042FA173">
              <w:tblPrEx>
                <w:tblCellMar>
                  <w:top w:w="0" w:type="dxa"/>
                  <w:left w:w="108" w:type="dxa"/>
                  <w:bottom w:w="0" w:type="dxa"/>
                  <w:right w:w="108" w:type="dxa"/>
                </w:tblCellMar>
              </w:tblPrEx>
              <w:trPr>
                <w:trHeight w:val="447"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00398C01">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吸附剂</w:t>
                  </w:r>
                  <w:r>
                    <w:rPr>
                      <w:rFonts w:hint="default" w:ascii="Times New Roman" w:hAnsi="Times New Roman" w:eastAsia="宋体" w:cs="Times New Roman"/>
                      <w:b/>
                      <w:bCs/>
                      <w:color w:val="auto"/>
                      <w:sz w:val="21"/>
                      <w:szCs w:val="21"/>
                    </w:rPr>
                    <w:t>每层厚度 h</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0C5B872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w:t>
                  </w:r>
                  <w:r>
                    <w:rPr>
                      <w:rFonts w:hint="default" w:ascii="Times New Roman" w:hAnsi="Times New Roman" w:eastAsia="宋体" w:cs="Times New Roman"/>
                      <w:color w:val="auto"/>
                      <w:kern w:val="0"/>
                      <w:sz w:val="21"/>
                      <w:szCs w:val="21"/>
                      <w:lang w:bidi="ar"/>
                    </w:rPr>
                    <w:t>00mm</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1F970F37">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w:t>
                  </w:r>
                  <w:r>
                    <w:rPr>
                      <w:rFonts w:hint="default" w:ascii="Times New Roman" w:hAnsi="Times New Roman" w:eastAsia="宋体" w:cs="Times New Roman"/>
                      <w:color w:val="auto"/>
                      <w:kern w:val="0"/>
                      <w:sz w:val="21"/>
                      <w:szCs w:val="21"/>
                      <w:lang w:bidi="ar"/>
                    </w:rPr>
                    <w:t>00mm</w:t>
                  </w:r>
                </w:p>
              </w:tc>
            </w:tr>
            <w:tr w14:paraId="31144CC5">
              <w:tblPrEx>
                <w:tblCellMar>
                  <w:top w:w="0" w:type="dxa"/>
                  <w:left w:w="108" w:type="dxa"/>
                  <w:bottom w:w="0" w:type="dxa"/>
                  <w:right w:w="108" w:type="dxa"/>
                </w:tblCellMar>
              </w:tblPrEx>
              <w:trPr>
                <w:trHeight w:val="696"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36A5808B">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过滤风速V（V=Q/3600/（B×L）/q</w:t>
                  </w:r>
                  <w:r>
                    <w:rPr>
                      <w:rFonts w:hint="default" w:ascii="Times New Roman" w:hAnsi="Times New Roman" w:eastAsia="宋体" w:cs="Times New Roman"/>
                      <w:b/>
                      <w:bCs/>
                      <w:color w:val="auto"/>
                      <w:kern w:val="0"/>
                      <w:sz w:val="21"/>
                      <w:szCs w:val="21"/>
                      <w:lang w:val="en-US" w:eastAsia="zh-CN" w:bidi="ar"/>
                    </w:rPr>
                    <w:t>/P</w:t>
                  </w:r>
                  <w:r>
                    <w:rPr>
                      <w:rFonts w:hint="default" w:ascii="Times New Roman" w:hAnsi="Times New Roman" w:eastAsia="宋体" w:cs="Times New Roman"/>
                      <w:b/>
                      <w:bCs/>
                      <w:color w:val="auto"/>
                      <w:kern w:val="0"/>
                      <w:sz w:val="21"/>
                      <w:szCs w:val="21"/>
                      <w:lang w:bidi="ar"/>
                    </w:rPr>
                    <w:t>）</w:t>
                  </w:r>
                </w:p>
              </w:tc>
              <w:tc>
                <w:tcPr>
                  <w:tcW w:w="2629" w:type="dxa"/>
                  <w:tcBorders>
                    <w:top w:val="single" w:color="000000" w:sz="4" w:space="0"/>
                    <w:left w:val="single" w:color="000000" w:sz="4" w:space="0"/>
                    <w:bottom w:val="single" w:color="000000" w:sz="4" w:space="0"/>
                    <w:right w:val="single" w:color="000000" w:sz="4" w:space="0"/>
                  </w:tcBorders>
                  <w:noWrap/>
                  <w:vAlign w:val="center"/>
                </w:tcPr>
                <w:p w14:paraId="0D7F6B6E">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r>
                    <w:rPr>
                      <w:rFonts w:hint="eastAsia" w:cs="Times New Roman"/>
                      <w:color w:val="auto"/>
                      <w:kern w:val="0"/>
                      <w:sz w:val="21"/>
                      <w:szCs w:val="21"/>
                      <w:lang w:val="en-US" w:eastAsia="zh-CN" w:bidi="ar"/>
                    </w:rPr>
                    <w:t>07</w:t>
                  </w:r>
                  <w:r>
                    <w:rPr>
                      <w:rFonts w:hint="default" w:ascii="Times New Roman" w:hAnsi="Times New Roman" w:eastAsia="宋体" w:cs="Times New Roman"/>
                      <w:color w:val="auto"/>
                      <w:sz w:val="21"/>
                      <w:szCs w:val="21"/>
                    </w:rPr>
                    <w:t>m/s</w:t>
                  </w:r>
                </w:p>
              </w:tc>
              <w:tc>
                <w:tcPr>
                  <w:tcW w:w="2778" w:type="dxa"/>
                  <w:tcBorders>
                    <w:top w:val="single" w:color="000000" w:sz="4" w:space="0"/>
                    <w:left w:val="single" w:color="000000" w:sz="4" w:space="0"/>
                    <w:bottom w:val="single" w:color="000000" w:sz="4" w:space="0"/>
                    <w:right w:val="single" w:color="000000" w:sz="4" w:space="0"/>
                  </w:tcBorders>
                  <w:noWrap/>
                  <w:vAlign w:val="center"/>
                </w:tcPr>
                <w:p w14:paraId="56FED21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r>
                    <w:rPr>
                      <w:rFonts w:hint="eastAsia" w:cs="Times New Roman"/>
                      <w:color w:val="auto"/>
                      <w:kern w:val="0"/>
                      <w:sz w:val="21"/>
                      <w:szCs w:val="21"/>
                      <w:lang w:val="en-US" w:eastAsia="zh-CN" w:bidi="ar"/>
                    </w:rPr>
                    <w:t>07</w:t>
                  </w:r>
                  <w:r>
                    <w:rPr>
                      <w:rFonts w:hint="default" w:ascii="Times New Roman" w:hAnsi="Times New Roman" w:eastAsia="宋体" w:cs="Times New Roman"/>
                      <w:color w:val="auto"/>
                      <w:sz w:val="21"/>
                      <w:szCs w:val="21"/>
                    </w:rPr>
                    <w:t>m/s</w:t>
                  </w:r>
                </w:p>
              </w:tc>
            </w:tr>
            <w:tr w14:paraId="22C067B0">
              <w:tblPrEx>
                <w:tblCellMar>
                  <w:top w:w="0" w:type="dxa"/>
                  <w:left w:w="108" w:type="dxa"/>
                  <w:bottom w:w="0" w:type="dxa"/>
                  <w:right w:w="108" w:type="dxa"/>
                </w:tblCellMar>
              </w:tblPrEx>
              <w:trPr>
                <w:trHeight w:val="543"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0644F3DD">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过滤停留时间 T（T=h</w:t>
                  </w:r>
                  <w:r>
                    <w:rPr>
                      <w:rFonts w:hint="default" w:ascii="Times New Roman" w:hAnsi="Times New Roman" w:eastAsia="宋体" w:cs="Times New Roman"/>
                      <w:b/>
                      <w:bCs/>
                      <w:color w:val="auto"/>
                      <w:kern w:val="0"/>
                      <w:sz w:val="21"/>
                      <w:szCs w:val="21"/>
                      <w:lang w:val="en-US" w:eastAsia="zh-CN" w:bidi="ar"/>
                    </w:rPr>
                    <w:t>×q</w:t>
                  </w:r>
                  <w:r>
                    <w:rPr>
                      <w:rFonts w:hint="default" w:ascii="Times New Roman" w:hAnsi="Times New Roman" w:eastAsia="宋体" w:cs="Times New Roman"/>
                      <w:b/>
                      <w:bCs/>
                      <w:color w:val="auto"/>
                      <w:kern w:val="0"/>
                      <w:sz w:val="21"/>
                      <w:szCs w:val="21"/>
                      <w:lang w:bidi="ar"/>
                    </w:rPr>
                    <w:t>/V）</w:t>
                  </w:r>
                </w:p>
              </w:tc>
              <w:tc>
                <w:tcPr>
                  <w:tcW w:w="2629" w:type="dxa"/>
                  <w:tcBorders>
                    <w:top w:val="single" w:color="000000" w:sz="4" w:space="0"/>
                    <w:left w:val="single" w:color="000000" w:sz="4" w:space="0"/>
                    <w:bottom w:val="single" w:color="000000" w:sz="4" w:space="0"/>
                    <w:right w:val="single" w:color="000000" w:sz="4" w:space="0"/>
                  </w:tcBorders>
                  <w:noWrap/>
                  <w:vAlign w:val="center"/>
                </w:tcPr>
                <w:p w14:paraId="0892276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0.5</w:t>
                  </w:r>
                  <w:r>
                    <w:rPr>
                      <w:rFonts w:hint="eastAsia" w:cs="Times New Roman"/>
                      <w:color w:val="auto"/>
                      <w:kern w:val="0"/>
                      <w:sz w:val="21"/>
                      <w:szCs w:val="21"/>
                      <w:lang w:val="en-US" w:eastAsia="zh-CN" w:bidi="ar"/>
                    </w:rPr>
                    <w:t>6</w:t>
                  </w:r>
                  <w:r>
                    <w:rPr>
                      <w:rFonts w:hint="default" w:ascii="Times New Roman" w:hAnsi="Times New Roman" w:eastAsia="宋体" w:cs="Times New Roman"/>
                      <w:color w:val="auto"/>
                      <w:kern w:val="0"/>
                      <w:sz w:val="21"/>
                      <w:szCs w:val="21"/>
                      <w:lang w:bidi="ar"/>
                    </w:rPr>
                    <w:t>s</w:t>
                  </w:r>
                </w:p>
              </w:tc>
              <w:tc>
                <w:tcPr>
                  <w:tcW w:w="2778" w:type="dxa"/>
                  <w:tcBorders>
                    <w:top w:val="single" w:color="000000" w:sz="4" w:space="0"/>
                    <w:left w:val="single" w:color="000000" w:sz="4" w:space="0"/>
                    <w:bottom w:val="single" w:color="000000" w:sz="4" w:space="0"/>
                    <w:right w:val="single" w:color="000000" w:sz="4" w:space="0"/>
                  </w:tcBorders>
                  <w:noWrap/>
                  <w:vAlign w:val="center"/>
                </w:tcPr>
                <w:p w14:paraId="5AFDAB53">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0.5</w:t>
                  </w:r>
                  <w:r>
                    <w:rPr>
                      <w:rFonts w:hint="eastAsia" w:cs="Times New Roman"/>
                      <w:color w:val="auto"/>
                      <w:kern w:val="0"/>
                      <w:sz w:val="21"/>
                      <w:szCs w:val="21"/>
                      <w:lang w:val="en-US" w:eastAsia="zh-CN" w:bidi="ar"/>
                    </w:rPr>
                    <w:t>6</w:t>
                  </w:r>
                  <w:r>
                    <w:rPr>
                      <w:rFonts w:hint="default" w:ascii="Times New Roman" w:hAnsi="Times New Roman" w:eastAsia="宋体" w:cs="Times New Roman"/>
                      <w:color w:val="auto"/>
                      <w:kern w:val="0"/>
                      <w:sz w:val="21"/>
                      <w:szCs w:val="21"/>
                      <w:lang w:bidi="ar"/>
                    </w:rPr>
                    <w:t>s</w:t>
                  </w:r>
                </w:p>
              </w:tc>
            </w:tr>
            <w:tr w14:paraId="2CB268AA">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409DE435">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eastAsia="zh-CN" w:bidi="ar"/>
                    </w:rPr>
                  </w:pPr>
                  <w:r>
                    <w:rPr>
                      <w:rFonts w:hint="default" w:ascii="Times New Roman" w:hAnsi="Times New Roman" w:eastAsia="宋体" w:cs="Times New Roman"/>
                      <w:b/>
                      <w:bCs/>
                      <w:color w:val="auto"/>
                      <w:kern w:val="0"/>
                      <w:sz w:val="21"/>
                      <w:szCs w:val="21"/>
                      <w:lang w:eastAsia="zh-CN" w:bidi="ar"/>
                    </w:rPr>
                    <w:t>吸附剂密度ρ</w:t>
                  </w:r>
                </w:p>
              </w:tc>
              <w:tc>
                <w:tcPr>
                  <w:tcW w:w="2629" w:type="dxa"/>
                  <w:tcBorders>
                    <w:top w:val="single" w:color="000000" w:sz="4" w:space="0"/>
                    <w:left w:val="single" w:color="000000" w:sz="4" w:space="0"/>
                    <w:bottom w:val="single" w:color="000000" w:sz="4" w:space="0"/>
                    <w:right w:val="single" w:color="000000" w:sz="4" w:space="0"/>
                  </w:tcBorders>
                  <w:noWrap/>
                  <w:vAlign w:val="center"/>
                </w:tcPr>
                <w:p w14:paraId="4C8945B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350</w:t>
                  </w:r>
                  <w:r>
                    <w:rPr>
                      <w:rFonts w:hint="default" w:ascii="Times New Roman" w:hAnsi="Times New Roman" w:eastAsia="宋体" w:cs="Times New Roman"/>
                      <w:color w:val="auto"/>
                      <w:kern w:val="0"/>
                      <w:sz w:val="21"/>
                      <w:szCs w:val="21"/>
                      <w:lang w:val="en-US" w:eastAsia="zh-CN" w:bidi="ar"/>
                    </w:rPr>
                    <w:t>kg/m</w:t>
                  </w:r>
                  <w:r>
                    <w:rPr>
                      <w:rFonts w:hint="default" w:ascii="Times New Roman" w:hAnsi="Times New Roman" w:eastAsia="宋体" w:cs="Times New Roman"/>
                      <w:color w:val="auto"/>
                      <w:kern w:val="0"/>
                      <w:sz w:val="21"/>
                      <w:szCs w:val="21"/>
                      <w:vertAlign w:val="superscript"/>
                      <w:lang w:val="en-US" w:eastAsia="zh-CN" w:bidi="ar"/>
                    </w:rPr>
                    <w:t>3</w:t>
                  </w:r>
                </w:p>
              </w:tc>
              <w:tc>
                <w:tcPr>
                  <w:tcW w:w="2778" w:type="dxa"/>
                  <w:tcBorders>
                    <w:top w:val="single" w:color="000000" w:sz="4" w:space="0"/>
                    <w:left w:val="single" w:color="000000" w:sz="4" w:space="0"/>
                    <w:bottom w:val="single" w:color="000000" w:sz="4" w:space="0"/>
                    <w:right w:val="single" w:color="000000" w:sz="4" w:space="0"/>
                  </w:tcBorders>
                  <w:noWrap/>
                  <w:vAlign w:val="center"/>
                </w:tcPr>
                <w:p w14:paraId="2304BFF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350</w:t>
                  </w:r>
                  <w:r>
                    <w:rPr>
                      <w:rFonts w:hint="default" w:ascii="Times New Roman" w:hAnsi="Times New Roman" w:eastAsia="宋体" w:cs="Times New Roman"/>
                      <w:color w:val="auto"/>
                      <w:kern w:val="0"/>
                      <w:sz w:val="21"/>
                      <w:szCs w:val="21"/>
                      <w:lang w:val="en-US" w:eastAsia="zh-CN" w:bidi="ar"/>
                    </w:rPr>
                    <w:t>kg/m</w:t>
                  </w:r>
                  <w:r>
                    <w:rPr>
                      <w:rFonts w:hint="default" w:ascii="Times New Roman" w:hAnsi="Times New Roman" w:eastAsia="宋体" w:cs="Times New Roman"/>
                      <w:color w:val="auto"/>
                      <w:kern w:val="0"/>
                      <w:sz w:val="21"/>
                      <w:szCs w:val="21"/>
                      <w:vertAlign w:val="superscript"/>
                      <w:lang w:val="en-US" w:eastAsia="zh-CN" w:bidi="ar"/>
                    </w:rPr>
                    <w:t>3</w:t>
                  </w:r>
                </w:p>
              </w:tc>
            </w:tr>
            <w:tr w14:paraId="7CF1D9BD">
              <w:tblPrEx>
                <w:tblCellMar>
                  <w:top w:w="0" w:type="dxa"/>
                  <w:left w:w="108" w:type="dxa"/>
                  <w:bottom w:w="0" w:type="dxa"/>
                  <w:right w:w="108" w:type="dxa"/>
                </w:tblCellMar>
              </w:tblPrEx>
              <w:trPr>
                <w:trHeight w:val="42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1D341F62">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吸附剂尺寸</w:t>
                  </w:r>
                  <w:r>
                    <w:rPr>
                      <w:rFonts w:hint="default" w:ascii="Times New Roman" w:hAnsi="Times New Roman" w:eastAsia="宋体" w:cs="Times New Roman"/>
                      <w:b/>
                      <w:bCs/>
                      <w:color w:val="auto"/>
                      <w:sz w:val="21"/>
                      <w:szCs w:val="21"/>
                      <w:lang w:val="en-US" w:eastAsia="zh-CN"/>
                    </w:rPr>
                    <w:t>m</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49772635">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100mm</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3196D3C9">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100mm</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r>
                    <w:rPr>
                      <w:rFonts w:hint="default" w:ascii="Times New Roman" w:hAnsi="Times New Roman" w:cs="Times New Roman"/>
                      <w:color w:val="auto"/>
                      <w:sz w:val="21"/>
                      <w:szCs w:val="21"/>
                    </w:rPr>
                    <w:t>100m</w:t>
                  </w:r>
                  <w:r>
                    <w:rPr>
                      <w:rFonts w:hint="default" w:ascii="Times New Roman" w:hAnsi="Times New Roman" w:eastAsia="宋体" w:cs="Times New Roman"/>
                      <w:color w:val="auto"/>
                      <w:sz w:val="21"/>
                      <w:szCs w:val="21"/>
                    </w:rPr>
                    <w:t>m</w:t>
                  </w:r>
                </w:p>
              </w:tc>
            </w:tr>
            <w:tr w14:paraId="25802645">
              <w:tblPrEx>
                <w:tblCellMar>
                  <w:top w:w="0" w:type="dxa"/>
                  <w:left w:w="108" w:type="dxa"/>
                  <w:bottom w:w="0" w:type="dxa"/>
                  <w:right w:w="108" w:type="dxa"/>
                </w:tblCellMar>
              </w:tblPrEx>
              <w:trPr>
                <w:trHeight w:val="473"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371FF594">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吸附剂重量</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lang w:val="en-US" w:eastAsia="zh-CN"/>
                    </w:rPr>
                    <w:t>m×ρ</w:t>
                  </w:r>
                  <w:r>
                    <w:rPr>
                      <w:rFonts w:hint="default" w:ascii="Times New Roman" w:hAnsi="Times New Roman" w:eastAsia="宋体" w:cs="Times New Roman"/>
                      <w:b/>
                      <w:bCs/>
                      <w:color w:val="auto"/>
                      <w:sz w:val="21"/>
                      <w:szCs w:val="21"/>
                      <w:lang w:eastAsia="zh-CN"/>
                    </w:rPr>
                    <w:t>）</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0A03C528">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0.35kg</w:t>
                  </w:r>
                  <w:r>
                    <w:rPr>
                      <w:rFonts w:hint="default" w:ascii="Times New Roman" w:hAnsi="Times New Roman" w:cs="Times New Roman"/>
                      <w:color w:val="auto"/>
                      <w:sz w:val="21"/>
                      <w:szCs w:val="21"/>
                    </w:rPr>
                    <w:t>/个</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371EFF64">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0.35kg</w:t>
                  </w:r>
                  <w:r>
                    <w:rPr>
                      <w:rFonts w:hint="default" w:ascii="Times New Roman" w:hAnsi="Times New Roman" w:cs="Times New Roman"/>
                      <w:color w:val="auto"/>
                      <w:sz w:val="21"/>
                      <w:szCs w:val="21"/>
                    </w:rPr>
                    <w:t>/个</w:t>
                  </w:r>
                </w:p>
              </w:tc>
            </w:tr>
            <w:tr w14:paraId="1CF7F451">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0CBC1621">
                  <w:pPr>
                    <w:keepNext w:val="0"/>
                    <w:keepLines w:val="0"/>
                    <w:suppressLineNumbers w:val="0"/>
                    <w:wordWrap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吸附剂填充量</w:t>
                  </w:r>
                </w:p>
              </w:tc>
              <w:tc>
                <w:tcPr>
                  <w:tcW w:w="2629" w:type="dxa"/>
                  <w:tcBorders>
                    <w:top w:val="single" w:color="000000" w:sz="4" w:space="0"/>
                    <w:left w:val="single" w:color="000000" w:sz="4" w:space="0"/>
                    <w:bottom w:val="single" w:color="000000" w:sz="4" w:space="0"/>
                    <w:right w:val="single" w:color="000000" w:sz="4" w:space="0"/>
                  </w:tcBorders>
                  <w:noWrap w:val="0"/>
                  <w:vAlign w:val="center"/>
                </w:tcPr>
                <w:p w14:paraId="1F53442A">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Style w:val="29"/>
                      <w:rFonts w:hint="default" w:ascii="Times New Roman" w:hAnsi="Times New Roman" w:eastAsia="宋体" w:cs="Times New Roman"/>
                      <w:color w:val="auto"/>
                      <w:kern w:val="0"/>
                      <w:sz w:val="21"/>
                      <w:szCs w:val="21"/>
                      <w:lang w:val="en-US" w:eastAsia="zh-CN"/>
                    </w:rPr>
                  </w:pPr>
                  <w:r>
                    <w:rPr>
                      <w:rStyle w:val="29"/>
                      <w:rFonts w:hint="default" w:ascii="Times New Roman" w:hAnsi="Times New Roman" w:cs="Times New Roman"/>
                      <w:color w:val="auto"/>
                      <w:kern w:val="0"/>
                      <w:szCs w:val="20"/>
                      <w:lang w:val="en-US" w:eastAsia="zh-CN"/>
                    </w:rPr>
                    <w:t>1</w:t>
                  </w:r>
                  <w:r>
                    <w:rPr>
                      <w:rStyle w:val="29"/>
                      <w:rFonts w:hint="eastAsia" w:cs="Times New Roman"/>
                      <w:color w:val="auto"/>
                      <w:kern w:val="0"/>
                      <w:szCs w:val="20"/>
                      <w:lang w:val="en-US" w:eastAsia="zh-CN"/>
                    </w:rPr>
                    <w:t>016</w:t>
                  </w:r>
                  <w:r>
                    <w:rPr>
                      <w:rStyle w:val="29"/>
                      <w:rFonts w:hint="default" w:ascii="Times New Roman" w:hAnsi="Times New Roman" w:cs="Times New Roman"/>
                      <w:color w:val="auto"/>
                      <w:kern w:val="0"/>
                      <w:szCs w:val="20"/>
                      <w:lang w:val="en-US" w:eastAsia="zh-CN"/>
                    </w:rPr>
                    <w:t>kg</w:t>
                  </w:r>
                </w:p>
              </w:tc>
              <w:tc>
                <w:tcPr>
                  <w:tcW w:w="2778" w:type="dxa"/>
                  <w:tcBorders>
                    <w:top w:val="single" w:color="000000" w:sz="4" w:space="0"/>
                    <w:left w:val="single" w:color="000000" w:sz="4" w:space="0"/>
                    <w:bottom w:val="single" w:color="000000" w:sz="4" w:space="0"/>
                    <w:right w:val="single" w:color="000000" w:sz="4" w:space="0"/>
                  </w:tcBorders>
                  <w:noWrap w:val="0"/>
                  <w:vAlign w:val="center"/>
                </w:tcPr>
                <w:p w14:paraId="0E7C66B8">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Style w:val="29"/>
                      <w:rFonts w:hint="default" w:ascii="Times New Roman" w:hAnsi="Times New Roman" w:eastAsia="宋体" w:cs="Times New Roman"/>
                      <w:color w:val="auto"/>
                      <w:kern w:val="0"/>
                      <w:sz w:val="21"/>
                      <w:szCs w:val="21"/>
                      <w:lang w:val="en-US" w:eastAsia="zh-CN"/>
                    </w:rPr>
                  </w:pPr>
                  <w:r>
                    <w:rPr>
                      <w:rStyle w:val="29"/>
                      <w:rFonts w:hint="default" w:ascii="Times New Roman" w:hAnsi="Times New Roman" w:cs="Times New Roman"/>
                      <w:color w:val="auto"/>
                      <w:kern w:val="0"/>
                      <w:szCs w:val="20"/>
                      <w:lang w:val="en-US" w:eastAsia="zh-CN"/>
                    </w:rPr>
                    <w:t>1</w:t>
                  </w:r>
                  <w:r>
                    <w:rPr>
                      <w:rStyle w:val="29"/>
                      <w:rFonts w:hint="eastAsia" w:cs="Times New Roman"/>
                      <w:color w:val="auto"/>
                      <w:kern w:val="0"/>
                      <w:szCs w:val="20"/>
                      <w:lang w:val="en-US" w:eastAsia="zh-CN"/>
                    </w:rPr>
                    <w:t>016</w:t>
                  </w:r>
                  <w:r>
                    <w:rPr>
                      <w:rStyle w:val="29"/>
                      <w:rFonts w:hint="default" w:ascii="Times New Roman" w:hAnsi="Times New Roman" w:cs="Times New Roman"/>
                      <w:color w:val="auto"/>
                      <w:kern w:val="0"/>
                      <w:szCs w:val="20"/>
                      <w:lang w:val="en-US" w:eastAsia="zh-CN"/>
                    </w:rPr>
                    <w:t>kg</w:t>
                  </w:r>
                </w:p>
              </w:tc>
            </w:tr>
            <w:tr w14:paraId="09B72079">
              <w:tblPrEx>
                <w:tblCellMar>
                  <w:top w:w="0" w:type="dxa"/>
                  <w:left w:w="108" w:type="dxa"/>
                  <w:bottom w:w="0" w:type="dxa"/>
                  <w:right w:w="108" w:type="dxa"/>
                </w:tblCellMar>
              </w:tblPrEx>
              <w:trPr>
                <w:trHeight w:val="282"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420176D6">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lang w:bidi="ar"/>
                    </w:rPr>
                    <w:t>处理效率</w:t>
                  </w:r>
                </w:p>
              </w:tc>
              <w:tc>
                <w:tcPr>
                  <w:tcW w:w="5407" w:type="dxa"/>
                  <w:gridSpan w:val="2"/>
                  <w:tcBorders>
                    <w:top w:val="single" w:color="000000" w:sz="4" w:space="0"/>
                    <w:left w:val="single" w:color="000000" w:sz="4" w:space="0"/>
                    <w:bottom w:val="single" w:color="000000" w:sz="4" w:space="0"/>
                    <w:right w:val="single" w:color="000000" w:sz="4" w:space="0"/>
                  </w:tcBorders>
                  <w:noWrap w:val="0"/>
                  <w:vAlign w:val="center"/>
                </w:tcPr>
                <w:p w14:paraId="23945533">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75</w:t>
                  </w:r>
                  <w:r>
                    <w:rPr>
                      <w:rFonts w:hint="default" w:ascii="Times New Roman" w:hAnsi="Times New Roman" w:eastAsia="宋体" w:cs="Times New Roman"/>
                      <w:color w:val="auto"/>
                      <w:kern w:val="0"/>
                      <w:sz w:val="21"/>
                      <w:szCs w:val="21"/>
                      <w:lang w:bidi="ar"/>
                    </w:rPr>
                    <w:t>%</w:t>
                  </w:r>
                </w:p>
              </w:tc>
            </w:tr>
            <w:tr w14:paraId="3BDFEABF">
              <w:tblPrEx>
                <w:tblCellMar>
                  <w:top w:w="0" w:type="dxa"/>
                  <w:left w:w="108" w:type="dxa"/>
                  <w:bottom w:w="0" w:type="dxa"/>
                  <w:right w:w="108" w:type="dxa"/>
                </w:tblCellMar>
              </w:tblPrEx>
              <w:trPr>
                <w:trHeight w:val="301" w:hRule="atLeast"/>
                <w:jc w:val="center"/>
              </w:trPr>
              <w:tc>
                <w:tcPr>
                  <w:tcW w:w="2872" w:type="dxa"/>
                  <w:tcBorders>
                    <w:top w:val="single" w:color="000000" w:sz="4" w:space="0"/>
                    <w:left w:val="single" w:color="000000" w:sz="4" w:space="0"/>
                    <w:bottom w:val="single" w:color="000000" w:sz="4" w:space="0"/>
                    <w:right w:val="single" w:color="000000" w:sz="4" w:space="0"/>
                  </w:tcBorders>
                  <w:noWrap w:val="0"/>
                  <w:vAlign w:val="center"/>
                </w:tcPr>
                <w:p w14:paraId="66A3B0BB">
                  <w:pPr>
                    <w:keepNext w:val="0"/>
                    <w:keepLines w:val="0"/>
                    <w:widowControl/>
                    <w:suppressLineNumbers w:val="0"/>
                    <w:wordWrap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更换周期</w:t>
                  </w:r>
                </w:p>
              </w:tc>
              <w:tc>
                <w:tcPr>
                  <w:tcW w:w="5407" w:type="dxa"/>
                  <w:gridSpan w:val="2"/>
                  <w:tcBorders>
                    <w:top w:val="single" w:color="000000" w:sz="4" w:space="0"/>
                    <w:left w:val="single" w:color="000000" w:sz="4" w:space="0"/>
                    <w:bottom w:val="single" w:color="000000" w:sz="4" w:space="0"/>
                    <w:right w:val="single" w:color="000000" w:sz="4" w:space="0"/>
                  </w:tcBorders>
                  <w:noWrap w:val="0"/>
                  <w:vAlign w:val="center"/>
                </w:tcPr>
                <w:p w14:paraId="1DFD7ECF">
                  <w:pPr>
                    <w:keepNext w:val="0"/>
                    <w:keepLines w:val="0"/>
                    <w:widowControl/>
                    <w:suppressLineNumbers w:val="0"/>
                    <w:wordWrap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3个月</w:t>
                  </w:r>
                </w:p>
              </w:tc>
            </w:tr>
          </w:tbl>
          <w:p w14:paraId="759E901A">
            <w:pPr>
              <w:ind w:firstLine="480" w:firstLineChars="200"/>
              <w:rPr>
                <w:rFonts w:hint="default" w:ascii="Times New Roman" w:hAnsi="Times New Roman" w:cs="Times New Roman"/>
                <w:color w:val="auto"/>
              </w:rPr>
            </w:pPr>
            <w:r>
              <w:rPr>
                <w:rFonts w:hint="default" w:ascii="Times New Roman" w:hAnsi="Times New Roman" w:cs="Times New Roman"/>
                <w:color w:val="auto"/>
              </w:rPr>
              <w:t>根据《吸附法工业有机废气治理工程技术规范》(HJ 2026-2013)，项目活性炭吸附装置使用的吸附剂为蜂窝状活性炭，吸附时气体流速为</w:t>
            </w:r>
            <w:r>
              <w:rPr>
                <w:rFonts w:hint="eastAsia" w:cs="Times New Roman"/>
                <w:color w:val="auto"/>
                <w:lang w:val="en-US" w:eastAsia="zh-CN"/>
              </w:rPr>
              <w:t>1.07</w:t>
            </w:r>
            <w:r>
              <w:rPr>
                <w:rFonts w:hint="default" w:ascii="Times New Roman" w:hAnsi="Times New Roman" w:cs="Times New Roman"/>
                <w:color w:val="auto"/>
              </w:rPr>
              <w:t>m/s，符合“采用蜂窝状吸附剂时气体流速宜低于1.20m/s”的要求。考虑烤箱挥发的有机废气温度较高，在</w:t>
            </w:r>
            <w:r>
              <w:rPr>
                <w:rFonts w:hint="default" w:ascii="Times New Roman" w:hAnsi="Times New Roman" w:cs="Times New Roman"/>
                <w:color w:val="auto"/>
                <w:lang w:eastAsia="zh-CN"/>
              </w:rPr>
              <w:t>二级活性炭</w:t>
            </w:r>
            <w:r>
              <w:rPr>
                <w:rFonts w:hint="default" w:ascii="Times New Roman" w:hAnsi="Times New Roman" w:cs="Times New Roman"/>
                <w:color w:val="auto"/>
              </w:rPr>
              <w:t>吸附装置前设有水喷淋塔对废气进行降温至40°C以下，符合“废气温度宜低于40°C”的要求。</w:t>
            </w:r>
          </w:p>
          <w:p w14:paraId="2E21D2CA">
            <w:pPr>
              <w:pStyle w:val="30"/>
              <w:rPr>
                <w:rFonts w:hint="default" w:ascii="Times New Roman" w:hAnsi="Times New Roman" w:cs="Times New Roman"/>
                <w:color w:val="auto"/>
              </w:rPr>
            </w:pPr>
            <w:r>
              <w:rPr>
                <w:rFonts w:hint="default" w:ascii="Times New Roman" w:hAnsi="Times New Roman" w:cs="Times New Roman"/>
                <w:color w:val="auto"/>
              </w:rPr>
              <w:t>综上所述，项目废气处理设施具有技术可行性。</w:t>
            </w:r>
          </w:p>
          <w:p w14:paraId="3D504F82">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（6）监测要求</w:t>
            </w:r>
          </w:p>
          <w:p w14:paraId="369B4EBF">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w:t>
            </w:r>
            <w:r>
              <w:rPr>
                <w:rFonts w:hint="eastAsia" w:cs="Times New Roman"/>
                <w:color w:val="auto"/>
                <w:lang w:eastAsia="zh-CN"/>
              </w:rPr>
              <w:t>从事电子器件和模具</w:t>
            </w:r>
            <w:r>
              <w:rPr>
                <w:rFonts w:hint="default" w:ascii="Times New Roman" w:hAnsi="Times New Roman" w:cs="Times New Roman"/>
                <w:color w:val="auto"/>
              </w:rPr>
              <w:t>的生产，属于</w:t>
            </w:r>
            <w:r>
              <w:rPr>
                <w:rFonts w:hint="eastAsia" w:cs="Times New Roman"/>
                <w:color w:val="auto"/>
                <w:szCs w:val="22"/>
                <w:lang w:eastAsia="zh-CN"/>
              </w:rPr>
              <w:t>C3979 其他电子器件制造</w:t>
            </w:r>
            <w:r>
              <w:rPr>
                <w:rFonts w:hint="default" w:ascii="Times New Roman" w:hAnsi="Times New Roman" w:cs="Times New Roman"/>
                <w:color w:val="auto"/>
              </w:rPr>
              <w:t>，根据《固定污染源排污许可分类管理名录（2019 年版）》，项目排污许可类别属于登记类。根据《排污单位自行监测技术指南 总则》（HJ</w:t>
            </w:r>
            <w:r>
              <w:rPr>
                <w:rFonts w:hint="eastAsia" w:cs="Times New Roman"/>
                <w:color w:val="auto"/>
                <w:lang w:val="en-US" w:eastAsia="zh-CN"/>
              </w:rPr>
              <w:t xml:space="preserve"> </w:t>
            </w:r>
            <w:r>
              <w:rPr>
                <w:rFonts w:hint="default" w:ascii="Times New Roman" w:hAnsi="Times New Roman" w:cs="Times New Roman"/>
                <w:color w:val="auto"/>
              </w:rPr>
              <w:t>819-2017）、《排污单位自行监测技术指南 橡胶和塑料制品》（HJ 1207-2021）并结合项目运营期间大气污染物排放特点，制定本项目大气污染源自行监测计划如下表，建议建设单位按监测计划实施。监测分析方法按照现行国家颁布标准和有关规定执行。</w:t>
            </w:r>
          </w:p>
          <w:p w14:paraId="10598B5C">
            <w:pPr>
              <w:wordWrap/>
              <w:spacing w:line="240" w:lineRule="auto"/>
              <w:jc w:val="center"/>
              <w:rPr>
                <w:rFonts w:hint="default" w:ascii="Times New Roman" w:hAnsi="Times New Roman" w:cs="Times New Roman"/>
                <w:b/>
                <w:color w:val="auto"/>
              </w:rPr>
            </w:pPr>
            <w:r>
              <w:rPr>
                <w:rFonts w:hint="default" w:ascii="Times New Roman" w:hAnsi="Times New Roman" w:cs="Times New Roman"/>
                <w:b/>
                <w:color w:val="auto"/>
                <w:kern w:val="0"/>
                <w:lang w:bidi="ar"/>
              </w:rPr>
              <w:t>表4</w:t>
            </w:r>
            <w:r>
              <w:rPr>
                <w:rFonts w:hint="default" w:ascii="Times New Roman" w:hAnsi="Times New Roman" w:cs="Times New Roman"/>
                <w:b/>
                <w:color w:val="auto"/>
                <w:kern w:val="0"/>
                <w:lang w:val="en-US" w:eastAsia="zh-CN" w:bidi="ar"/>
              </w:rPr>
              <w:t>-12</w:t>
            </w:r>
            <w:r>
              <w:rPr>
                <w:rFonts w:hint="default" w:ascii="Times New Roman" w:hAnsi="Times New Roman" w:cs="Times New Roman"/>
                <w:b/>
                <w:color w:val="auto"/>
                <w:kern w:val="0"/>
                <w:lang w:bidi="ar"/>
              </w:rPr>
              <w:t xml:space="preserve"> 污染源监测计划表</w:t>
            </w:r>
          </w:p>
          <w:tbl>
            <w:tblPr>
              <w:tblStyle w:val="22"/>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912"/>
              <w:gridCol w:w="930"/>
              <w:gridCol w:w="1050"/>
              <w:gridCol w:w="1020"/>
              <w:gridCol w:w="3562"/>
            </w:tblGrid>
            <w:tr w14:paraId="2563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blHeader/>
                <w:jc w:val="center"/>
              </w:trPr>
              <w:tc>
                <w:tcPr>
                  <w:tcW w:w="903" w:type="dxa"/>
                  <w:tcBorders>
                    <w:top w:val="single" w:color="auto" w:sz="4" w:space="0"/>
                    <w:left w:val="single" w:color="auto" w:sz="4" w:space="0"/>
                    <w:bottom w:val="single" w:color="auto" w:sz="4" w:space="0"/>
                    <w:right w:val="single" w:color="auto" w:sz="4" w:space="0"/>
                  </w:tcBorders>
                  <w:vAlign w:val="center"/>
                </w:tcPr>
                <w:p w14:paraId="7751CEE7">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监测要素</w:t>
                  </w:r>
                </w:p>
              </w:tc>
              <w:tc>
                <w:tcPr>
                  <w:tcW w:w="912" w:type="dxa"/>
                  <w:tcBorders>
                    <w:top w:val="single" w:color="auto" w:sz="4" w:space="0"/>
                    <w:left w:val="single" w:color="auto" w:sz="4" w:space="0"/>
                    <w:bottom w:val="single" w:color="auto" w:sz="4" w:space="0"/>
                    <w:right w:val="single" w:color="auto" w:sz="4" w:space="0"/>
                  </w:tcBorders>
                  <w:vAlign w:val="center"/>
                </w:tcPr>
                <w:p w14:paraId="17FE6C6C">
                  <w:pPr>
                    <w:wordWrap/>
                    <w:spacing w:line="240" w:lineRule="auto"/>
                    <w:ind w:left="-120" w:leftChars="-50" w:right="-120" w:rightChars="-50"/>
                    <w:jc w:val="center"/>
                    <w:rPr>
                      <w:rFonts w:hint="default" w:ascii="Times New Roman" w:hAnsi="Times New Roman" w:cs="Times New Roman"/>
                      <w:b/>
                      <w:color w:val="auto"/>
                      <w:kern w:val="0"/>
                      <w:sz w:val="21"/>
                      <w:szCs w:val="21"/>
                      <w:lang w:bidi="ar"/>
                    </w:rPr>
                  </w:pPr>
                  <w:r>
                    <w:rPr>
                      <w:rFonts w:hint="default" w:ascii="Times New Roman" w:hAnsi="Times New Roman" w:cs="Times New Roman"/>
                      <w:b/>
                      <w:color w:val="auto"/>
                      <w:kern w:val="0"/>
                      <w:sz w:val="21"/>
                      <w:szCs w:val="21"/>
                      <w:lang w:bidi="ar"/>
                    </w:rPr>
                    <w:t>污染源</w:t>
                  </w:r>
                </w:p>
              </w:tc>
              <w:tc>
                <w:tcPr>
                  <w:tcW w:w="930" w:type="dxa"/>
                  <w:tcBorders>
                    <w:top w:val="single" w:color="auto" w:sz="4" w:space="0"/>
                    <w:left w:val="single" w:color="auto" w:sz="4" w:space="0"/>
                    <w:bottom w:val="single" w:color="auto" w:sz="4" w:space="0"/>
                    <w:right w:val="single" w:color="auto" w:sz="4" w:space="0"/>
                  </w:tcBorders>
                  <w:vAlign w:val="center"/>
                </w:tcPr>
                <w:p w14:paraId="004D72B0">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监测点位</w:t>
                  </w:r>
                </w:p>
              </w:tc>
              <w:tc>
                <w:tcPr>
                  <w:tcW w:w="1050" w:type="dxa"/>
                  <w:tcBorders>
                    <w:top w:val="single" w:color="auto" w:sz="4" w:space="0"/>
                    <w:left w:val="single" w:color="auto" w:sz="4" w:space="0"/>
                    <w:bottom w:val="single" w:color="auto" w:sz="4" w:space="0"/>
                    <w:right w:val="single" w:color="auto" w:sz="4" w:space="0"/>
                  </w:tcBorders>
                  <w:vAlign w:val="center"/>
                </w:tcPr>
                <w:p w14:paraId="0E40B261">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监测指标</w:t>
                  </w:r>
                </w:p>
              </w:tc>
              <w:tc>
                <w:tcPr>
                  <w:tcW w:w="1020" w:type="dxa"/>
                  <w:tcBorders>
                    <w:top w:val="single" w:color="auto" w:sz="4" w:space="0"/>
                    <w:left w:val="single" w:color="auto" w:sz="4" w:space="0"/>
                    <w:bottom w:val="single" w:color="auto" w:sz="4" w:space="0"/>
                    <w:right w:val="single" w:color="auto" w:sz="4" w:space="0"/>
                  </w:tcBorders>
                  <w:vAlign w:val="center"/>
                </w:tcPr>
                <w:p w14:paraId="04F3874F">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监测频率</w:t>
                  </w:r>
                </w:p>
              </w:tc>
              <w:tc>
                <w:tcPr>
                  <w:tcW w:w="3562" w:type="dxa"/>
                  <w:tcBorders>
                    <w:top w:val="single" w:color="auto" w:sz="4" w:space="0"/>
                    <w:left w:val="single" w:color="auto" w:sz="4" w:space="0"/>
                    <w:bottom w:val="single" w:color="auto" w:sz="4" w:space="0"/>
                    <w:right w:val="single" w:color="auto" w:sz="4" w:space="0"/>
                  </w:tcBorders>
                  <w:vAlign w:val="center"/>
                </w:tcPr>
                <w:p w14:paraId="22E2E3A0">
                  <w:pPr>
                    <w:wordWrap/>
                    <w:spacing w:line="240" w:lineRule="auto"/>
                    <w:ind w:left="-120" w:leftChars="-50" w:right="-120" w:rightChars="-50"/>
                    <w:jc w:val="center"/>
                    <w:rPr>
                      <w:rFonts w:hint="default" w:ascii="Times New Roman" w:hAnsi="Times New Roman" w:cs="Times New Roman"/>
                      <w:b/>
                      <w:color w:val="auto"/>
                      <w:kern w:val="0"/>
                      <w:sz w:val="21"/>
                      <w:szCs w:val="21"/>
                      <w:lang w:bidi="ar"/>
                    </w:rPr>
                  </w:pPr>
                  <w:r>
                    <w:rPr>
                      <w:rFonts w:hint="default" w:ascii="Times New Roman" w:hAnsi="Times New Roman" w:cs="Times New Roman"/>
                      <w:b/>
                      <w:color w:val="auto"/>
                      <w:kern w:val="0"/>
                      <w:sz w:val="21"/>
                      <w:szCs w:val="21"/>
                      <w:lang w:bidi="ar"/>
                    </w:rPr>
                    <w:t>执行排放标准</w:t>
                  </w:r>
                </w:p>
              </w:tc>
            </w:tr>
            <w:tr w14:paraId="1C09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03" w:type="dxa"/>
                  <w:vMerge w:val="restart"/>
                  <w:tcBorders>
                    <w:left w:val="single" w:color="auto" w:sz="4" w:space="0"/>
                    <w:right w:val="single" w:color="auto" w:sz="4" w:space="0"/>
                  </w:tcBorders>
                  <w:vAlign w:val="center"/>
                </w:tcPr>
                <w:p w14:paraId="0741BB9C">
                  <w:pPr>
                    <w:wordWrap/>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废气</w:t>
                  </w:r>
                </w:p>
              </w:tc>
              <w:tc>
                <w:tcPr>
                  <w:tcW w:w="912" w:type="dxa"/>
                  <w:vMerge w:val="restart"/>
                  <w:tcBorders>
                    <w:left w:val="single" w:color="auto" w:sz="4" w:space="0"/>
                    <w:right w:val="single" w:color="auto" w:sz="4" w:space="0"/>
                  </w:tcBorders>
                  <w:vAlign w:val="center"/>
                </w:tcPr>
                <w:p w14:paraId="75AF12E1">
                  <w:pPr>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注塑、</w:t>
                  </w:r>
                  <w:r>
                    <w:rPr>
                      <w:rFonts w:hint="eastAsia" w:cs="Times New Roman"/>
                      <w:color w:val="auto"/>
                      <w:kern w:val="0"/>
                      <w:sz w:val="21"/>
                      <w:szCs w:val="21"/>
                      <w:lang w:val="en-US" w:eastAsia="zh-CN"/>
                    </w:rPr>
                    <w:t>移印</w:t>
                  </w:r>
                </w:p>
              </w:tc>
              <w:tc>
                <w:tcPr>
                  <w:tcW w:w="930" w:type="dxa"/>
                  <w:vMerge w:val="restart"/>
                  <w:tcBorders>
                    <w:left w:val="single" w:color="auto" w:sz="4" w:space="0"/>
                    <w:right w:val="single" w:color="auto" w:sz="4" w:space="0"/>
                  </w:tcBorders>
                  <w:vAlign w:val="center"/>
                </w:tcPr>
                <w:p w14:paraId="6E6BCCFA">
                  <w:pPr>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排气筒</w:t>
                  </w:r>
                  <w:r>
                    <w:rPr>
                      <w:rFonts w:hint="eastAsia" w:cs="Times New Roman"/>
                      <w:color w:val="auto"/>
                      <w:kern w:val="0"/>
                      <w:sz w:val="21"/>
                      <w:szCs w:val="21"/>
                      <w:lang w:val="en-US" w:eastAsia="zh-CN"/>
                    </w:rPr>
                    <w:t>DA001</w:t>
                  </w:r>
                </w:p>
              </w:tc>
              <w:tc>
                <w:tcPr>
                  <w:tcW w:w="1050" w:type="dxa"/>
                  <w:tcBorders>
                    <w:left w:val="single" w:color="auto" w:sz="4" w:space="0"/>
                    <w:right w:val="single" w:color="auto" w:sz="4" w:space="0"/>
                  </w:tcBorders>
                  <w:vAlign w:val="center"/>
                </w:tcPr>
                <w:p w14:paraId="40DBF4FE">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1020" w:type="dxa"/>
                  <w:tcBorders>
                    <w:left w:val="single" w:color="auto" w:sz="4" w:space="0"/>
                    <w:right w:val="single" w:color="auto" w:sz="4" w:space="0"/>
                  </w:tcBorders>
                  <w:vAlign w:val="center"/>
                </w:tcPr>
                <w:p w14:paraId="16729BBB">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1次/半年</w:t>
                  </w:r>
                </w:p>
              </w:tc>
              <w:tc>
                <w:tcPr>
                  <w:tcW w:w="3562" w:type="dxa"/>
                  <w:tcBorders>
                    <w:left w:val="single" w:color="auto" w:sz="4" w:space="0"/>
                    <w:right w:val="single" w:color="auto" w:sz="4" w:space="0"/>
                  </w:tcBorders>
                  <w:vAlign w:val="center"/>
                </w:tcPr>
                <w:p w14:paraId="1DEA9712">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《合成树脂工业污染物排放标准》（GB31572-2015，含2024年修改单）表5大气污染物特别排放限值和《印刷工业大气污染物排放标准》（GB 41616—2022）表1排放限值两者的较严值</w:t>
                  </w:r>
                </w:p>
              </w:tc>
            </w:tr>
            <w:tr w14:paraId="2326F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03" w:type="dxa"/>
                  <w:vMerge w:val="continue"/>
                  <w:tcBorders>
                    <w:left w:val="single" w:color="auto" w:sz="4" w:space="0"/>
                    <w:right w:val="single" w:color="auto" w:sz="4" w:space="0"/>
                  </w:tcBorders>
                  <w:vAlign w:val="center"/>
                </w:tcPr>
                <w:p w14:paraId="7BE796F9">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4BE75E33">
                  <w:pPr>
                    <w:spacing w:line="240" w:lineRule="auto"/>
                    <w:jc w:val="center"/>
                    <w:rPr>
                      <w:rFonts w:hint="default" w:ascii="Times New Roman" w:hAnsi="Times New Roman" w:cs="Times New Roman"/>
                      <w:color w:val="auto"/>
                      <w:kern w:val="0"/>
                      <w:sz w:val="21"/>
                      <w:szCs w:val="21"/>
                      <w:lang w:val="en-US" w:eastAsia="zh-CN"/>
                    </w:rPr>
                  </w:pPr>
                </w:p>
              </w:tc>
              <w:tc>
                <w:tcPr>
                  <w:tcW w:w="930" w:type="dxa"/>
                  <w:vMerge w:val="continue"/>
                  <w:tcBorders>
                    <w:left w:val="single" w:color="auto" w:sz="4" w:space="0"/>
                    <w:right w:val="single" w:color="auto" w:sz="4" w:space="0"/>
                  </w:tcBorders>
                  <w:vAlign w:val="center"/>
                </w:tcPr>
                <w:p w14:paraId="6835CD9E">
                  <w:pPr>
                    <w:spacing w:line="240" w:lineRule="auto"/>
                    <w:jc w:val="center"/>
                    <w:rPr>
                      <w:rFonts w:hint="default" w:ascii="Times New Roman" w:hAnsi="Times New Roman"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64189506">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pacing w:val="0"/>
                      <w:kern w:val="2"/>
                      <w:sz w:val="21"/>
                      <w:szCs w:val="21"/>
                      <w:lang w:val="en-US" w:eastAsia="zh-CN" w:bidi="ar-SA"/>
                    </w:rPr>
                    <w:t>总VOCs</w:t>
                  </w:r>
                </w:p>
              </w:tc>
              <w:tc>
                <w:tcPr>
                  <w:tcW w:w="1020" w:type="dxa"/>
                  <w:tcBorders>
                    <w:left w:val="single" w:color="auto" w:sz="4" w:space="0"/>
                    <w:right w:val="single" w:color="auto" w:sz="4" w:space="0"/>
                  </w:tcBorders>
                  <w:vAlign w:val="center"/>
                </w:tcPr>
                <w:p w14:paraId="13937C60">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1次/年</w:t>
                  </w:r>
                </w:p>
              </w:tc>
              <w:tc>
                <w:tcPr>
                  <w:tcW w:w="3562" w:type="dxa"/>
                  <w:tcBorders>
                    <w:left w:val="single" w:color="auto" w:sz="4" w:space="0"/>
                    <w:right w:val="single" w:color="auto" w:sz="4" w:space="0"/>
                  </w:tcBorders>
                  <w:vAlign w:val="center"/>
                </w:tcPr>
                <w:p w14:paraId="3E18EA0E">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color w:val="auto"/>
                      <w:spacing w:val="0"/>
                      <w:sz w:val="21"/>
                      <w:szCs w:val="21"/>
                      <w:lang w:val="en-US" w:eastAsia="zh-CN"/>
                    </w:rPr>
                    <w:t>广东省《印刷行业挥发性有机化合物排放标准》（DB44/815-2010）表2第II时段标准限值要求</w:t>
                  </w:r>
                </w:p>
              </w:tc>
            </w:tr>
            <w:tr w14:paraId="48DD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903" w:type="dxa"/>
                  <w:vMerge w:val="continue"/>
                  <w:tcBorders>
                    <w:left w:val="single" w:color="auto" w:sz="4" w:space="0"/>
                    <w:right w:val="single" w:color="auto" w:sz="4" w:space="0"/>
                  </w:tcBorders>
                  <w:vAlign w:val="center"/>
                </w:tcPr>
                <w:p w14:paraId="1DFB99CE">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7FF8D6D4">
                  <w:pPr>
                    <w:spacing w:line="240" w:lineRule="auto"/>
                    <w:jc w:val="center"/>
                    <w:rPr>
                      <w:rFonts w:hint="default" w:ascii="Times New Roman" w:hAnsi="Times New Roman" w:cs="Times New Roman"/>
                      <w:color w:val="auto"/>
                      <w:kern w:val="0"/>
                      <w:sz w:val="21"/>
                      <w:szCs w:val="21"/>
                      <w:lang w:val="en-US" w:eastAsia="zh-CN"/>
                    </w:rPr>
                  </w:pPr>
                </w:p>
              </w:tc>
              <w:tc>
                <w:tcPr>
                  <w:tcW w:w="930" w:type="dxa"/>
                  <w:vMerge w:val="continue"/>
                  <w:tcBorders>
                    <w:left w:val="single" w:color="auto" w:sz="4" w:space="0"/>
                    <w:right w:val="single" w:color="auto" w:sz="4" w:space="0"/>
                  </w:tcBorders>
                  <w:vAlign w:val="center"/>
                </w:tcPr>
                <w:p w14:paraId="13019DE9">
                  <w:pPr>
                    <w:spacing w:line="240" w:lineRule="auto"/>
                    <w:jc w:val="center"/>
                    <w:rPr>
                      <w:rFonts w:hint="default" w:ascii="Times New Roman" w:hAnsi="Times New Roman"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64747626">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臭气浓度</w:t>
                  </w:r>
                </w:p>
              </w:tc>
              <w:tc>
                <w:tcPr>
                  <w:tcW w:w="1020" w:type="dxa"/>
                  <w:tcBorders>
                    <w:left w:val="single" w:color="auto" w:sz="4" w:space="0"/>
                    <w:right w:val="single" w:color="auto" w:sz="4" w:space="0"/>
                  </w:tcBorders>
                  <w:vAlign w:val="center"/>
                </w:tcPr>
                <w:p w14:paraId="3D79799E">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1次/年</w:t>
                  </w:r>
                </w:p>
              </w:tc>
              <w:tc>
                <w:tcPr>
                  <w:tcW w:w="3562" w:type="dxa"/>
                  <w:tcBorders>
                    <w:left w:val="single" w:color="auto" w:sz="4" w:space="0"/>
                    <w:right w:val="single" w:color="auto" w:sz="4" w:space="0"/>
                  </w:tcBorders>
                  <w:vAlign w:val="center"/>
                </w:tcPr>
                <w:p w14:paraId="52C6FB8C">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《恶臭污染物排放标准》（GB14554-93）表2恶臭污染物排放标准限值</w:t>
                  </w:r>
                </w:p>
              </w:tc>
            </w:tr>
            <w:tr w14:paraId="20A00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903" w:type="dxa"/>
                  <w:vMerge w:val="continue"/>
                  <w:tcBorders>
                    <w:left w:val="single" w:color="auto" w:sz="4" w:space="0"/>
                    <w:right w:val="single" w:color="auto" w:sz="4" w:space="0"/>
                  </w:tcBorders>
                  <w:vAlign w:val="center"/>
                </w:tcPr>
                <w:p w14:paraId="6A702A4B">
                  <w:pPr>
                    <w:wordWrap/>
                    <w:spacing w:line="240" w:lineRule="auto"/>
                    <w:jc w:val="center"/>
                    <w:rPr>
                      <w:rFonts w:hint="default" w:ascii="Times New Roman" w:hAnsi="Times New Roman" w:cs="Times New Roman"/>
                      <w:color w:val="auto"/>
                      <w:sz w:val="21"/>
                      <w:szCs w:val="21"/>
                    </w:rPr>
                  </w:pPr>
                </w:p>
              </w:tc>
              <w:tc>
                <w:tcPr>
                  <w:tcW w:w="912" w:type="dxa"/>
                  <w:vMerge w:val="continue"/>
                  <w:tcBorders>
                    <w:left w:val="single" w:color="auto" w:sz="4" w:space="0"/>
                    <w:right w:val="single" w:color="auto" w:sz="4" w:space="0"/>
                  </w:tcBorders>
                  <w:vAlign w:val="center"/>
                </w:tcPr>
                <w:p w14:paraId="23BB8074">
                  <w:pPr>
                    <w:spacing w:line="240" w:lineRule="auto"/>
                    <w:jc w:val="center"/>
                    <w:rPr>
                      <w:rFonts w:hint="default" w:ascii="Times New Roman" w:hAnsi="Times New Roman" w:cs="Times New Roman"/>
                      <w:color w:val="auto"/>
                      <w:kern w:val="0"/>
                      <w:sz w:val="21"/>
                      <w:szCs w:val="21"/>
                      <w:lang w:val="en-US" w:eastAsia="zh-CN"/>
                    </w:rPr>
                  </w:pPr>
                </w:p>
              </w:tc>
              <w:tc>
                <w:tcPr>
                  <w:tcW w:w="930" w:type="dxa"/>
                  <w:vMerge w:val="continue"/>
                  <w:tcBorders>
                    <w:left w:val="single" w:color="auto" w:sz="4" w:space="0"/>
                    <w:right w:val="single" w:color="auto" w:sz="4" w:space="0"/>
                  </w:tcBorders>
                  <w:vAlign w:val="center"/>
                </w:tcPr>
                <w:p w14:paraId="0E4EAD97">
                  <w:pPr>
                    <w:spacing w:line="240" w:lineRule="auto"/>
                    <w:jc w:val="center"/>
                    <w:rPr>
                      <w:rFonts w:hint="default" w:ascii="Times New Roman" w:hAnsi="Times New Roman" w:cs="Times New Roman"/>
                      <w:color w:val="auto"/>
                      <w:kern w:val="0"/>
                      <w:sz w:val="21"/>
                      <w:szCs w:val="21"/>
                      <w:lang w:val="en-US" w:eastAsia="zh-CN"/>
                    </w:rPr>
                  </w:pPr>
                </w:p>
              </w:tc>
              <w:tc>
                <w:tcPr>
                  <w:tcW w:w="1050" w:type="dxa"/>
                  <w:tcBorders>
                    <w:left w:val="single" w:color="auto" w:sz="4" w:space="0"/>
                    <w:right w:val="single" w:color="auto" w:sz="4" w:space="0"/>
                  </w:tcBorders>
                  <w:vAlign w:val="center"/>
                </w:tcPr>
                <w:p w14:paraId="1563D59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苯乙烯、丙烯腈、1,3-丁二烯、甲苯、乙苯</w:t>
                  </w:r>
                </w:p>
              </w:tc>
              <w:tc>
                <w:tcPr>
                  <w:tcW w:w="1020" w:type="dxa"/>
                  <w:tcBorders>
                    <w:left w:val="single" w:color="auto" w:sz="4" w:space="0"/>
                    <w:right w:val="single" w:color="auto" w:sz="4" w:space="0"/>
                  </w:tcBorders>
                  <w:vAlign w:val="center"/>
                </w:tcPr>
                <w:p w14:paraId="17FBCDC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1次/年</w:t>
                  </w:r>
                </w:p>
              </w:tc>
              <w:tc>
                <w:tcPr>
                  <w:tcW w:w="3562" w:type="dxa"/>
                  <w:tcBorders>
                    <w:left w:val="single" w:color="auto" w:sz="4" w:space="0"/>
                    <w:right w:val="single" w:color="auto" w:sz="4" w:space="0"/>
                  </w:tcBorders>
                  <w:vAlign w:val="center"/>
                </w:tcPr>
                <w:p w14:paraId="690DE464">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kern w:val="21"/>
                      <w:sz w:val="21"/>
                      <w:szCs w:val="21"/>
                    </w:rPr>
                  </w:pPr>
                  <w:r>
                    <w:rPr>
                      <w:rFonts w:hint="default" w:ascii="Times New Roman" w:hAnsi="Times New Roman" w:cs="Times New Roman"/>
                      <w:color w:val="auto"/>
                      <w:spacing w:val="0"/>
                      <w:sz w:val="21"/>
                      <w:szCs w:val="21"/>
                      <w:lang w:val="en-US" w:eastAsia="zh-CN"/>
                    </w:rPr>
                    <w:t>《合成树脂工业污染物排放标准》（GB31572-2015，含2024年修改单）表5排放限值</w:t>
                  </w:r>
                </w:p>
              </w:tc>
            </w:tr>
            <w:tr w14:paraId="2B00C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235B7D73">
                  <w:pPr>
                    <w:wordWrap/>
                    <w:spacing w:line="240" w:lineRule="auto"/>
                    <w:jc w:val="center"/>
                    <w:rPr>
                      <w:rFonts w:hint="default" w:ascii="Times New Roman" w:hAnsi="Times New Roman" w:cs="Times New Roman"/>
                      <w:color w:val="auto"/>
                      <w:sz w:val="21"/>
                      <w:szCs w:val="21"/>
                    </w:rPr>
                  </w:pPr>
                </w:p>
              </w:tc>
              <w:tc>
                <w:tcPr>
                  <w:tcW w:w="1842" w:type="dxa"/>
                  <w:gridSpan w:val="2"/>
                  <w:tcBorders>
                    <w:left w:val="single" w:color="auto" w:sz="4" w:space="0"/>
                    <w:right w:val="single" w:color="auto" w:sz="4" w:space="0"/>
                  </w:tcBorders>
                  <w:vAlign w:val="center"/>
                </w:tcPr>
                <w:p w14:paraId="440670C3">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厂区内</w:t>
                  </w:r>
                </w:p>
              </w:tc>
              <w:tc>
                <w:tcPr>
                  <w:tcW w:w="1050" w:type="dxa"/>
                  <w:tcBorders>
                    <w:left w:val="single" w:color="auto" w:sz="4" w:space="0"/>
                    <w:right w:val="single" w:color="auto" w:sz="4" w:space="0"/>
                  </w:tcBorders>
                  <w:vAlign w:val="center"/>
                </w:tcPr>
                <w:p w14:paraId="47F29C84">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VOCs（NMHC）</w:t>
                  </w:r>
                </w:p>
              </w:tc>
              <w:tc>
                <w:tcPr>
                  <w:tcW w:w="1020" w:type="dxa"/>
                  <w:tcBorders>
                    <w:left w:val="single" w:color="auto" w:sz="4" w:space="0"/>
                    <w:right w:val="single" w:color="auto" w:sz="4" w:space="0"/>
                  </w:tcBorders>
                  <w:vAlign w:val="center"/>
                </w:tcPr>
                <w:p w14:paraId="370928A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1次/年</w:t>
                  </w:r>
                </w:p>
              </w:tc>
              <w:tc>
                <w:tcPr>
                  <w:tcW w:w="3562" w:type="dxa"/>
                  <w:tcBorders>
                    <w:left w:val="single" w:color="auto" w:sz="4" w:space="0"/>
                    <w:right w:val="single" w:color="auto" w:sz="4" w:space="0"/>
                  </w:tcBorders>
                  <w:vAlign w:val="center"/>
                </w:tcPr>
                <w:p w14:paraId="71EC686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rPr>
                    <w:t>广东省《固定污染源挥发性有机物综合排放标准》（DB 44/2367-2022）表3厂区内VOCs无组织排放限值</w:t>
                  </w:r>
                </w:p>
              </w:tc>
            </w:tr>
            <w:tr w14:paraId="15A49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6AA35CC3">
                  <w:pPr>
                    <w:wordWrap/>
                    <w:spacing w:line="240" w:lineRule="auto"/>
                    <w:jc w:val="center"/>
                    <w:rPr>
                      <w:rFonts w:hint="default" w:ascii="Times New Roman" w:hAnsi="Times New Roman" w:cs="Times New Roman"/>
                      <w:color w:val="auto"/>
                      <w:sz w:val="21"/>
                      <w:szCs w:val="21"/>
                    </w:rPr>
                  </w:pPr>
                </w:p>
              </w:tc>
              <w:tc>
                <w:tcPr>
                  <w:tcW w:w="1842" w:type="dxa"/>
                  <w:gridSpan w:val="2"/>
                  <w:vMerge w:val="restart"/>
                  <w:tcBorders>
                    <w:left w:val="single" w:color="auto" w:sz="4" w:space="0"/>
                    <w:right w:val="single" w:color="auto" w:sz="4" w:space="0"/>
                  </w:tcBorders>
                  <w:vAlign w:val="center"/>
                </w:tcPr>
                <w:p w14:paraId="3A5BD1E7">
                  <w:pPr>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厂界</w:t>
                  </w:r>
                </w:p>
              </w:tc>
              <w:tc>
                <w:tcPr>
                  <w:tcW w:w="1050" w:type="dxa"/>
                  <w:tcBorders>
                    <w:left w:val="single" w:color="auto" w:sz="4" w:space="0"/>
                    <w:right w:val="single" w:color="auto" w:sz="4" w:space="0"/>
                  </w:tcBorders>
                  <w:vAlign w:val="center"/>
                </w:tcPr>
                <w:p w14:paraId="2E65B5C3">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非甲烷总烃</w:t>
                  </w:r>
                </w:p>
              </w:tc>
              <w:tc>
                <w:tcPr>
                  <w:tcW w:w="1020" w:type="dxa"/>
                  <w:vMerge w:val="restart"/>
                  <w:tcBorders>
                    <w:left w:val="single" w:color="auto" w:sz="4" w:space="0"/>
                    <w:right w:val="single" w:color="auto" w:sz="4" w:space="0"/>
                  </w:tcBorders>
                  <w:vAlign w:val="center"/>
                </w:tcPr>
                <w:p w14:paraId="6B2D1D71">
                  <w:pPr>
                    <w:spacing w:line="240" w:lineRule="auto"/>
                    <w:jc w:val="center"/>
                    <w:rPr>
                      <w:rFonts w:hint="default" w:ascii="Times New Roman" w:hAnsi="Times New Roman" w:eastAsia="宋体" w:cs="Times New Roman"/>
                      <w:color w:val="auto"/>
                      <w:kern w:val="2"/>
                      <w:sz w:val="21"/>
                      <w:szCs w:val="21"/>
                      <w:lang w:val="en-US" w:eastAsia="zh-CN" w:bidi="ar-SA"/>
                    </w:rPr>
                  </w:pPr>
                  <w:bookmarkStart w:id="16" w:name="监测频次"/>
                  <w:r>
                    <w:rPr>
                      <w:rFonts w:hint="default" w:ascii="Times New Roman" w:hAnsi="Times New Roman" w:cs="Times New Roman"/>
                      <w:color w:val="auto"/>
                      <w:kern w:val="2"/>
                      <w:sz w:val="21"/>
                      <w:szCs w:val="21"/>
                      <w:lang w:val="en-US" w:eastAsia="zh-CN" w:bidi="ar-SA"/>
                    </w:rPr>
                    <w:t>1次/年</w:t>
                  </w:r>
                  <w:bookmarkEnd w:id="16"/>
                </w:p>
              </w:tc>
              <w:tc>
                <w:tcPr>
                  <w:tcW w:w="3562" w:type="dxa"/>
                  <w:tcBorders>
                    <w:left w:val="single" w:color="auto" w:sz="4" w:space="0"/>
                    <w:right w:val="single" w:color="auto" w:sz="4" w:space="0"/>
                  </w:tcBorders>
                  <w:vAlign w:val="center"/>
                </w:tcPr>
                <w:p w14:paraId="1C9D2001">
                  <w:pPr>
                    <w:spacing w:line="240" w:lineRule="auto"/>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rPr>
                    <w:t>《合成树脂工业污染物排放标准》（GB31572-2015，含2024年修改单）表9企业边界大气污染物浓度限值、广东省《大气污染物排放限值》（DB44/27-2001）第二时段无组织排放浓度限值</w:t>
                  </w:r>
                  <w:r>
                    <w:rPr>
                      <w:rFonts w:hint="eastAsia" w:cs="Times New Roman"/>
                      <w:bCs/>
                      <w:color w:val="auto"/>
                      <w:kern w:val="21"/>
                      <w:sz w:val="21"/>
                      <w:szCs w:val="21"/>
                      <w:lang w:val="en-US" w:eastAsia="zh-CN"/>
                    </w:rPr>
                    <w:t>两</w:t>
                  </w:r>
                  <w:r>
                    <w:rPr>
                      <w:rFonts w:hint="default" w:ascii="Times New Roman" w:hAnsi="Times New Roman" w:cs="Times New Roman"/>
                      <w:bCs/>
                      <w:color w:val="auto"/>
                      <w:kern w:val="21"/>
                      <w:sz w:val="21"/>
                      <w:szCs w:val="21"/>
                      <w:lang w:val="en-US" w:eastAsia="zh-CN"/>
                    </w:rPr>
                    <w:t>者</w:t>
                  </w:r>
                  <w:r>
                    <w:rPr>
                      <w:rFonts w:hint="default" w:ascii="Times New Roman" w:hAnsi="Times New Roman" w:eastAsia="宋体" w:cs="Times New Roman"/>
                      <w:bCs/>
                      <w:color w:val="auto"/>
                      <w:kern w:val="21"/>
                      <w:sz w:val="21"/>
                      <w:szCs w:val="21"/>
                      <w:lang w:val="en-US" w:eastAsia="zh-CN"/>
                    </w:rPr>
                    <w:t>较严值</w:t>
                  </w:r>
                </w:p>
              </w:tc>
            </w:tr>
            <w:tr w14:paraId="7B6E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46484C97">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0E842C60">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2DB15E8A">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臭气浓度</w:t>
                  </w:r>
                </w:p>
              </w:tc>
              <w:tc>
                <w:tcPr>
                  <w:tcW w:w="1020" w:type="dxa"/>
                  <w:vMerge w:val="continue"/>
                  <w:tcBorders>
                    <w:left w:val="single" w:color="auto" w:sz="4" w:space="0"/>
                    <w:right w:val="single" w:color="auto" w:sz="4" w:space="0"/>
                  </w:tcBorders>
                  <w:vAlign w:val="center"/>
                </w:tcPr>
                <w:p w14:paraId="6F47629C">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05248657">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《恶臭污染物排放标准》（GB14554-93）表1恶臭污染物厂界新改扩建二级标准值</w:t>
                  </w:r>
                </w:p>
              </w:tc>
            </w:tr>
            <w:tr w14:paraId="04F29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73A1CE63">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5AF822E5">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282828BD">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p>
              </w:tc>
              <w:tc>
                <w:tcPr>
                  <w:tcW w:w="1020" w:type="dxa"/>
                  <w:vMerge w:val="continue"/>
                  <w:tcBorders>
                    <w:left w:val="single" w:color="auto" w:sz="4" w:space="0"/>
                    <w:right w:val="single" w:color="auto" w:sz="4" w:space="0"/>
                  </w:tcBorders>
                  <w:vAlign w:val="center"/>
                </w:tcPr>
                <w:p w14:paraId="30BE3E5B">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7C445AFE">
                  <w:pPr>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bCs/>
                      <w:color w:val="auto"/>
                      <w:kern w:val="21"/>
                      <w:sz w:val="21"/>
                      <w:szCs w:val="21"/>
                      <w:lang w:val="en-US" w:eastAsia="zh-CN"/>
                    </w:rPr>
                    <w:t>《合成树脂工业污染物排放标准》（GB31572-2015，含2024年修改单）表9企业边界大气污染物浓度限值、广东省《大气污染物排放限值》（DB44/27-2001）第二时段无组织排放浓度限值</w:t>
                  </w:r>
                  <w:r>
                    <w:rPr>
                      <w:rFonts w:hint="eastAsia" w:cs="Times New Roman"/>
                      <w:bCs/>
                      <w:color w:val="auto"/>
                      <w:kern w:val="21"/>
                      <w:sz w:val="21"/>
                      <w:szCs w:val="21"/>
                      <w:lang w:val="en-US" w:eastAsia="zh-CN"/>
                    </w:rPr>
                    <w:t>两</w:t>
                  </w:r>
                  <w:r>
                    <w:rPr>
                      <w:rFonts w:hint="default" w:ascii="Times New Roman" w:hAnsi="Times New Roman" w:cs="Times New Roman"/>
                      <w:bCs/>
                      <w:color w:val="auto"/>
                      <w:kern w:val="21"/>
                      <w:sz w:val="21"/>
                      <w:szCs w:val="21"/>
                      <w:lang w:val="en-US" w:eastAsia="zh-CN"/>
                    </w:rPr>
                    <w:t>者</w:t>
                  </w:r>
                  <w:r>
                    <w:rPr>
                      <w:rFonts w:hint="default" w:ascii="Times New Roman" w:hAnsi="Times New Roman" w:eastAsia="宋体" w:cs="Times New Roman"/>
                      <w:bCs/>
                      <w:color w:val="auto"/>
                      <w:kern w:val="21"/>
                      <w:sz w:val="21"/>
                      <w:szCs w:val="21"/>
                      <w:lang w:val="en-US" w:eastAsia="zh-CN"/>
                    </w:rPr>
                    <w:t>较严值</w:t>
                  </w:r>
                </w:p>
              </w:tc>
            </w:tr>
            <w:tr w14:paraId="0CC6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3" w:type="dxa"/>
                  <w:vMerge w:val="continue"/>
                  <w:tcBorders>
                    <w:left w:val="single" w:color="auto" w:sz="4" w:space="0"/>
                    <w:right w:val="single" w:color="auto" w:sz="4" w:space="0"/>
                  </w:tcBorders>
                  <w:vAlign w:val="center"/>
                </w:tcPr>
                <w:p w14:paraId="55F3FB05">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66A0AB7C">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37897BB8">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总VOCs</w:t>
                  </w:r>
                </w:p>
              </w:tc>
              <w:tc>
                <w:tcPr>
                  <w:tcW w:w="1020" w:type="dxa"/>
                  <w:vMerge w:val="continue"/>
                  <w:tcBorders>
                    <w:left w:val="single" w:color="auto" w:sz="4" w:space="0"/>
                    <w:right w:val="single" w:color="auto" w:sz="4" w:space="0"/>
                  </w:tcBorders>
                  <w:vAlign w:val="center"/>
                </w:tcPr>
                <w:p w14:paraId="5FF7B584">
                  <w:pPr>
                    <w:spacing w:line="240" w:lineRule="auto"/>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1ED0FA85">
                  <w:pPr>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《印刷行业挥发性有机化合物排放标准》（DB44/815-2010）表3无组织排放监控点浓度限值</w:t>
                  </w:r>
                </w:p>
              </w:tc>
            </w:tr>
            <w:tr w14:paraId="5C8CF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903" w:type="dxa"/>
                  <w:vMerge w:val="continue"/>
                  <w:tcBorders>
                    <w:left w:val="single" w:color="auto" w:sz="4" w:space="0"/>
                    <w:right w:val="single" w:color="auto" w:sz="4" w:space="0"/>
                  </w:tcBorders>
                  <w:vAlign w:val="center"/>
                </w:tcPr>
                <w:p w14:paraId="1753E4CE">
                  <w:pPr>
                    <w:wordWrap/>
                    <w:spacing w:line="240" w:lineRule="auto"/>
                    <w:jc w:val="center"/>
                    <w:rPr>
                      <w:rFonts w:hint="default" w:ascii="Times New Roman" w:hAnsi="Times New Roman" w:cs="Times New Roman"/>
                      <w:color w:val="auto"/>
                      <w:sz w:val="21"/>
                      <w:szCs w:val="21"/>
                    </w:rPr>
                  </w:pPr>
                </w:p>
              </w:tc>
              <w:tc>
                <w:tcPr>
                  <w:tcW w:w="1842" w:type="dxa"/>
                  <w:gridSpan w:val="2"/>
                  <w:vMerge w:val="continue"/>
                  <w:tcBorders>
                    <w:left w:val="single" w:color="auto" w:sz="4" w:space="0"/>
                    <w:right w:val="single" w:color="auto" w:sz="4" w:space="0"/>
                  </w:tcBorders>
                  <w:vAlign w:val="center"/>
                </w:tcPr>
                <w:p w14:paraId="26A9CDE1">
                  <w:pPr>
                    <w:spacing w:line="240" w:lineRule="auto"/>
                    <w:jc w:val="center"/>
                    <w:rPr>
                      <w:rFonts w:hint="default" w:ascii="Times New Roman" w:hAnsi="Times New Roman" w:cs="Times New Roman"/>
                      <w:color w:val="auto"/>
                      <w:kern w:val="0"/>
                      <w:sz w:val="21"/>
                      <w:szCs w:val="21"/>
                    </w:rPr>
                  </w:pPr>
                </w:p>
              </w:tc>
              <w:tc>
                <w:tcPr>
                  <w:tcW w:w="1050" w:type="dxa"/>
                  <w:tcBorders>
                    <w:left w:val="single" w:color="auto" w:sz="4" w:space="0"/>
                    <w:right w:val="single" w:color="auto" w:sz="4" w:space="0"/>
                  </w:tcBorders>
                  <w:vAlign w:val="center"/>
                </w:tcPr>
                <w:p w14:paraId="7DF80520">
                  <w:pPr>
                    <w:keepNext w:val="0"/>
                    <w:keepLines w:val="0"/>
                    <w:pageBreakBefore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val="en-US" w:eastAsia="zh-CN"/>
                    </w:rPr>
                    <w:t>甲苯</w:t>
                  </w:r>
                </w:p>
              </w:tc>
              <w:tc>
                <w:tcPr>
                  <w:tcW w:w="1020" w:type="dxa"/>
                  <w:vMerge w:val="continue"/>
                  <w:tcBorders>
                    <w:left w:val="single" w:color="auto" w:sz="4" w:space="0"/>
                    <w:right w:val="single" w:color="auto" w:sz="4" w:space="0"/>
                  </w:tcBorders>
                  <w:vAlign w:val="center"/>
                </w:tcPr>
                <w:p w14:paraId="08DFDB1D">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p>
              </w:tc>
              <w:tc>
                <w:tcPr>
                  <w:tcW w:w="3562" w:type="dxa"/>
                  <w:tcBorders>
                    <w:left w:val="single" w:color="auto" w:sz="4" w:space="0"/>
                    <w:right w:val="single" w:color="auto" w:sz="4" w:space="0"/>
                  </w:tcBorders>
                  <w:vAlign w:val="center"/>
                </w:tcPr>
                <w:p w14:paraId="1E1B599A">
                  <w:pPr>
                    <w:keepNext w:val="0"/>
                    <w:keepLines w:val="0"/>
                    <w:pageBreakBefore w:val="0"/>
                    <w:widowControl/>
                    <w:suppressLineNumbers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《合成树脂工业污染物排放标准》（GB31572-2015，含2024年修改单）</w:t>
                  </w:r>
                  <w:r>
                    <w:rPr>
                      <w:rFonts w:hint="default" w:ascii="Times New Roman" w:hAnsi="Times New Roman" w:cs="Times New Roman"/>
                      <w:color w:val="auto"/>
                      <w:sz w:val="21"/>
                      <w:szCs w:val="21"/>
                    </w:rPr>
                    <w:t>表9企业边界大气污染物浓度限值</w:t>
                  </w:r>
                </w:p>
              </w:tc>
            </w:tr>
          </w:tbl>
          <w:p w14:paraId="3B5A673C">
            <w:pPr>
              <w:keepNext w:val="0"/>
              <w:keepLines w:val="0"/>
              <w:pageBreakBefore w:val="0"/>
              <w:widowControl w:val="0"/>
              <w:kinsoku/>
              <w:wordWrap/>
              <w:overflowPunct/>
              <w:topLinePunct w:val="0"/>
              <w:autoSpaceDE/>
              <w:autoSpaceDN/>
              <w:bidi w:val="0"/>
              <w:adjustRightInd w:val="0"/>
              <w:snapToGrid/>
              <w:spacing w:line="360" w:lineRule="auto"/>
              <w:ind w:firstLine="482" w:firstLineChars="200"/>
              <w:jc w:val="both"/>
              <w:textAlignment w:val="baseline"/>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val="en-US" w:eastAsia="zh-CN"/>
              </w:rPr>
              <w:t>（</w:t>
            </w:r>
            <w:r>
              <w:rPr>
                <w:rFonts w:hint="default" w:ascii="Times New Roman" w:hAnsi="Times New Roman" w:cs="Times New Roman"/>
                <w:b/>
                <w:bCs/>
                <w:color w:val="auto"/>
                <w:sz w:val="24"/>
                <w:szCs w:val="24"/>
                <w:lang w:val="en-US" w:eastAsia="zh-CN"/>
              </w:rPr>
              <w:t>7</w:t>
            </w:r>
            <w:r>
              <w:rPr>
                <w:rFonts w:hint="default"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rPr>
              <w:t>卫生防护距离</w:t>
            </w:r>
          </w:p>
          <w:p w14:paraId="12169243">
            <w:pPr>
              <w:snapToGrid w:val="0"/>
              <w:spacing w:line="360" w:lineRule="auto"/>
              <w:ind w:firstLine="482" w:firstLineChars="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大气有害物质无组织排放卫生防护距离按照《大气有害物质无组织排放卫生防护距离推导技术导则》（GB/T39499</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2020）中卫生防护距离推导的方法确定。</w:t>
            </w:r>
          </w:p>
          <w:p w14:paraId="5094CE71">
            <w:pPr>
              <w:snapToGrid w:val="0"/>
              <w:spacing w:line="360" w:lineRule="auto"/>
              <w:ind w:firstLine="482" w:firstLineChars="0"/>
              <w:jc w:val="both"/>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根据项目废气排放情况可知，项目废气无组织排放主要污染物为VOCs</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颗粒物</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非甲烷总烃等</w:t>
            </w:r>
            <w:r>
              <w:rPr>
                <w:rFonts w:hint="default" w:ascii="Times New Roman" w:hAnsi="Times New Roman" w:eastAsia="宋体" w:cs="Times New Roman"/>
                <w:color w:val="auto"/>
                <w:sz w:val="24"/>
                <w:szCs w:val="24"/>
              </w:rPr>
              <w:t>，其无组织排放量和等标排放量如下。</w:t>
            </w:r>
          </w:p>
          <w:p w14:paraId="47FCAA72">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tLeast"/>
              <w:ind w:left="0" w:leftChars="0" w:firstLine="420" w:firstLineChars="0"/>
              <w:jc w:val="center"/>
              <w:textAlignment w:val="baseline"/>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2"/>
                <w:sz w:val="24"/>
                <w:szCs w:val="24"/>
                <w:lang w:val="en-US" w:eastAsia="zh-CN" w:bidi="ar-SA"/>
              </w:rPr>
              <w:t>表4-1</w:t>
            </w:r>
            <w:r>
              <w:rPr>
                <w:rFonts w:hint="default" w:ascii="Times New Roman" w:hAnsi="Times New Roman"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1"/>
                <w:szCs w:val="21"/>
                <w:lang w:val="en-US" w:eastAsia="zh-CN" w:bidi="ar-SA"/>
              </w:rPr>
              <w:t xml:space="preserve"> </w:t>
            </w:r>
            <w:r>
              <w:rPr>
                <w:rFonts w:hint="default" w:ascii="Times New Roman" w:hAnsi="Times New Roman" w:eastAsia="宋体" w:cs="Times New Roman"/>
                <w:b/>
                <w:bCs/>
                <w:color w:val="auto"/>
                <w:sz w:val="24"/>
                <w:szCs w:val="24"/>
              </w:rPr>
              <w:t>项目无组织排放量和等标排放量情况表</w:t>
            </w:r>
          </w:p>
          <w:tbl>
            <w:tblPr>
              <w:tblStyle w:val="22"/>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5"/>
              <w:gridCol w:w="1684"/>
              <w:gridCol w:w="1791"/>
              <w:gridCol w:w="1837"/>
            </w:tblGrid>
            <w:tr w14:paraId="5E45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1B2EFBD7">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排放源</w:t>
                  </w:r>
                </w:p>
              </w:tc>
              <w:tc>
                <w:tcPr>
                  <w:tcW w:w="5312" w:type="dxa"/>
                  <w:gridSpan w:val="3"/>
                  <w:noWrap w:val="0"/>
                  <w:vAlign w:val="center"/>
                </w:tcPr>
                <w:p w14:paraId="5699CAE1">
                  <w:pPr>
                    <w:adjustRightInd w:val="0"/>
                    <w:snapToGrid w:val="0"/>
                    <w:spacing w:line="240" w:lineRule="auto"/>
                    <w:ind w:firstLine="0" w:firstLineChars="0"/>
                    <w:jc w:val="center"/>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厂房6-7楼</w:t>
                  </w:r>
                </w:p>
              </w:tc>
            </w:tr>
            <w:tr w14:paraId="73983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496A2C6D">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污染物</w:t>
                  </w:r>
                </w:p>
              </w:tc>
              <w:tc>
                <w:tcPr>
                  <w:tcW w:w="1684" w:type="dxa"/>
                  <w:noWrap w:val="0"/>
                  <w:vAlign w:val="center"/>
                </w:tcPr>
                <w:p w14:paraId="68AB731C">
                  <w:pPr>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VOCs</w:t>
                  </w:r>
                </w:p>
              </w:tc>
              <w:tc>
                <w:tcPr>
                  <w:tcW w:w="1791" w:type="dxa"/>
                  <w:noWrap w:val="0"/>
                  <w:vAlign w:val="center"/>
                </w:tcPr>
                <w:p w14:paraId="521F2C87">
                  <w:pPr>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颗粒物</w:t>
                  </w:r>
                </w:p>
              </w:tc>
              <w:tc>
                <w:tcPr>
                  <w:tcW w:w="1837" w:type="dxa"/>
                  <w:noWrap w:val="0"/>
                  <w:vAlign w:val="center"/>
                </w:tcPr>
                <w:p w14:paraId="49E33DF3">
                  <w:pPr>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非甲烷总烃</w:t>
                  </w:r>
                </w:p>
              </w:tc>
            </w:tr>
            <w:tr w14:paraId="184D7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27C6E2AB">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无组织排放速率kg/h</w:t>
                  </w:r>
                </w:p>
              </w:tc>
              <w:tc>
                <w:tcPr>
                  <w:tcW w:w="1684" w:type="dxa"/>
                  <w:noWrap w:val="0"/>
                  <w:vAlign w:val="center"/>
                </w:tcPr>
                <w:p w14:paraId="1A40C4F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0.0056</w:t>
                  </w:r>
                </w:p>
              </w:tc>
              <w:tc>
                <w:tcPr>
                  <w:tcW w:w="1791" w:type="dxa"/>
                  <w:noWrap w:val="0"/>
                  <w:vAlign w:val="center"/>
                </w:tcPr>
                <w:p w14:paraId="6DD9AF7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0.0243</w:t>
                  </w:r>
                </w:p>
              </w:tc>
              <w:tc>
                <w:tcPr>
                  <w:tcW w:w="1837" w:type="dxa"/>
                  <w:noWrap w:val="0"/>
                  <w:vAlign w:val="center"/>
                </w:tcPr>
                <w:p w14:paraId="29924363">
                  <w:pPr>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0.0857</w:t>
                  </w:r>
                </w:p>
              </w:tc>
            </w:tr>
            <w:tr w14:paraId="2B7EF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1BDE23BF">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质量标准mg/m</w:t>
                  </w:r>
                  <w:r>
                    <w:rPr>
                      <w:rFonts w:hint="default" w:ascii="Times New Roman" w:hAnsi="Times New Roman" w:eastAsia="宋体" w:cs="Times New Roman"/>
                      <w:bCs/>
                      <w:color w:val="auto"/>
                      <w:sz w:val="21"/>
                      <w:szCs w:val="21"/>
                      <w:vertAlign w:val="superscript"/>
                    </w:rPr>
                    <w:t>3</w:t>
                  </w:r>
                </w:p>
              </w:tc>
              <w:tc>
                <w:tcPr>
                  <w:tcW w:w="1684" w:type="dxa"/>
                  <w:noWrap w:val="0"/>
                  <w:vAlign w:val="center"/>
                </w:tcPr>
                <w:p w14:paraId="474C66F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791" w:type="dxa"/>
                  <w:noWrap w:val="0"/>
                  <w:vAlign w:val="center"/>
                </w:tcPr>
                <w:p w14:paraId="6CAC416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837" w:type="dxa"/>
                  <w:noWrap w:val="0"/>
                  <w:vAlign w:val="center"/>
                </w:tcPr>
                <w:p w14:paraId="1546647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r>
            <w:tr w14:paraId="260DC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5F2735A8">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等标排放量m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/h</w:t>
                  </w:r>
                </w:p>
              </w:tc>
              <w:tc>
                <w:tcPr>
                  <w:tcW w:w="1684" w:type="dxa"/>
                  <w:noWrap w:val="0"/>
                  <w:vAlign w:val="center"/>
                </w:tcPr>
                <w:p w14:paraId="696DF08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2800</w:t>
                  </w:r>
                </w:p>
              </w:tc>
              <w:tc>
                <w:tcPr>
                  <w:tcW w:w="1791" w:type="dxa"/>
                  <w:noWrap w:val="0"/>
                  <w:vAlign w:val="center"/>
                </w:tcPr>
                <w:p w14:paraId="757D1F81">
                  <w:pPr>
                    <w:widowControl/>
                    <w:spacing w:line="240" w:lineRule="auto"/>
                    <w:ind w:firstLine="0" w:firstLineChars="0"/>
                    <w:jc w:val="center"/>
                    <w:textAlignment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24300</w:t>
                  </w:r>
                </w:p>
              </w:tc>
              <w:tc>
                <w:tcPr>
                  <w:tcW w:w="1837" w:type="dxa"/>
                  <w:noWrap w:val="0"/>
                  <w:vAlign w:val="center"/>
                </w:tcPr>
                <w:p w14:paraId="298E0CEB">
                  <w:pPr>
                    <w:widowControl/>
                    <w:spacing w:line="240" w:lineRule="auto"/>
                    <w:ind w:firstLine="0" w:firstLineChars="0"/>
                    <w:jc w:val="center"/>
                    <w:textAlignment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21425</w:t>
                  </w:r>
                </w:p>
              </w:tc>
            </w:tr>
            <w:tr w14:paraId="07E59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568EE1AD">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等标排放量是否相差10%以内</w:t>
                  </w:r>
                </w:p>
              </w:tc>
              <w:tc>
                <w:tcPr>
                  <w:tcW w:w="5312" w:type="dxa"/>
                  <w:gridSpan w:val="3"/>
                  <w:noWrap w:val="0"/>
                  <w:vAlign w:val="center"/>
                </w:tcPr>
                <w:p w14:paraId="162EDB51">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否</w:t>
                  </w:r>
                </w:p>
              </w:tc>
            </w:tr>
            <w:tr w14:paraId="09CD7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05" w:type="dxa"/>
                  <w:noWrap w:val="0"/>
                  <w:vAlign w:val="center"/>
                </w:tcPr>
                <w:p w14:paraId="35CB6F01">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最大等标排放量污染物</w:t>
                  </w:r>
                </w:p>
              </w:tc>
              <w:tc>
                <w:tcPr>
                  <w:tcW w:w="5312" w:type="dxa"/>
                  <w:gridSpan w:val="3"/>
                  <w:noWrap w:val="0"/>
                  <w:vAlign w:val="center"/>
                </w:tcPr>
                <w:p w14:paraId="360060A7">
                  <w:pPr>
                    <w:adjustRightInd w:val="0"/>
                    <w:snapToGrid w:val="0"/>
                    <w:spacing w:line="240" w:lineRule="auto"/>
                    <w:ind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颗粒物</w:t>
                  </w:r>
                </w:p>
              </w:tc>
            </w:tr>
          </w:tbl>
          <w:p w14:paraId="02A2FB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注：根据《大气有害物质无组织排放卫生防护距离推导技术导则》（GB-T39499-2020）中“5.2.2标准限值Cm”：当特征大气有害物质在 GB 3095中无规定时，可按照HJ 2.2中规定的1h平均标准值；当特征大气有害物质在GB 3095 中有规定的二级标准日均值时，一般可取其二级标准日均值的三倍。</w:t>
            </w:r>
          </w:p>
          <w:p w14:paraId="02F9A26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TVOC的大气有害物质环境空气质量的标准浓度限值（Cm）取《环境影响评价技术导则 大气环境》（HJ 2.2-2018）》附录D的标准值按照2倍折算为1h平均质量浓度限值为1.2mg/m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w:t>
            </w:r>
          </w:p>
          <w:p w14:paraId="78C4EA7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TSP的环境空气质量标准限值为0.3mg/m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（日均值折算小时均值为0.9mg/m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），来源于《环境空气质量标准》(GB3095-2012)及其 2018 年修改单中的二级标准小时值的三倍值。</w:t>
            </w:r>
          </w:p>
          <w:p w14:paraId="7A3B405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本项目两种污染物的等标排放量相差在10%以外，故</w:t>
            </w:r>
            <w:r>
              <w:rPr>
                <w:rFonts w:hint="default" w:ascii="Times New Roman" w:hAnsi="Times New Roman" w:cs="Times New Roman"/>
                <w:color w:val="auto"/>
                <w:kern w:val="2"/>
                <w:sz w:val="24"/>
                <w:szCs w:val="24"/>
                <w:lang w:val="en-US" w:eastAsia="zh-CN" w:bidi="ar-SA"/>
              </w:rPr>
              <w:t>优先选择颗粒物</w:t>
            </w:r>
            <w:r>
              <w:rPr>
                <w:rFonts w:hint="default" w:ascii="Times New Roman" w:hAnsi="Times New Roman" w:eastAsia="宋体" w:cs="Times New Roman"/>
                <w:color w:val="auto"/>
                <w:kern w:val="2"/>
                <w:sz w:val="24"/>
                <w:szCs w:val="24"/>
                <w:lang w:val="en-US" w:eastAsia="zh-CN" w:bidi="ar-SA"/>
              </w:rPr>
              <w:t>为企业无组织排放的主要特征大气有害物质。</w:t>
            </w:r>
          </w:p>
          <w:p w14:paraId="3C09E7DA">
            <w:pPr>
              <w:adjustRightInd w:val="0"/>
              <w:snapToGrid w:val="0"/>
              <w:spacing w:line="360" w:lineRule="auto"/>
              <w:ind w:firstLine="480" w:firstLineChars="20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根据《大气有害物质无组织排放卫生防护距离推导技术导则》（GB/T39499-2020），计算本项目的卫生防护距离。</w:t>
            </w:r>
          </w:p>
          <w:p w14:paraId="18ED54BF">
            <w:pPr>
              <w:adjustRightInd w:val="0"/>
              <w:spacing w:line="360" w:lineRule="auto"/>
              <w:ind w:left="0" w:leftChars="0" w:firstLine="0" w:firstLineChars="0"/>
              <w:jc w:val="center"/>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color w:val="auto"/>
                <w:sz w:val="24"/>
                <w:szCs w:val="24"/>
              </w:rPr>
              <w:drawing>
                <wp:inline distT="0" distB="0" distL="114300" distR="114300">
                  <wp:extent cx="2045970" cy="492125"/>
                  <wp:effectExtent l="0" t="0" r="11430" b="0"/>
                  <wp:docPr id="6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4"/>
                          <pic:cNvPicPr>
                            <a:picLocks noChangeAspect="1"/>
                          </pic:cNvPicPr>
                        </pic:nvPicPr>
                        <pic:blipFill>
                          <a:blip r:embed="rId25"/>
                          <a:stretch>
                            <a:fillRect/>
                          </a:stretch>
                        </pic:blipFill>
                        <pic:spPr>
                          <a:xfrm>
                            <a:off x="0" y="0"/>
                            <a:ext cx="2045970" cy="492125"/>
                          </a:xfrm>
                          <a:prstGeom prst="rect">
                            <a:avLst/>
                          </a:prstGeom>
                          <a:noFill/>
                          <a:ln>
                            <a:noFill/>
                          </a:ln>
                        </pic:spPr>
                      </pic:pic>
                    </a:graphicData>
                  </a:graphic>
                </wp:inline>
              </w:drawing>
            </w:r>
          </w:p>
          <w:p w14:paraId="2AC24D1F">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lang w:val="en-US"/>
              </w:rPr>
            </w:pPr>
            <w:r>
              <w:rPr>
                <w:rFonts w:hint="default" w:ascii="Times New Roman" w:hAnsi="Times New Roman" w:eastAsia="宋体" w:cs="Times New Roman"/>
                <w:bCs/>
                <w:color w:val="auto"/>
                <w:sz w:val="24"/>
                <w:szCs w:val="24"/>
                <w:lang w:val="en-US" w:eastAsia="zh-CN"/>
              </w:rPr>
              <w:t>式中：L—大气有害物质卫生防护距离初值，单位为米（m）；</w:t>
            </w:r>
            <w:r>
              <w:rPr>
                <w:rFonts w:hint="default" w:ascii="Times New Roman" w:hAnsi="Times New Roman" w:cs="Times New Roman"/>
                <w:bCs/>
                <w:color w:val="auto"/>
                <w:sz w:val="24"/>
                <w:szCs w:val="24"/>
                <w:lang w:val="en-US" w:eastAsia="zh-CN"/>
              </w:rPr>
              <w:t xml:space="preserve"> </w:t>
            </w:r>
          </w:p>
          <w:p w14:paraId="06BF2B12">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Q</w:t>
            </w:r>
            <w:r>
              <w:rPr>
                <w:rFonts w:hint="default" w:ascii="Times New Roman" w:hAnsi="Times New Roman" w:eastAsia="宋体" w:cs="Times New Roman"/>
                <w:bCs/>
                <w:color w:val="auto"/>
                <w:sz w:val="24"/>
                <w:szCs w:val="24"/>
                <w:vertAlign w:val="subscript"/>
                <w:lang w:val="en-US" w:eastAsia="zh-CN"/>
              </w:rPr>
              <w:t>c</w:t>
            </w:r>
            <w:r>
              <w:rPr>
                <w:rFonts w:hint="default" w:ascii="Times New Roman" w:hAnsi="Times New Roman" w:eastAsia="宋体" w:cs="Times New Roman"/>
                <w:bCs/>
                <w:color w:val="auto"/>
                <w:sz w:val="24"/>
                <w:szCs w:val="24"/>
                <w:lang w:val="en-US" w:eastAsia="zh-CN"/>
              </w:rPr>
              <w:t>—大气有害物质无组织排放量可达到的控制水平，单位为千克每小时（kg/h）；</w:t>
            </w:r>
          </w:p>
          <w:p w14:paraId="743CB03C">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C</w:t>
            </w:r>
            <w:r>
              <w:rPr>
                <w:rFonts w:hint="default" w:ascii="Times New Roman" w:hAnsi="Times New Roman" w:eastAsia="宋体" w:cs="Times New Roman"/>
                <w:bCs/>
                <w:color w:val="auto"/>
                <w:sz w:val="24"/>
                <w:szCs w:val="24"/>
                <w:vertAlign w:val="subscript"/>
                <w:lang w:val="en-US" w:eastAsia="zh-CN"/>
              </w:rPr>
              <w:t>m</w:t>
            </w:r>
            <w:r>
              <w:rPr>
                <w:rFonts w:hint="default" w:ascii="Times New Roman" w:hAnsi="Times New Roman" w:eastAsia="宋体" w:cs="Times New Roman"/>
                <w:bCs/>
                <w:color w:val="auto"/>
                <w:sz w:val="24"/>
                <w:szCs w:val="24"/>
                <w:lang w:val="en-US" w:eastAsia="zh-CN"/>
              </w:rPr>
              <w:t>—大气有害物质环境空气质量标准值，单位为毫克/立方米（mg/m</w:t>
            </w:r>
            <w:r>
              <w:rPr>
                <w:rFonts w:hint="default" w:ascii="Times New Roman" w:hAnsi="Times New Roman" w:eastAsia="宋体"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lang w:val="en-US" w:eastAsia="zh-CN"/>
              </w:rPr>
              <w:t>）；</w:t>
            </w:r>
          </w:p>
          <w:p w14:paraId="24183402">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r—大气有害物质无组织排放源所在生产单元的等效半径，单位为米（m）。</w:t>
            </w:r>
          </w:p>
          <w:p w14:paraId="638B6B41">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jc w:val="both"/>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A、B、C、D—卫生防护距离计算系数，无因次，根据工业企业所在地区近5年平均风速及工业企业大气污染源构成类别从表4-7选取。</w:t>
            </w:r>
          </w:p>
          <w:p w14:paraId="49770C0D">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0" w:leftChars="0" w:firstLine="420" w:firstLineChars="0"/>
              <w:jc w:val="center"/>
              <w:textAlignment w:val="baseline"/>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kern w:val="2"/>
                <w:sz w:val="24"/>
                <w:szCs w:val="24"/>
                <w:lang w:val="en-US" w:eastAsia="zh-CN" w:bidi="ar-SA"/>
              </w:rPr>
              <w:t>表4-</w:t>
            </w:r>
            <w:r>
              <w:rPr>
                <w:rFonts w:hint="default" w:ascii="Times New Roman" w:hAnsi="Times New Roman" w:cs="Times New Roman"/>
                <w:b/>
                <w:bCs/>
                <w:color w:val="auto"/>
                <w:kern w:val="2"/>
                <w:sz w:val="24"/>
                <w:szCs w:val="24"/>
                <w:lang w:val="en-US" w:eastAsia="zh-CN" w:bidi="ar-SA"/>
              </w:rPr>
              <w:t>14</w:t>
            </w:r>
            <w:r>
              <w:rPr>
                <w:rFonts w:hint="default" w:ascii="Times New Roman" w:hAnsi="Times New Roman" w:eastAsia="宋体" w:cs="Times New Roman"/>
                <w:b/>
                <w:bCs/>
                <w:color w:val="auto"/>
                <w:kern w:val="2"/>
                <w:sz w:val="21"/>
                <w:szCs w:val="21"/>
                <w:lang w:val="en-US" w:eastAsia="zh-CN" w:bidi="ar-SA"/>
              </w:rPr>
              <w:t xml:space="preserve"> </w:t>
            </w:r>
            <w:r>
              <w:rPr>
                <w:rFonts w:hint="default" w:ascii="Times New Roman" w:hAnsi="Times New Roman" w:eastAsia="宋体" w:cs="Times New Roman"/>
                <w:b/>
                <w:bCs/>
                <w:color w:val="auto"/>
                <w:sz w:val="24"/>
                <w:szCs w:val="24"/>
              </w:rPr>
              <w:t>卫生防护距离计算系数</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495"/>
              <w:gridCol w:w="672"/>
              <w:gridCol w:w="675"/>
              <w:gridCol w:w="676"/>
              <w:gridCol w:w="673"/>
              <w:gridCol w:w="674"/>
              <w:gridCol w:w="677"/>
              <w:gridCol w:w="672"/>
              <w:gridCol w:w="676"/>
              <w:gridCol w:w="674"/>
            </w:tblGrid>
            <w:tr w14:paraId="02558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5CC3135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计算系数</w:t>
                  </w:r>
                </w:p>
              </w:tc>
              <w:tc>
                <w:tcPr>
                  <w:tcW w:w="1495" w:type="dxa"/>
                  <w:vMerge w:val="restart"/>
                  <w:noWrap w:val="0"/>
                  <w:vAlign w:val="center"/>
                </w:tcPr>
                <w:p w14:paraId="368F6A2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工业企业所在地区近五年来平均风速</w:t>
                  </w:r>
                </w:p>
                <w:p w14:paraId="0515427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(m/s)</w:t>
                  </w:r>
                </w:p>
              </w:tc>
              <w:tc>
                <w:tcPr>
                  <w:tcW w:w="6069" w:type="dxa"/>
                  <w:gridSpan w:val="9"/>
                  <w:noWrap w:val="0"/>
                  <w:vAlign w:val="center"/>
                </w:tcPr>
                <w:p w14:paraId="501384F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卫生防护距离（m）</w:t>
                  </w:r>
                </w:p>
              </w:tc>
            </w:tr>
            <w:tr w14:paraId="519A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624D1B29">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1495" w:type="dxa"/>
                  <w:vMerge w:val="continue"/>
                  <w:noWrap w:val="0"/>
                  <w:vAlign w:val="center"/>
                </w:tcPr>
                <w:p w14:paraId="2E4570A7">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2023" w:type="dxa"/>
                  <w:gridSpan w:val="3"/>
                  <w:noWrap w:val="0"/>
                  <w:vAlign w:val="center"/>
                </w:tcPr>
                <w:p w14:paraId="4F4C185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L≤1000</w:t>
                  </w:r>
                </w:p>
              </w:tc>
              <w:tc>
                <w:tcPr>
                  <w:tcW w:w="2024" w:type="dxa"/>
                  <w:gridSpan w:val="3"/>
                  <w:noWrap w:val="0"/>
                  <w:vAlign w:val="center"/>
                </w:tcPr>
                <w:p w14:paraId="4FF0516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1000＜L≤2000</w:t>
                  </w:r>
                </w:p>
              </w:tc>
              <w:tc>
                <w:tcPr>
                  <w:tcW w:w="2022" w:type="dxa"/>
                  <w:gridSpan w:val="3"/>
                  <w:noWrap w:val="0"/>
                  <w:vAlign w:val="center"/>
                </w:tcPr>
                <w:p w14:paraId="7601AE0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L≥2000</w:t>
                  </w:r>
                </w:p>
              </w:tc>
            </w:tr>
            <w:tr w14:paraId="1E235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30EBFC07">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1495" w:type="dxa"/>
                  <w:vMerge w:val="continue"/>
                  <w:noWrap w:val="0"/>
                  <w:vAlign w:val="center"/>
                </w:tcPr>
                <w:p w14:paraId="5835A6CA">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6069" w:type="dxa"/>
                  <w:gridSpan w:val="9"/>
                  <w:noWrap w:val="0"/>
                  <w:vAlign w:val="center"/>
                </w:tcPr>
                <w:p w14:paraId="78D113D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工业企业大气污染源构成类别</w:t>
                  </w:r>
                </w:p>
              </w:tc>
            </w:tr>
            <w:tr w14:paraId="0577E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895" w:type="dxa"/>
                  <w:vMerge w:val="continue"/>
                  <w:noWrap w:val="0"/>
                  <w:vAlign w:val="center"/>
                </w:tcPr>
                <w:p w14:paraId="06C5D616">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1495" w:type="dxa"/>
                  <w:vMerge w:val="continue"/>
                  <w:noWrap w:val="0"/>
                  <w:vAlign w:val="center"/>
                </w:tcPr>
                <w:p w14:paraId="21E0218D">
                  <w:pPr>
                    <w:keepNext w:val="0"/>
                    <w:keepLines w:val="0"/>
                    <w:pageBreakBefore w:val="0"/>
                    <w:widowControl w:val="0"/>
                    <w:kinsoku/>
                    <w:wordWrap/>
                    <w:overflowPunct/>
                    <w:topLinePunct w:val="0"/>
                    <w:autoSpaceDE/>
                    <w:autoSpaceDN/>
                    <w:bidi w:val="0"/>
                    <w:adjustRightInd w:val="0"/>
                    <w:snapToGrid w:val="0"/>
                    <w:spacing w:beforeAutospacing="0" w:line="240" w:lineRule="auto"/>
                    <w:ind w:firstLine="0" w:firstLineChars="0"/>
                    <w:jc w:val="center"/>
                    <w:textAlignment w:val="auto"/>
                    <w:rPr>
                      <w:rFonts w:hint="default" w:ascii="Times New Roman" w:hAnsi="Times New Roman" w:eastAsia="宋体" w:cs="Times New Roman"/>
                      <w:b/>
                      <w:bCs/>
                      <w:color w:val="auto"/>
                      <w:sz w:val="21"/>
                      <w:szCs w:val="21"/>
                    </w:rPr>
                  </w:pPr>
                </w:p>
              </w:tc>
              <w:tc>
                <w:tcPr>
                  <w:tcW w:w="672" w:type="dxa"/>
                  <w:noWrap w:val="0"/>
                  <w:vAlign w:val="center"/>
                </w:tcPr>
                <w:p w14:paraId="1CC1D8D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w:t>
                  </w:r>
                </w:p>
              </w:tc>
              <w:tc>
                <w:tcPr>
                  <w:tcW w:w="675" w:type="dxa"/>
                  <w:noWrap w:val="0"/>
                  <w:vAlign w:val="center"/>
                </w:tcPr>
                <w:p w14:paraId="0EA92026">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Ⅱ</w:t>
                  </w:r>
                </w:p>
              </w:tc>
              <w:tc>
                <w:tcPr>
                  <w:tcW w:w="676" w:type="dxa"/>
                  <w:noWrap w:val="0"/>
                  <w:vAlign w:val="center"/>
                </w:tcPr>
                <w:p w14:paraId="2999A36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Ⅲ</w:t>
                  </w:r>
                </w:p>
              </w:tc>
              <w:tc>
                <w:tcPr>
                  <w:tcW w:w="673" w:type="dxa"/>
                  <w:noWrap w:val="0"/>
                  <w:vAlign w:val="center"/>
                </w:tcPr>
                <w:p w14:paraId="2DBAFCB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w:t>
                  </w:r>
                </w:p>
              </w:tc>
              <w:tc>
                <w:tcPr>
                  <w:tcW w:w="674" w:type="dxa"/>
                  <w:noWrap w:val="0"/>
                  <w:vAlign w:val="center"/>
                </w:tcPr>
                <w:p w14:paraId="5A246F3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Ⅱ</w:t>
                  </w:r>
                </w:p>
              </w:tc>
              <w:tc>
                <w:tcPr>
                  <w:tcW w:w="677" w:type="dxa"/>
                  <w:noWrap w:val="0"/>
                  <w:vAlign w:val="center"/>
                </w:tcPr>
                <w:p w14:paraId="5FA9BD4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Ⅲ</w:t>
                  </w:r>
                </w:p>
              </w:tc>
              <w:tc>
                <w:tcPr>
                  <w:tcW w:w="672" w:type="dxa"/>
                  <w:noWrap w:val="0"/>
                  <w:vAlign w:val="center"/>
                </w:tcPr>
                <w:p w14:paraId="3459764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w:t>
                  </w:r>
                </w:p>
              </w:tc>
              <w:tc>
                <w:tcPr>
                  <w:tcW w:w="676" w:type="dxa"/>
                  <w:noWrap w:val="0"/>
                  <w:vAlign w:val="center"/>
                </w:tcPr>
                <w:p w14:paraId="17D07EE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Ⅱ</w:t>
                  </w:r>
                </w:p>
              </w:tc>
              <w:tc>
                <w:tcPr>
                  <w:tcW w:w="674" w:type="dxa"/>
                  <w:noWrap w:val="0"/>
                  <w:vAlign w:val="center"/>
                </w:tcPr>
                <w:p w14:paraId="57838D1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Ⅲ</w:t>
                  </w:r>
                </w:p>
              </w:tc>
            </w:tr>
            <w:tr w14:paraId="6D6DC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0B5B6FE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1495" w:type="dxa"/>
                  <w:noWrap w:val="0"/>
                  <w:vAlign w:val="center"/>
                </w:tcPr>
                <w:p w14:paraId="4DD8D57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672" w:type="dxa"/>
                  <w:noWrap w:val="0"/>
                  <w:vAlign w:val="center"/>
                </w:tcPr>
                <w:p w14:paraId="4904CE94">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5" w:type="dxa"/>
                  <w:noWrap w:val="0"/>
                  <w:vAlign w:val="center"/>
                </w:tcPr>
                <w:p w14:paraId="14C4ABF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6" w:type="dxa"/>
                  <w:noWrap w:val="0"/>
                  <w:vAlign w:val="center"/>
                </w:tcPr>
                <w:p w14:paraId="6E64033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3" w:type="dxa"/>
                  <w:noWrap w:val="0"/>
                  <w:vAlign w:val="center"/>
                </w:tcPr>
                <w:p w14:paraId="1164A77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4" w:type="dxa"/>
                  <w:noWrap w:val="0"/>
                  <w:vAlign w:val="center"/>
                </w:tcPr>
                <w:p w14:paraId="234557D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7" w:type="dxa"/>
                  <w:noWrap w:val="0"/>
                  <w:vAlign w:val="center"/>
                </w:tcPr>
                <w:p w14:paraId="76B4666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672" w:type="dxa"/>
                  <w:noWrap w:val="0"/>
                  <w:vAlign w:val="center"/>
                </w:tcPr>
                <w:p w14:paraId="1520867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676" w:type="dxa"/>
                  <w:noWrap w:val="0"/>
                  <w:vAlign w:val="center"/>
                </w:tcPr>
                <w:p w14:paraId="0724A20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674" w:type="dxa"/>
                  <w:noWrap w:val="0"/>
                  <w:vAlign w:val="center"/>
                </w:tcPr>
                <w:p w14:paraId="4E8D540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14:paraId="2B18C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0476A99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4A1B2C7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672" w:type="dxa"/>
                  <w:noWrap w:val="0"/>
                  <w:vAlign w:val="center"/>
                </w:tcPr>
                <w:p w14:paraId="25FFD15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675" w:type="dxa"/>
                  <w:noWrap w:val="0"/>
                  <w:vAlign w:val="center"/>
                </w:tcPr>
                <w:p w14:paraId="6A38180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676" w:type="dxa"/>
                  <w:noWrap w:val="0"/>
                  <w:vAlign w:val="center"/>
                </w:tcPr>
                <w:p w14:paraId="48E73B2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3" w:type="dxa"/>
                  <w:noWrap w:val="0"/>
                  <w:vAlign w:val="center"/>
                </w:tcPr>
                <w:p w14:paraId="10C8104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674" w:type="dxa"/>
                  <w:noWrap w:val="0"/>
                  <w:vAlign w:val="center"/>
                </w:tcPr>
                <w:p w14:paraId="1756EF7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677" w:type="dxa"/>
                  <w:noWrap w:val="0"/>
                  <w:vAlign w:val="center"/>
                </w:tcPr>
                <w:p w14:paraId="72492D2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2" w:type="dxa"/>
                  <w:noWrap w:val="0"/>
                  <w:vAlign w:val="center"/>
                </w:tcPr>
                <w:p w14:paraId="5C6BB99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676" w:type="dxa"/>
                  <w:noWrap w:val="0"/>
                  <w:vAlign w:val="center"/>
                </w:tcPr>
                <w:p w14:paraId="4F6AC52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674" w:type="dxa"/>
                  <w:noWrap w:val="0"/>
                  <w:vAlign w:val="center"/>
                </w:tcPr>
                <w:p w14:paraId="189D351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14:paraId="4F3B6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7F6635B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3D89F05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672" w:type="dxa"/>
                  <w:noWrap w:val="0"/>
                  <w:vAlign w:val="center"/>
                </w:tcPr>
                <w:p w14:paraId="7D419504">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675" w:type="dxa"/>
                  <w:noWrap w:val="0"/>
                  <w:vAlign w:val="center"/>
                </w:tcPr>
                <w:p w14:paraId="1F4DF6A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6" w:type="dxa"/>
                  <w:noWrap w:val="0"/>
                  <w:vAlign w:val="center"/>
                </w:tcPr>
                <w:p w14:paraId="4425BE1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673" w:type="dxa"/>
                  <w:noWrap w:val="0"/>
                  <w:vAlign w:val="center"/>
                </w:tcPr>
                <w:p w14:paraId="57323D4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674" w:type="dxa"/>
                  <w:noWrap w:val="0"/>
                  <w:vAlign w:val="center"/>
                </w:tcPr>
                <w:p w14:paraId="0F50B3A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677" w:type="dxa"/>
                  <w:noWrap w:val="0"/>
                  <w:vAlign w:val="center"/>
                </w:tcPr>
                <w:p w14:paraId="10B57189">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672" w:type="dxa"/>
                  <w:noWrap w:val="0"/>
                  <w:vAlign w:val="center"/>
                </w:tcPr>
                <w:p w14:paraId="74F89B4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676" w:type="dxa"/>
                  <w:noWrap w:val="0"/>
                  <w:vAlign w:val="center"/>
                </w:tcPr>
                <w:p w14:paraId="2B8D078C">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674" w:type="dxa"/>
                  <w:noWrap w:val="0"/>
                  <w:vAlign w:val="center"/>
                </w:tcPr>
                <w:p w14:paraId="7443330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140</w:t>
                  </w:r>
                </w:p>
              </w:tc>
            </w:tr>
            <w:tr w14:paraId="369B9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26FADBA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1495" w:type="dxa"/>
                  <w:noWrap w:val="0"/>
                  <w:vAlign w:val="center"/>
                </w:tcPr>
                <w:p w14:paraId="58C4FA6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0A2983E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2024" w:type="dxa"/>
                  <w:gridSpan w:val="3"/>
                  <w:noWrap w:val="0"/>
                  <w:vAlign w:val="center"/>
                </w:tcPr>
                <w:p w14:paraId="1E5A49C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2022" w:type="dxa"/>
                  <w:gridSpan w:val="3"/>
                  <w:noWrap w:val="0"/>
                  <w:vAlign w:val="center"/>
                </w:tcPr>
                <w:p w14:paraId="5240284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14:paraId="6500B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536B33E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00A21C6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162E84A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2024" w:type="dxa"/>
                  <w:gridSpan w:val="3"/>
                  <w:noWrap w:val="0"/>
                  <w:vAlign w:val="center"/>
                </w:tcPr>
                <w:p w14:paraId="7F31598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2022" w:type="dxa"/>
                  <w:gridSpan w:val="3"/>
                  <w:noWrap w:val="0"/>
                  <w:vAlign w:val="center"/>
                </w:tcPr>
                <w:p w14:paraId="1E8690A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14:paraId="2F33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14CFF99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1495" w:type="dxa"/>
                  <w:noWrap w:val="0"/>
                  <w:vAlign w:val="center"/>
                </w:tcPr>
                <w:p w14:paraId="4F13582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4B9ECBC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2024" w:type="dxa"/>
                  <w:gridSpan w:val="3"/>
                  <w:noWrap w:val="0"/>
                  <w:vAlign w:val="center"/>
                </w:tcPr>
                <w:p w14:paraId="10C3EA6E">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1.74</w:t>
                  </w:r>
                </w:p>
              </w:tc>
              <w:tc>
                <w:tcPr>
                  <w:tcW w:w="2022" w:type="dxa"/>
                  <w:gridSpan w:val="3"/>
                  <w:noWrap w:val="0"/>
                  <w:vAlign w:val="center"/>
                </w:tcPr>
                <w:p w14:paraId="4588FE2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14:paraId="02ED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25DCC89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5B963861">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6DE5B6A6">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2024" w:type="dxa"/>
                  <w:gridSpan w:val="3"/>
                  <w:noWrap w:val="0"/>
                  <w:vAlign w:val="center"/>
                </w:tcPr>
                <w:p w14:paraId="5D922A7B">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2022" w:type="dxa"/>
                  <w:gridSpan w:val="3"/>
                  <w:noWrap w:val="0"/>
                  <w:vAlign w:val="center"/>
                </w:tcPr>
                <w:p w14:paraId="6F9419C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14:paraId="13DD0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restart"/>
                  <w:noWrap w:val="0"/>
                  <w:vAlign w:val="center"/>
                </w:tcPr>
                <w:p w14:paraId="1F7F1FC8">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1495" w:type="dxa"/>
                  <w:noWrap w:val="0"/>
                  <w:vAlign w:val="center"/>
                </w:tcPr>
                <w:p w14:paraId="68CEBD70">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42E2FA15">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2024" w:type="dxa"/>
                  <w:gridSpan w:val="3"/>
                  <w:noWrap w:val="0"/>
                  <w:vAlign w:val="center"/>
                </w:tcPr>
                <w:p w14:paraId="5AF2A1F3">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2022" w:type="dxa"/>
                  <w:gridSpan w:val="3"/>
                  <w:noWrap w:val="0"/>
                  <w:vAlign w:val="center"/>
                </w:tcPr>
                <w:p w14:paraId="196E6CEA">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14:paraId="115CE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895" w:type="dxa"/>
                  <w:vMerge w:val="continue"/>
                  <w:noWrap w:val="0"/>
                  <w:vAlign w:val="center"/>
                </w:tcPr>
                <w:p w14:paraId="3F86AE46">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495" w:type="dxa"/>
                  <w:noWrap w:val="0"/>
                  <w:vAlign w:val="center"/>
                </w:tcPr>
                <w:p w14:paraId="67360832">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3" w:type="dxa"/>
                  <w:gridSpan w:val="3"/>
                  <w:noWrap w:val="0"/>
                  <w:vAlign w:val="center"/>
                </w:tcPr>
                <w:p w14:paraId="6B2FD82F">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2024" w:type="dxa"/>
                  <w:gridSpan w:val="3"/>
                  <w:noWrap w:val="0"/>
                  <w:vAlign w:val="center"/>
                </w:tcPr>
                <w:p w14:paraId="21BD89F7">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2022" w:type="dxa"/>
                  <w:gridSpan w:val="3"/>
                  <w:noWrap w:val="0"/>
                  <w:vAlign w:val="center"/>
                </w:tcPr>
                <w:p w14:paraId="45718283">
                  <w:pPr>
                    <w:keepNext w:val="0"/>
                    <w:keepLines w:val="0"/>
                    <w:pageBreakBefore w:val="0"/>
                    <w:widowControl w:val="0"/>
                    <w:kinsoku/>
                    <w:wordWrap/>
                    <w:overflowPunct/>
                    <w:topLinePunct w:val="0"/>
                    <w:autoSpaceDE/>
                    <w:autoSpaceDN/>
                    <w:bidi w:val="0"/>
                    <w:adjustRightInd w:val="0"/>
                    <w:snapToGrid w:val="0"/>
                    <w:spacing w:beforeAutospacing="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14:paraId="5696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5" w:hRule="atLeast"/>
                <w:jc w:val="center"/>
              </w:trPr>
              <w:tc>
                <w:tcPr>
                  <w:tcW w:w="8459" w:type="dxa"/>
                  <w:gridSpan w:val="11"/>
                  <w:noWrap w:val="0"/>
                  <w:vAlign w:val="center"/>
                </w:tcPr>
                <w:p w14:paraId="540FB8E6">
                  <w:pPr>
                    <w:keepNext w:val="0"/>
                    <w:keepLines w:val="0"/>
                    <w:pageBreakBefore w:val="0"/>
                    <w:widowControl w:val="0"/>
                    <w:kinsoku/>
                    <w:wordWrap/>
                    <w:overflowPunct/>
                    <w:topLinePunct w:val="0"/>
                    <w:autoSpaceDE/>
                    <w:autoSpaceDN/>
                    <w:bidi w:val="0"/>
                    <w:adjustRightInd w:val="0"/>
                    <w:snapToGrid w:val="0"/>
                    <w:spacing w:beforeAutospacing="0" w:line="30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Ⅰ类：与无组织排放源共存的排放同种有害气体的排放量，大于标准规定的允许排放量的1/3者。</w:t>
                  </w:r>
                </w:p>
                <w:p w14:paraId="7B50F776">
                  <w:pPr>
                    <w:keepNext w:val="0"/>
                    <w:keepLines w:val="0"/>
                    <w:pageBreakBefore w:val="0"/>
                    <w:widowControl w:val="0"/>
                    <w:kinsoku/>
                    <w:wordWrap/>
                    <w:overflowPunct/>
                    <w:topLinePunct w:val="0"/>
                    <w:autoSpaceDE/>
                    <w:autoSpaceDN/>
                    <w:bidi w:val="0"/>
                    <w:adjustRightInd w:val="0"/>
                    <w:snapToGrid w:val="0"/>
                    <w:spacing w:beforeAutospacing="0" w:line="30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Ⅱ类：与无组织排放源共存的排放同种有害气体的排放量，小于标准规定的允许排放量的1/3，或虽无排放同种大气污染物之排气筒共存，但无组织排放的有害物质的容许浓度指标是按急性反应指标确定者。</w:t>
                  </w:r>
                </w:p>
                <w:p w14:paraId="1CE7320B">
                  <w:pPr>
                    <w:keepNext w:val="0"/>
                    <w:keepLines w:val="0"/>
                    <w:pageBreakBefore w:val="0"/>
                    <w:widowControl w:val="0"/>
                    <w:kinsoku/>
                    <w:wordWrap/>
                    <w:overflowPunct/>
                    <w:topLinePunct w:val="0"/>
                    <w:autoSpaceDE/>
                    <w:autoSpaceDN/>
                    <w:bidi w:val="0"/>
                    <w:adjustRightInd w:val="0"/>
                    <w:snapToGrid w:val="0"/>
                    <w:spacing w:beforeAutospacing="0" w:line="300" w:lineRule="auto"/>
                    <w:ind w:left="0" w:leftChars="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Ⅲ类：无排放同种有害物质的排气筒与无组织排放源共存，且无组织排放的有害物质的容许浓度指标是按慢性反应指标确定者。</w:t>
                  </w:r>
                </w:p>
              </w:tc>
            </w:tr>
          </w:tbl>
          <w:p w14:paraId="54FFADA3">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0" w:leftChars="0" w:firstLine="420" w:firstLineChars="0"/>
              <w:jc w:val="center"/>
              <w:textAlignment w:val="baseline"/>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kern w:val="2"/>
                <w:sz w:val="24"/>
                <w:szCs w:val="24"/>
                <w:lang w:val="en-US" w:eastAsia="zh-CN" w:bidi="ar-SA"/>
              </w:rPr>
              <w:t>表4-</w:t>
            </w:r>
            <w:r>
              <w:rPr>
                <w:rFonts w:hint="default" w:ascii="Times New Roman" w:hAnsi="Times New Roman" w:cs="Times New Roman"/>
                <w:b/>
                <w:color w:val="auto"/>
                <w:kern w:val="2"/>
                <w:sz w:val="24"/>
                <w:szCs w:val="24"/>
                <w:lang w:val="en-US" w:eastAsia="zh-CN" w:bidi="ar-SA"/>
              </w:rPr>
              <w:t>15</w:t>
            </w:r>
            <w:r>
              <w:rPr>
                <w:rFonts w:hint="default" w:ascii="Times New Roman" w:hAnsi="Times New Roman" w:eastAsia="宋体" w:cs="Times New Roman"/>
                <w:b/>
                <w:color w:val="auto"/>
                <w:kern w:val="2"/>
                <w:sz w:val="24"/>
                <w:szCs w:val="24"/>
                <w:lang w:val="en-US" w:eastAsia="zh-CN" w:bidi="ar-SA"/>
              </w:rPr>
              <w:t xml:space="preserve"> </w:t>
            </w:r>
            <w:r>
              <w:rPr>
                <w:rFonts w:hint="default" w:ascii="Times New Roman" w:hAnsi="Times New Roman" w:eastAsia="宋体" w:cs="Times New Roman"/>
                <w:b/>
                <w:color w:val="auto"/>
                <w:sz w:val="24"/>
                <w:szCs w:val="24"/>
                <w:highlight w:val="none"/>
              </w:rPr>
              <w:t>环境防护距离计算表</w:t>
            </w:r>
          </w:p>
          <w:tbl>
            <w:tblPr>
              <w:tblStyle w:val="22"/>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1"/>
              <w:gridCol w:w="4128"/>
            </w:tblGrid>
            <w:tr w14:paraId="411CB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6D0AC9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面源</w:t>
                  </w:r>
                </w:p>
              </w:tc>
              <w:tc>
                <w:tcPr>
                  <w:tcW w:w="4128" w:type="dxa"/>
                  <w:noWrap w:val="0"/>
                  <w:vAlign w:val="center"/>
                </w:tcPr>
                <w:p w14:paraId="06C075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rPr>
                  </w:pPr>
                  <w:r>
                    <w:rPr>
                      <w:rFonts w:hint="default" w:ascii="Times New Roman" w:hAnsi="Times New Roman" w:cs="Times New Roman"/>
                      <w:b/>
                      <w:color w:val="auto"/>
                      <w:sz w:val="21"/>
                      <w:szCs w:val="21"/>
                      <w:lang w:val="en-US" w:eastAsia="zh-CN"/>
                    </w:rPr>
                    <w:t>厂房六七楼</w:t>
                  </w:r>
                </w:p>
              </w:tc>
            </w:tr>
            <w:tr w14:paraId="2A557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01B6EA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参数选取</w:t>
                  </w:r>
                </w:p>
              </w:tc>
              <w:tc>
                <w:tcPr>
                  <w:tcW w:w="4128" w:type="dxa"/>
                  <w:noWrap w:val="0"/>
                  <w:vAlign w:val="center"/>
                </w:tcPr>
                <w:p w14:paraId="5C8B4B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p>
              </w:tc>
            </w:tr>
            <w:tr w14:paraId="57584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4554CC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w:t>
                  </w:r>
                  <w:r>
                    <w:rPr>
                      <w:rFonts w:hint="default" w:ascii="Times New Roman" w:hAnsi="Times New Roman" w:eastAsia="宋体" w:cs="Times New Roman"/>
                      <w:color w:val="auto"/>
                      <w:sz w:val="21"/>
                      <w:szCs w:val="21"/>
                      <w:highlight w:val="none"/>
                      <w:vertAlign w:val="subscript"/>
                    </w:rPr>
                    <w:t>c</w:t>
                  </w:r>
                  <w:r>
                    <w:rPr>
                      <w:rFonts w:hint="default" w:ascii="Times New Roman" w:hAnsi="Times New Roman" w:eastAsia="宋体" w:cs="Times New Roman"/>
                      <w:color w:val="auto"/>
                      <w:sz w:val="21"/>
                      <w:szCs w:val="21"/>
                      <w:highlight w:val="none"/>
                    </w:rPr>
                    <w:t>（kg/h）</w:t>
                  </w:r>
                </w:p>
              </w:tc>
              <w:tc>
                <w:tcPr>
                  <w:tcW w:w="4128" w:type="dxa"/>
                  <w:noWrap w:val="0"/>
                  <w:vAlign w:val="center"/>
                </w:tcPr>
                <w:p w14:paraId="66A3C64B">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lang w:val="en-US" w:eastAsia="zh-CN"/>
                    </w:rPr>
                    <w:t>0.0243</w:t>
                  </w:r>
                </w:p>
              </w:tc>
            </w:tr>
            <w:tr w14:paraId="63ACF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05679C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w:t>
                  </w:r>
                  <w:r>
                    <w:rPr>
                      <w:rFonts w:hint="default" w:ascii="Times New Roman" w:hAnsi="Times New Roman" w:eastAsia="宋体" w:cs="Times New Roman"/>
                      <w:color w:val="auto"/>
                      <w:sz w:val="21"/>
                      <w:szCs w:val="21"/>
                      <w:highlight w:val="none"/>
                      <w:vertAlign w:val="subscript"/>
                    </w:rPr>
                    <w:t>m</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4128" w:type="dxa"/>
                  <w:noWrap w:val="0"/>
                  <w:vAlign w:val="center"/>
                </w:tcPr>
                <w:p w14:paraId="2258EF7F">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1</w:t>
                  </w:r>
                </w:p>
              </w:tc>
            </w:tr>
            <w:tr w14:paraId="7E24F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425A4F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p>
              </w:tc>
              <w:tc>
                <w:tcPr>
                  <w:tcW w:w="4128" w:type="dxa"/>
                  <w:noWrap w:val="0"/>
                  <w:vAlign w:val="center"/>
                </w:tcPr>
                <w:p w14:paraId="048A3B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6491</w:t>
                  </w:r>
                </w:p>
              </w:tc>
            </w:tr>
            <w:tr w14:paraId="05C3C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2ACC66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A</w:t>
                  </w:r>
                </w:p>
              </w:tc>
              <w:tc>
                <w:tcPr>
                  <w:tcW w:w="4128" w:type="dxa"/>
                  <w:noWrap w:val="0"/>
                  <w:vAlign w:val="center"/>
                </w:tcPr>
                <w:p w14:paraId="5D5EE5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400</w:t>
                  </w:r>
                </w:p>
              </w:tc>
            </w:tr>
            <w:tr w14:paraId="6C6BA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3E8DA1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B</w:t>
                  </w:r>
                </w:p>
              </w:tc>
              <w:tc>
                <w:tcPr>
                  <w:tcW w:w="4128" w:type="dxa"/>
                  <w:noWrap w:val="0"/>
                  <w:vAlign w:val="center"/>
                </w:tcPr>
                <w:p w14:paraId="47F10B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0.01</w:t>
                  </w:r>
                </w:p>
              </w:tc>
            </w:tr>
            <w:tr w14:paraId="6546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7913A8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C</w:t>
                  </w:r>
                </w:p>
              </w:tc>
              <w:tc>
                <w:tcPr>
                  <w:tcW w:w="4128" w:type="dxa"/>
                  <w:noWrap w:val="0"/>
                  <w:vAlign w:val="center"/>
                </w:tcPr>
                <w:p w14:paraId="63FAED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1.85</w:t>
                  </w:r>
                </w:p>
              </w:tc>
            </w:tr>
            <w:tr w14:paraId="60ED6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391" w:type="dxa"/>
                  <w:noWrap w:val="0"/>
                  <w:vAlign w:val="center"/>
                </w:tcPr>
                <w:p w14:paraId="012578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rPr>
                  </w:pPr>
                  <w:r>
                    <w:rPr>
                      <w:rFonts w:hint="default" w:ascii="Times New Roman" w:hAnsi="Times New Roman" w:eastAsia="宋体" w:cs="Times New Roman"/>
                      <w:color w:val="auto"/>
                      <w:spacing w:val="-4"/>
                      <w:kern w:val="0"/>
                      <w:sz w:val="21"/>
                      <w:szCs w:val="21"/>
                      <w:highlight w:val="none"/>
                    </w:rPr>
                    <w:t>D</w:t>
                  </w:r>
                </w:p>
              </w:tc>
              <w:tc>
                <w:tcPr>
                  <w:tcW w:w="4128" w:type="dxa"/>
                  <w:noWrap w:val="0"/>
                  <w:vAlign w:val="center"/>
                </w:tcPr>
                <w:p w14:paraId="5ED38D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pacing w:val="-4"/>
                      <w:kern w:val="0"/>
                      <w:sz w:val="21"/>
                      <w:szCs w:val="21"/>
                      <w:highlight w:val="none"/>
                      <w:lang w:val="en-US" w:eastAsia="zh-CN"/>
                    </w:rPr>
                  </w:pPr>
                  <w:r>
                    <w:rPr>
                      <w:rFonts w:hint="default" w:ascii="Times New Roman" w:hAnsi="Times New Roman" w:eastAsia="宋体" w:cs="Times New Roman"/>
                      <w:color w:val="auto"/>
                      <w:spacing w:val="-4"/>
                      <w:kern w:val="0"/>
                      <w:sz w:val="21"/>
                      <w:szCs w:val="21"/>
                      <w:highlight w:val="none"/>
                      <w:lang w:val="en-US" w:eastAsia="zh-CN"/>
                    </w:rPr>
                    <w:t>0.78</w:t>
                  </w:r>
                </w:p>
              </w:tc>
            </w:tr>
            <w:tr w14:paraId="65111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391" w:type="dxa"/>
                  <w:noWrap w:val="0"/>
                  <w:vAlign w:val="center"/>
                </w:tcPr>
                <w:p w14:paraId="78ABF9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卫生防护距离初值(m)</w:t>
                  </w:r>
                </w:p>
              </w:tc>
              <w:tc>
                <w:tcPr>
                  <w:tcW w:w="4128" w:type="dxa"/>
                  <w:noWrap w:val="0"/>
                  <w:vAlign w:val="center"/>
                </w:tcPr>
                <w:p w14:paraId="086F3C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0.34</w:t>
                  </w:r>
                </w:p>
              </w:tc>
            </w:tr>
            <w:tr w14:paraId="7A7F9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391" w:type="dxa"/>
                  <w:noWrap w:val="0"/>
                  <w:vAlign w:val="center"/>
                </w:tcPr>
                <w:p w14:paraId="649C56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需要设置的环境防护距离（m）</w:t>
                  </w:r>
                </w:p>
              </w:tc>
              <w:tc>
                <w:tcPr>
                  <w:tcW w:w="4128" w:type="dxa"/>
                  <w:noWrap w:val="0"/>
                  <w:vAlign w:val="center"/>
                </w:tcPr>
                <w:p w14:paraId="2FAE86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p>
              </w:tc>
            </w:tr>
          </w:tbl>
          <w:p w14:paraId="7D5FA52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kern w:val="2"/>
                <w:sz w:val="24"/>
                <w:szCs w:val="24"/>
                <w:highlight w:val="none"/>
                <w:lang w:val="en-US" w:eastAsia="zh-CN" w:bidi="ar-SA"/>
              </w:rPr>
              <w:t>由上表可知，计算初值小于50m，则卫生防护距离终值为50m。根据现场勘察，本项目</w:t>
            </w:r>
            <w:r>
              <w:rPr>
                <w:rFonts w:hint="default" w:ascii="Times New Roman" w:hAnsi="Times New Roman" w:eastAsia="宋体" w:cs="Times New Roman"/>
                <w:color w:val="auto"/>
                <w:sz w:val="24"/>
                <w:szCs w:val="24"/>
                <w:lang w:val="en-US" w:eastAsia="zh-CN"/>
              </w:rPr>
              <w:t>最近的敏感点为</w:t>
            </w:r>
            <w:r>
              <w:rPr>
                <w:rFonts w:hint="eastAsia" w:cs="Times New Roman"/>
                <w:color w:val="auto"/>
                <w:sz w:val="24"/>
                <w:szCs w:val="24"/>
                <w:lang w:val="en-US" w:eastAsia="zh-CN"/>
              </w:rPr>
              <w:t>东北面60m的冯屋村</w:t>
            </w:r>
            <w:r>
              <w:rPr>
                <w:rFonts w:hint="default" w:ascii="Times New Roman" w:hAnsi="Times New Roman" w:eastAsia="宋体" w:cs="Times New Roman"/>
                <w:color w:val="auto"/>
                <w:kern w:val="2"/>
                <w:sz w:val="24"/>
                <w:szCs w:val="24"/>
                <w:highlight w:val="none"/>
                <w:lang w:val="en-US" w:eastAsia="zh-CN" w:bidi="ar-SA"/>
              </w:rPr>
              <w:t>，因此，本项目能够满足卫生防护距离的要求。此外，本环评建议有关部门在今后的规划中，在项目大气卫生防护范围内严禁新建居住区等敏感性建筑物及对环境要求较高的企业。</w:t>
            </w:r>
          </w:p>
          <w:p w14:paraId="1B14E49C">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w:t>
            </w:r>
            <w:r>
              <w:rPr>
                <w:rFonts w:hint="default" w:ascii="Times New Roman" w:hAnsi="Times New Roman" w:cs="Times New Roman"/>
                <w:b/>
                <w:bCs/>
                <w:color w:val="auto"/>
                <w:szCs w:val="22"/>
                <w:lang w:val="en-US" w:eastAsia="zh-CN"/>
              </w:rPr>
              <w:t>8</w:t>
            </w:r>
            <w:r>
              <w:rPr>
                <w:rFonts w:hint="default" w:ascii="Times New Roman" w:hAnsi="Times New Roman" w:cs="Times New Roman"/>
                <w:b/>
                <w:bCs/>
                <w:color w:val="auto"/>
                <w:szCs w:val="22"/>
              </w:rPr>
              <w:t>）项目废气排放对大气环境的影响分析</w:t>
            </w:r>
          </w:p>
          <w:p w14:paraId="12F3008E">
            <w:pPr>
              <w:keepNext w:val="0"/>
              <w:keepLines w:val="0"/>
              <w:pageBreakBefore w:val="0"/>
              <w:widowControl w:val="0"/>
              <w:suppressLineNumbers w:val="0"/>
              <w:kinsoku/>
              <w:wordWrap w:val="0"/>
              <w:overflowPunct/>
              <w:topLinePunct w:val="0"/>
              <w:bidi w:val="0"/>
              <w:adjustRightInd/>
              <w:snapToGrid/>
              <w:spacing w:before="0" w:beforeAutospacing="0" w:after="0" w:afterAutospacing="0" w:line="360" w:lineRule="auto"/>
              <w:ind w:right="0" w:firstLine="480" w:firstLineChars="200"/>
              <w:jc w:val="both"/>
              <w:textAlignment w:val="baseline"/>
              <w:rPr>
                <w:rFonts w:hint="default" w:ascii="Times New Roman" w:hAnsi="Times New Roman" w:eastAsia="宋体" w:cs="Times New Roman"/>
                <w:color w:val="auto"/>
                <w:szCs w:val="22"/>
                <w:lang w:val="en-US" w:eastAsia="zh-CN"/>
              </w:rPr>
            </w:pPr>
            <w:r>
              <w:rPr>
                <w:rFonts w:hint="default" w:ascii="Times New Roman" w:hAnsi="Times New Roman" w:eastAsia="宋体" w:cs="Times New Roman"/>
                <w:color w:val="auto"/>
                <w:szCs w:val="22"/>
              </w:rPr>
              <w:t>根据</w:t>
            </w:r>
            <w:r>
              <w:rPr>
                <w:rFonts w:hint="default" w:ascii="Times New Roman" w:hAnsi="Times New Roman" w:eastAsia="宋体" w:cs="Times New Roman"/>
                <w:color w:val="auto"/>
                <w:sz w:val="24"/>
                <w:szCs w:val="24"/>
                <w:vertAlign w:val="baseline"/>
                <w:lang w:val="en-US" w:eastAsia="zh-CN"/>
              </w:rPr>
              <w:t>《关于印发惠州市环境空气质量功能区划（2021 年修订）的通知》（惠市环[2021]1号）</w:t>
            </w:r>
            <w:r>
              <w:rPr>
                <w:rFonts w:hint="default" w:ascii="Times New Roman" w:hAnsi="Times New Roman" w:eastAsia="宋体" w:cs="Times New Roman"/>
                <w:color w:val="auto"/>
                <w:szCs w:val="22"/>
              </w:rPr>
              <w:t>，项目所在地属环境空气质量功能区的二类区，环境空气质量应执行《环境空气质量标准》（GB3095-2012）中规定的二级标准。</w:t>
            </w:r>
            <w:r>
              <w:rPr>
                <w:rFonts w:hint="default" w:ascii="Times New Roman" w:hAnsi="Times New Roman" w:eastAsia="宋体" w:cs="Times New Roman"/>
                <w:color w:val="auto"/>
                <w:sz w:val="24"/>
                <w:szCs w:val="22"/>
              </w:rPr>
              <w:t>根据《202</w:t>
            </w:r>
            <w:r>
              <w:rPr>
                <w:rFonts w:hint="eastAsia" w:cs="Times New Roman"/>
                <w:color w:val="auto"/>
                <w:sz w:val="24"/>
                <w:szCs w:val="22"/>
                <w:lang w:val="en-US" w:eastAsia="zh-CN"/>
              </w:rPr>
              <w:t>4</w:t>
            </w:r>
            <w:r>
              <w:rPr>
                <w:rFonts w:hint="default" w:ascii="Times New Roman" w:hAnsi="Times New Roman" w:eastAsia="宋体" w:cs="Times New Roman"/>
                <w:color w:val="auto"/>
                <w:sz w:val="24"/>
                <w:szCs w:val="22"/>
              </w:rPr>
              <w:t>年惠州市生态环境状况公报》显示，</w:t>
            </w:r>
            <w:r>
              <w:rPr>
                <w:rFonts w:hint="default" w:ascii="Times New Roman" w:hAnsi="Times New Roman" w:eastAsia="宋体" w:cs="Times New Roman"/>
                <w:color w:val="auto"/>
                <w:sz w:val="24"/>
                <w:szCs w:val="22"/>
                <w:lang w:val="en-US" w:eastAsia="zh-CN"/>
              </w:rPr>
              <w:t>项目所在区域六项基本污染物达标。根据引用数据显示，项目周边TVOC能够满足《环境影响评价技术导则大气环境》（HJ2.2-2018）附录D、TSP满足《环境空气质量标准》（GB3095-2012）中的二级标准及其2018年修改单，非甲烷总烃达到《大气污染物综合排放标准详解》相关标准</w:t>
            </w:r>
            <w:r>
              <w:rPr>
                <w:rFonts w:hint="default" w:ascii="Times New Roman" w:hAnsi="Times New Roman" w:eastAsia="宋体" w:cs="Times New Roman"/>
                <w:color w:val="auto"/>
                <w:kern w:val="2"/>
                <w:sz w:val="24"/>
                <w:szCs w:val="22"/>
                <w:lang w:val="en-US" w:eastAsia="zh-CN" w:bidi="ar-SA"/>
              </w:rPr>
              <w:t>，项目所在区域为达标区域。</w:t>
            </w:r>
          </w:p>
          <w:p w14:paraId="66D87F0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lang w:val="en-US" w:eastAsia="zh-CN"/>
              </w:rPr>
              <w:t>项目</w:t>
            </w:r>
            <w:r>
              <w:rPr>
                <w:rFonts w:hint="default" w:ascii="Times New Roman" w:hAnsi="Times New Roman" w:cs="Times New Roman"/>
                <w:color w:val="auto"/>
                <w:szCs w:val="22"/>
              </w:rPr>
              <w:t>注塑、</w:t>
            </w:r>
            <w:r>
              <w:rPr>
                <w:rFonts w:hint="eastAsia" w:cs="Times New Roman"/>
                <w:color w:val="auto"/>
                <w:szCs w:val="22"/>
                <w:lang w:eastAsia="zh-CN"/>
              </w:rPr>
              <w:t>移印</w:t>
            </w:r>
            <w:r>
              <w:rPr>
                <w:rFonts w:hint="default" w:ascii="Times New Roman" w:hAnsi="Times New Roman" w:cs="Times New Roman"/>
                <w:color w:val="auto"/>
                <w:szCs w:val="22"/>
              </w:rPr>
              <w:t>工序废气经集气罩收集至“水喷淋+干式过滤+二级活性炭吸附”装置处理后引至排气筒</w:t>
            </w:r>
            <w:r>
              <w:rPr>
                <w:rFonts w:hint="eastAsia" w:cs="Times New Roman"/>
                <w:color w:val="auto"/>
                <w:szCs w:val="22"/>
                <w:lang w:eastAsia="zh-CN"/>
              </w:rPr>
              <w:t>DA001</w:t>
            </w:r>
            <w:r>
              <w:rPr>
                <w:rFonts w:hint="default" w:ascii="Times New Roman" w:hAnsi="Times New Roman" w:cs="Times New Roman"/>
                <w:color w:val="auto"/>
                <w:szCs w:val="22"/>
              </w:rPr>
              <w:t>排放。</w:t>
            </w:r>
            <w:r>
              <w:rPr>
                <w:rFonts w:hint="default" w:ascii="Times New Roman" w:hAnsi="Times New Roman" w:cs="Times New Roman"/>
                <w:color w:val="auto"/>
                <w:szCs w:val="22"/>
                <w:lang w:val="en-US" w:eastAsia="zh-CN"/>
              </w:rPr>
              <w:t>机加工、电火花、破碎工序废气在车间自然沉降后无组织排放</w:t>
            </w:r>
            <w:r>
              <w:rPr>
                <w:rFonts w:hint="default" w:ascii="Times New Roman" w:hAnsi="Times New Roman" w:cs="Times New Roman"/>
                <w:color w:val="auto"/>
                <w:szCs w:val="22"/>
              </w:rPr>
              <w:t>。经上述废气处理设施处理后，</w:t>
            </w:r>
            <w:r>
              <w:rPr>
                <w:rFonts w:hint="default" w:ascii="Times New Roman" w:hAnsi="Times New Roman" w:cs="Times New Roman"/>
                <w:color w:val="auto"/>
                <w:szCs w:val="22"/>
                <w:lang w:val="en-US" w:eastAsia="zh-CN"/>
              </w:rPr>
              <w:t>DA001</w:t>
            </w:r>
            <w:r>
              <w:rPr>
                <w:rFonts w:hint="default" w:ascii="Times New Roman" w:hAnsi="Times New Roman" w:eastAsia="宋体" w:cs="Times New Roman"/>
                <w:bCs/>
                <w:color w:val="auto"/>
                <w:sz w:val="24"/>
                <w:szCs w:val="24"/>
                <w:lang w:val="en-US" w:eastAsia="zh-CN" w:bidi="ar"/>
              </w:rPr>
              <w:t>非甲烷总烃有组织排放可达到《合成树脂工业污染物排放标准》（GB 31572-2015，含2024年修改单）表5大气污染物特别排放限值和《印刷工业大气污染物排放标准》（GB 41616-2022）表1排放限值两者校严值要求</w:t>
            </w:r>
            <w:r>
              <w:rPr>
                <w:rFonts w:hint="eastAsia"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总VOCs有组织排放可达到广东省《印刷行业挥发性有机化合物排放标准》（DB44/815-2010）表2第II时段标准限值要求</w:t>
            </w:r>
            <w:r>
              <w:rPr>
                <w:rFonts w:hint="eastAsia"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臭气浓度有组织排放可达到《恶臭污染物排放标准》（GB14554-93）表2恶臭污染物排放标准值</w:t>
            </w:r>
            <w:r>
              <w:rPr>
                <w:rFonts w:hint="default" w:ascii="Times New Roman" w:hAnsi="Times New Roman"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苯乙烯、丙烯腈、1，3-丁二烯、甲苯、乙苯等有组织排放可达到</w:t>
            </w:r>
            <w:r>
              <w:rPr>
                <w:rFonts w:hint="default" w:ascii="Times New Roman" w:hAnsi="Times New Roman" w:eastAsia="宋体" w:cs="Times New Roman"/>
                <w:bCs/>
                <w:color w:val="auto"/>
                <w:sz w:val="24"/>
                <w:szCs w:val="24"/>
                <w:lang w:eastAsia="zh-CN" w:bidi="ar"/>
              </w:rPr>
              <w:t>《合成树脂工业污染物排放标准》（GB31572-2015，含2024年修改单）</w:t>
            </w:r>
            <w:r>
              <w:rPr>
                <w:rFonts w:hint="default" w:ascii="Times New Roman" w:hAnsi="Times New Roman" w:eastAsia="宋体" w:cs="Times New Roman"/>
                <w:bCs/>
                <w:color w:val="auto"/>
                <w:sz w:val="24"/>
                <w:szCs w:val="24"/>
                <w:lang w:bidi="ar"/>
              </w:rPr>
              <w:t>表5</w:t>
            </w:r>
            <w:r>
              <w:rPr>
                <w:rFonts w:hint="default" w:ascii="Times New Roman" w:hAnsi="Times New Roman" w:eastAsia="宋体" w:cs="Times New Roman"/>
                <w:bCs/>
                <w:color w:val="auto"/>
                <w:sz w:val="24"/>
                <w:szCs w:val="24"/>
                <w:lang w:val="en-US" w:eastAsia="zh-CN" w:bidi="ar"/>
              </w:rPr>
              <w:t>大气污染物特别排放限值；臭气浓度有组织排放可达到《恶臭污染物排放标准》（GB14554-93）表2恶臭污染物排放标准值。</w:t>
            </w:r>
            <w:r>
              <w:rPr>
                <w:rFonts w:hint="default" w:ascii="Times New Roman" w:hAnsi="Times New Roman" w:cs="Times New Roman"/>
                <w:bCs/>
                <w:color w:val="auto"/>
                <w:sz w:val="24"/>
                <w:szCs w:val="24"/>
                <w:lang w:val="en-US" w:eastAsia="zh-CN" w:bidi="ar"/>
              </w:rPr>
              <w:t>厂界无组织颗粒物排放可达到</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w:t>
            </w:r>
            <w:r>
              <w:rPr>
                <w:rFonts w:hint="default" w:ascii="Times New Roman" w:hAnsi="Times New Roman" w:cs="Times New Roman"/>
                <w:bCs/>
                <w:color w:val="auto"/>
                <w:lang w:eastAsia="zh-CN" w:bidi="ar"/>
              </w:rPr>
              <w:t>《</w:t>
            </w:r>
            <w:r>
              <w:rPr>
                <w:rFonts w:hint="default" w:ascii="Times New Roman" w:hAnsi="Times New Roman" w:cs="Times New Roman"/>
                <w:bCs/>
                <w:color w:val="auto"/>
                <w:lang w:bidi="ar"/>
              </w:rPr>
              <w:t>合成树脂工业污染物排放标准》（GB31572-2015，含2024年修改单）表</w:t>
            </w:r>
            <w:r>
              <w:rPr>
                <w:rFonts w:hint="default" w:ascii="Times New Roman" w:hAnsi="Times New Roman" w:cs="Times New Roman"/>
                <w:bCs/>
                <w:color w:val="auto"/>
                <w:lang w:val="en-US" w:eastAsia="zh-CN" w:bidi="ar"/>
              </w:rPr>
              <w:t>9企业边界大气污染物浓度限值两者较严值；厂界非甲烷总烃</w:t>
            </w:r>
            <w:r>
              <w:rPr>
                <w:rFonts w:hint="default" w:ascii="Times New Roman" w:hAnsi="Times New Roman" w:eastAsia="宋体" w:cs="Times New Roman"/>
                <w:bCs/>
                <w:color w:val="auto"/>
                <w:sz w:val="24"/>
                <w:szCs w:val="24"/>
                <w:lang w:val="en-US" w:eastAsia="zh-CN" w:bidi="ar"/>
              </w:rPr>
              <w:t>无组织排放可达到《合成树脂工业污染物排放标准》（GB31572-2015，含2024年修改单）表9企业边界大气污染物浓度限值、</w:t>
            </w:r>
            <w:r>
              <w:rPr>
                <w:rFonts w:hint="default" w:ascii="Times New Roman" w:hAnsi="Times New Roman" w:eastAsia="宋体" w:cs="Times New Roman"/>
                <w:b w:val="0"/>
                <w:bCs/>
                <w:color w:val="auto"/>
                <w:kern w:val="2"/>
                <w:sz w:val="24"/>
                <w:szCs w:val="24"/>
                <w:highlight w:val="none"/>
                <w:lang w:val="en-US" w:eastAsia="zh-CN" w:bidi="ar-SA"/>
              </w:rPr>
              <w:t>广东省《大气污染物排放限值》（DB44/27-2001）第二时段无组织排放浓度限值</w:t>
            </w:r>
            <w:r>
              <w:rPr>
                <w:rFonts w:hint="eastAsia" w:cs="Times New Roman"/>
                <w:b w:val="0"/>
                <w:bCs/>
                <w:color w:val="auto"/>
                <w:kern w:val="2"/>
                <w:sz w:val="24"/>
                <w:szCs w:val="24"/>
                <w:highlight w:val="none"/>
                <w:lang w:val="en-US" w:eastAsia="zh-CN" w:bidi="ar-SA"/>
              </w:rPr>
              <w:t>两者</w:t>
            </w:r>
            <w:r>
              <w:rPr>
                <w:rFonts w:hint="default" w:ascii="Times New Roman" w:hAnsi="Times New Roman" w:eastAsia="宋体" w:cs="Times New Roman"/>
                <w:b w:val="0"/>
                <w:bCs/>
                <w:color w:val="auto"/>
                <w:kern w:val="2"/>
                <w:sz w:val="24"/>
                <w:szCs w:val="24"/>
                <w:highlight w:val="none"/>
                <w:lang w:val="en-US" w:eastAsia="zh-CN" w:bidi="ar-SA"/>
              </w:rPr>
              <w:t>较严值；</w:t>
            </w:r>
            <w:r>
              <w:rPr>
                <w:rFonts w:hint="default" w:ascii="Times New Roman" w:hAnsi="Times New Roman" w:eastAsia="宋体" w:cs="Times New Roman"/>
                <w:bCs/>
                <w:color w:val="auto"/>
                <w:sz w:val="24"/>
                <w:szCs w:val="24"/>
                <w:lang w:val="en-US" w:eastAsia="zh-CN" w:bidi="ar"/>
              </w:rPr>
              <w:t>甲苯无组织排放可达到合成树脂工业污染物排放标准》（GB31572-2015，含2024年修改单）表9企业边界大气污染物浓度限值</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bCs/>
                <w:color w:val="auto"/>
                <w:sz w:val="24"/>
                <w:szCs w:val="24"/>
                <w:lang w:val="en-US" w:eastAsia="zh-CN" w:bidi="ar"/>
              </w:rPr>
              <w:t>总VOCs无组织排放可达到《印刷行业挥发性有机化合物排放标准》（DB44/815-2010）</w:t>
            </w:r>
            <w:r>
              <w:rPr>
                <w:rFonts w:hint="eastAsia" w:cs="Times New Roman"/>
                <w:bCs/>
                <w:color w:val="auto"/>
                <w:sz w:val="24"/>
                <w:szCs w:val="24"/>
                <w:lang w:val="en-US" w:eastAsia="zh-CN" w:bidi="ar"/>
              </w:rPr>
              <w:t>限值要求</w:t>
            </w:r>
            <w:r>
              <w:rPr>
                <w:rFonts w:hint="default" w:ascii="Times New Roman" w:hAnsi="Times New Roman" w:cs="Times New Roman"/>
                <w:bCs/>
                <w:color w:val="auto"/>
                <w:sz w:val="24"/>
                <w:szCs w:val="24"/>
                <w:lang w:val="en-US" w:eastAsia="zh-CN" w:bidi="ar"/>
              </w:rPr>
              <w:t>；</w:t>
            </w:r>
            <w:r>
              <w:rPr>
                <w:rFonts w:hint="default" w:ascii="Times New Roman" w:hAnsi="Times New Roman" w:eastAsia="宋体" w:cs="Times New Roman"/>
                <w:bCs/>
                <w:color w:val="auto"/>
                <w:sz w:val="24"/>
                <w:szCs w:val="24"/>
                <w:lang w:val="en-US" w:eastAsia="zh-CN" w:bidi="ar"/>
              </w:rPr>
              <w:t>臭气浓度无组织排放可达到《恶臭污染物排放标准》（GB14554-93）表1恶臭污染物厂界标准值中新改扩建二级标准值。</w:t>
            </w:r>
            <w:r>
              <w:rPr>
                <w:rFonts w:hint="default" w:ascii="Times New Roman" w:hAnsi="Times New Roman" w:cs="Times New Roman"/>
                <w:color w:val="auto"/>
                <w:szCs w:val="22"/>
                <w:lang w:val="en-US" w:eastAsia="zh-CN"/>
              </w:rPr>
              <w:t>距离项目最近的敏感点为</w:t>
            </w:r>
            <w:r>
              <w:rPr>
                <w:rFonts w:hint="eastAsia" w:cs="Times New Roman"/>
                <w:color w:val="auto"/>
                <w:szCs w:val="22"/>
                <w:lang w:val="en-US" w:eastAsia="zh-CN"/>
              </w:rPr>
              <w:t>东北面60m的冯屋村</w:t>
            </w:r>
            <w:r>
              <w:rPr>
                <w:rFonts w:hint="default" w:ascii="Times New Roman" w:hAnsi="Times New Roman" w:cs="Times New Roman"/>
                <w:color w:val="auto"/>
                <w:szCs w:val="22"/>
                <w:lang w:val="en-US" w:eastAsia="zh-CN"/>
              </w:rPr>
              <w:t>，项目建成后</w:t>
            </w:r>
            <w:r>
              <w:rPr>
                <w:rFonts w:hint="default" w:ascii="Times New Roman" w:hAnsi="Times New Roman" w:cs="Times New Roman"/>
                <w:color w:val="auto"/>
                <w:szCs w:val="21"/>
              </w:rPr>
              <w:t>对</w:t>
            </w:r>
            <w:r>
              <w:rPr>
                <w:rFonts w:hint="default" w:ascii="Times New Roman" w:hAnsi="Times New Roman" w:cs="Times New Roman"/>
                <w:color w:val="auto"/>
                <w:szCs w:val="21"/>
                <w:lang w:val="en-US" w:eastAsia="zh-CN"/>
              </w:rPr>
              <w:t>附近敏感点及</w:t>
            </w:r>
            <w:r>
              <w:rPr>
                <w:rFonts w:hint="default" w:ascii="Times New Roman" w:hAnsi="Times New Roman" w:cs="Times New Roman"/>
                <w:color w:val="auto"/>
                <w:szCs w:val="21"/>
              </w:rPr>
              <w:t>周边环境造成的影响较小</w:t>
            </w:r>
            <w:r>
              <w:rPr>
                <w:rFonts w:hint="default" w:ascii="Times New Roman" w:hAnsi="Times New Roman" w:cs="Times New Roman"/>
                <w:color w:val="auto"/>
                <w:szCs w:val="22"/>
              </w:rPr>
              <w:t>。</w:t>
            </w:r>
          </w:p>
          <w:p w14:paraId="2E59A7F7">
            <w:pPr>
              <w:rPr>
                <w:rFonts w:hint="default" w:ascii="Times New Roman" w:hAnsi="Times New Roman" w:cs="Times New Roman"/>
                <w:b/>
                <w:color w:val="auto"/>
              </w:rPr>
            </w:pPr>
            <w:r>
              <w:rPr>
                <w:rFonts w:hint="default" w:ascii="Times New Roman" w:hAnsi="Times New Roman" w:cs="Times New Roman"/>
                <w:b/>
                <w:color w:val="auto"/>
              </w:rPr>
              <w:t>2、废水</w:t>
            </w:r>
          </w:p>
          <w:p w14:paraId="742EF8E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（1）废水污染源分析</w:t>
            </w:r>
          </w:p>
          <w:p w14:paraId="36253B8B">
            <w:pPr>
              <w:ind w:firstLine="482" w:firstLineChars="200"/>
              <w:rPr>
                <w:rFonts w:hint="default" w:ascii="Times New Roman" w:hAnsi="Times New Roman" w:eastAsia="宋体" w:cs="Times New Roman"/>
                <w:bCs/>
                <w:iCs/>
                <w:color w:val="auto"/>
                <w:kern w:val="0"/>
                <w:lang w:val="en-US" w:eastAsia="zh-CN" w:bidi="ar"/>
              </w:rPr>
            </w:pPr>
            <w:r>
              <w:rPr>
                <w:rFonts w:hint="default" w:ascii="Times New Roman" w:hAnsi="Times New Roman" w:cs="Times New Roman"/>
                <w:b/>
                <w:bCs/>
                <w:color w:val="auto"/>
                <w:kern w:val="0"/>
                <w:szCs w:val="21"/>
              </w:rPr>
              <w:t>①</w:t>
            </w:r>
            <w:r>
              <w:rPr>
                <w:rFonts w:hint="default" w:ascii="Times New Roman" w:hAnsi="Times New Roman" w:cs="Times New Roman"/>
                <w:b/>
                <w:color w:val="auto"/>
                <w:lang w:val="en-US" w:eastAsia="zh-CN"/>
              </w:rPr>
              <w:t>间接冷却废水</w:t>
            </w:r>
          </w:p>
          <w:p w14:paraId="4ECD4485">
            <w:pPr>
              <w:ind w:firstLine="480" w:firstLineChars="200"/>
              <w:rPr>
                <w:rFonts w:hint="default" w:ascii="Times New Roman" w:hAnsi="Times New Roman" w:cs="Times New Roman"/>
                <w:bCs/>
                <w:color w:val="auto"/>
                <w:szCs w:val="21"/>
              </w:rPr>
            </w:pPr>
            <w:r>
              <w:rPr>
                <w:rFonts w:hint="default" w:ascii="Times New Roman" w:hAnsi="Times New Roman" w:cs="Times New Roman"/>
                <w:bCs/>
                <w:iCs/>
                <w:color w:val="auto"/>
                <w:kern w:val="0"/>
                <w:lang w:bidi="ar"/>
              </w:rPr>
              <w:t>根据</w:t>
            </w:r>
            <w:r>
              <w:rPr>
                <w:rFonts w:hint="default" w:ascii="Times New Roman" w:hAnsi="Times New Roman" w:cs="Times New Roman"/>
                <w:bCs/>
                <w:iCs/>
                <w:color w:val="auto"/>
                <w:kern w:val="0"/>
                <w:lang w:val="en-US" w:eastAsia="zh-CN" w:bidi="ar"/>
              </w:rPr>
              <w:t>前文</w:t>
            </w:r>
            <w:r>
              <w:rPr>
                <w:rFonts w:hint="default" w:ascii="Times New Roman" w:hAnsi="Times New Roman" w:cs="Times New Roman"/>
                <w:bCs/>
                <w:iCs/>
                <w:color w:val="auto"/>
                <w:kern w:val="0"/>
                <w:lang w:bidi="ar"/>
              </w:rPr>
              <w:t>分析，冷却塔循环水量为160t/d（48000t/a）</w:t>
            </w:r>
            <w:r>
              <w:rPr>
                <w:rFonts w:hint="default" w:ascii="Times New Roman" w:hAnsi="Times New Roman" w:cs="Times New Roman"/>
                <w:bCs/>
                <w:color w:val="auto"/>
                <w:szCs w:val="21"/>
                <w:lang w:val="en-US" w:eastAsia="zh-CN"/>
              </w:rPr>
              <w:t>，循环回用于冷却水池</w:t>
            </w:r>
            <w:r>
              <w:rPr>
                <w:rFonts w:hint="default" w:ascii="Times New Roman" w:hAnsi="Times New Roman" w:cs="Times New Roman"/>
                <w:bCs/>
                <w:color w:val="auto"/>
                <w:szCs w:val="21"/>
              </w:rPr>
              <w:t>。</w:t>
            </w:r>
          </w:p>
          <w:p w14:paraId="795D0D4F">
            <w:pPr>
              <w:ind w:firstLine="482" w:firstLineChars="200"/>
              <w:rPr>
                <w:rFonts w:hint="default" w:ascii="Times New Roman" w:hAnsi="Times New Roman" w:cs="Times New Roman"/>
                <w:b/>
                <w:iCs/>
                <w:color w:val="auto"/>
                <w:kern w:val="0"/>
                <w:lang w:bidi="ar"/>
              </w:rPr>
            </w:pPr>
            <w:r>
              <w:rPr>
                <w:rFonts w:hint="default" w:ascii="Times New Roman" w:hAnsi="Times New Roman" w:cs="Times New Roman"/>
                <w:b/>
                <w:iCs/>
                <w:color w:val="auto"/>
                <w:kern w:val="0"/>
                <w:lang w:bidi="ar"/>
              </w:rPr>
              <w:t>②喷淋塔废水</w:t>
            </w:r>
          </w:p>
          <w:p w14:paraId="2EA22D0B">
            <w:pPr>
              <w:ind w:firstLine="480" w:firstLineChars="200"/>
              <w:rPr>
                <w:rFonts w:hint="default" w:ascii="Times New Roman" w:hAnsi="Times New Roman" w:cs="Times New Roman"/>
                <w:color w:val="auto"/>
                <w:lang w:val="en-US" w:eastAsia="zh-CN"/>
              </w:rPr>
            </w:pPr>
            <w:r>
              <w:rPr>
                <w:rFonts w:hint="default" w:ascii="Times New Roman" w:hAnsi="Times New Roman" w:cs="Times New Roman"/>
                <w:bCs/>
                <w:color w:val="auto"/>
                <w:szCs w:val="21"/>
                <w:lang w:val="en-US" w:eastAsia="zh-CN"/>
              </w:rPr>
              <w:t>根据前文分析，喷淋塔废</w:t>
            </w:r>
            <w:r>
              <w:rPr>
                <w:rFonts w:hint="default" w:ascii="Times New Roman" w:hAnsi="Times New Roman" w:cs="Times New Roman"/>
                <w:bCs/>
                <w:color w:val="auto"/>
                <w:szCs w:val="21"/>
              </w:rPr>
              <w:t>水量为</w:t>
            </w:r>
            <w:r>
              <w:rPr>
                <w:rFonts w:hint="default" w:ascii="Times New Roman" w:hAnsi="Times New Roman" w:cs="Times New Roman"/>
                <w:color w:val="auto"/>
                <w:lang w:val="en-US" w:eastAsia="zh-CN"/>
              </w:rPr>
              <w:t>0.0</w:t>
            </w:r>
            <w:r>
              <w:rPr>
                <w:rFonts w:hint="eastAsia" w:cs="Times New Roman"/>
                <w:color w:val="auto"/>
                <w:lang w:val="en-US" w:eastAsia="zh-CN"/>
              </w:rPr>
              <w:t>3</w:t>
            </w:r>
            <w:r>
              <w:rPr>
                <w:rFonts w:hint="default" w:ascii="Times New Roman" w:hAnsi="Times New Roman" w:cs="Times New Roman"/>
                <w:color w:val="auto"/>
                <w:lang w:val="en-US" w:eastAsia="zh-CN"/>
              </w:rPr>
              <w:t>3</w:t>
            </w:r>
            <w:r>
              <w:rPr>
                <w:rFonts w:hint="default" w:ascii="Times New Roman" w:hAnsi="Times New Roman" w:cs="Times New Roman"/>
                <w:bCs/>
                <w:color w:val="auto"/>
                <w:szCs w:val="21"/>
              </w:rPr>
              <w:t>t/d（</w:t>
            </w:r>
            <w:r>
              <w:rPr>
                <w:rFonts w:hint="default" w:ascii="Times New Roman" w:hAnsi="Times New Roman" w:cs="Times New Roman"/>
                <w:bCs/>
                <w:color w:val="auto"/>
                <w:szCs w:val="21"/>
                <w:lang w:val="en-US" w:eastAsia="zh-CN"/>
              </w:rPr>
              <w:t>1</w:t>
            </w:r>
            <w:r>
              <w:rPr>
                <w:rFonts w:hint="eastAsia" w:cs="Times New Roman"/>
                <w:bCs/>
                <w:color w:val="auto"/>
                <w:szCs w:val="21"/>
                <w:lang w:val="en-US" w:eastAsia="zh-CN"/>
              </w:rPr>
              <w:t>0</w:t>
            </w:r>
            <w:r>
              <w:rPr>
                <w:rFonts w:hint="default" w:ascii="Times New Roman" w:hAnsi="Times New Roman" w:cs="Times New Roman"/>
                <w:bCs/>
                <w:color w:val="auto"/>
                <w:szCs w:val="21"/>
              </w:rPr>
              <w:t>t/a），更换废水交由有资质的单位处理，不外排。</w:t>
            </w:r>
          </w:p>
          <w:p w14:paraId="0917FD5B">
            <w:pPr>
              <w:ind w:firstLine="482" w:firstLineChars="200"/>
              <w:rPr>
                <w:rFonts w:hint="default" w:ascii="Times New Roman" w:hAnsi="Times New Roman" w:cs="Times New Roman"/>
                <w:b/>
                <w:iCs/>
                <w:color w:val="auto"/>
                <w:kern w:val="0"/>
                <w:lang w:bidi="ar"/>
              </w:rPr>
            </w:pPr>
            <w:r>
              <w:rPr>
                <w:rFonts w:hint="eastAsia" w:cs="Times New Roman"/>
                <w:b/>
                <w:iCs/>
                <w:color w:val="auto"/>
                <w:kern w:val="0"/>
                <w:lang w:val="en-US" w:eastAsia="zh-CN" w:bidi="ar"/>
              </w:rPr>
              <w:t>③</w:t>
            </w:r>
            <w:r>
              <w:rPr>
                <w:rFonts w:hint="default" w:ascii="Times New Roman" w:hAnsi="Times New Roman" w:cs="Times New Roman"/>
                <w:b/>
                <w:iCs/>
                <w:color w:val="auto"/>
                <w:kern w:val="0"/>
                <w:lang w:bidi="ar"/>
              </w:rPr>
              <w:t>生活污水</w:t>
            </w:r>
          </w:p>
          <w:p w14:paraId="09F815D6">
            <w:pPr>
              <w:ind w:firstLine="480" w:firstLineChars="200"/>
              <w:rPr>
                <w:rFonts w:hint="default" w:ascii="Times New Roman" w:hAnsi="Times New Roman" w:cs="Times New Roman"/>
                <w:iCs/>
                <w:color w:val="auto"/>
                <w:kern w:val="0"/>
                <w:lang w:bidi="ar"/>
              </w:rPr>
            </w:pPr>
            <w:r>
              <w:rPr>
                <w:rFonts w:hint="default" w:ascii="Times New Roman" w:hAnsi="Times New Roman" w:cs="Times New Roman"/>
                <w:color w:val="auto"/>
                <w:kern w:val="0"/>
              </w:rPr>
              <w:t>项目运营期生活用水量为</w:t>
            </w:r>
            <w:r>
              <w:rPr>
                <w:rFonts w:hint="eastAsia" w:cs="Times New Roman"/>
                <w:color w:val="auto"/>
                <w:kern w:val="0"/>
                <w:lang w:val="en-US" w:eastAsia="zh-CN"/>
              </w:rPr>
              <w:t>5</w:t>
            </w:r>
            <w:r>
              <w:rPr>
                <w:rFonts w:hint="default" w:ascii="Times New Roman" w:hAnsi="Times New Roman" w:cs="Times New Roman"/>
                <w:color w:val="auto"/>
              </w:rPr>
              <w:t>t/d（</w:t>
            </w:r>
            <w:r>
              <w:rPr>
                <w:rFonts w:hint="eastAsia" w:cs="Times New Roman"/>
                <w:color w:val="auto"/>
                <w:lang w:val="en-US" w:eastAsia="zh-CN"/>
              </w:rPr>
              <w:t>150</w:t>
            </w:r>
            <w:r>
              <w:rPr>
                <w:rFonts w:hint="default" w:ascii="Times New Roman" w:hAnsi="Times New Roman" w:cs="Times New Roman"/>
                <w:color w:val="auto"/>
                <w:lang w:val="en-US" w:eastAsia="zh-CN"/>
              </w:rPr>
              <w:t>0</w:t>
            </w:r>
            <w:r>
              <w:rPr>
                <w:rFonts w:hint="default" w:ascii="Times New Roman" w:hAnsi="Times New Roman" w:cs="Times New Roman"/>
                <w:color w:val="auto"/>
              </w:rPr>
              <w:t>t/a）</w:t>
            </w:r>
            <w:r>
              <w:rPr>
                <w:rFonts w:hint="default" w:ascii="Times New Roman" w:hAnsi="Times New Roman" w:cs="Times New Roman"/>
                <w:color w:val="auto"/>
                <w:kern w:val="0"/>
              </w:rPr>
              <w:t>，排污系数按90%计算，则排水量为</w:t>
            </w:r>
            <w:r>
              <w:rPr>
                <w:rFonts w:hint="eastAsia" w:cs="Times New Roman"/>
                <w:color w:val="auto"/>
                <w:kern w:val="0"/>
                <w:lang w:val="en-US" w:eastAsia="zh-CN"/>
              </w:rPr>
              <w:t>4.5</w:t>
            </w:r>
            <w:r>
              <w:rPr>
                <w:rFonts w:hint="default" w:ascii="Times New Roman" w:hAnsi="Times New Roman" w:cs="Times New Roman"/>
                <w:color w:val="auto"/>
              </w:rPr>
              <w:t>t/d（</w:t>
            </w:r>
            <w:r>
              <w:rPr>
                <w:rFonts w:hint="eastAsia" w:cs="Times New Roman"/>
                <w:color w:val="auto"/>
                <w:lang w:val="en-US" w:eastAsia="zh-CN"/>
              </w:rPr>
              <w:t>135</w:t>
            </w:r>
            <w:r>
              <w:rPr>
                <w:rFonts w:hint="default" w:ascii="Times New Roman" w:hAnsi="Times New Roman" w:cs="Times New Roman"/>
                <w:color w:val="auto"/>
                <w:lang w:val="en-US" w:eastAsia="zh-CN"/>
              </w:rPr>
              <w:t>0</w:t>
            </w:r>
            <w:r>
              <w:rPr>
                <w:rFonts w:hint="default" w:ascii="Times New Roman" w:hAnsi="Times New Roman" w:cs="Times New Roman"/>
                <w:color w:val="auto"/>
              </w:rPr>
              <w:t>t/a）</w:t>
            </w:r>
            <w:r>
              <w:rPr>
                <w:rFonts w:hint="default" w:ascii="Times New Roman" w:hAnsi="Times New Roman" w:cs="Times New Roman"/>
                <w:iCs/>
                <w:color w:val="auto"/>
                <w:kern w:val="0"/>
                <w:lang w:bidi="ar"/>
              </w:rPr>
              <w:t>。</w:t>
            </w:r>
          </w:p>
          <w:p w14:paraId="381AA7D7">
            <w:pPr>
              <w:keepNext/>
              <w:keepLines/>
              <w:pageBreakBefore/>
              <w:wordWrap/>
              <w:adjustRightInd w:val="0"/>
              <w:snapToGrid w:val="0"/>
              <w:spacing w:line="240" w:lineRule="auto"/>
              <w:jc w:val="center"/>
              <w:rPr>
                <w:rFonts w:hint="default" w:ascii="Times New Roman" w:hAnsi="Times New Roman" w:cs="Times New Roman"/>
                <w:b/>
                <w:color w:val="auto"/>
                <w:kern w:val="21"/>
              </w:rPr>
            </w:pPr>
            <w:r>
              <w:rPr>
                <w:rFonts w:hint="default" w:ascii="Times New Roman" w:hAnsi="Times New Roman" w:cs="Times New Roman"/>
                <w:b/>
                <w:color w:val="auto"/>
              </w:rPr>
              <w:t>表4</w:t>
            </w:r>
            <w:r>
              <w:rPr>
                <w:rFonts w:hint="default" w:ascii="Times New Roman" w:hAnsi="Times New Roman" w:cs="Times New Roman"/>
                <w:b/>
                <w:color w:val="auto"/>
                <w:lang w:val="en-US" w:eastAsia="zh-CN"/>
              </w:rPr>
              <w:t>-16</w:t>
            </w:r>
            <w:r>
              <w:rPr>
                <w:rFonts w:hint="default" w:ascii="Times New Roman" w:hAnsi="Times New Roman" w:cs="Times New Roman"/>
                <w:b/>
                <w:color w:val="auto"/>
              </w:rPr>
              <w:t xml:space="preserve"> 项目废水污染物产排情况一览表</w:t>
            </w:r>
          </w:p>
          <w:tbl>
            <w:tblPr>
              <w:tblStyle w:val="23"/>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427"/>
              <w:gridCol w:w="944"/>
              <w:gridCol w:w="683"/>
              <w:gridCol w:w="591"/>
              <w:gridCol w:w="776"/>
              <w:gridCol w:w="516"/>
              <w:gridCol w:w="542"/>
              <w:gridCol w:w="542"/>
              <w:gridCol w:w="548"/>
              <w:gridCol w:w="742"/>
              <w:gridCol w:w="610"/>
              <w:gridCol w:w="771"/>
              <w:gridCol w:w="385"/>
            </w:tblGrid>
            <w:tr w14:paraId="1166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1" w:type="dxa"/>
                  <w:vMerge w:val="restart"/>
                  <w:vAlign w:val="center"/>
                </w:tcPr>
                <w:p w14:paraId="7CCBBCA7">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产污环节</w:t>
                  </w:r>
                </w:p>
              </w:tc>
              <w:tc>
                <w:tcPr>
                  <w:tcW w:w="427" w:type="dxa"/>
                  <w:vMerge w:val="restart"/>
                  <w:vAlign w:val="center"/>
                </w:tcPr>
                <w:p w14:paraId="3F04B88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类别</w:t>
                  </w:r>
                </w:p>
              </w:tc>
              <w:tc>
                <w:tcPr>
                  <w:tcW w:w="944" w:type="dxa"/>
                  <w:vMerge w:val="restart"/>
                  <w:vAlign w:val="center"/>
                </w:tcPr>
                <w:p w14:paraId="2DAD72CE">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污染物种类</w:t>
                  </w:r>
                </w:p>
              </w:tc>
              <w:tc>
                <w:tcPr>
                  <w:tcW w:w="2050" w:type="dxa"/>
                  <w:gridSpan w:val="3"/>
                  <w:vAlign w:val="center"/>
                </w:tcPr>
                <w:p w14:paraId="0D321CBD">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污染物产生情况</w:t>
                  </w:r>
                </w:p>
              </w:tc>
              <w:tc>
                <w:tcPr>
                  <w:tcW w:w="2148" w:type="dxa"/>
                  <w:gridSpan w:val="4"/>
                  <w:vAlign w:val="center"/>
                </w:tcPr>
                <w:p w14:paraId="702874CC">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主要污染防治措施</w:t>
                  </w:r>
                </w:p>
              </w:tc>
              <w:tc>
                <w:tcPr>
                  <w:tcW w:w="2123" w:type="dxa"/>
                  <w:gridSpan w:val="3"/>
                  <w:vAlign w:val="center"/>
                </w:tcPr>
                <w:p w14:paraId="0AC6AF25">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污染物排放情况</w:t>
                  </w:r>
                </w:p>
              </w:tc>
              <w:tc>
                <w:tcPr>
                  <w:tcW w:w="385" w:type="dxa"/>
                  <w:vMerge w:val="restart"/>
                  <w:vAlign w:val="center"/>
                </w:tcPr>
                <w:p w14:paraId="23648E99">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排放口编号</w:t>
                  </w:r>
                </w:p>
              </w:tc>
            </w:tr>
            <w:tr w14:paraId="0A85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421" w:type="dxa"/>
                  <w:vMerge w:val="continue"/>
                  <w:vAlign w:val="center"/>
                </w:tcPr>
                <w:p w14:paraId="74D2FE6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3856C4A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Merge w:val="continue"/>
                  <w:vAlign w:val="center"/>
                </w:tcPr>
                <w:p w14:paraId="5D5DACF1">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83" w:type="dxa"/>
                  <w:vAlign w:val="center"/>
                </w:tcPr>
                <w:p w14:paraId="37995CA5">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废水产生量（m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/a）</w:t>
                  </w:r>
                </w:p>
              </w:tc>
              <w:tc>
                <w:tcPr>
                  <w:tcW w:w="591" w:type="dxa"/>
                  <w:vAlign w:val="center"/>
                </w:tcPr>
                <w:p w14:paraId="62A1E4B5">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产生浓度（mg/L）</w:t>
                  </w:r>
                </w:p>
              </w:tc>
              <w:tc>
                <w:tcPr>
                  <w:tcW w:w="776" w:type="dxa"/>
                  <w:vAlign w:val="center"/>
                </w:tcPr>
                <w:p w14:paraId="62807838">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产生量（t/a）</w:t>
                  </w:r>
                </w:p>
              </w:tc>
              <w:tc>
                <w:tcPr>
                  <w:tcW w:w="516" w:type="dxa"/>
                  <w:vAlign w:val="center"/>
                </w:tcPr>
                <w:p w14:paraId="17FE546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处理工艺</w:t>
                  </w:r>
                </w:p>
              </w:tc>
              <w:tc>
                <w:tcPr>
                  <w:tcW w:w="542" w:type="dxa"/>
                  <w:vAlign w:val="center"/>
                </w:tcPr>
                <w:p w14:paraId="08D6CD5D">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处理能力（m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/d）</w:t>
                  </w:r>
                </w:p>
              </w:tc>
              <w:tc>
                <w:tcPr>
                  <w:tcW w:w="542" w:type="dxa"/>
                  <w:vAlign w:val="center"/>
                </w:tcPr>
                <w:p w14:paraId="3C61AA92">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治理效率（%）</w:t>
                  </w:r>
                </w:p>
              </w:tc>
              <w:tc>
                <w:tcPr>
                  <w:tcW w:w="548" w:type="dxa"/>
                  <w:vAlign w:val="center"/>
                </w:tcPr>
                <w:p w14:paraId="417351EC">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是否为可行性技术</w:t>
                  </w:r>
                </w:p>
              </w:tc>
              <w:tc>
                <w:tcPr>
                  <w:tcW w:w="742" w:type="dxa"/>
                  <w:vAlign w:val="center"/>
                </w:tcPr>
                <w:p w14:paraId="3DDB225A">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废水排放量（m</w:t>
                  </w:r>
                  <w:r>
                    <w:rPr>
                      <w:rFonts w:hint="default" w:ascii="Times New Roman" w:hAnsi="Times New Roman" w:cs="Times New Roman"/>
                      <w:b/>
                      <w:color w:val="auto"/>
                      <w:kern w:val="21"/>
                      <w:sz w:val="21"/>
                      <w:szCs w:val="21"/>
                      <w:vertAlign w:val="superscript"/>
                    </w:rPr>
                    <w:t>3</w:t>
                  </w:r>
                  <w:r>
                    <w:rPr>
                      <w:rFonts w:hint="default" w:ascii="Times New Roman" w:hAnsi="Times New Roman" w:cs="Times New Roman"/>
                      <w:b/>
                      <w:color w:val="auto"/>
                      <w:kern w:val="21"/>
                      <w:sz w:val="21"/>
                      <w:szCs w:val="21"/>
                    </w:rPr>
                    <w:t>/a）</w:t>
                  </w:r>
                </w:p>
              </w:tc>
              <w:tc>
                <w:tcPr>
                  <w:tcW w:w="610" w:type="dxa"/>
                  <w:vAlign w:val="center"/>
                </w:tcPr>
                <w:p w14:paraId="2C8D4FA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排放浓度（mg/L）</w:t>
                  </w:r>
                </w:p>
              </w:tc>
              <w:tc>
                <w:tcPr>
                  <w:tcW w:w="771" w:type="dxa"/>
                  <w:vAlign w:val="center"/>
                </w:tcPr>
                <w:p w14:paraId="45ACA191">
                  <w:pPr>
                    <w:keepNext/>
                    <w:keepLines/>
                    <w:pageBreakBefore/>
                    <w:wordWrap/>
                    <w:adjustRightInd w:val="0"/>
                    <w:snapToGrid w:val="0"/>
                    <w:spacing w:line="240" w:lineRule="auto"/>
                    <w:jc w:val="center"/>
                    <w:rPr>
                      <w:rFonts w:hint="default" w:ascii="Times New Roman" w:hAnsi="Times New Roman" w:cs="Times New Roman"/>
                      <w:b/>
                      <w:color w:val="auto"/>
                      <w:kern w:val="21"/>
                      <w:sz w:val="21"/>
                      <w:szCs w:val="21"/>
                    </w:rPr>
                  </w:pPr>
                  <w:r>
                    <w:rPr>
                      <w:rFonts w:hint="default" w:ascii="Times New Roman" w:hAnsi="Times New Roman" w:cs="Times New Roman"/>
                      <w:b/>
                      <w:color w:val="auto"/>
                      <w:kern w:val="21"/>
                      <w:sz w:val="21"/>
                      <w:szCs w:val="21"/>
                    </w:rPr>
                    <w:t>排放量（t/a）</w:t>
                  </w:r>
                </w:p>
              </w:tc>
              <w:tc>
                <w:tcPr>
                  <w:tcW w:w="385" w:type="dxa"/>
                  <w:vMerge w:val="continue"/>
                  <w:vAlign w:val="center"/>
                </w:tcPr>
                <w:p w14:paraId="59C7788B">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r w14:paraId="7BA67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21" w:type="dxa"/>
                  <w:vMerge w:val="restart"/>
                  <w:vAlign w:val="center"/>
                </w:tcPr>
                <w:p w14:paraId="58C386B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办公生活</w:t>
                  </w:r>
                </w:p>
              </w:tc>
              <w:tc>
                <w:tcPr>
                  <w:tcW w:w="427" w:type="dxa"/>
                  <w:vMerge w:val="restart"/>
                  <w:vAlign w:val="center"/>
                </w:tcPr>
                <w:p w14:paraId="28A2516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生活污水</w:t>
                  </w:r>
                </w:p>
              </w:tc>
              <w:tc>
                <w:tcPr>
                  <w:tcW w:w="944" w:type="dxa"/>
                  <w:vAlign w:val="center"/>
                </w:tcPr>
                <w:p w14:paraId="05528FBA">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COD</w:t>
                  </w:r>
                  <w:r>
                    <w:rPr>
                      <w:rFonts w:hint="default" w:ascii="Times New Roman" w:hAnsi="Times New Roman" w:cs="Times New Roman"/>
                      <w:bCs/>
                      <w:color w:val="auto"/>
                      <w:kern w:val="21"/>
                      <w:sz w:val="21"/>
                      <w:szCs w:val="21"/>
                      <w:vertAlign w:val="subscript"/>
                    </w:rPr>
                    <w:t>Cr</w:t>
                  </w:r>
                </w:p>
              </w:tc>
              <w:tc>
                <w:tcPr>
                  <w:tcW w:w="683" w:type="dxa"/>
                  <w:vMerge w:val="restart"/>
                  <w:vAlign w:val="center"/>
                </w:tcPr>
                <w:p w14:paraId="41AB661D">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1350</w:t>
                  </w:r>
                </w:p>
              </w:tc>
              <w:tc>
                <w:tcPr>
                  <w:tcW w:w="591" w:type="dxa"/>
                  <w:vAlign w:val="center"/>
                </w:tcPr>
                <w:p w14:paraId="4EC11E9B">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250</w:t>
                  </w:r>
                </w:p>
              </w:tc>
              <w:tc>
                <w:tcPr>
                  <w:tcW w:w="776" w:type="dxa"/>
                  <w:vAlign w:val="center"/>
                </w:tcPr>
                <w:p w14:paraId="15B3B2CA">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0.338</w:t>
                  </w:r>
                </w:p>
              </w:tc>
              <w:tc>
                <w:tcPr>
                  <w:tcW w:w="516" w:type="dxa"/>
                  <w:vMerge w:val="restart"/>
                  <w:vAlign w:val="center"/>
                </w:tcPr>
                <w:p w14:paraId="2F9362C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三级化粪池</w:t>
                  </w:r>
                </w:p>
              </w:tc>
              <w:tc>
                <w:tcPr>
                  <w:tcW w:w="542" w:type="dxa"/>
                  <w:vMerge w:val="restart"/>
                  <w:vAlign w:val="center"/>
                </w:tcPr>
                <w:p w14:paraId="49BBF90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lang w:val="en-US"/>
                    </w:rPr>
                  </w:pPr>
                  <w:r>
                    <w:rPr>
                      <w:rFonts w:hint="default" w:ascii="Times New Roman" w:hAnsi="Times New Roman" w:cs="Times New Roman"/>
                      <w:bCs/>
                      <w:color w:val="auto"/>
                      <w:kern w:val="21"/>
                      <w:sz w:val="21"/>
                      <w:szCs w:val="21"/>
                      <w:lang w:val="en-US" w:eastAsia="zh-CN"/>
                    </w:rPr>
                    <w:t>10</w:t>
                  </w:r>
                </w:p>
              </w:tc>
              <w:tc>
                <w:tcPr>
                  <w:tcW w:w="542" w:type="dxa"/>
                  <w:vAlign w:val="center"/>
                </w:tcPr>
                <w:p w14:paraId="6F02CF32">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30</w:t>
                  </w:r>
                </w:p>
              </w:tc>
              <w:tc>
                <w:tcPr>
                  <w:tcW w:w="548" w:type="dxa"/>
                  <w:vMerge w:val="restart"/>
                  <w:vAlign w:val="center"/>
                </w:tcPr>
                <w:p w14:paraId="3B5FE72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是</w:t>
                  </w:r>
                </w:p>
              </w:tc>
              <w:tc>
                <w:tcPr>
                  <w:tcW w:w="742" w:type="dxa"/>
                  <w:vMerge w:val="restart"/>
                  <w:vAlign w:val="center"/>
                </w:tcPr>
                <w:p w14:paraId="060B6B33">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1350</w:t>
                  </w:r>
                </w:p>
              </w:tc>
              <w:tc>
                <w:tcPr>
                  <w:tcW w:w="610" w:type="dxa"/>
                  <w:vAlign w:val="center"/>
                </w:tcPr>
                <w:p w14:paraId="31E2F775">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40</w:t>
                  </w:r>
                </w:p>
              </w:tc>
              <w:tc>
                <w:tcPr>
                  <w:tcW w:w="771" w:type="dxa"/>
                  <w:vAlign w:val="center"/>
                </w:tcPr>
                <w:p w14:paraId="66792E38">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54</w:t>
                  </w:r>
                </w:p>
              </w:tc>
              <w:tc>
                <w:tcPr>
                  <w:tcW w:w="385" w:type="dxa"/>
                  <w:vMerge w:val="restart"/>
                  <w:vAlign w:val="center"/>
                </w:tcPr>
                <w:p w14:paraId="0B5453F8">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DW001</w:t>
                  </w:r>
                </w:p>
              </w:tc>
            </w:tr>
            <w:tr w14:paraId="6332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21" w:type="dxa"/>
                  <w:vMerge w:val="continue"/>
                  <w:vAlign w:val="center"/>
                </w:tcPr>
                <w:p w14:paraId="393AF242">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2EDC037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Align w:val="center"/>
                </w:tcPr>
                <w:p w14:paraId="2630ABF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BOD</w:t>
                  </w:r>
                  <w:r>
                    <w:rPr>
                      <w:rFonts w:hint="default" w:ascii="Times New Roman" w:hAnsi="Times New Roman" w:cs="Times New Roman"/>
                      <w:bCs/>
                      <w:color w:val="auto"/>
                      <w:kern w:val="21"/>
                      <w:sz w:val="21"/>
                      <w:szCs w:val="21"/>
                      <w:vertAlign w:val="subscript"/>
                    </w:rPr>
                    <w:t>5</w:t>
                  </w:r>
                </w:p>
              </w:tc>
              <w:tc>
                <w:tcPr>
                  <w:tcW w:w="683" w:type="dxa"/>
                  <w:vMerge w:val="continue"/>
                  <w:vAlign w:val="center"/>
                </w:tcPr>
                <w:p w14:paraId="38F9CAC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91" w:type="dxa"/>
                  <w:vAlign w:val="center"/>
                </w:tcPr>
                <w:p w14:paraId="0D7E2215">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120</w:t>
                  </w:r>
                </w:p>
              </w:tc>
              <w:tc>
                <w:tcPr>
                  <w:tcW w:w="776" w:type="dxa"/>
                  <w:vAlign w:val="center"/>
                </w:tcPr>
                <w:p w14:paraId="75E6B63D">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0.162</w:t>
                  </w:r>
                </w:p>
              </w:tc>
              <w:tc>
                <w:tcPr>
                  <w:tcW w:w="516" w:type="dxa"/>
                  <w:vMerge w:val="continue"/>
                  <w:vAlign w:val="center"/>
                </w:tcPr>
                <w:p w14:paraId="56EF8BF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Merge w:val="continue"/>
                  <w:vAlign w:val="center"/>
                </w:tcPr>
                <w:p w14:paraId="018A3FD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Align w:val="center"/>
                </w:tcPr>
                <w:p w14:paraId="676AC1FB">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20</w:t>
                  </w:r>
                </w:p>
              </w:tc>
              <w:tc>
                <w:tcPr>
                  <w:tcW w:w="548" w:type="dxa"/>
                  <w:vMerge w:val="continue"/>
                  <w:vAlign w:val="center"/>
                </w:tcPr>
                <w:p w14:paraId="28723D7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42" w:type="dxa"/>
                  <w:vMerge w:val="continue"/>
                  <w:vAlign w:val="center"/>
                </w:tcPr>
                <w:p w14:paraId="1384DB3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10" w:type="dxa"/>
                  <w:vAlign w:val="center"/>
                </w:tcPr>
                <w:p w14:paraId="13055DD4">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10</w:t>
                  </w:r>
                </w:p>
              </w:tc>
              <w:tc>
                <w:tcPr>
                  <w:tcW w:w="771" w:type="dxa"/>
                  <w:vAlign w:val="center"/>
                </w:tcPr>
                <w:p w14:paraId="76087AD3">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14</w:t>
                  </w:r>
                </w:p>
              </w:tc>
              <w:tc>
                <w:tcPr>
                  <w:tcW w:w="385" w:type="dxa"/>
                  <w:vMerge w:val="continue"/>
                  <w:vAlign w:val="center"/>
                </w:tcPr>
                <w:p w14:paraId="6A86BF1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r w14:paraId="55EF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 w:hRule="atLeast"/>
                <w:jc w:val="center"/>
              </w:trPr>
              <w:tc>
                <w:tcPr>
                  <w:tcW w:w="421" w:type="dxa"/>
                  <w:vMerge w:val="continue"/>
                  <w:vAlign w:val="center"/>
                </w:tcPr>
                <w:p w14:paraId="152B23AE">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6412035A">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Align w:val="center"/>
                </w:tcPr>
                <w:p w14:paraId="3AB91CC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SS</w:t>
                  </w:r>
                </w:p>
              </w:tc>
              <w:tc>
                <w:tcPr>
                  <w:tcW w:w="683" w:type="dxa"/>
                  <w:vMerge w:val="continue"/>
                  <w:vAlign w:val="center"/>
                </w:tcPr>
                <w:p w14:paraId="5B7D1F1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91" w:type="dxa"/>
                  <w:vAlign w:val="center"/>
                </w:tcPr>
                <w:p w14:paraId="023B43D8">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180</w:t>
                  </w:r>
                </w:p>
              </w:tc>
              <w:tc>
                <w:tcPr>
                  <w:tcW w:w="776" w:type="dxa"/>
                  <w:vAlign w:val="center"/>
                </w:tcPr>
                <w:p w14:paraId="727E8405">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0.243</w:t>
                  </w:r>
                </w:p>
              </w:tc>
              <w:tc>
                <w:tcPr>
                  <w:tcW w:w="516" w:type="dxa"/>
                  <w:vMerge w:val="continue"/>
                  <w:vAlign w:val="center"/>
                </w:tcPr>
                <w:p w14:paraId="408E7255">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Merge w:val="continue"/>
                  <w:vAlign w:val="center"/>
                </w:tcPr>
                <w:p w14:paraId="6688E2DE">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Align w:val="center"/>
                </w:tcPr>
                <w:p w14:paraId="3AA1A6F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30</w:t>
                  </w:r>
                </w:p>
              </w:tc>
              <w:tc>
                <w:tcPr>
                  <w:tcW w:w="548" w:type="dxa"/>
                  <w:vMerge w:val="continue"/>
                  <w:vAlign w:val="center"/>
                </w:tcPr>
                <w:p w14:paraId="31822B7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42" w:type="dxa"/>
                  <w:vMerge w:val="continue"/>
                  <w:vAlign w:val="center"/>
                </w:tcPr>
                <w:p w14:paraId="2FF5E657">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10" w:type="dxa"/>
                  <w:vAlign w:val="center"/>
                </w:tcPr>
                <w:p w14:paraId="36A2FC66">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10</w:t>
                  </w:r>
                </w:p>
              </w:tc>
              <w:tc>
                <w:tcPr>
                  <w:tcW w:w="771" w:type="dxa"/>
                  <w:vAlign w:val="center"/>
                </w:tcPr>
                <w:p w14:paraId="0FBD0CBC">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14</w:t>
                  </w:r>
                </w:p>
              </w:tc>
              <w:tc>
                <w:tcPr>
                  <w:tcW w:w="385" w:type="dxa"/>
                  <w:vMerge w:val="continue"/>
                  <w:vAlign w:val="center"/>
                </w:tcPr>
                <w:p w14:paraId="7CF7557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r w14:paraId="37222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21" w:type="dxa"/>
                  <w:vMerge w:val="continue"/>
                  <w:vAlign w:val="center"/>
                </w:tcPr>
                <w:p w14:paraId="5AD2E12C">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427" w:type="dxa"/>
                  <w:vMerge w:val="continue"/>
                  <w:vAlign w:val="center"/>
                </w:tcPr>
                <w:p w14:paraId="7EE188AE">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944" w:type="dxa"/>
                  <w:vAlign w:val="center"/>
                </w:tcPr>
                <w:p w14:paraId="7BF11129">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氨氮</w:t>
                  </w:r>
                </w:p>
              </w:tc>
              <w:tc>
                <w:tcPr>
                  <w:tcW w:w="683" w:type="dxa"/>
                  <w:vMerge w:val="continue"/>
                  <w:vAlign w:val="center"/>
                </w:tcPr>
                <w:p w14:paraId="132BD452">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91" w:type="dxa"/>
                  <w:vAlign w:val="center"/>
                </w:tcPr>
                <w:p w14:paraId="5A854EAD">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20</w:t>
                  </w:r>
                </w:p>
              </w:tc>
              <w:tc>
                <w:tcPr>
                  <w:tcW w:w="776" w:type="dxa"/>
                  <w:vAlign w:val="center"/>
                </w:tcPr>
                <w:p w14:paraId="6F8D0B5D">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w:t>
                  </w:r>
                  <w:r>
                    <w:rPr>
                      <w:rFonts w:hint="eastAsia" w:cs="Times New Roman"/>
                      <w:bCs/>
                      <w:color w:val="auto"/>
                      <w:kern w:val="21"/>
                      <w:sz w:val="21"/>
                      <w:szCs w:val="21"/>
                      <w:lang w:val="en-US" w:eastAsia="zh-CN"/>
                    </w:rPr>
                    <w:t>027</w:t>
                  </w:r>
                </w:p>
              </w:tc>
              <w:tc>
                <w:tcPr>
                  <w:tcW w:w="516" w:type="dxa"/>
                  <w:vMerge w:val="continue"/>
                  <w:vAlign w:val="center"/>
                </w:tcPr>
                <w:p w14:paraId="5E60FD4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Merge w:val="continue"/>
                  <w:vAlign w:val="center"/>
                </w:tcPr>
                <w:p w14:paraId="39429926">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542" w:type="dxa"/>
                  <w:vAlign w:val="center"/>
                </w:tcPr>
                <w:p w14:paraId="4F59B62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10</w:t>
                  </w:r>
                </w:p>
              </w:tc>
              <w:tc>
                <w:tcPr>
                  <w:tcW w:w="548" w:type="dxa"/>
                  <w:vMerge w:val="continue"/>
                  <w:vAlign w:val="center"/>
                </w:tcPr>
                <w:p w14:paraId="2913B250">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742" w:type="dxa"/>
                  <w:vMerge w:val="continue"/>
                  <w:vAlign w:val="center"/>
                </w:tcPr>
                <w:p w14:paraId="367EC933">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c>
                <w:tcPr>
                  <w:tcW w:w="610" w:type="dxa"/>
                  <w:vAlign w:val="center"/>
                </w:tcPr>
                <w:p w14:paraId="414F393F">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5</w:t>
                  </w:r>
                </w:p>
              </w:tc>
              <w:tc>
                <w:tcPr>
                  <w:tcW w:w="771" w:type="dxa"/>
                  <w:vAlign w:val="center"/>
                </w:tcPr>
                <w:p w14:paraId="0B00CA6C">
                  <w:pPr>
                    <w:keepNext/>
                    <w:keepLines/>
                    <w:pageBreakBefore/>
                    <w:wordWrap/>
                    <w:adjustRightInd w:val="0"/>
                    <w:snapToGrid w:val="0"/>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0.</w:t>
                  </w:r>
                  <w:r>
                    <w:rPr>
                      <w:rFonts w:hint="eastAsia" w:cs="Times New Roman"/>
                      <w:bCs/>
                      <w:color w:val="auto"/>
                      <w:kern w:val="21"/>
                      <w:sz w:val="21"/>
                      <w:szCs w:val="21"/>
                      <w:lang w:val="en-US" w:eastAsia="zh-CN"/>
                    </w:rPr>
                    <w:t>007</w:t>
                  </w:r>
                </w:p>
              </w:tc>
              <w:tc>
                <w:tcPr>
                  <w:tcW w:w="385" w:type="dxa"/>
                  <w:vMerge w:val="continue"/>
                  <w:vAlign w:val="center"/>
                </w:tcPr>
                <w:p w14:paraId="6119B701">
                  <w:pPr>
                    <w:keepNext/>
                    <w:keepLines/>
                    <w:pageBreakBefore/>
                    <w:wordWrap/>
                    <w:adjustRightInd w:val="0"/>
                    <w:snapToGrid w:val="0"/>
                    <w:spacing w:line="240" w:lineRule="auto"/>
                    <w:jc w:val="center"/>
                    <w:rPr>
                      <w:rFonts w:hint="default" w:ascii="Times New Roman" w:hAnsi="Times New Roman" w:cs="Times New Roman"/>
                      <w:bCs/>
                      <w:color w:val="auto"/>
                      <w:kern w:val="21"/>
                      <w:sz w:val="21"/>
                      <w:szCs w:val="21"/>
                    </w:rPr>
                  </w:pPr>
                </w:p>
              </w:tc>
            </w:tr>
          </w:tbl>
          <w:p w14:paraId="7217CE0E">
            <w:pPr>
              <w:ind w:left="480" w:leftChars="200"/>
              <w:rPr>
                <w:rFonts w:hint="default" w:ascii="Times New Roman" w:hAnsi="Times New Roman" w:cs="Times New Roman"/>
                <w:b/>
                <w:color w:val="auto"/>
              </w:rPr>
            </w:pPr>
            <w:r>
              <w:rPr>
                <w:rFonts w:hint="default" w:ascii="Times New Roman" w:hAnsi="Times New Roman" w:cs="Times New Roman"/>
                <w:b/>
                <w:color w:val="auto"/>
                <w:kern w:val="0"/>
                <w:szCs w:val="22"/>
                <w:lang w:bidi="ar"/>
              </w:rPr>
              <w:t xml:space="preserve"> </w:t>
            </w:r>
            <w:r>
              <w:rPr>
                <w:rFonts w:hint="default" w:ascii="Times New Roman" w:hAnsi="Times New Roman" w:cs="Times New Roman"/>
                <w:b/>
                <w:color w:val="auto"/>
              </w:rPr>
              <w:t>（2）水环境影响分析</w:t>
            </w:r>
          </w:p>
          <w:p w14:paraId="117730FE">
            <w:pPr>
              <w:ind w:firstLine="482" w:firstLineChars="200"/>
              <w:rPr>
                <w:rFonts w:hint="default" w:ascii="Times New Roman" w:hAnsi="Times New Roman" w:cs="Times New Roman"/>
                <w:b/>
                <w:color w:val="auto"/>
                <w:szCs w:val="22"/>
              </w:rPr>
            </w:pPr>
            <w:r>
              <w:rPr>
                <w:rFonts w:hint="default" w:ascii="Times New Roman" w:hAnsi="Times New Roman" w:cs="Times New Roman"/>
                <w:b/>
                <w:bCs/>
                <w:color w:val="auto"/>
                <w:szCs w:val="22"/>
              </w:rPr>
              <w:t>1）</w:t>
            </w:r>
            <w:bookmarkStart w:id="17" w:name="废水排放可行性分析"/>
            <w:r>
              <w:rPr>
                <w:rFonts w:hint="default" w:ascii="Times New Roman" w:hAnsi="Times New Roman" w:cs="Times New Roman"/>
                <w:b/>
                <w:bCs/>
                <w:color w:val="auto"/>
                <w:szCs w:val="22"/>
              </w:rPr>
              <w:t>废水排放可行性分析</w:t>
            </w:r>
            <w:bookmarkEnd w:id="17"/>
          </w:p>
          <w:p w14:paraId="10B5933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①水污染控制和水环境影响减缓措施有效性</w:t>
            </w:r>
          </w:p>
          <w:p w14:paraId="3209C794">
            <w:pPr>
              <w:keepNext w:val="0"/>
              <w:keepLines w:val="0"/>
              <w:widowControl/>
              <w:suppressLineNumbers w:val="0"/>
              <w:ind w:firstLine="480" w:firstLineChars="20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项目所在区域属于博罗县石湾镇大牛垒生活污水处理厂集污范围，且管网现已铺设到项目所在区域。石湾镇生活污水处理厂位于博罗县石湾镇湖西路西端，于</w:t>
            </w:r>
            <w:r>
              <w:rPr>
                <w:rFonts w:hint="default" w:ascii="Times New Roman" w:hAnsi="Times New Roman" w:eastAsia="宋体" w:cs="Times New Roman"/>
                <w:color w:val="auto"/>
                <w:kern w:val="0"/>
                <w:sz w:val="24"/>
                <w:szCs w:val="24"/>
                <w:lang w:val="en-US" w:eastAsia="zh-CN" w:bidi="ar"/>
              </w:rPr>
              <w:t>2012</w:t>
            </w:r>
            <w:r>
              <w:rPr>
                <w:rFonts w:hint="eastAsia" w:ascii="宋体" w:hAnsi="宋体" w:eastAsia="宋体" w:cs="宋体"/>
                <w:color w:val="auto"/>
                <w:kern w:val="0"/>
                <w:sz w:val="24"/>
                <w:szCs w:val="24"/>
                <w:lang w:val="en-US" w:eastAsia="zh-CN" w:bidi="ar"/>
              </w:rPr>
              <w:t>年建设并投入使用。总占地面积</w:t>
            </w:r>
            <w:r>
              <w:rPr>
                <w:rFonts w:hint="default" w:ascii="Times New Roman" w:hAnsi="Times New Roman" w:eastAsia="宋体" w:cs="Times New Roman"/>
                <w:color w:val="auto"/>
                <w:kern w:val="0"/>
                <w:sz w:val="24"/>
                <w:szCs w:val="24"/>
                <w:lang w:val="en-US" w:eastAsia="zh-CN" w:bidi="ar"/>
              </w:rPr>
              <w:t>33342.3m</w:t>
            </w:r>
            <w:r>
              <w:rPr>
                <w:rFonts w:hint="default" w:ascii="Times New Roman" w:hAnsi="Times New Roman" w:eastAsia="宋体" w:cs="Times New Roman"/>
                <w:color w:val="auto"/>
                <w:kern w:val="0"/>
                <w:sz w:val="24"/>
                <w:szCs w:val="24"/>
                <w:vertAlign w:val="superscript"/>
                <w:lang w:val="en-US" w:eastAsia="zh-CN" w:bidi="ar"/>
              </w:rPr>
              <w:t>2</w:t>
            </w:r>
            <w:r>
              <w:rPr>
                <w:rFonts w:hint="eastAsia" w:ascii="宋体" w:hAnsi="宋体" w:eastAsia="宋体" w:cs="宋体"/>
                <w:color w:val="auto"/>
                <w:kern w:val="0"/>
                <w:sz w:val="24"/>
                <w:szCs w:val="24"/>
                <w:lang w:val="en-US" w:eastAsia="zh-CN" w:bidi="ar"/>
              </w:rPr>
              <w:t>，设计总处理规模为</w:t>
            </w:r>
            <w:r>
              <w:rPr>
                <w:rFonts w:hint="default" w:ascii="Times New Roman" w:hAnsi="Times New Roman" w:eastAsia="宋体" w:cs="Times New Roman"/>
                <w:color w:val="auto"/>
                <w:kern w:val="0"/>
                <w:sz w:val="24"/>
                <w:szCs w:val="24"/>
                <w:lang w:val="en-US" w:eastAsia="zh-CN" w:bidi="ar"/>
              </w:rPr>
              <w:t>6</w:t>
            </w:r>
            <w:r>
              <w:rPr>
                <w:rFonts w:hint="eastAsia" w:ascii="宋体" w:hAnsi="宋体" w:eastAsia="宋体" w:cs="宋体"/>
                <w:color w:val="auto"/>
                <w:kern w:val="0"/>
                <w:sz w:val="24"/>
                <w:szCs w:val="24"/>
                <w:lang w:val="en-US" w:eastAsia="zh-CN" w:bidi="ar"/>
              </w:rPr>
              <w:t>万</w:t>
            </w:r>
            <w:r>
              <w:rPr>
                <w:rFonts w:hint="default" w:ascii="Times New Roman" w:hAnsi="Times New Roman" w:eastAsia="宋体" w:cs="Times New Roman"/>
                <w:color w:val="auto"/>
                <w:kern w:val="0"/>
                <w:sz w:val="24"/>
                <w:szCs w:val="24"/>
                <w:lang w:val="en-US" w:eastAsia="zh-CN" w:bidi="ar"/>
              </w:rPr>
              <w:t>m</w:t>
            </w:r>
            <w:r>
              <w:rPr>
                <w:rFonts w:hint="default" w:ascii="Times New Roman" w:hAnsi="Times New Roman" w:eastAsia="宋体" w:cs="Times New Roman"/>
                <w:color w:val="auto"/>
                <w:kern w:val="0"/>
                <w:sz w:val="24"/>
                <w:szCs w:val="24"/>
                <w:vertAlign w:val="superscript"/>
                <w:lang w:val="en-US" w:eastAsia="zh-CN" w:bidi="ar"/>
              </w:rPr>
              <w:t>3</w:t>
            </w:r>
            <w:r>
              <w:rPr>
                <w:rFonts w:hint="default" w:ascii="Times New Roman" w:hAnsi="Times New Roman" w:eastAsia="宋体" w:cs="Times New Roman"/>
                <w:color w:val="auto"/>
                <w:kern w:val="0"/>
                <w:sz w:val="24"/>
                <w:szCs w:val="24"/>
                <w:lang w:val="en-US" w:eastAsia="zh-CN" w:bidi="ar"/>
              </w:rPr>
              <w:t>/d</w:t>
            </w:r>
            <w:r>
              <w:rPr>
                <w:rFonts w:hint="eastAsia" w:ascii="宋体" w:hAnsi="宋体" w:eastAsia="宋体" w:cs="宋体"/>
                <w:color w:val="auto"/>
                <w:kern w:val="0"/>
                <w:sz w:val="24"/>
                <w:szCs w:val="24"/>
                <w:lang w:val="en-US" w:eastAsia="zh-CN" w:bidi="ar"/>
              </w:rPr>
              <w:t>，分三期进行建设。主要服务范围为石湾村委会、旧城区、新城区、湖山村、中岗村、鸾岗村、里波水村、滘吓村等地区，服务范围面积约</w:t>
            </w:r>
            <w:r>
              <w:rPr>
                <w:rFonts w:hint="default" w:ascii="Times New Roman" w:hAnsi="Times New Roman" w:eastAsia="宋体" w:cs="Times New Roman"/>
                <w:color w:val="auto"/>
                <w:kern w:val="0"/>
                <w:sz w:val="24"/>
                <w:szCs w:val="24"/>
                <w:lang w:val="en-US" w:eastAsia="zh-CN" w:bidi="ar"/>
              </w:rPr>
              <w:t>26.28km</w:t>
            </w:r>
            <w:r>
              <w:rPr>
                <w:rFonts w:hint="default" w:ascii="Times New Roman" w:hAnsi="Times New Roman" w:eastAsia="宋体" w:cs="Times New Roman"/>
                <w:color w:val="auto"/>
                <w:kern w:val="0"/>
                <w:sz w:val="24"/>
                <w:szCs w:val="24"/>
                <w:vertAlign w:val="superscript"/>
                <w:lang w:val="en-US" w:eastAsia="zh-CN" w:bidi="ar"/>
              </w:rPr>
              <w:t>2</w:t>
            </w:r>
            <w:r>
              <w:rPr>
                <w:rFonts w:hint="eastAsia" w:ascii="宋体" w:hAnsi="宋体" w:eastAsia="宋体" w:cs="宋体"/>
                <w:color w:val="auto"/>
                <w:kern w:val="0"/>
                <w:sz w:val="24"/>
                <w:szCs w:val="24"/>
                <w:lang w:val="en-US" w:eastAsia="zh-CN" w:bidi="ar"/>
              </w:rPr>
              <w:t>，一期建设处理规模</w:t>
            </w:r>
            <w:r>
              <w:rPr>
                <w:rFonts w:hint="default" w:ascii="Times New Roman" w:hAnsi="Times New Roman" w:eastAsia="宋体" w:cs="Times New Roman"/>
                <w:color w:val="auto"/>
                <w:kern w:val="0"/>
                <w:sz w:val="24"/>
                <w:szCs w:val="24"/>
                <w:lang w:val="en-US" w:eastAsia="zh-CN" w:bidi="ar"/>
              </w:rPr>
              <w:t>1.0</w:t>
            </w:r>
            <w:r>
              <w:rPr>
                <w:rFonts w:hint="eastAsia" w:ascii="宋体" w:hAnsi="宋体" w:eastAsia="宋体" w:cs="宋体"/>
                <w:color w:val="auto"/>
                <w:kern w:val="0"/>
                <w:sz w:val="24"/>
                <w:szCs w:val="24"/>
                <w:lang w:val="en-US" w:eastAsia="zh-CN" w:bidi="ar"/>
              </w:rPr>
              <w:t>万</w:t>
            </w:r>
            <w:r>
              <w:rPr>
                <w:rFonts w:hint="default" w:ascii="Times New Roman" w:hAnsi="Times New Roman" w:eastAsia="宋体" w:cs="Times New Roman"/>
                <w:color w:val="auto"/>
                <w:kern w:val="0"/>
                <w:sz w:val="24"/>
                <w:szCs w:val="24"/>
                <w:lang w:val="en-US" w:eastAsia="zh-CN" w:bidi="ar"/>
              </w:rPr>
              <w:t>m</w:t>
            </w:r>
            <w:r>
              <w:rPr>
                <w:rFonts w:hint="default" w:ascii="Times New Roman" w:hAnsi="Times New Roman" w:eastAsia="宋体" w:cs="Times New Roman"/>
                <w:color w:val="auto"/>
                <w:kern w:val="0"/>
                <w:sz w:val="24"/>
                <w:szCs w:val="24"/>
                <w:vertAlign w:val="superscript"/>
                <w:lang w:val="en-US" w:eastAsia="zh-CN" w:bidi="ar"/>
              </w:rPr>
              <w:t>3</w:t>
            </w:r>
            <w:r>
              <w:rPr>
                <w:rFonts w:hint="default" w:ascii="Times New Roman" w:hAnsi="Times New Roman" w:eastAsia="宋体" w:cs="Times New Roman"/>
                <w:color w:val="auto"/>
                <w:kern w:val="0"/>
                <w:sz w:val="24"/>
                <w:szCs w:val="24"/>
                <w:lang w:val="en-US" w:eastAsia="zh-CN" w:bidi="ar"/>
              </w:rPr>
              <w:t>/d</w:t>
            </w:r>
            <w:r>
              <w:rPr>
                <w:rFonts w:hint="eastAsia" w:ascii="宋体" w:hAnsi="宋体" w:eastAsia="宋体" w:cs="宋体"/>
                <w:color w:val="auto"/>
                <w:kern w:val="0"/>
                <w:sz w:val="24"/>
                <w:szCs w:val="24"/>
                <w:lang w:val="en-US" w:eastAsia="zh-CN" w:bidi="ar"/>
              </w:rPr>
              <w:t>，于</w:t>
            </w:r>
            <w:r>
              <w:rPr>
                <w:rFonts w:hint="default" w:ascii="Times New Roman" w:hAnsi="Times New Roman" w:eastAsia="宋体" w:cs="Times New Roman"/>
                <w:color w:val="auto"/>
                <w:kern w:val="0"/>
                <w:sz w:val="24"/>
                <w:szCs w:val="24"/>
                <w:lang w:val="en-US" w:eastAsia="zh-CN" w:bidi="ar"/>
              </w:rPr>
              <w:t>2012</w:t>
            </w:r>
            <w:r>
              <w:rPr>
                <w:rFonts w:hint="eastAsia" w:ascii="宋体" w:hAnsi="宋体" w:eastAsia="宋体" w:cs="宋体"/>
                <w:color w:val="auto"/>
                <w:kern w:val="0"/>
                <w:sz w:val="24"/>
                <w:szCs w:val="24"/>
                <w:lang w:val="en-US" w:eastAsia="zh-CN" w:bidi="ar"/>
              </w:rPr>
              <w:t>年完成建设并投入使用，二期建设处理规模</w:t>
            </w:r>
            <w:r>
              <w:rPr>
                <w:rFonts w:hint="default" w:ascii="Times New Roman" w:hAnsi="Times New Roman" w:eastAsia="宋体" w:cs="Times New Roman"/>
                <w:color w:val="auto"/>
                <w:kern w:val="0"/>
                <w:sz w:val="24"/>
                <w:szCs w:val="24"/>
                <w:lang w:val="en-US" w:eastAsia="zh-CN" w:bidi="ar"/>
              </w:rPr>
              <w:t>2.0</w:t>
            </w:r>
            <w:r>
              <w:rPr>
                <w:rFonts w:hint="eastAsia" w:ascii="宋体" w:hAnsi="宋体" w:eastAsia="宋体" w:cs="宋体"/>
                <w:color w:val="auto"/>
                <w:kern w:val="0"/>
                <w:sz w:val="24"/>
                <w:szCs w:val="24"/>
                <w:lang w:val="en-US" w:eastAsia="zh-CN" w:bidi="ar"/>
              </w:rPr>
              <w:t>万</w:t>
            </w:r>
            <w:r>
              <w:rPr>
                <w:rFonts w:hint="default" w:ascii="Times New Roman" w:hAnsi="Times New Roman" w:eastAsia="宋体" w:cs="Times New Roman"/>
                <w:color w:val="auto"/>
                <w:kern w:val="0"/>
                <w:sz w:val="24"/>
                <w:szCs w:val="24"/>
                <w:lang w:val="en-US" w:eastAsia="zh-CN" w:bidi="ar"/>
              </w:rPr>
              <w:t>m</w:t>
            </w:r>
            <w:r>
              <w:rPr>
                <w:rFonts w:hint="default" w:ascii="Times New Roman" w:hAnsi="Times New Roman" w:eastAsia="宋体" w:cs="Times New Roman"/>
                <w:color w:val="auto"/>
                <w:kern w:val="0"/>
                <w:sz w:val="24"/>
                <w:szCs w:val="24"/>
                <w:vertAlign w:val="superscript"/>
                <w:lang w:val="en-US" w:eastAsia="zh-CN" w:bidi="ar"/>
              </w:rPr>
              <w:t>3</w:t>
            </w:r>
            <w:r>
              <w:rPr>
                <w:rFonts w:hint="default" w:ascii="Times New Roman" w:hAnsi="Times New Roman" w:eastAsia="宋体" w:cs="Times New Roman"/>
                <w:color w:val="auto"/>
                <w:kern w:val="0"/>
                <w:sz w:val="24"/>
                <w:szCs w:val="24"/>
                <w:lang w:val="en-US" w:eastAsia="zh-CN" w:bidi="ar"/>
              </w:rPr>
              <w:t>/d</w:t>
            </w:r>
            <w:r>
              <w:rPr>
                <w:rFonts w:hint="eastAsia" w:ascii="宋体" w:hAnsi="宋体" w:eastAsia="宋体" w:cs="宋体"/>
                <w:color w:val="auto"/>
                <w:kern w:val="0"/>
                <w:sz w:val="24"/>
                <w:szCs w:val="24"/>
                <w:lang w:val="en-US" w:eastAsia="zh-CN" w:bidi="ar"/>
              </w:rPr>
              <w:t>，于</w:t>
            </w:r>
            <w:r>
              <w:rPr>
                <w:rFonts w:hint="default" w:ascii="Times New Roman" w:hAnsi="Times New Roman" w:eastAsia="宋体" w:cs="Times New Roman"/>
                <w:color w:val="auto"/>
                <w:kern w:val="0"/>
                <w:sz w:val="24"/>
                <w:szCs w:val="24"/>
                <w:lang w:val="en-US" w:eastAsia="zh-CN" w:bidi="ar"/>
              </w:rPr>
              <w:t>2017</w:t>
            </w:r>
            <w:r>
              <w:rPr>
                <w:rFonts w:hint="eastAsia" w:ascii="宋体" w:hAnsi="宋体" w:eastAsia="宋体" w:cs="宋体"/>
                <w:color w:val="auto"/>
                <w:kern w:val="0"/>
                <w:sz w:val="24"/>
                <w:szCs w:val="24"/>
                <w:lang w:val="en-US" w:eastAsia="zh-CN" w:bidi="ar"/>
              </w:rPr>
              <w:t>年完成建设并投入使用，三期处理规模</w:t>
            </w:r>
            <w:r>
              <w:rPr>
                <w:rFonts w:hint="default" w:ascii="Times New Roman" w:hAnsi="Times New Roman" w:eastAsia="宋体" w:cs="Times New Roman"/>
                <w:color w:val="auto"/>
                <w:kern w:val="0"/>
                <w:sz w:val="24"/>
                <w:szCs w:val="24"/>
                <w:lang w:val="en-US" w:eastAsia="zh-CN" w:bidi="ar"/>
              </w:rPr>
              <w:t>3</w:t>
            </w:r>
            <w:r>
              <w:rPr>
                <w:rFonts w:hint="eastAsia" w:ascii="宋体" w:hAnsi="宋体" w:eastAsia="宋体" w:cs="宋体"/>
                <w:color w:val="auto"/>
                <w:kern w:val="0"/>
                <w:sz w:val="24"/>
                <w:szCs w:val="24"/>
                <w:lang w:val="en-US" w:eastAsia="zh-CN" w:bidi="ar"/>
              </w:rPr>
              <w:t>万</w:t>
            </w:r>
            <w:r>
              <w:rPr>
                <w:rFonts w:hint="default" w:ascii="Times New Roman" w:hAnsi="Times New Roman" w:eastAsia="宋体" w:cs="Times New Roman"/>
                <w:color w:val="auto"/>
                <w:kern w:val="0"/>
                <w:sz w:val="24"/>
                <w:szCs w:val="24"/>
                <w:lang w:val="en-US" w:eastAsia="zh-CN" w:bidi="ar"/>
              </w:rPr>
              <w:t>m</w:t>
            </w:r>
            <w:r>
              <w:rPr>
                <w:rFonts w:hint="default" w:ascii="Times New Roman" w:hAnsi="Times New Roman" w:eastAsia="宋体" w:cs="Times New Roman"/>
                <w:color w:val="auto"/>
                <w:kern w:val="0"/>
                <w:sz w:val="24"/>
                <w:szCs w:val="24"/>
                <w:vertAlign w:val="superscript"/>
                <w:lang w:val="en-US" w:eastAsia="zh-CN" w:bidi="ar"/>
              </w:rPr>
              <w:t>3</w:t>
            </w:r>
            <w:r>
              <w:rPr>
                <w:rFonts w:hint="default" w:ascii="Times New Roman" w:hAnsi="Times New Roman" w:eastAsia="宋体" w:cs="Times New Roman"/>
                <w:color w:val="auto"/>
                <w:kern w:val="0"/>
                <w:sz w:val="24"/>
                <w:szCs w:val="24"/>
                <w:lang w:val="en-US" w:eastAsia="zh-CN" w:bidi="ar"/>
              </w:rPr>
              <w:t>/d</w:t>
            </w:r>
            <w:r>
              <w:rPr>
                <w:rFonts w:hint="eastAsia" w:ascii="宋体" w:hAnsi="宋体" w:eastAsia="宋体" w:cs="宋体"/>
                <w:color w:val="auto"/>
                <w:kern w:val="0"/>
                <w:sz w:val="24"/>
                <w:szCs w:val="24"/>
                <w:lang w:val="en-US" w:eastAsia="zh-CN" w:bidi="ar"/>
              </w:rPr>
              <w:t>，已在规划建设，建成后剩余处理能力将新增</w:t>
            </w:r>
            <w:r>
              <w:rPr>
                <w:rFonts w:hint="default" w:ascii="Times New Roman" w:hAnsi="Times New Roman" w:eastAsia="宋体" w:cs="Times New Roman"/>
                <w:color w:val="auto"/>
                <w:kern w:val="0"/>
                <w:sz w:val="24"/>
                <w:szCs w:val="24"/>
                <w:lang w:val="en-US" w:eastAsia="zh-CN" w:bidi="ar"/>
              </w:rPr>
              <w:t>3</w:t>
            </w:r>
            <w:r>
              <w:rPr>
                <w:rFonts w:hint="eastAsia" w:ascii="宋体" w:hAnsi="宋体" w:eastAsia="宋体" w:cs="宋体"/>
                <w:color w:val="auto"/>
                <w:kern w:val="0"/>
                <w:sz w:val="24"/>
                <w:szCs w:val="24"/>
                <w:lang w:val="en-US" w:eastAsia="zh-CN" w:bidi="ar"/>
              </w:rPr>
              <w:t>万</w:t>
            </w:r>
            <w:r>
              <w:rPr>
                <w:rFonts w:hint="default" w:ascii="Times New Roman" w:hAnsi="Times New Roman" w:eastAsia="宋体" w:cs="Times New Roman"/>
                <w:color w:val="auto"/>
                <w:kern w:val="0"/>
                <w:sz w:val="24"/>
                <w:szCs w:val="24"/>
                <w:lang w:val="en-US" w:eastAsia="zh-CN" w:bidi="ar"/>
              </w:rPr>
              <w:t>m</w:t>
            </w:r>
            <w:r>
              <w:rPr>
                <w:rFonts w:hint="default" w:ascii="Times New Roman" w:hAnsi="Times New Roman" w:eastAsia="宋体" w:cs="Times New Roman"/>
                <w:color w:val="auto"/>
                <w:kern w:val="0"/>
                <w:sz w:val="24"/>
                <w:szCs w:val="24"/>
                <w:vertAlign w:val="superscript"/>
                <w:lang w:val="en-US" w:eastAsia="zh-CN" w:bidi="ar"/>
              </w:rPr>
              <w:t>3</w:t>
            </w:r>
            <w:r>
              <w:rPr>
                <w:rFonts w:hint="default" w:ascii="Times New Roman" w:hAnsi="Times New Roman" w:eastAsia="宋体" w:cs="Times New Roman"/>
                <w:color w:val="auto"/>
                <w:kern w:val="0"/>
                <w:sz w:val="24"/>
                <w:szCs w:val="24"/>
                <w:lang w:val="en-US" w:eastAsia="zh-CN" w:bidi="ar"/>
              </w:rPr>
              <w:t>/d</w:t>
            </w:r>
            <w:r>
              <w:rPr>
                <w:rFonts w:hint="eastAsia" w:ascii="宋体" w:hAnsi="宋体" w:eastAsia="宋体" w:cs="宋体"/>
                <w:color w:val="auto"/>
                <w:kern w:val="0"/>
                <w:sz w:val="24"/>
                <w:szCs w:val="24"/>
                <w:lang w:val="en-US" w:eastAsia="zh-CN" w:bidi="ar"/>
              </w:rPr>
              <w:t>。目前博罗县石湾镇大牛垒生活污水处理厂出水中氨氮和总磷浓度执行《地表水环境质量标准》（</w:t>
            </w:r>
            <w:r>
              <w:rPr>
                <w:rFonts w:hint="default" w:ascii="Times New Roman" w:hAnsi="Times New Roman" w:eastAsia="宋体" w:cs="Times New Roman"/>
                <w:color w:val="auto"/>
                <w:kern w:val="0"/>
                <w:sz w:val="24"/>
                <w:szCs w:val="24"/>
                <w:lang w:val="en-US" w:eastAsia="zh-CN" w:bidi="ar"/>
              </w:rPr>
              <w:t>GB3838-2002</w:t>
            </w:r>
            <w:r>
              <w:rPr>
                <w:rFonts w:hint="eastAsia" w:ascii="宋体" w:hAnsi="宋体" w:eastAsia="宋体" w:cs="宋体"/>
                <w:color w:val="auto"/>
                <w:kern w:val="0"/>
                <w:sz w:val="24"/>
                <w:szCs w:val="24"/>
                <w:lang w:val="en-US" w:eastAsia="zh-CN" w:bidi="ar"/>
              </w:rPr>
              <w:t>）Ⅴ类标准；其余指标执行国家《城镇污水处理厂污染物排放标准》</w:t>
            </w:r>
            <w:r>
              <w:rPr>
                <w:rFonts w:hint="default" w:ascii="Times New Roman" w:hAnsi="Times New Roman" w:eastAsia="宋体" w:cs="Times New Roman"/>
                <w:color w:val="auto"/>
                <w:kern w:val="0"/>
                <w:sz w:val="24"/>
                <w:szCs w:val="24"/>
                <w:lang w:val="en-US" w:eastAsia="zh-CN" w:bidi="ar"/>
              </w:rPr>
              <w:t>(GB18918-2002)</w:t>
            </w:r>
            <w:r>
              <w:rPr>
                <w:rFonts w:hint="eastAsia" w:ascii="宋体" w:hAnsi="宋体" w:eastAsia="宋体" w:cs="宋体"/>
                <w:color w:val="auto"/>
                <w:kern w:val="0"/>
                <w:sz w:val="24"/>
                <w:szCs w:val="24"/>
                <w:lang w:val="en-US" w:eastAsia="zh-CN" w:bidi="ar"/>
              </w:rPr>
              <w:t>中的一级</w:t>
            </w:r>
            <w:r>
              <w:rPr>
                <w:rFonts w:hint="default" w:ascii="Times New Roman" w:hAnsi="Times New Roman" w:eastAsia="宋体" w:cs="Times New Roman"/>
                <w:color w:val="auto"/>
                <w:kern w:val="0"/>
                <w:sz w:val="24"/>
                <w:szCs w:val="24"/>
                <w:lang w:val="en-US" w:eastAsia="zh-CN" w:bidi="ar"/>
              </w:rPr>
              <w:t>A</w:t>
            </w:r>
            <w:r>
              <w:rPr>
                <w:rFonts w:hint="eastAsia" w:ascii="宋体" w:hAnsi="宋体" w:eastAsia="宋体" w:cs="宋体"/>
                <w:color w:val="auto"/>
                <w:kern w:val="0"/>
                <w:sz w:val="24"/>
                <w:szCs w:val="24"/>
                <w:lang w:val="en-US" w:eastAsia="zh-CN" w:bidi="ar"/>
              </w:rPr>
              <w:t>标准以及广东省地方标准《水污染物排放限值》（</w:t>
            </w:r>
            <w:r>
              <w:rPr>
                <w:rFonts w:hint="default" w:ascii="Times New Roman" w:hAnsi="Times New Roman" w:eastAsia="宋体" w:cs="Times New Roman"/>
                <w:color w:val="auto"/>
                <w:kern w:val="0"/>
                <w:sz w:val="24"/>
                <w:szCs w:val="24"/>
                <w:lang w:val="en-US" w:eastAsia="zh-CN" w:bidi="ar"/>
              </w:rPr>
              <w:t>DB44/26-2001</w:t>
            </w:r>
            <w:r>
              <w:rPr>
                <w:rFonts w:hint="eastAsia" w:ascii="宋体" w:hAnsi="宋体" w:eastAsia="宋体" w:cs="宋体"/>
                <w:color w:val="auto"/>
                <w:kern w:val="0"/>
                <w:sz w:val="24"/>
                <w:szCs w:val="24"/>
                <w:lang w:val="en-US" w:eastAsia="zh-CN" w:bidi="ar"/>
              </w:rPr>
              <w:t>）第二时段一级标准中的较严值，尾水排入紧水河，最终注入东江。</w:t>
            </w:r>
          </w:p>
          <w:p w14:paraId="4AE2B038">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②依托可行性</w:t>
            </w:r>
          </w:p>
          <w:p w14:paraId="7792DE5C">
            <w:pPr>
              <w:keepNext w:val="0"/>
              <w:keepLines w:val="0"/>
              <w:widowControl/>
              <w:suppressLineNumbers w:val="0"/>
              <w:ind w:firstLine="480" w:firstLineChars="200"/>
              <w:jc w:val="left"/>
              <w:rPr>
                <w:rFonts w:hint="default" w:ascii="Times New Roman" w:hAnsi="Times New Roman" w:cs="Times New Roman"/>
                <w:color w:val="auto"/>
              </w:rPr>
            </w:pPr>
            <w:r>
              <w:rPr>
                <w:rFonts w:hint="eastAsia" w:ascii="宋体" w:hAnsi="宋体" w:eastAsia="宋体" w:cs="宋体"/>
                <w:color w:val="auto"/>
                <w:kern w:val="0"/>
                <w:sz w:val="24"/>
                <w:szCs w:val="24"/>
                <w:lang w:val="en-US" w:eastAsia="zh-CN" w:bidi="ar"/>
              </w:rPr>
              <w:t>项目生活污水排放量约为</w:t>
            </w:r>
            <w:r>
              <w:rPr>
                <w:rFonts w:hint="eastAsia" w:cs="Times New Roman"/>
                <w:color w:val="auto"/>
                <w:kern w:val="0"/>
                <w:sz w:val="24"/>
                <w:szCs w:val="24"/>
                <w:lang w:val="en-US" w:eastAsia="zh-CN" w:bidi="ar"/>
              </w:rPr>
              <w:t>4.5</w:t>
            </w:r>
            <w:r>
              <w:rPr>
                <w:rFonts w:hint="default" w:ascii="Times New Roman" w:hAnsi="Times New Roman" w:eastAsia="宋体" w:cs="Times New Roman"/>
                <w:color w:val="auto"/>
                <w:kern w:val="0"/>
                <w:sz w:val="24"/>
                <w:szCs w:val="24"/>
                <w:lang w:val="en-US" w:eastAsia="zh-CN" w:bidi="ar"/>
              </w:rPr>
              <w:t>t/d</w:t>
            </w:r>
            <w:r>
              <w:rPr>
                <w:rFonts w:hint="eastAsia" w:ascii="宋体" w:hAnsi="宋体" w:eastAsia="宋体" w:cs="宋体"/>
                <w:color w:val="auto"/>
                <w:kern w:val="0"/>
                <w:sz w:val="24"/>
                <w:szCs w:val="24"/>
                <w:lang w:val="en-US" w:eastAsia="zh-CN" w:bidi="ar"/>
              </w:rPr>
              <w:t>。污水厂剩余处理能力约为</w:t>
            </w:r>
            <w:r>
              <w:rPr>
                <w:rFonts w:hint="default" w:ascii="Times New Roman" w:hAnsi="Times New Roman" w:eastAsia="宋体" w:cs="Times New Roman"/>
                <w:color w:val="auto"/>
                <w:kern w:val="0"/>
                <w:sz w:val="24"/>
                <w:szCs w:val="24"/>
                <w:lang w:val="en-US" w:eastAsia="zh-CN" w:bidi="ar"/>
              </w:rPr>
              <w:t>4000t/d</w:t>
            </w:r>
            <w:r>
              <w:rPr>
                <w:rFonts w:hint="eastAsia" w:ascii="宋体" w:hAnsi="宋体" w:eastAsia="宋体" w:cs="宋体"/>
                <w:color w:val="auto"/>
                <w:kern w:val="0"/>
                <w:sz w:val="24"/>
                <w:szCs w:val="24"/>
                <w:lang w:val="en-US" w:eastAsia="zh-CN" w:bidi="ar"/>
              </w:rPr>
              <w:t>，仅占其剩余处理量的</w:t>
            </w:r>
            <w:r>
              <w:rPr>
                <w:rFonts w:hint="eastAsia" w:ascii="Times New Roman" w:hAnsi="Times New Roman" w:eastAsia="宋体" w:cs="Times New Roman"/>
                <w:color w:val="auto"/>
                <w:kern w:val="0"/>
                <w:sz w:val="24"/>
                <w:szCs w:val="24"/>
                <w:lang w:val="en-US" w:eastAsia="zh-CN" w:bidi="ar"/>
              </w:rPr>
              <w:t>0.</w:t>
            </w:r>
            <w:r>
              <w:rPr>
                <w:rFonts w:hint="eastAsia" w:cs="Times New Roman"/>
                <w:color w:val="auto"/>
                <w:kern w:val="0"/>
                <w:sz w:val="24"/>
                <w:szCs w:val="24"/>
                <w:lang w:val="en-US" w:eastAsia="zh-CN" w:bidi="ar"/>
              </w:rPr>
              <w:t>1125</w:t>
            </w:r>
            <w:r>
              <w:rPr>
                <w:rFonts w:hint="default" w:ascii="Times New Roman" w:hAnsi="Times New Roman" w:eastAsia="宋体" w:cs="Times New Roman"/>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，生活污水主要污染物为</w:t>
            </w:r>
            <w:r>
              <w:rPr>
                <w:rFonts w:hint="default" w:ascii="Times New Roman" w:hAnsi="Times New Roman" w:cs="Times New Roman"/>
                <w:bCs/>
                <w:color w:val="auto"/>
                <w:kern w:val="21"/>
                <w:sz w:val="24"/>
                <w:szCs w:val="24"/>
              </w:rPr>
              <w:t>COD</w:t>
            </w:r>
            <w:r>
              <w:rPr>
                <w:rFonts w:hint="default" w:ascii="Times New Roman" w:hAnsi="Times New Roman" w:cs="Times New Roman"/>
                <w:bCs/>
                <w:color w:val="auto"/>
                <w:kern w:val="21"/>
                <w:sz w:val="24"/>
                <w:szCs w:val="24"/>
                <w:vertAlign w:val="subscript"/>
              </w:rPr>
              <w:t>Cr</w:t>
            </w:r>
            <w:r>
              <w:rPr>
                <w:rFonts w:hint="eastAsia" w:ascii="Times New Roman" w:hAnsi="Times New Roman" w:cs="Times New Roman"/>
                <w:bCs/>
                <w:color w:val="auto"/>
                <w:kern w:val="21"/>
                <w:sz w:val="24"/>
                <w:szCs w:val="24"/>
                <w:vertAlign w:val="subscript"/>
                <w:lang w:eastAsia="zh-CN"/>
              </w:rPr>
              <w:t>、</w:t>
            </w:r>
            <w:r>
              <w:rPr>
                <w:rFonts w:hint="default" w:ascii="Times New Roman" w:hAnsi="Times New Roman" w:cs="Times New Roman"/>
                <w:bCs/>
                <w:color w:val="auto"/>
                <w:kern w:val="21"/>
                <w:sz w:val="24"/>
                <w:szCs w:val="24"/>
              </w:rPr>
              <w:t>BOD</w:t>
            </w:r>
            <w:r>
              <w:rPr>
                <w:rFonts w:hint="default" w:ascii="Times New Roman" w:hAnsi="Times New Roman" w:cs="Times New Roman"/>
                <w:bCs/>
                <w:color w:val="auto"/>
                <w:kern w:val="21"/>
                <w:sz w:val="24"/>
                <w:szCs w:val="24"/>
                <w:vertAlign w:val="subscript"/>
              </w:rPr>
              <w:t>5</w:t>
            </w:r>
            <w:r>
              <w:rPr>
                <w:rFonts w:hint="eastAsia" w:ascii="Times New Roman" w:hAnsi="Times New Roman" w:cs="Times New Roman"/>
                <w:bCs/>
                <w:color w:val="auto"/>
                <w:kern w:val="21"/>
                <w:sz w:val="24"/>
                <w:szCs w:val="24"/>
                <w:vertAlign w:val="subscript"/>
                <w:lang w:eastAsia="zh-CN"/>
              </w:rPr>
              <w:t>、</w:t>
            </w:r>
            <w:r>
              <w:rPr>
                <w:rFonts w:hint="default" w:ascii="Times New Roman" w:hAnsi="Times New Roman" w:cs="Times New Roman"/>
                <w:bCs/>
                <w:color w:val="auto"/>
                <w:kern w:val="21"/>
                <w:sz w:val="24"/>
                <w:szCs w:val="24"/>
              </w:rPr>
              <w:t>SS</w:t>
            </w:r>
            <w:r>
              <w:rPr>
                <w:rFonts w:hint="eastAsia" w:ascii="Times New Roman" w:hAnsi="Times New Roman" w:cs="Times New Roman"/>
                <w:bCs/>
                <w:color w:val="auto"/>
                <w:kern w:val="21"/>
                <w:sz w:val="24"/>
                <w:szCs w:val="24"/>
                <w:lang w:eastAsia="zh-CN"/>
              </w:rPr>
              <w:t>、</w:t>
            </w:r>
            <w:r>
              <w:rPr>
                <w:rFonts w:hint="default" w:ascii="Times New Roman" w:hAnsi="Times New Roman" w:cs="Times New Roman"/>
                <w:bCs/>
                <w:color w:val="auto"/>
                <w:kern w:val="21"/>
                <w:sz w:val="24"/>
                <w:szCs w:val="24"/>
              </w:rPr>
              <w:t>氨氮</w:t>
            </w:r>
            <w:r>
              <w:rPr>
                <w:rFonts w:hint="eastAsia" w:ascii="宋体" w:hAnsi="宋体" w:eastAsia="宋体" w:cs="宋体"/>
                <w:color w:val="auto"/>
                <w:kern w:val="0"/>
                <w:sz w:val="24"/>
                <w:szCs w:val="24"/>
                <w:lang w:val="en-US" w:eastAsia="zh-CN" w:bidi="ar"/>
              </w:rPr>
              <w:t>总磷、总氮等，水质简单，可生化性好，从水质、水量上说，项目生活污水对博罗县石湾镇大牛垒生活污水处理厂的冲击较小，项目生活污水经三级化粪池预处理后经市政污水管网进入博罗县石湾镇大牛垒生活污水处理厂进行处理的方案是可行的。</w:t>
            </w:r>
          </w:p>
          <w:p w14:paraId="03BDB16B">
            <w:pPr>
              <w:pageBreakBefore/>
              <w:spacing w:line="240" w:lineRule="auto"/>
              <w:jc w:val="center"/>
              <w:outlineLvl w:val="7"/>
              <w:rPr>
                <w:rFonts w:hint="default" w:ascii="Times New Roman" w:hAnsi="Times New Roman" w:cs="Times New Roman"/>
                <w:b/>
                <w:color w:val="auto"/>
                <w:lang w:val="zh-CN"/>
              </w:rPr>
            </w:pPr>
            <w:r>
              <w:rPr>
                <w:rFonts w:hint="default" w:ascii="Times New Roman" w:hAnsi="Times New Roman" w:cs="Times New Roman"/>
                <w:b/>
                <w:color w:val="auto"/>
              </w:rPr>
              <w:t>表4</w:t>
            </w:r>
            <w:r>
              <w:rPr>
                <w:rFonts w:hint="default" w:ascii="Times New Roman" w:hAnsi="Times New Roman" w:cs="Times New Roman"/>
                <w:b/>
                <w:color w:val="auto"/>
                <w:lang w:val="en-US" w:eastAsia="zh-CN"/>
              </w:rPr>
              <w:t>-17</w:t>
            </w:r>
            <w:r>
              <w:rPr>
                <w:rFonts w:hint="default" w:ascii="Times New Roman" w:hAnsi="Times New Roman" w:cs="Times New Roman"/>
                <w:b/>
                <w:color w:val="auto"/>
              </w:rPr>
              <w:t xml:space="preserve"> </w:t>
            </w:r>
            <w:r>
              <w:rPr>
                <w:rFonts w:hint="default" w:ascii="Times New Roman" w:hAnsi="Times New Roman" w:cs="Times New Roman"/>
                <w:b/>
                <w:color w:val="auto"/>
                <w:lang w:val="zh-CN"/>
              </w:rPr>
              <w:t>废水类别、污染物及污染治理设施信息表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0"/>
              <w:gridCol w:w="417"/>
              <w:gridCol w:w="944"/>
              <w:gridCol w:w="741"/>
              <w:gridCol w:w="897"/>
              <w:gridCol w:w="586"/>
              <w:gridCol w:w="586"/>
              <w:gridCol w:w="633"/>
              <w:gridCol w:w="513"/>
              <w:gridCol w:w="540"/>
              <w:gridCol w:w="663"/>
              <w:gridCol w:w="1562"/>
            </w:tblGrid>
            <w:tr w14:paraId="07684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224" w:type="pct"/>
                  <w:vMerge w:val="restart"/>
                  <w:vAlign w:val="center"/>
                </w:tcPr>
                <w:p w14:paraId="6ACBD59F">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序号</w:t>
                  </w:r>
                </w:p>
              </w:tc>
              <w:tc>
                <w:tcPr>
                  <w:tcW w:w="246" w:type="pct"/>
                  <w:vMerge w:val="restart"/>
                  <w:vAlign w:val="center"/>
                </w:tcPr>
                <w:p w14:paraId="72D9D7DD">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废水类别</w:t>
                  </w:r>
                </w:p>
              </w:tc>
              <w:tc>
                <w:tcPr>
                  <w:tcW w:w="556" w:type="pct"/>
                  <w:vMerge w:val="restart"/>
                  <w:vAlign w:val="center"/>
                </w:tcPr>
                <w:p w14:paraId="406D486B">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污染物</w:t>
                  </w:r>
                </w:p>
                <w:p w14:paraId="6CC8FC0D">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种类</w:t>
                  </w:r>
                </w:p>
              </w:tc>
              <w:tc>
                <w:tcPr>
                  <w:tcW w:w="438" w:type="pct"/>
                  <w:vMerge w:val="restart"/>
                  <w:vAlign w:val="center"/>
                </w:tcPr>
                <w:p w14:paraId="2F4A092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排放去向</w:t>
                  </w:r>
                </w:p>
              </w:tc>
              <w:tc>
                <w:tcPr>
                  <w:tcW w:w="529" w:type="pct"/>
                  <w:vMerge w:val="restart"/>
                  <w:vAlign w:val="center"/>
                </w:tcPr>
                <w:p w14:paraId="5CE018B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排放规律</w:t>
                  </w:r>
                </w:p>
              </w:tc>
              <w:tc>
                <w:tcPr>
                  <w:tcW w:w="1369" w:type="pct"/>
                  <w:gridSpan w:val="4"/>
                  <w:vAlign w:val="center"/>
                </w:tcPr>
                <w:p w14:paraId="16037461">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w:t>
                  </w:r>
                </w:p>
              </w:tc>
              <w:tc>
                <w:tcPr>
                  <w:tcW w:w="319" w:type="pct"/>
                  <w:vMerge w:val="restart"/>
                  <w:vAlign w:val="center"/>
                </w:tcPr>
                <w:p w14:paraId="06A66C27">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排放口编号</w:t>
                  </w:r>
                </w:p>
              </w:tc>
              <w:tc>
                <w:tcPr>
                  <w:tcW w:w="392" w:type="pct"/>
                  <w:vMerge w:val="restart"/>
                  <w:vAlign w:val="center"/>
                </w:tcPr>
                <w:p w14:paraId="0A0CCB38">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排放口设置是否符合要求</w:t>
                  </w:r>
                </w:p>
              </w:tc>
              <w:tc>
                <w:tcPr>
                  <w:tcW w:w="922" w:type="pct"/>
                  <w:vMerge w:val="restart"/>
                  <w:vAlign w:val="center"/>
                </w:tcPr>
                <w:p w14:paraId="23650906">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w:t>
                  </w:r>
                </w:p>
                <w:p w14:paraId="0C6030F5">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类型</w:t>
                  </w:r>
                </w:p>
              </w:tc>
            </w:tr>
            <w:tr w14:paraId="73E54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24" w:type="pct"/>
                  <w:vMerge w:val="continue"/>
                  <w:vAlign w:val="center"/>
                </w:tcPr>
                <w:p w14:paraId="0F8436E2">
                  <w:pPr>
                    <w:keepNext/>
                    <w:keepLines/>
                    <w:pageBreakBefore/>
                    <w:wordWrap/>
                    <w:spacing w:line="240" w:lineRule="auto"/>
                    <w:jc w:val="center"/>
                    <w:rPr>
                      <w:rFonts w:hint="default" w:ascii="Times New Roman" w:hAnsi="Times New Roman" w:cs="Times New Roman"/>
                      <w:color w:val="auto"/>
                      <w:sz w:val="21"/>
                      <w:szCs w:val="21"/>
                      <w:lang w:val="zh-CN"/>
                    </w:rPr>
                  </w:pPr>
                </w:p>
              </w:tc>
              <w:tc>
                <w:tcPr>
                  <w:tcW w:w="246" w:type="pct"/>
                  <w:vMerge w:val="continue"/>
                  <w:vAlign w:val="center"/>
                </w:tcPr>
                <w:p w14:paraId="52D0322E">
                  <w:pPr>
                    <w:keepNext/>
                    <w:keepLines/>
                    <w:pageBreakBefore/>
                    <w:wordWrap/>
                    <w:spacing w:line="240" w:lineRule="auto"/>
                    <w:jc w:val="center"/>
                    <w:rPr>
                      <w:rFonts w:hint="default" w:ascii="Times New Roman" w:hAnsi="Times New Roman" w:cs="Times New Roman"/>
                      <w:color w:val="auto"/>
                      <w:sz w:val="21"/>
                      <w:szCs w:val="21"/>
                      <w:lang w:val="zh-CN"/>
                    </w:rPr>
                  </w:pPr>
                </w:p>
              </w:tc>
              <w:tc>
                <w:tcPr>
                  <w:tcW w:w="556" w:type="pct"/>
                  <w:vMerge w:val="continue"/>
                  <w:vAlign w:val="center"/>
                </w:tcPr>
                <w:p w14:paraId="789B6D28">
                  <w:pPr>
                    <w:keepNext/>
                    <w:keepLines/>
                    <w:pageBreakBefore/>
                    <w:wordWrap/>
                    <w:spacing w:line="240" w:lineRule="auto"/>
                    <w:jc w:val="center"/>
                    <w:rPr>
                      <w:rFonts w:hint="default" w:ascii="Times New Roman" w:hAnsi="Times New Roman" w:cs="Times New Roman"/>
                      <w:color w:val="auto"/>
                      <w:sz w:val="21"/>
                      <w:szCs w:val="21"/>
                      <w:lang w:val="zh-CN"/>
                    </w:rPr>
                  </w:pPr>
                </w:p>
              </w:tc>
              <w:tc>
                <w:tcPr>
                  <w:tcW w:w="438" w:type="pct"/>
                  <w:vMerge w:val="continue"/>
                  <w:vAlign w:val="center"/>
                </w:tcPr>
                <w:p w14:paraId="088E65CB">
                  <w:pPr>
                    <w:keepNext/>
                    <w:keepLines/>
                    <w:pageBreakBefore/>
                    <w:wordWrap/>
                    <w:spacing w:line="240" w:lineRule="auto"/>
                    <w:jc w:val="center"/>
                    <w:rPr>
                      <w:rFonts w:hint="default" w:ascii="Times New Roman" w:hAnsi="Times New Roman" w:cs="Times New Roman"/>
                      <w:color w:val="auto"/>
                      <w:sz w:val="21"/>
                      <w:szCs w:val="21"/>
                      <w:lang w:val="zh-CN"/>
                    </w:rPr>
                  </w:pPr>
                </w:p>
              </w:tc>
              <w:tc>
                <w:tcPr>
                  <w:tcW w:w="529" w:type="pct"/>
                  <w:vMerge w:val="continue"/>
                  <w:vAlign w:val="center"/>
                </w:tcPr>
                <w:p w14:paraId="72DAB39A">
                  <w:pPr>
                    <w:keepNext/>
                    <w:keepLines/>
                    <w:pageBreakBefore/>
                    <w:wordWrap/>
                    <w:spacing w:line="240" w:lineRule="auto"/>
                    <w:jc w:val="center"/>
                    <w:rPr>
                      <w:rFonts w:hint="default" w:ascii="Times New Roman" w:hAnsi="Times New Roman" w:cs="Times New Roman"/>
                      <w:color w:val="auto"/>
                      <w:sz w:val="21"/>
                      <w:szCs w:val="21"/>
                      <w:lang w:val="zh-CN"/>
                    </w:rPr>
                  </w:pPr>
                </w:p>
              </w:tc>
              <w:tc>
                <w:tcPr>
                  <w:tcW w:w="346" w:type="pct"/>
                  <w:vAlign w:val="center"/>
                </w:tcPr>
                <w:p w14:paraId="06616AA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w:t>
                  </w:r>
                </w:p>
                <w:p w14:paraId="1BFF5E9E">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编号</w:t>
                  </w:r>
                </w:p>
              </w:tc>
              <w:tc>
                <w:tcPr>
                  <w:tcW w:w="346" w:type="pct"/>
                  <w:vAlign w:val="center"/>
                </w:tcPr>
                <w:p w14:paraId="2E99D9E3">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w:t>
                  </w:r>
                </w:p>
                <w:p w14:paraId="142E9F04">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名称</w:t>
                  </w:r>
                </w:p>
              </w:tc>
              <w:tc>
                <w:tcPr>
                  <w:tcW w:w="374" w:type="pct"/>
                  <w:vAlign w:val="center"/>
                </w:tcPr>
                <w:p w14:paraId="23DE2D71">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污染治理设施工艺</w:t>
                  </w:r>
                </w:p>
              </w:tc>
              <w:tc>
                <w:tcPr>
                  <w:tcW w:w="301" w:type="pct"/>
                  <w:vAlign w:val="center"/>
                </w:tcPr>
                <w:p w14:paraId="13FB304B">
                  <w:pPr>
                    <w:keepNext/>
                    <w:keepLines/>
                    <w:pageBreakBefore/>
                    <w:wordWrap/>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是否为可行技术</w:t>
                  </w:r>
                </w:p>
              </w:tc>
              <w:tc>
                <w:tcPr>
                  <w:tcW w:w="319" w:type="pct"/>
                  <w:vMerge w:val="continue"/>
                  <w:vAlign w:val="center"/>
                </w:tcPr>
                <w:p w14:paraId="7D1F1227">
                  <w:pPr>
                    <w:keepNext/>
                    <w:keepLines/>
                    <w:pageBreakBefore/>
                    <w:wordWrap/>
                    <w:spacing w:line="240" w:lineRule="auto"/>
                    <w:jc w:val="center"/>
                    <w:rPr>
                      <w:rFonts w:hint="default" w:ascii="Times New Roman" w:hAnsi="Times New Roman" w:cs="Times New Roman"/>
                      <w:color w:val="auto"/>
                      <w:sz w:val="21"/>
                      <w:szCs w:val="21"/>
                      <w:lang w:val="zh-CN"/>
                    </w:rPr>
                  </w:pPr>
                </w:p>
              </w:tc>
              <w:tc>
                <w:tcPr>
                  <w:tcW w:w="392" w:type="pct"/>
                  <w:vMerge w:val="continue"/>
                  <w:vAlign w:val="center"/>
                </w:tcPr>
                <w:p w14:paraId="43C1879D">
                  <w:pPr>
                    <w:keepNext/>
                    <w:keepLines/>
                    <w:pageBreakBefore/>
                    <w:wordWrap/>
                    <w:spacing w:line="240" w:lineRule="auto"/>
                    <w:jc w:val="center"/>
                    <w:rPr>
                      <w:rFonts w:hint="default" w:ascii="Times New Roman" w:hAnsi="Times New Roman" w:cs="Times New Roman"/>
                      <w:color w:val="auto"/>
                      <w:sz w:val="21"/>
                      <w:szCs w:val="21"/>
                      <w:lang w:val="zh-CN"/>
                    </w:rPr>
                  </w:pPr>
                </w:p>
              </w:tc>
              <w:tc>
                <w:tcPr>
                  <w:tcW w:w="922" w:type="pct"/>
                  <w:vMerge w:val="continue"/>
                  <w:vAlign w:val="center"/>
                </w:tcPr>
                <w:p w14:paraId="53B707FD">
                  <w:pPr>
                    <w:keepNext/>
                    <w:keepLines/>
                    <w:pageBreakBefore/>
                    <w:wordWrap/>
                    <w:spacing w:line="240" w:lineRule="auto"/>
                    <w:jc w:val="center"/>
                    <w:rPr>
                      <w:rFonts w:hint="default" w:ascii="Times New Roman" w:hAnsi="Times New Roman" w:cs="Times New Roman"/>
                      <w:color w:val="auto"/>
                      <w:sz w:val="21"/>
                      <w:szCs w:val="21"/>
                      <w:lang w:val="zh-CN"/>
                    </w:rPr>
                  </w:pPr>
                </w:p>
              </w:tc>
            </w:tr>
            <w:tr w14:paraId="14E3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4" w:type="pct"/>
                  <w:vAlign w:val="center"/>
                </w:tcPr>
                <w:p w14:paraId="7B480F93">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1</w:t>
                  </w:r>
                </w:p>
              </w:tc>
              <w:tc>
                <w:tcPr>
                  <w:tcW w:w="246" w:type="pct"/>
                  <w:vAlign w:val="center"/>
                </w:tcPr>
                <w:p w14:paraId="51E8F63E">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生活污水</w:t>
                  </w:r>
                </w:p>
              </w:tc>
              <w:tc>
                <w:tcPr>
                  <w:tcW w:w="556" w:type="pct"/>
                  <w:vAlign w:val="center"/>
                </w:tcPr>
                <w:p w14:paraId="331620E5">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COD</w:t>
                  </w:r>
                  <w:r>
                    <w:rPr>
                      <w:rFonts w:hint="default" w:ascii="Times New Roman" w:hAnsi="Times New Roman" w:cs="Times New Roman"/>
                      <w:color w:val="auto"/>
                      <w:sz w:val="21"/>
                      <w:szCs w:val="21"/>
                      <w:vertAlign w:val="subscript"/>
                      <w:lang w:val="zh-CN"/>
                    </w:rPr>
                    <w:t>cr</w:t>
                  </w:r>
                  <w:r>
                    <w:rPr>
                      <w:rFonts w:hint="default" w:ascii="Times New Roman" w:hAnsi="Times New Roman" w:cs="Times New Roman"/>
                      <w:color w:val="auto"/>
                      <w:sz w:val="21"/>
                      <w:szCs w:val="21"/>
                      <w:lang w:val="zh-CN"/>
                    </w:rPr>
                    <w:t>、BOD</w:t>
                  </w:r>
                  <w:r>
                    <w:rPr>
                      <w:rFonts w:hint="default" w:ascii="Times New Roman" w:hAnsi="Times New Roman" w:cs="Times New Roman"/>
                      <w:color w:val="auto"/>
                      <w:sz w:val="21"/>
                      <w:szCs w:val="21"/>
                      <w:vertAlign w:val="subscript"/>
                      <w:lang w:val="zh-CN"/>
                    </w:rPr>
                    <w:t>5</w:t>
                  </w:r>
                  <w:r>
                    <w:rPr>
                      <w:rFonts w:hint="default" w:ascii="Times New Roman" w:hAnsi="Times New Roman" w:cs="Times New Roman"/>
                      <w:color w:val="auto"/>
                      <w:sz w:val="21"/>
                      <w:szCs w:val="21"/>
                      <w:lang w:val="zh-CN"/>
                    </w:rPr>
                    <w:t>、氨氮、SS</w:t>
                  </w:r>
                </w:p>
              </w:tc>
              <w:tc>
                <w:tcPr>
                  <w:tcW w:w="438" w:type="pct"/>
                  <w:vAlign w:val="center"/>
                </w:tcPr>
                <w:p w14:paraId="548063B4">
                  <w:pPr>
                    <w:keepNext/>
                    <w:keepLines/>
                    <w:pageBreakBefore/>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zh-CN"/>
                    </w:rPr>
                    <w:t>进入</w:t>
                  </w: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处理</w:t>
                  </w:r>
                </w:p>
              </w:tc>
              <w:tc>
                <w:tcPr>
                  <w:tcW w:w="529" w:type="pct"/>
                  <w:vAlign w:val="center"/>
                </w:tcPr>
                <w:p w14:paraId="66271F24">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间断排放，排放期间流量不稳定，但有周期性规律</w:t>
                  </w:r>
                </w:p>
              </w:tc>
              <w:tc>
                <w:tcPr>
                  <w:tcW w:w="346" w:type="pct"/>
                  <w:vAlign w:val="center"/>
                </w:tcPr>
                <w:p w14:paraId="67C45DE5">
                  <w:pPr>
                    <w:keepNext/>
                    <w:keepLines/>
                    <w:pageBreakBefore/>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TW001</w:t>
                  </w:r>
                </w:p>
              </w:tc>
              <w:tc>
                <w:tcPr>
                  <w:tcW w:w="346" w:type="pct"/>
                  <w:vAlign w:val="center"/>
                </w:tcPr>
                <w:p w14:paraId="082836DA">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三级化粪池</w:t>
                  </w:r>
                </w:p>
              </w:tc>
              <w:tc>
                <w:tcPr>
                  <w:tcW w:w="374" w:type="pct"/>
                  <w:vAlign w:val="center"/>
                </w:tcPr>
                <w:p w14:paraId="10EEA1E7">
                  <w:pPr>
                    <w:keepNext/>
                    <w:keepLines/>
                    <w:pageBreakBefore/>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厌氧、沉淀</w:t>
                  </w:r>
                </w:p>
              </w:tc>
              <w:tc>
                <w:tcPr>
                  <w:tcW w:w="301" w:type="pct"/>
                  <w:vAlign w:val="center"/>
                </w:tcPr>
                <w:p w14:paraId="281690E3">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是</w:t>
                  </w:r>
                </w:p>
              </w:tc>
              <w:tc>
                <w:tcPr>
                  <w:tcW w:w="319" w:type="pct"/>
                  <w:vAlign w:val="center"/>
                </w:tcPr>
                <w:p w14:paraId="4CF3CC95">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DW001</w:t>
                  </w:r>
                </w:p>
              </w:tc>
              <w:tc>
                <w:tcPr>
                  <w:tcW w:w="392" w:type="pct"/>
                  <w:vAlign w:val="center"/>
                </w:tcPr>
                <w:p w14:paraId="30219BF8">
                  <w:pPr>
                    <w:keepNext/>
                    <w:keepLines/>
                    <w:pageBreakBefore/>
                    <w:wordWrap/>
                    <w:spacing w:line="240" w:lineRule="auto"/>
                    <w:jc w:val="center"/>
                    <w:rPr>
                      <w:rFonts w:hint="default" w:ascii="Times New Roman" w:hAnsi="Times New Roman" w:cs="Times New Roman"/>
                      <w:snapToGrid w:val="0"/>
                      <w:color w:val="auto"/>
                      <w:kern w:val="20"/>
                      <w:sz w:val="21"/>
                      <w:szCs w:val="21"/>
                      <w:lang w:val="zh-CN"/>
                    </w:rPr>
                  </w:pPr>
                  <w:r>
                    <w:rPr>
                      <w:rFonts w:hint="default" w:ascii="Times New Roman" w:hAnsi="Times New Roman" w:cs="Times New Roman"/>
                      <w:color w:val="auto"/>
                      <w:sz w:val="21"/>
                      <w:szCs w:val="21"/>
                      <w:lang w:val="zh-CN"/>
                    </w:rPr>
                    <w:t>☑是</w:t>
                  </w:r>
                </w:p>
                <w:p w14:paraId="7A2ADA16">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□否</w:t>
                  </w:r>
                </w:p>
              </w:tc>
              <w:tc>
                <w:tcPr>
                  <w:tcW w:w="922" w:type="pct"/>
                  <w:vAlign w:val="center"/>
                </w:tcPr>
                <w:p w14:paraId="22861170">
                  <w:pPr>
                    <w:keepNext/>
                    <w:keepLines/>
                    <w:pageBreakBefore/>
                    <w:wordWrap/>
                    <w:spacing w:line="240" w:lineRule="auto"/>
                    <w:jc w:val="center"/>
                    <w:rPr>
                      <w:rFonts w:hint="default" w:ascii="Times New Roman" w:hAnsi="Times New Roman" w:cs="Times New Roman"/>
                      <w:snapToGrid w:val="0"/>
                      <w:color w:val="auto"/>
                      <w:kern w:val="20"/>
                      <w:sz w:val="21"/>
                      <w:szCs w:val="21"/>
                      <w:lang w:val="zh-CN"/>
                    </w:rPr>
                  </w:pPr>
                  <w:r>
                    <w:rPr>
                      <w:rFonts w:hint="default" w:ascii="Times New Roman" w:hAnsi="Times New Roman" w:cs="Times New Roman"/>
                      <w:color w:val="auto"/>
                      <w:sz w:val="21"/>
                      <w:szCs w:val="21"/>
                      <w:lang w:val="zh-CN"/>
                    </w:rPr>
                    <w:t>☑企业总排</w:t>
                  </w:r>
                </w:p>
                <w:p w14:paraId="53A05D76">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□雨水排放</w:t>
                  </w:r>
                </w:p>
                <w:p w14:paraId="4752EAF9">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w:t>
                  </w:r>
                  <w:r>
                    <w:rPr>
                      <w:rFonts w:hint="default" w:ascii="Times New Roman" w:hAnsi="Times New Roman" w:cs="Times New Roman"/>
                      <w:color w:val="auto"/>
                      <w:spacing w:val="-10"/>
                      <w:sz w:val="21"/>
                      <w:szCs w:val="21"/>
                      <w:lang w:val="zh-CN"/>
                    </w:rPr>
                    <w:t>清净下水排放</w:t>
                  </w:r>
                </w:p>
                <w:p w14:paraId="07EE8026">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□温排水排放</w:t>
                  </w:r>
                </w:p>
                <w:p w14:paraId="3A0A64DD">
                  <w:pPr>
                    <w:keepNext/>
                    <w:keepLines/>
                    <w:pageBreakBefore/>
                    <w:wordWrap/>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□车间或车间处理设施排放口</w:t>
                  </w:r>
                </w:p>
              </w:tc>
            </w:tr>
          </w:tbl>
          <w:p w14:paraId="2AABA89A">
            <w:pPr>
              <w:keepNext/>
              <w:keepLines/>
              <w:spacing w:line="240" w:lineRule="auto"/>
              <w:jc w:val="center"/>
              <w:outlineLvl w:val="7"/>
              <w:rPr>
                <w:rFonts w:hint="default" w:ascii="Times New Roman" w:hAnsi="Times New Roman" w:cs="Times New Roman"/>
                <w:b/>
                <w:color w:val="auto"/>
                <w:lang w:val="zh-CN"/>
              </w:rPr>
            </w:pPr>
            <w:r>
              <w:rPr>
                <w:rFonts w:hint="default" w:ascii="Times New Roman" w:hAnsi="Times New Roman" w:cs="Times New Roman"/>
                <w:b/>
                <w:color w:val="auto"/>
              </w:rPr>
              <w:t>表4</w:t>
            </w:r>
            <w:r>
              <w:rPr>
                <w:rFonts w:hint="default" w:ascii="Times New Roman" w:hAnsi="Times New Roman" w:cs="Times New Roman"/>
                <w:b/>
                <w:color w:val="auto"/>
                <w:lang w:val="en-US" w:eastAsia="zh-CN"/>
              </w:rPr>
              <w:t>-18</w:t>
            </w:r>
            <w:r>
              <w:rPr>
                <w:rFonts w:hint="default" w:ascii="Times New Roman" w:hAnsi="Times New Roman" w:cs="Times New Roman"/>
                <w:b/>
                <w:color w:val="auto"/>
              </w:rPr>
              <w:t xml:space="preserve"> </w:t>
            </w:r>
            <w:r>
              <w:rPr>
                <w:rFonts w:hint="default" w:ascii="Times New Roman" w:hAnsi="Times New Roman" w:cs="Times New Roman"/>
                <w:b/>
                <w:color w:val="auto"/>
                <w:lang w:val="zh-CN"/>
              </w:rPr>
              <w:t>废水间接排放口基本信息</w:t>
            </w:r>
          </w:p>
          <w:tbl>
            <w:tblPr>
              <w:tblStyle w:val="22"/>
              <w:tblW w:w="8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
              <w:gridCol w:w="450"/>
              <w:gridCol w:w="832"/>
              <w:gridCol w:w="761"/>
              <w:gridCol w:w="575"/>
              <w:gridCol w:w="673"/>
              <w:gridCol w:w="951"/>
              <w:gridCol w:w="736"/>
              <w:gridCol w:w="692"/>
              <w:gridCol w:w="878"/>
              <w:gridCol w:w="681"/>
              <w:gridCol w:w="890"/>
            </w:tblGrid>
            <w:tr w14:paraId="0DEC7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10" w:type="pct"/>
                  <w:vMerge w:val="restart"/>
                  <w:vAlign w:val="center"/>
                </w:tcPr>
                <w:p w14:paraId="326AB2F1">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序号</w:t>
                  </w:r>
                </w:p>
              </w:tc>
              <w:tc>
                <w:tcPr>
                  <w:tcW w:w="265" w:type="pct"/>
                  <w:vMerge w:val="restart"/>
                  <w:vAlign w:val="center"/>
                </w:tcPr>
                <w:p w14:paraId="531BA141">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w:t>
                  </w:r>
                </w:p>
                <w:p w14:paraId="46B4C31C">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编号</w:t>
                  </w:r>
                </w:p>
              </w:tc>
              <w:tc>
                <w:tcPr>
                  <w:tcW w:w="939" w:type="pct"/>
                  <w:gridSpan w:val="2"/>
                  <w:vAlign w:val="center"/>
                </w:tcPr>
                <w:p w14:paraId="7E97C62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排放口地理坐标</w:t>
                  </w:r>
                </w:p>
              </w:tc>
              <w:tc>
                <w:tcPr>
                  <w:tcW w:w="339" w:type="pct"/>
                  <w:vMerge w:val="restart"/>
                  <w:vAlign w:val="center"/>
                </w:tcPr>
                <w:p w14:paraId="529AF6E4">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废水排放量/</w:t>
                  </w:r>
                </w:p>
                <w:p w14:paraId="1B05A35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（t/a）</w:t>
                  </w:r>
                </w:p>
              </w:tc>
              <w:tc>
                <w:tcPr>
                  <w:tcW w:w="397" w:type="pct"/>
                  <w:vMerge w:val="restart"/>
                  <w:vAlign w:val="center"/>
                </w:tcPr>
                <w:p w14:paraId="1C84E62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w:t>
                  </w:r>
                </w:p>
                <w:p w14:paraId="4A07BDEC">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去向</w:t>
                  </w:r>
                </w:p>
              </w:tc>
              <w:tc>
                <w:tcPr>
                  <w:tcW w:w="560" w:type="pct"/>
                  <w:vMerge w:val="restart"/>
                  <w:vAlign w:val="center"/>
                </w:tcPr>
                <w:p w14:paraId="283051B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排放</w:t>
                  </w:r>
                </w:p>
                <w:p w14:paraId="39117A1D">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规律</w:t>
                  </w:r>
                </w:p>
              </w:tc>
              <w:tc>
                <w:tcPr>
                  <w:tcW w:w="434" w:type="pct"/>
                  <w:vMerge w:val="restart"/>
                  <w:vAlign w:val="center"/>
                </w:tcPr>
                <w:p w14:paraId="030A1287">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间歇排放</w:t>
                  </w:r>
                </w:p>
                <w:p w14:paraId="5D5D7FE0">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时段</w:t>
                  </w:r>
                </w:p>
              </w:tc>
              <w:tc>
                <w:tcPr>
                  <w:tcW w:w="1327" w:type="pct"/>
                  <w:gridSpan w:val="3"/>
                  <w:vAlign w:val="center"/>
                </w:tcPr>
                <w:p w14:paraId="4968F1D4">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受纳污水处理厂信息</w:t>
                  </w:r>
                </w:p>
              </w:tc>
              <w:tc>
                <w:tcPr>
                  <w:tcW w:w="525" w:type="pct"/>
                  <w:vMerge w:val="restart"/>
                  <w:vAlign w:val="center"/>
                </w:tcPr>
                <w:p w14:paraId="7C859A6D">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排放量（t/a）</w:t>
                  </w:r>
                </w:p>
              </w:tc>
            </w:tr>
            <w:tr w14:paraId="62AEB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10" w:type="pct"/>
                  <w:vMerge w:val="continue"/>
                  <w:vAlign w:val="center"/>
                </w:tcPr>
                <w:p w14:paraId="77450C63">
                  <w:pPr>
                    <w:spacing w:line="240" w:lineRule="auto"/>
                    <w:jc w:val="center"/>
                    <w:rPr>
                      <w:rFonts w:hint="default" w:ascii="Times New Roman" w:hAnsi="Times New Roman" w:cs="Times New Roman"/>
                      <w:b/>
                      <w:bCs/>
                      <w:color w:val="auto"/>
                      <w:sz w:val="21"/>
                      <w:szCs w:val="21"/>
                      <w:lang w:val="zh-CN"/>
                    </w:rPr>
                  </w:pPr>
                </w:p>
              </w:tc>
              <w:tc>
                <w:tcPr>
                  <w:tcW w:w="265" w:type="pct"/>
                  <w:vMerge w:val="continue"/>
                  <w:vAlign w:val="center"/>
                </w:tcPr>
                <w:p w14:paraId="6949D2D3">
                  <w:pPr>
                    <w:spacing w:line="240" w:lineRule="auto"/>
                    <w:jc w:val="center"/>
                    <w:rPr>
                      <w:rFonts w:hint="default" w:ascii="Times New Roman" w:hAnsi="Times New Roman" w:cs="Times New Roman"/>
                      <w:b/>
                      <w:bCs/>
                      <w:color w:val="auto"/>
                      <w:sz w:val="21"/>
                      <w:szCs w:val="21"/>
                      <w:lang w:val="zh-CN"/>
                    </w:rPr>
                  </w:pPr>
                </w:p>
              </w:tc>
              <w:tc>
                <w:tcPr>
                  <w:tcW w:w="490" w:type="pct"/>
                  <w:vAlign w:val="center"/>
                </w:tcPr>
                <w:p w14:paraId="5C700BE3">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经度</w:t>
                  </w:r>
                </w:p>
              </w:tc>
              <w:tc>
                <w:tcPr>
                  <w:tcW w:w="448" w:type="pct"/>
                  <w:vAlign w:val="center"/>
                </w:tcPr>
                <w:p w14:paraId="5013480E">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纬度</w:t>
                  </w:r>
                </w:p>
              </w:tc>
              <w:tc>
                <w:tcPr>
                  <w:tcW w:w="339" w:type="pct"/>
                  <w:vMerge w:val="continue"/>
                  <w:vAlign w:val="center"/>
                </w:tcPr>
                <w:p w14:paraId="4EE32728">
                  <w:pPr>
                    <w:spacing w:line="240" w:lineRule="auto"/>
                    <w:jc w:val="center"/>
                    <w:rPr>
                      <w:rFonts w:hint="default" w:ascii="Times New Roman" w:hAnsi="Times New Roman" w:cs="Times New Roman"/>
                      <w:b/>
                      <w:bCs/>
                      <w:color w:val="auto"/>
                      <w:sz w:val="21"/>
                      <w:szCs w:val="21"/>
                      <w:lang w:val="zh-CN"/>
                    </w:rPr>
                  </w:pPr>
                </w:p>
              </w:tc>
              <w:tc>
                <w:tcPr>
                  <w:tcW w:w="397" w:type="pct"/>
                  <w:vMerge w:val="continue"/>
                  <w:vAlign w:val="center"/>
                </w:tcPr>
                <w:p w14:paraId="4885361A">
                  <w:pPr>
                    <w:spacing w:line="240" w:lineRule="auto"/>
                    <w:jc w:val="center"/>
                    <w:rPr>
                      <w:rFonts w:hint="default" w:ascii="Times New Roman" w:hAnsi="Times New Roman" w:cs="Times New Roman"/>
                      <w:b/>
                      <w:bCs/>
                      <w:color w:val="auto"/>
                      <w:sz w:val="21"/>
                      <w:szCs w:val="21"/>
                      <w:lang w:val="zh-CN"/>
                    </w:rPr>
                  </w:pPr>
                </w:p>
              </w:tc>
              <w:tc>
                <w:tcPr>
                  <w:tcW w:w="560" w:type="pct"/>
                  <w:vMerge w:val="continue"/>
                  <w:vAlign w:val="center"/>
                </w:tcPr>
                <w:p w14:paraId="0AD3C073">
                  <w:pPr>
                    <w:spacing w:line="240" w:lineRule="auto"/>
                    <w:jc w:val="center"/>
                    <w:rPr>
                      <w:rFonts w:hint="default" w:ascii="Times New Roman" w:hAnsi="Times New Roman" w:cs="Times New Roman"/>
                      <w:b/>
                      <w:bCs/>
                      <w:color w:val="auto"/>
                      <w:sz w:val="21"/>
                      <w:szCs w:val="21"/>
                      <w:lang w:val="zh-CN"/>
                    </w:rPr>
                  </w:pPr>
                </w:p>
              </w:tc>
              <w:tc>
                <w:tcPr>
                  <w:tcW w:w="434" w:type="pct"/>
                  <w:vMerge w:val="continue"/>
                  <w:vAlign w:val="center"/>
                </w:tcPr>
                <w:p w14:paraId="70B50777">
                  <w:pPr>
                    <w:spacing w:line="240" w:lineRule="auto"/>
                    <w:jc w:val="center"/>
                    <w:rPr>
                      <w:rFonts w:hint="default" w:ascii="Times New Roman" w:hAnsi="Times New Roman" w:cs="Times New Roman"/>
                      <w:b/>
                      <w:bCs/>
                      <w:color w:val="auto"/>
                      <w:sz w:val="21"/>
                      <w:szCs w:val="21"/>
                      <w:lang w:val="zh-CN"/>
                    </w:rPr>
                  </w:pPr>
                </w:p>
              </w:tc>
              <w:tc>
                <w:tcPr>
                  <w:tcW w:w="408" w:type="pct"/>
                  <w:vAlign w:val="center"/>
                </w:tcPr>
                <w:p w14:paraId="35EE8187">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名称</w:t>
                  </w:r>
                </w:p>
              </w:tc>
              <w:tc>
                <w:tcPr>
                  <w:tcW w:w="517" w:type="pct"/>
                  <w:vAlign w:val="center"/>
                </w:tcPr>
                <w:p w14:paraId="45BA771B">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污染物种类</w:t>
                  </w:r>
                </w:p>
              </w:tc>
              <w:tc>
                <w:tcPr>
                  <w:tcW w:w="401" w:type="pct"/>
                  <w:vAlign w:val="center"/>
                </w:tcPr>
                <w:p w14:paraId="15B8C8AA">
                  <w:pPr>
                    <w:spacing w:line="240" w:lineRule="auto"/>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浓度限值/(mg/L)</w:t>
                  </w:r>
                </w:p>
              </w:tc>
              <w:tc>
                <w:tcPr>
                  <w:tcW w:w="525" w:type="pct"/>
                  <w:vMerge w:val="continue"/>
                  <w:vAlign w:val="center"/>
                </w:tcPr>
                <w:p w14:paraId="6476736A">
                  <w:pPr>
                    <w:spacing w:line="240" w:lineRule="auto"/>
                    <w:jc w:val="center"/>
                    <w:rPr>
                      <w:rFonts w:hint="default" w:ascii="Times New Roman" w:hAnsi="Times New Roman" w:cs="Times New Roman"/>
                      <w:b/>
                      <w:bCs/>
                      <w:color w:val="auto"/>
                      <w:sz w:val="21"/>
                      <w:szCs w:val="21"/>
                      <w:lang w:val="zh-CN"/>
                    </w:rPr>
                  </w:pPr>
                </w:p>
              </w:tc>
            </w:tr>
            <w:tr w14:paraId="68B4A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restart"/>
                  <w:vAlign w:val="center"/>
                </w:tcPr>
                <w:p w14:paraId="2608999A">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1</w:t>
                  </w:r>
                </w:p>
              </w:tc>
              <w:tc>
                <w:tcPr>
                  <w:tcW w:w="265" w:type="pct"/>
                  <w:vMerge w:val="restart"/>
                  <w:vAlign w:val="center"/>
                </w:tcPr>
                <w:p w14:paraId="279F47E0">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DW001</w:t>
                  </w:r>
                </w:p>
              </w:tc>
              <w:tc>
                <w:tcPr>
                  <w:tcW w:w="490" w:type="pct"/>
                  <w:vMerge w:val="restart"/>
                  <w:vAlign w:val="center"/>
                </w:tcPr>
                <w:p w14:paraId="2C4DE8F8">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zh-CN"/>
                    </w:rPr>
                    <w:t>113.897265</w:t>
                  </w:r>
                  <w:r>
                    <w:rPr>
                      <w:rFonts w:hint="default" w:ascii="Times New Roman" w:hAnsi="Times New Roman" w:cs="Times New Roman"/>
                      <w:color w:val="auto"/>
                      <w:sz w:val="21"/>
                      <w:szCs w:val="21"/>
                    </w:rPr>
                    <w:t>°</w:t>
                  </w:r>
                </w:p>
              </w:tc>
              <w:tc>
                <w:tcPr>
                  <w:tcW w:w="448" w:type="pct"/>
                  <w:vMerge w:val="restart"/>
                  <w:vAlign w:val="center"/>
                </w:tcPr>
                <w:p w14:paraId="51A6BAC2">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23.152364</w:t>
                  </w:r>
                  <w:r>
                    <w:rPr>
                      <w:rFonts w:hint="default" w:ascii="Times New Roman" w:hAnsi="Times New Roman" w:cs="Times New Roman"/>
                      <w:color w:val="auto"/>
                      <w:sz w:val="21"/>
                      <w:szCs w:val="21"/>
                    </w:rPr>
                    <w:t>°</w:t>
                  </w:r>
                </w:p>
              </w:tc>
              <w:tc>
                <w:tcPr>
                  <w:tcW w:w="339" w:type="pct"/>
                  <w:vMerge w:val="restart"/>
                  <w:vAlign w:val="center"/>
                </w:tcPr>
                <w:p w14:paraId="43773186">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900</w:t>
                  </w:r>
                </w:p>
              </w:tc>
              <w:tc>
                <w:tcPr>
                  <w:tcW w:w="397" w:type="pct"/>
                  <w:vMerge w:val="restart"/>
                  <w:vAlign w:val="center"/>
                </w:tcPr>
                <w:p w14:paraId="4C730383">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进入</w:t>
                  </w: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处理</w:t>
                  </w:r>
                </w:p>
              </w:tc>
              <w:tc>
                <w:tcPr>
                  <w:tcW w:w="560" w:type="pct"/>
                  <w:vMerge w:val="restart"/>
                  <w:vAlign w:val="center"/>
                </w:tcPr>
                <w:p w14:paraId="00D0F89C">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间断排放，排放期间流量不稳定，但有周期性规律</w:t>
                  </w:r>
                </w:p>
              </w:tc>
              <w:tc>
                <w:tcPr>
                  <w:tcW w:w="434" w:type="pct"/>
                  <w:vMerge w:val="restart"/>
                  <w:vAlign w:val="center"/>
                </w:tcPr>
                <w:p w14:paraId="2FD8E481">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8:00-</w:t>
                  </w:r>
                  <w:r>
                    <w:rPr>
                      <w:rFonts w:hint="default" w:ascii="Times New Roman" w:hAnsi="Times New Roman" w:cs="Times New Roman"/>
                      <w:color w:val="auto"/>
                      <w:sz w:val="21"/>
                      <w:szCs w:val="21"/>
                      <w:lang w:val="en-US" w:eastAsia="zh-CN"/>
                    </w:rPr>
                    <w:t>24</w:t>
                  </w:r>
                  <w:r>
                    <w:rPr>
                      <w:rFonts w:hint="default" w:ascii="Times New Roman" w:hAnsi="Times New Roman" w:cs="Times New Roman"/>
                      <w:color w:val="auto"/>
                      <w:sz w:val="21"/>
                      <w:szCs w:val="21"/>
                    </w:rPr>
                    <w:t>:00</w:t>
                  </w:r>
                </w:p>
              </w:tc>
              <w:tc>
                <w:tcPr>
                  <w:tcW w:w="408" w:type="pct"/>
                  <w:vMerge w:val="restart"/>
                  <w:vAlign w:val="center"/>
                </w:tcPr>
                <w:p w14:paraId="37DD52B1">
                  <w:pPr>
                    <w:spacing w:line="240" w:lineRule="auto"/>
                    <w:jc w:val="center"/>
                    <w:rPr>
                      <w:rFonts w:hint="default" w:ascii="Times New Roman" w:hAnsi="Times New Roman" w:eastAsia="宋体" w:cs="Times New Roman"/>
                      <w:color w:val="auto"/>
                      <w:sz w:val="21"/>
                      <w:szCs w:val="21"/>
                      <w:lang w:val="zh-CN" w:eastAsia="zh-CN"/>
                    </w:rPr>
                  </w:pPr>
                  <w:r>
                    <w:rPr>
                      <w:rFonts w:hint="eastAsia" w:cs="Times New Roman"/>
                      <w:color w:val="auto"/>
                      <w:sz w:val="21"/>
                      <w:szCs w:val="21"/>
                      <w:lang w:eastAsia="zh-CN"/>
                    </w:rPr>
                    <w:t>博罗县石湾镇大牛垒生活污水处理厂</w:t>
                  </w:r>
                </w:p>
              </w:tc>
              <w:tc>
                <w:tcPr>
                  <w:tcW w:w="517" w:type="pct"/>
                  <w:vAlign w:val="center"/>
                </w:tcPr>
                <w:p w14:paraId="78DE5CB4">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CODcr</w:t>
                  </w:r>
                </w:p>
              </w:tc>
              <w:tc>
                <w:tcPr>
                  <w:tcW w:w="401" w:type="pct"/>
                  <w:vAlign w:val="center"/>
                </w:tcPr>
                <w:p w14:paraId="574D8603">
                  <w:pPr>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40</w:t>
                  </w:r>
                </w:p>
              </w:tc>
              <w:tc>
                <w:tcPr>
                  <w:tcW w:w="890" w:type="dxa"/>
                  <w:vAlign w:val="center"/>
                </w:tcPr>
                <w:p w14:paraId="00A3AEA6">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36</w:t>
                  </w:r>
                </w:p>
              </w:tc>
            </w:tr>
            <w:tr w14:paraId="64238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continue"/>
                  <w:vAlign w:val="center"/>
                </w:tcPr>
                <w:p w14:paraId="7A40A654">
                  <w:pPr>
                    <w:spacing w:line="240" w:lineRule="auto"/>
                    <w:jc w:val="center"/>
                    <w:rPr>
                      <w:rFonts w:hint="default" w:ascii="Times New Roman" w:hAnsi="Times New Roman" w:cs="Times New Roman"/>
                      <w:color w:val="auto"/>
                      <w:sz w:val="21"/>
                      <w:szCs w:val="21"/>
                      <w:lang w:val="zh-CN"/>
                    </w:rPr>
                  </w:pPr>
                </w:p>
              </w:tc>
              <w:tc>
                <w:tcPr>
                  <w:tcW w:w="265" w:type="pct"/>
                  <w:vMerge w:val="continue"/>
                  <w:vAlign w:val="center"/>
                </w:tcPr>
                <w:p w14:paraId="7DB9FEEF">
                  <w:pPr>
                    <w:spacing w:line="240" w:lineRule="auto"/>
                    <w:jc w:val="center"/>
                    <w:rPr>
                      <w:rFonts w:hint="default" w:ascii="Times New Roman" w:hAnsi="Times New Roman" w:cs="Times New Roman"/>
                      <w:color w:val="auto"/>
                      <w:sz w:val="21"/>
                      <w:szCs w:val="21"/>
                      <w:lang w:val="zh-CN"/>
                    </w:rPr>
                  </w:pPr>
                </w:p>
              </w:tc>
              <w:tc>
                <w:tcPr>
                  <w:tcW w:w="490" w:type="pct"/>
                  <w:vMerge w:val="continue"/>
                  <w:vAlign w:val="center"/>
                </w:tcPr>
                <w:p w14:paraId="4E44050F">
                  <w:pPr>
                    <w:spacing w:line="240" w:lineRule="auto"/>
                    <w:jc w:val="center"/>
                    <w:rPr>
                      <w:rFonts w:hint="default" w:ascii="Times New Roman" w:hAnsi="Times New Roman" w:cs="Times New Roman"/>
                      <w:color w:val="auto"/>
                      <w:sz w:val="21"/>
                      <w:szCs w:val="21"/>
                      <w:lang w:val="zh-CN"/>
                    </w:rPr>
                  </w:pPr>
                </w:p>
              </w:tc>
              <w:tc>
                <w:tcPr>
                  <w:tcW w:w="448" w:type="pct"/>
                  <w:vMerge w:val="continue"/>
                  <w:vAlign w:val="center"/>
                </w:tcPr>
                <w:p w14:paraId="2356791C">
                  <w:pPr>
                    <w:spacing w:line="240" w:lineRule="auto"/>
                    <w:jc w:val="center"/>
                    <w:rPr>
                      <w:rFonts w:hint="default" w:ascii="Times New Roman" w:hAnsi="Times New Roman" w:cs="Times New Roman"/>
                      <w:color w:val="auto"/>
                      <w:sz w:val="21"/>
                      <w:szCs w:val="21"/>
                      <w:lang w:val="zh-CN"/>
                    </w:rPr>
                  </w:pPr>
                </w:p>
              </w:tc>
              <w:tc>
                <w:tcPr>
                  <w:tcW w:w="339" w:type="pct"/>
                  <w:vMerge w:val="continue"/>
                  <w:vAlign w:val="center"/>
                </w:tcPr>
                <w:p w14:paraId="623F048E">
                  <w:pPr>
                    <w:spacing w:line="240" w:lineRule="auto"/>
                    <w:jc w:val="center"/>
                    <w:rPr>
                      <w:rFonts w:hint="default" w:ascii="Times New Roman" w:hAnsi="Times New Roman" w:cs="Times New Roman"/>
                      <w:color w:val="auto"/>
                      <w:sz w:val="21"/>
                      <w:szCs w:val="21"/>
                      <w:lang w:val="zh-CN"/>
                    </w:rPr>
                  </w:pPr>
                </w:p>
              </w:tc>
              <w:tc>
                <w:tcPr>
                  <w:tcW w:w="397" w:type="pct"/>
                  <w:vMerge w:val="continue"/>
                  <w:vAlign w:val="center"/>
                </w:tcPr>
                <w:p w14:paraId="37E8EF68">
                  <w:pPr>
                    <w:spacing w:line="240" w:lineRule="auto"/>
                    <w:jc w:val="center"/>
                    <w:rPr>
                      <w:rFonts w:hint="default" w:ascii="Times New Roman" w:hAnsi="Times New Roman" w:cs="Times New Roman"/>
                      <w:color w:val="auto"/>
                      <w:sz w:val="21"/>
                      <w:szCs w:val="21"/>
                      <w:lang w:val="zh-CN"/>
                    </w:rPr>
                  </w:pPr>
                </w:p>
              </w:tc>
              <w:tc>
                <w:tcPr>
                  <w:tcW w:w="560" w:type="pct"/>
                  <w:vMerge w:val="continue"/>
                  <w:vAlign w:val="center"/>
                </w:tcPr>
                <w:p w14:paraId="00566716">
                  <w:pPr>
                    <w:spacing w:line="240" w:lineRule="auto"/>
                    <w:jc w:val="center"/>
                    <w:rPr>
                      <w:rFonts w:hint="default" w:ascii="Times New Roman" w:hAnsi="Times New Roman" w:cs="Times New Roman"/>
                      <w:color w:val="auto"/>
                      <w:sz w:val="21"/>
                      <w:szCs w:val="21"/>
                      <w:lang w:val="zh-CN"/>
                    </w:rPr>
                  </w:pPr>
                </w:p>
              </w:tc>
              <w:tc>
                <w:tcPr>
                  <w:tcW w:w="434" w:type="pct"/>
                  <w:vMerge w:val="continue"/>
                  <w:vAlign w:val="center"/>
                </w:tcPr>
                <w:p w14:paraId="728518C1">
                  <w:pPr>
                    <w:spacing w:line="240" w:lineRule="auto"/>
                    <w:jc w:val="center"/>
                    <w:rPr>
                      <w:rFonts w:hint="default" w:ascii="Times New Roman" w:hAnsi="Times New Roman" w:cs="Times New Roman"/>
                      <w:color w:val="auto"/>
                      <w:sz w:val="21"/>
                      <w:szCs w:val="21"/>
                      <w:lang w:val="zh-CN"/>
                    </w:rPr>
                  </w:pPr>
                </w:p>
              </w:tc>
              <w:tc>
                <w:tcPr>
                  <w:tcW w:w="408" w:type="pct"/>
                  <w:vMerge w:val="continue"/>
                  <w:vAlign w:val="center"/>
                </w:tcPr>
                <w:p w14:paraId="153EF3DF">
                  <w:pPr>
                    <w:spacing w:line="240" w:lineRule="auto"/>
                    <w:jc w:val="center"/>
                    <w:rPr>
                      <w:rFonts w:hint="default" w:ascii="Times New Roman" w:hAnsi="Times New Roman" w:cs="Times New Roman"/>
                      <w:color w:val="auto"/>
                      <w:sz w:val="21"/>
                      <w:szCs w:val="21"/>
                      <w:lang w:val="zh-CN"/>
                    </w:rPr>
                  </w:pPr>
                </w:p>
              </w:tc>
              <w:tc>
                <w:tcPr>
                  <w:tcW w:w="878" w:type="dxa"/>
                  <w:vAlign w:val="center"/>
                </w:tcPr>
                <w:p w14:paraId="09E21D69">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BOD</w:t>
                  </w:r>
                  <w:r>
                    <w:rPr>
                      <w:rFonts w:hint="default" w:ascii="Times New Roman" w:hAnsi="Times New Roman" w:cs="Times New Roman"/>
                      <w:bCs/>
                      <w:color w:val="auto"/>
                      <w:kern w:val="21"/>
                      <w:sz w:val="21"/>
                      <w:szCs w:val="21"/>
                      <w:vertAlign w:val="subscript"/>
                    </w:rPr>
                    <w:t>5</w:t>
                  </w:r>
                </w:p>
              </w:tc>
              <w:tc>
                <w:tcPr>
                  <w:tcW w:w="681" w:type="dxa"/>
                  <w:vAlign w:val="center"/>
                </w:tcPr>
                <w:p w14:paraId="20F6AB48">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10</w:t>
                  </w:r>
                </w:p>
              </w:tc>
              <w:tc>
                <w:tcPr>
                  <w:tcW w:w="890" w:type="dxa"/>
                  <w:vAlign w:val="center"/>
                </w:tcPr>
                <w:p w14:paraId="123BB545">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2</w:t>
                  </w:r>
                </w:p>
              </w:tc>
            </w:tr>
            <w:tr w14:paraId="370BB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continue"/>
                  <w:vAlign w:val="center"/>
                </w:tcPr>
                <w:p w14:paraId="0535D626">
                  <w:pPr>
                    <w:spacing w:line="240" w:lineRule="auto"/>
                    <w:jc w:val="center"/>
                    <w:rPr>
                      <w:rFonts w:hint="default" w:ascii="Times New Roman" w:hAnsi="Times New Roman" w:cs="Times New Roman"/>
                      <w:color w:val="auto"/>
                      <w:sz w:val="21"/>
                      <w:szCs w:val="21"/>
                      <w:lang w:val="zh-CN"/>
                    </w:rPr>
                  </w:pPr>
                </w:p>
              </w:tc>
              <w:tc>
                <w:tcPr>
                  <w:tcW w:w="265" w:type="pct"/>
                  <w:vMerge w:val="continue"/>
                  <w:vAlign w:val="center"/>
                </w:tcPr>
                <w:p w14:paraId="3FC1265F">
                  <w:pPr>
                    <w:spacing w:line="240" w:lineRule="auto"/>
                    <w:jc w:val="center"/>
                    <w:rPr>
                      <w:rFonts w:hint="default" w:ascii="Times New Roman" w:hAnsi="Times New Roman" w:cs="Times New Roman"/>
                      <w:color w:val="auto"/>
                      <w:sz w:val="21"/>
                      <w:szCs w:val="21"/>
                      <w:lang w:val="zh-CN"/>
                    </w:rPr>
                  </w:pPr>
                </w:p>
              </w:tc>
              <w:tc>
                <w:tcPr>
                  <w:tcW w:w="490" w:type="pct"/>
                  <w:vMerge w:val="continue"/>
                  <w:vAlign w:val="center"/>
                </w:tcPr>
                <w:p w14:paraId="2A9C57EB">
                  <w:pPr>
                    <w:spacing w:line="240" w:lineRule="auto"/>
                    <w:jc w:val="center"/>
                    <w:rPr>
                      <w:rFonts w:hint="default" w:ascii="Times New Roman" w:hAnsi="Times New Roman" w:cs="Times New Roman"/>
                      <w:color w:val="auto"/>
                      <w:sz w:val="21"/>
                      <w:szCs w:val="21"/>
                      <w:lang w:val="zh-CN"/>
                    </w:rPr>
                  </w:pPr>
                </w:p>
              </w:tc>
              <w:tc>
                <w:tcPr>
                  <w:tcW w:w="448" w:type="pct"/>
                  <w:vMerge w:val="continue"/>
                  <w:vAlign w:val="center"/>
                </w:tcPr>
                <w:p w14:paraId="23EA63A2">
                  <w:pPr>
                    <w:spacing w:line="240" w:lineRule="auto"/>
                    <w:jc w:val="center"/>
                    <w:rPr>
                      <w:rFonts w:hint="default" w:ascii="Times New Roman" w:hAnsi="Times New Roman" w:cs="Times New Roman"/>
                      <w:color w:val="auto"/>
                      <w:sz w:val="21"/>
                      <w:szCs w:val="21"/>
                      <w:lang w:val="zh-CN"/>
                    </w:rPr>
                  </w:pPr>
                </w:p>
              </w:tc>
              <w:tc>
                <w:tcPr>
                  <w:tcW w:w="339" w:type="pct"/>
                  <w:vMerge w:val="continue"/>
                  <w:vAlign w:val="center"/>
                </w:tcPr>
                <w:p w14:paraId="44C004A4">
                  <w:pPr>
                    <w:spacing w:line="240" w:lineRule="auto"/>
                    <w:jc w:val="center"/>
                    <w:rPr>
                      <w:rFonts w:hint="default" w:ascii="Times New Roman" w:hAnsi="Times New Roman" w:cs="Times New Roman"/>
                      <w:color w:val="auto"/>
                      <w:sz w:val="21"/>
                      <w:szCs w:val="21"/>
                      <w:lang w:val="zh-CN"/>
                    </w:rPr>
                  </w:pPr>
                </w:p>
              </w:tc>
              <w:tc>
                <w:tcPr>
                  <w:tcW w:w="397" w:type="pct"/>
                  <w:vMerge w:val="continue"/>
                  <w:vAlign w:val="center"/>
                </w:tcPr>
                <w:p w14:paraId="53635949">
                  <w:pPr>
                    <w:spacing w:line="240" w:lineRule="auto"/>
                    <w:jc w:val="center"/>
                    <w:rPr>
                      <w:rFonts w:hint="default" w:ascii="Times New Roman" w:hAnsi="Times New Roman" w:cs="Times New Roman"/>
                      <w:color w:val="auto"/>
                      <w:sz w:val="21"/>
                      <w:szCs w:val="21"/>
                      <w:lang w:val="zh-CN"/>
                    </w:rPr>
                  </w:pPr>
                </w:p>
              </w:tc>
              <w:tc>
                <w:tcPr>
                  <w:tcW w:w="560" w:type="pct"/>
                  <w:vMerge w:val="continue"/>
                  <w:vAlign w:val="center"/>
                </w:tcPr>
                <w:p w14:paraId="47311A06">
                  <w:pPr>
                    <w:spacing w:line="240" w:lineRule="auto"/>
                    <w:jc w:val="center"/>
                    <w:rPr>
                      <w:rFonts w:hint="default" w:ascii="Times New Roman" w:hAnsi="Times New Roman" w:cs="Times New Roman"/>
                      <w:color w:val="auto"/>
                      <w:sz w:val="21"/>
                      <w:szCs w:val="21"/>
                      <w:lang w:val="zh-CN"/>
                    </w:rPr>
                  </w:pPr>
                </w:p>
              </w:tc>
              <w:tc>
                <w:tcPr>
                  <w:tcW w:w="434" w:type="pct"/>
                  <w:vMerge w:val="continue"/>
                  <w:vAlign w:val="center"/>
                </w:tcPr>
                <w:p w14:paraId="46C36A7D">
                  <w:pPr>
                    <w:spacing w:line="240" w:lineRule="auto"/>
                    <w:jc w:val="center"/>
                    <w:rPr>
                      <w:rFonts w:hint="default" w:ascii="Times New Roman" w:hAnsi="Times New Roman" w:cs="Times New Roman"/>
                      <w:color w:val="auto"/>
                      <w:sz w:val="21"/>
                      <w:szCs w:val="21"/>
                      <w:lang w:val="zh-CN"/>
                    </w:rPr>
                  </w:pPr>
                </w:p>
              </w:tc>
              <w:tc>
                <w:tcPr>
                  <w:tcW w:w="408" w:type="pct"/>
                  <w:vMerge w:val="continue"/>
                  <w:vAlign w:val="center"/>
                </w:tcPr>
                <w:p w14:paraId="01F33AA8">
                  <w:pPr>
                    <w:spacing w:line="240" w:lineRule="auto"/>
                    <w:jc w:val="center"/>
                    <w:rPr>
                      <w:rFonts w:hint="default" w:ascii="Times New Roman" w:hAnsi="Times New Roman" w:cs="Times New Roman"/>
                      <w:color w:val="auto"/>
                      <w:sz w:val="21"/>
                      <w:szCs w:val="21"/>
                      <w:lang w:val="zh-CN"/>
                    </w:rPr>
                  </w:pPr>
                </w:p>
              </w:tc>
              <w:tc>
                <w:tcPr>
                  <w:tcW w:w="878" w:type="dxa"/>
                  <w:vAlign w:val="center"/>
                </w:tcPr>
                <w:p w14:paraId="68F83377">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SS</w:t>
                  </w:r>
                </w:p>
              </w:tc>
              <w:tc>
                <w:tcPr>
                  <w:tcW w:w="681" w:type="dxa"/>
                  <w:vAlign w:val="center"/>
                </w:tcPr>
                <w:p w14:paraId="1AE12E14">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10</w:t>
                  </w:r>
                </w:p>
              </w:tc>
              <w:tc>
                <w:tcPr>
                  <w:tcW w:w="890" w:type="dxa"/>
                  <w:vAlign w:val="center"/>
                </w:tcPr>
                <w:p w14:paraId="44E3E9B4">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2</w:t>
                  </w:r>
                </w:p>
              </w:tc>
            </w:tr>
            <w:tr w14:paraId="75A3A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0" w:type="pct"/>
                  <w:vMerge w:val="continue"/>
                  <w:vAlign w:val="center"/>
                </w:tcPr>
                <w:p w14:paraId="2A3BE55F">
                  <w:pPr>
                    <w:spacing w:line="240" w:lineRule="auto"/>
                    <w:jc w:val="center"/>
                    <w:rPr>
                      <w:rFonts w:hint="default" w:ascii="Times New Roman" w:hAnsi="Times New Roman" w:cs="Times New Roman"/>
                      <w:color w:val="auto"/>
                      <w:sz w:val="21"/>
                      <w:szCs w:val="21"/>
                      <w:lang w:val="zh-CN"/>
                    </w:rPr>
                  </w:pPr>
                </w:p>
              </w:tc>
              <w:tc>
                <w:tcPr>
                  <w:tcW w:w="265" w:type="pct"/>
                  <w:vMerge w:val="continue"/>
                  <w:vAlign w:val="center"/>
                </w:tcPr>
                <w:p w14:paraId="28B772BA">
                  <w:pPr>
                    <w:spacing w:line="240" w:lineRule="auto"/>
                    <w:jc w:val="center"/>
                    <w:rPr>
                      <w:rFonts w:hint="default" w:ascii="Times New Roman" w:hAnsi="Times New Roman" w:cs="Times New Roman"/>
                      <w:color w:val="auto"/>
                      <w:sz w:val="21"/>
                      <w:szCs w:val="21"/>
                      <w:lang w:val="zh-CN"/>
                    </w:rPr>
                  </w:pPr>
                </w:p>
              </w:tc>
              <w:tc>
                <w:tcPr>
                  <w:tcW w:w="490" w:type="pct"/>
                  <w:vMerge w:val="continue"/>
                  <w:vAlign w:val="center"/>
                </w:tcPr>
                <w:p w14:paraId="0B5E6E72">
                  <w:pPr>
                    <w:spacing w:line="240" w:lineRule="auto"/>
                    <w:jc w:val="center"/>
                    <w:rPr>
                      <w:rFonts w:hint="default" w:ascii="Times New Roman" w:hAnsi="Times New Roman" w:cs="Times New Roman"/>
                      <w:color w:val="auto"/>
                      <w:sz w:val="21"/>
                      <w:szCs w:val="21"/>
                      <w:lang w:val="zh-CN"/>
                    </w:rPr>
                  </w:pPr>
                </w:p>
              </w:tc>
              <w:tc>
                <w:tcPr>
                  <w:tcW w:w="448" w:type="pct"/>
                  <w:vMerge w:val="continue"/>
                  <w:vAlign w:val="center"/>
                </w:tcPr>
                <w:p w14:paraId="52F31FD5">
                  <w:pPr>
                    <w:spacing w:line="240" w:lineRule="auto"/>
                    <w:jc w:val="center"/>
                    <w:rPr>
                      <w:rFonts w:hint="default" w:ascii="Times New Roman" w:hAnsi="Times New Roman" w:cs="Times New Roman"/>
                      <w:color w:val="auto"/>
                      <w:sz w:val="21"/>
                      <w:szCs w:val="21"/>
                      <w:lang w:val="zh-CN"/>
                    </w:rPr>
                  </w:pPr>
                </w:p>
              </w:tc>
              <w:tc>
                <w:tcPr>
                  <w:tcW w:w="339" w:type="pct"/>
                  <w:vMerge w:val="continue"/>
                  <w:vAlign w:val="center"/>
                </w:tcPr>
                <w:p w14:paraId="212DEFB6">
                  <w:pPr>
                    <w:spacing w:line="240" w:lineRule="auto"/>
                    <w:jc w:val="center"/>
                    <w:rPr>
                      <w:rFonts w:hint="default" w:ascii="Times New Roman" w:hAnsi="Times New Roman" w:cs="Times New Roman"/>
                      <w:color w:val="auto"/>
                      <w:sz w:val="21"/>
                      <w:szCs w:val="21"/>
                      <w:lang w:val="zh-CN"/>
                    </w:rPr>
                  </w:pPr>
                </w:p>
              </w:tc>
              <w:tc>
                <w:tcPr>
                  <w:tcW w:w="397" w:type="pct"/>
                  <w:vMerge w:val="continue"/>
                  <w:vAlign w:val="center"/>
                </w:tcPr>
                <w:p w14:paraId="413A8646">
                  <w:pPr>
                    <w:spacing w:line="240" w:lineRule="auto"/>
                    <w:jc w:val="center"/>
                    <w:rPr>
                      <w:rFonts w:hint="default" w:ascii="Times New Roman" w:hAnsi="Times New Roman" w:cs="Times New Roman"/>
                      <w:color w:val="auto"/>
                      <w:sz w:val="21"/>
                      <w:szCs w:val="21"/>
                      <w:lang w:val="zh-CN"/>
                    </w:rPr>
                  </w:pPr>
                </w:p>
              </w:tc>
              <w:tc>
                <w:tcPr>
                  <w:tcW w:w="560" w:type="pct"/>
                  <w:vMerge w:val="continue"/>
                  <w:vAlign w:val="center"/>
                </w:tcPr>
                <w:p w14:paraId="21C7D3B0">
                  <w:pPr>
                    <w:spacing w:line="240" w:lineRule="auto"/>
                    <w:jc w:val="center"/>
                    <w:rPr>
                      <w:rFonts w:hint="default" w:ascii="Times New Roman" w:hAnsi="Times New Roman" w:cs="Times New Roman"/>
                      <w:color w:val="auto"/>
                      <w:sz w:val="21"/>
                      <w:szCs w:val="21"/>
                      <w:lang w:val="zh-CN"/>
                    </w:rPr>
                  </w:pPr>
                </w:p>
              </w:tc>
              <w:tc>
                <w:tcPr>
                  <w:tcW w:w="434" w:type="pct"/>
                  <w:vMerge w:val="continue"/>
                  <w:vAlign w:val="center"/>
                </w:tcPr>
                <w:p w14:paraId="01220892">
                  <w:pPr>
                    <w:spacing w:line="240" w:lineRule="auto"/>
                    <w:jc w:val="center"/>
                    <w:rPr>
                      <w:rFonts w:hint="default" w:ascii="Times New Roman" w:hAnsi="Times New Roman" w:cs="Times New Roman"/>
                      <w:color w:val="auto"/>
                      <w:sz w:val="21"/>
                      <w:szCs w:val="21"/>
                      <w:lang w:val="zh-CN"/>
                    </w:rPr>
                  </w:pPr>
                </w:p>
              </w:tc>
              <w:tc>
                <w:tcPr>
                  <w:tcW w:w="408" w:type="pct"/>
                  <w:vMerge w:val="continue"/>
                  <w:vAlign w:val="center"/>
                </w:tcPr>
                <w:p w14:paraId="522AC19E">
                  <w:pPr>
                    <w:spacing w:line="240" w:lineRule="auto"/>
                    <w:jc w:val="center"/>
                    <w:rPr>
                      <w:rFonts w:hint="default" w:ascii="Times New Roman" w:hAnsi="Times New Roman" w:cs="Times New Roman"/>
                      <w:color w:val="auto"/>
                      <w:sz w:val="21"/>
                      <w:szCs w:val="21"/>
                      <w:lang w:val="zh-CN"/>
                    </w:rPr>
                  </w:pPr>
                </w:p>
              </w:tc>
              <w:tc>
                <w:tcPr>
                  <w:tcW w:w="878" w:type="dxa"/>
                  <w:vAlign w:val="center"/>
                </w:tcPr>
                <w:p w14:paraId="73BD0FA0">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氨氮</w:t>
                  </w:r>
                </w:p>
              </w:tc>
              <w:tc>
                <w:tcPr>
                  <w:tcW w:w="681" w:type="dxa"/>
                  <w:vAlign w:val="center"/>
                </w:tcPr>
                <w:p w14:paraId="12A6237F">
                  <w:pPr>
                    <w:keepNext/>
                    <w:keepLines/>
                    <w:pageBreakBefore/>
                    <w:wordWrap/>
                    <w:adjustRightInd w:val="0"/>
                    <w:snapToGrid w:val="0"/>
                    <w:spacing w:line="240" w:lineRule="auto"/>
                    <w:jc w:val="center"/>
                    <w:rPr>
                      <w:rFonts w:hint="default" w:ascii="Times New Roman" w:hAnsi="Times New Roman" w:cs="Times New Roman"/>
                      <w:color w:val="auto"/>
                      <w:sz w:val="21"/>
                      <w:szCs w:val="21"/>
                      <w:lang w:val="zh-CN"/>
                    </w:rPr>
                  </w:pPr>
                  <w:r>
                    <w:rPr>
                      <w:rFonts w:hint="default" w:ascii="Times New Roman" w:hAnsi="Times New Roman" w:cs="Times New Roman"/>
                      <w:bCs/>
                      <w:color w:val="auto"/>
                      <w:kern w:val="21"/>
                      <w:sz w:val="21"/>
                      <w:szCs w:val="21"/>
                    </w:rPr>
                    <w:t>5</w:t>
                  </w:r>
                </w:p>
              </w:tc>
              <w:tc>
                <w:tcPr>
                  <w:tcW w:w="890" w:type="dxa"/>
                  <w:vAlign w:val="center"/>
                </w:tcPr>
                <w:p w14:paraId="6CF94844">
                  <w:pPr>
                    <w:keepNext/>
                    <w:keepLines/>
                    <w:pageBreakBefore/>
                    <w:wordWrap/>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1</w:t>
                  </w:r>
                </w:p>
              </w:tc>
            </w:tr>
          </w:tbl>
          <w:p w14:paraId="022C9FBA">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3）监测要求</w:t>
            </w:r>
          </w:p>
          <w:p w14:paraId="2130E324">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w:t>
            </w:r>
            <w:r>
              <w:rPr>
                <w:rFonts w:hint="eastAsia" w:cs="Times New Roman"/>
                <w:color w:val="auto"/>
                <w:lang w:eastAsia="zh-CN"/>
              </w:rPr>
              <w:t>从事电子器件和模具</w:t>
            </w:r>
            <w:r>
              <w:rPr>
                <w:rFonts w:hint="default" w:ascii="Times New Roman" w:hAnsi="Times New Roman" w:cs="Times New Roman"/>
                <w:color w:val="auto"/>
              </w:rPr>
              <w:t>的生产，属于</w:t>
            </w:r>
            <w:r>
              <w:rPr>
                <w:rFonts w:hint="eastAsia" w:cs="Times New Roman"/>
                <w:color w:val="auto"/>
                <w:lang w:eastAsia="zh-CN"/>
              </w:rPr>
              <w:t>C3979 其他电子器件制造</w:t>
            </w:r>
            <w:r>
              <w:rPr>
                <w:rFonts w:hint="default" w:ascii="Times New Roman" w:hAnsi="Times New Roman" w:cs="Times New Roman"/>
                <w:color w:val="auto"/>
              </w:rPr>
              <w:t>，</w:t>
            </w:r>
            <w:r>
              <w:rPr>
                <w:rFonts w:hint="default" w:ascii="Times New Roman" w:hAnsi="Times New Roman" w:cs="Times New Roman"/>
                <w:color w:val="auto"/>
                <w:szCs w:val="22"/>
              </w:rPr>
              <w:t>项目</w:t>
            </w:r>
            <w:r>
              <w:rPr>
                <w:rFonts w:hint="default" w:ascii="Times New Roman" w:hAnsi="Times New Roman" w:cs="Times New Roman"/>
                <w:color w:val="auto"/>
                <w:szCs w:val="22"/>
                <w:lang w:val="en-US" w:eastAsia="zh-CN"/>
              </w:rPr>
              <w:t>以</w:t>
            </w:r>
            <w:r>
              <w:rPr>
                <w:rFonts w:hint="default" w:ascii="Times New Roman" w:hAnsi="Times New Roman" w:cs="Times New Roman"/>
                <w:color w:val="auto"/>
                <w:szCs w:val="22"/>
              </w:rPr>
              <w:t xml:space="preserve">《排污单位自行监测技术指南 </w:t>
            </w:r>
            <w:r>
              <w:rPr>
                <w:rFonts w:hint="default" w:ascii="Times New Roman" w:hAnsi="Times New Roman" w:cs="Times New Roman"/>
                <w:color w:val="auto"/>
                <w:szCs w:val="22"/>
                <w:lang w:val="en-US" w:eastAsia="zh-CN"/>
              </w:rPr>
              <w:t>橡胶和塑料制品</w:t>
            </w:r>
            <w:r>
              <w:rPr>
                <w:rFonts w:hint="default" w:ascii="Times New Roman" w:hAnsi="Times New Roman" w:cs="Times New Roman"/>
                <w:color w:val="auto"/>
                <w:szCs w:val="22"/>
              </w:rPr>
              <w:t xml:space="preserve">》（HJ </w:t>
            </w:r>
            <w:r>
              <w:rPr>
                <w:rFonts w:hint="default" w:ascii="Times New Roman" w:hAnsi="Times New Roman" w:cs="Times New Roman"/>
                <w:color w:val="auto"/>
                <w:szCs w:val="22"/>
                <w:lang w:val="en-US" w:eastAsia="zh-CN"/>
              </w:rPr>
              <w:t>1207-2021</w:t>
            </w:r>
            <w:r>
              <w:rPr>
                <w:rFonts w:hint="default" w:ascii="Times New Roman" w:hAnsi="Times New Roman" w:cs="Times New Roman"/>
                <w:color w:val="auto"/>
                <w:szCs w:val="22"/>
              </w:rPr>
              <w:t>）</w:t>
            </w:r>
            <w:r>
              <w:rPr>
                <w:rFonts w:hint="default" w:ascii="Times New Roman" w:hAnsi="Times New Roman" w:cs="Times New Roman"/>
                <w:color w:val="auto"/>
                <w:szCs w:val="22"/>
                <w:lang w:val="en-US" w:eastAsia="zh-CN"/>
              </w:rPr>
              <w:t>其他</w:t>
            </w:r>
            <w:r>
              <w:rPr>
                <w:rFonts w:hint="eastAsia" w:cs="Times New Roman"/>
                <w:color w:val="auto"/>
                <w:szCs w:val="22"/>
                <w:lang w:val="en-US" w:eastAsia="zh-CN"/>
              </w:rPr>
              <w:t>塑料</w:t>
            </w:r>
            <w:r>
              <w:rPr>
                <w:rFonts w:hint="default" w:ascii="Times New Roman" w:hAnsi="Times New Roman" w:cs="Times New Roman"/>
                <w:color w:val="auto"/>
                <w:szCs w:val="22"/>
                <w:lang w:val="en-US" w:eastAsia="zh-CN"/>
              </w:rPr>
              <w:t>制品制造行业的监测要求</w:t>
            </w:r>
            <w:r>
              <w:rPr>
                <w:rFonts w:hint="default" w:ascii="Times New Roman" w:hAnsi="Times New Roman" w:cs="Times New Roman"/>
                <w:color w:val="auto"/>
              </w:rPr>
              <w:t>作为依照，项目</w:t>
            </w:r>
            <w:r>
              <w:rPr>
                <w:rFonts w:hint="default" w:ascii="Times New Roman" w:hAnsi="Times New Roman" w:cs="Times New Roman"/>
                <w:color w:val="auto"/>
                <w:lang w:val="en-US" w:eastAsia="zh-CN"/>
              </w:rPr>
              <w:t>属于非重点排污单位，</w:t>
            </w:r>
            <w:r>
              <w:rPr>
                <w:rFonts w:hint="default" w:ascii="Times New Roman" w:hAnsi="Times New Roman" w:cs="Times New Roman"/>
                <w:bCs/>
                <w:color w:val="auto"/>
                <w:szCs w:val="22"/>
              </w:rPr>
              <w:t>生活污水经三级化粪池预处理后纳入市政管网进入</w:t>
            </w:r>
            <w:r>
              <w:rPr>
                <w:rFonts w:hint="eastAsia" w:cs="Times New Roman"/>
                <w:bCs/>
                <w:color w:val="auto"/>
                <w:szCs w:val="22"/>
                <w:lang w:eastAsia="zh-CN"/>
              </w:rPr>
              <w:t>博罗县石湾镇大牛垒生活污水处理厂</w:t>
            </w:r>
            <w:r>
              <w:rPr>
                <w:rFonts w:hint="default" w:ascii="Times New Roman" w:hAnsi="Times New Roman" w:cs="Times New Roman"/>
                <w:bCs/>
                <w:color w:val="auto"/>
                <w:szCs w:val="22"/>
              </w:rPr>
              <w:t>处理</w:t>
            </w:r>
            <w:r>
              <w:rPr>
                <w:rFonts w:hint="default" w:ascii="Times New Roman" w:hAnsi="Times New Roman" w:cs="Times New Roman"/>
                <w:color w:val="auto"/>
              </w:rPr>
              <w:t>，排放方式为间接排放，因此</w:t>
            </w:r>
            <w:r>
              <w:rPr>
                <w:rFonts w:hint="default" w:ascii="Times New Roman" w:hAnsi="Times New Roman" w:cs="Times New Roman"/>
                <w:color w:val="auto"/>
                <w:szCs w:val="22"/>
              </w:rPr>
              <w:t>无需对项目废水排放污染物进行监测。</w:t>
            </w:r>
          </w:p>
        </w:tc>
      </w:tr>
    </w:tbl>
    <w:p w14:paraId="1E9CE76C">
      <w:pPr>
        <w:adjustRightInd w:val="0"/>
        <w:snapToGrid w:val="0"/>
        <w:rPr>
          <w:rFonts w:hint="default" w:ascii="Times New Roman" w:hAnsi="Times New Roman" w:cs="Times New Roman"/>
          <w:b/>
          <w:color w:val="auto"/>
          <w:kern w:val="0"/>
          <w:sz w:val="28"/>
          <w:szCs w:val="28"/>
        </w:rPr>
        <w:sectPr>
          <w:pgSz w:w="11907" w:h="16840"/>
          <w:pgMar w:top="1701" w:right="1531" w:bottom="2127" w:left="1531" w:header="851" w:footer="1701" w:gutter="0"/>
          <w:cols w:space="720" w:num="1"/>
          <w:docGrid w:linePitch="312" w:charSpace="0"/>
        </w:sectPr>
      </w:pPr>
    </w:p>
    <w:tbl>
      <w:tblPr>
        <w:tblStyle w:val="22"/>
        <w:tblW w:w="141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3557"/>
      </w:tblGrid>
      <w:tr w14:paraId="47FA8E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18" w:hRule="atLeast"/>
          <w:jc w:val="center"/>
        </w:trPr>
        <w:tc>
          <w:tcPr>
            <w:tcW w:w="642" w:type="dxa"/>
            <w:noWrap w:val="0"/>
            <w:tcMar>
              <w:left w:w="28" w:type="dxa"/>
              <w:right w:w="28" w:type="dxa"/>
            </w:tcMar>
            <w:vAlign w:val="center"/>
          </w:tcPr>
          <w:p w14:paraId="740B1A39">
            <w:pPr>
              <w:keepNext w:val="0"/>
              <w:keepLines w:val="0"/>
              <w:suppressLineNumbers w:val="0"/>
              <w:wordWrap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Cs/>
                <w:color w:val="auto"/>
                <w:sz w:val="24"/>
                <w:szCs w:val="21"/>
              </w:rPr>
            </w:pPr>
          </w:p>
        </w:tc>
        <w:tc>
          <w:tcPr>
            <w:tcW w:w="13557" w:type="dxa"/>
            <w:noWrap w:val="0"/>
            <w:vAlign w:val="top"/>
          </w:tcPr>
          <w:p w14:paraId="73DF5256">
            <w:pPr>
              <w:keepNext w:val="0"/>
              <w:keepLines w:val="0"/>
              <w:suppressLineNumbers w:val="0"/>
              <w:wordWrap w:val="0"/>
              <w:spacing w:before="0" w:beforeAutospacing="0" w:after="0" w:afterAutospacing="0"/>
              <w:ind w:left="0" w:right="0" w:firstLine="0" w:firstLineChars="0"/>
              <w:textAlignment w:val="baseline"/>
              <w:rPr>
                <w:rFonts w:hint="default" w:ascii="Times New Roman" w:hAnsi="Times New Roman" w:eastAsia="宋体" w:cs="Times New Roman"/>
                <w:color w:val="auto"/>
                <w:kern w:val="0"/>
                <w:sz w:val="24"/>
                <w:szCs w:val="24"/>
              </w:rPr>
            </w:pPr>
            <w:r>
              <w:rPr>
                <w:rFonts w:hint="default" w:ascii="Times New Roman" w:hAnsi="Times New Roman" w:eastAsia="宋体" w:cs="Times New Roman"/>
                <w:b/>
                <w:color w:val="auto"/>
                <w:kern w:val="0"/>
                <w:sz w:val="24"/>
                <w:szCs w:val="24"/>
              </w:rPr>
              <w:t>3、噪声</w:t>
            </w:r>
          </w:p>
          <w:p w14:paraId="7952F1CF">
            <w:pPr>
              <w:keepNext w:val="0"/>
              <w:keepLines w:val="0"/>
              <w:suppressLineNumbers w:val="0"/>
              <w:wordWrap w:val="0"/>
              <w:spacing w:before="0" w:beforeAutospacing="0" w:after="0" w:afterAutospacing="0"/>
              <w:ind w:left="0" w:right="0" w:firstLine="482"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（1）噪声源强分析</w:t>
            </w:r>
          </w:p>
          <w:p w14:paraId="09589EB0">
            <w:pPr>
              <w:keepNext w:val="0"/>
              <w:keepLines w:val="0"/>
              <w:suppressLineNumbers w:val="0"/>
              <w:wordWrap w:val="0"/>
              <w:spacing w:before="0" w:beforeAutospacing="0" w:after="0" w:afterAutospacing="0"/>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根据项目提供的资料，项目主要噪声为注塑机</w:t>
            </w:r>
            <w:r>
              <w:rPr>
                <w:rFonts w:hint="default" w:ascii="Times New Roman" w:hAnsi="Times New Roman" w:cs="Times New Roman"/>
                <w:color w:val="auto"/>
                <w:sz w:val="24"/>
                <w:szCs w:val="24"/>
                <w:lang w:eastAsia="zh-CN"/>
              </w:rPr>
              <w:t>、</w:t>
            </w:r>
            <w:r>
              <w:rPr>
                <w:rFonts w:hint="eastAsia" w:cs="Times New Roman"/>
                <w:color w:val="auto"/>
                <w:sz w:val="24"/>
                <w:szCs w:val="24"/>
                <w:lang w:val="en-US" w:eastAsia="zh-CN"/>
              </w:rPr>
              <w:t>冲床、移印</w:t>
            </w:r>
            <w:r>
              <w:rPr>
                <w:rFonts w:hint="default" w:ascii="Times New Roman" w:hAnsi="Times New Roman" w:cs="Times New Roman"/>
                <w:color w:val="auto"/>
                <w:sz w:val="24"/>
                <w:szCs w:val="24"/>
                <w:lang w:val="en-US" w:eastAsia="zh-CN"/>
              </w:rPr>
              <w:t>机</w:t>
            </w:r>
            <w:r>
              <w:rPr>
                <w:rFonts w:hint="default" w:ascii="Times New Roman" w:hAnsi="Times New Roman" w:eastAsia="宋体" w:cs="Times New Roman"/>
                <w:color w:val="auto"/>
                <w:sz w:val="24"/>
                <w:szCs w:val="24"/>
              </w:rPr>
              <w:t>等机械设备运作时产生机械噪声，约7</w:t>
            </w:r>
            <w:r>
              <w:rPr>
                <w:rFonts w:hint="default" w:ascii="Times New Roman" w:hAnsi="Times New Roman" w:cs="Times New Roman"/>
                <w:color w:val="auto"/>
                <w:sz w:val="24"/>
                <w:szCs w:val="24"/>
                <w:lang w:val="en-US" w:eastAsia="zh-CN"/>
              </w:rPr>
              <w:t>0</w:t>
            </w:r>
            <w:r>
              <w:rPr>
                <w:rFonts w:hint="default" w:ascii="Times New Roman" w:hAnsi="Times New Roman" w:eastAsia="宋体" w:cs="Times New Roman"/>
                <w:color w:val="auto"/>
                <w:sz w:val="24"/>
                <w:szCs w:val="24"/>
                <w:lang w:val="en-US" w:eastAsia="zh-CN"/>
              </w:rPr>
              <w:t>-90</w:t>
            </w:r>
            <w:r>
              <w:rPr>
                <w:rFonts w:hint="default" w:ascii="Times New Roman" w:hAnsi="Times New Roman" w:eastAsia="宋体" w:cs="Times New Roman"/>
                <w:color w:val="auto"/>
                <w:sz w:val="24"/>
                <w:szCs w:val="24"/>
              </w:rPr>
              <w:t>dB(A)，根据刘惠玲主编《环境噪声控制》（2002年</w:t>
            </w:r>
            <w:r>
              <w:rPr>
                <w:rFonts w:hint="default"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月第</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版），采用隔声间（室）技术措施，降噪效果可达20~40dB(A)。本项目降噪值选</w:t>
            </w:r>
            <w:r>
              <w:rPr>
                <w:rFonts w:hint="default"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rPr>
              <w:t>dB(A)。项目噪声源情况详见下表。</w:t>
            </w:r>
          </w:p>
          <w:p w14:paraId="595895E5">
            <w:pPr>
              <w:keepNext w:val="0"/>
              <w:keepLines w:val="0"/>
              <w:numPr>
                <w:ilvl w:val="0"/>
                <w:numId w:val="0"/>
              </w:numPr>
              <w:suppressLineNumbers w:val="0"/>
              <w:tabs>
                <w:tab w:val="left" w:pos="0"/>
              </w:tabs>
              <w:wordWrap/>
              <w:adjustRightInd w:val="0"/>
              <w:snapToGrid w:val="0"/>
              <w:spacing w:before="0" w:beforeAutospacing="0" w:after="0" w:afterAutospacing="0" w:line="240" w:lineRule="auto"/>
              <w:ind w:left="0" w:leftChars="0" w:right="0" w:rightChars="0" w:firstLine="420" w:firstLineChars="0"/>
              <w:jc w:val="center"/>
              <w:rPr>
                <w:rFonts w:hint="default" w:ascii="Times New Roman" w:hAnsi="Times New Roman" w:eastAsia="宋体" w:cs="Times New Roman"/>
                <w:bCs/>
                <w:color w:val="auto"/>
                <w:kern w:val="21"/>
                <w:sz w:val="24"/>
                <w:szCs w:val="24"/>
              </w:rPr>
            </w:pPr>
            <w:r>
              <w:rPr>
                <w:rFonts w:hint="default" w:ascii="Times New Roman" w:hAnsi="Times New Roman" w:eastAsia="宋体" w:cs="Times New Roman"/>
                <w:b/>
                <w:bCs/>
                <w:color w:val="auto"/>
                <w:kern w:val="21"/>
                <w:sz w:val="24"/>
                <w:szCs w:val="24"/>
                <w:lang w:val="en-US" w:eastAsia="zh-CN" w:bidi="ar-SA"/>
              </w:rPr>
              <w:t>表4-</w:t>
            </w:r>
            <w:r>
              <w:rPr>
                <w:rFonts w:hint="default" w:ascii="Times New Roman" w:hAnsi="Times New Roman" w:cs="Times New Roman"/>
                <w:b/>
                <w:bCs/>
                <w:color w:val="auto"/>
                <w:kern w:val="21"/>
                <w:sz w:val="24"/>
                <w:szCs w:val="24"/>
                <w:lang w:val="en-US" w:eastAsia="zh-CN" w:bidi="ar-SA"/>
              </w:rPr>
              <w:t>19</w:t>
            </w:r>
            <w:r>
              <w:rPr>
                <w:rFonts w:hint="default" w:ascii="Times New Roman" w:hAnsi="Times New Roman" w:eastAsia="宋体" w:cs="Times New Roman"/>
                <w:b/>
                <w:bCs/>
                <w:color w:val="auto"/>
                <w:kern w:val="21"/>
                <w:sz w:val="21"/>
                <w:szCs w:val="21"/>
                <w:lang w:val="en-US" w:eastAsia="zh-CN" w:bidi="ar-SA"/>
              </w:rPr>
              <w:t xml:space="preserve"> </w:t>
            </w:r>
            <w:r>
              <w:rPr>
                <w:rFonts w:hint="default" w:ascii="Times New Roman" w:hAnsi="Times New Roman" w:eastAsia="宋体" w:cs="Times New Roman"/>
                <w:b/>
                <w:color w:val="auto"/>
                <w:kern w:val="21"/>
                <w:sz w:val="24"/>
                <w:szCs w:val="24"/>
              </w:rPr>
              <w:t>工业企业噪声源强调查清单（室内声源）</w:t>
            </w:r>
          </w:p>
          <w:tbl>
            <w:tblPr>
              <w:tblStyle w:val="23"/>
              <w:tblW w:w="13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889"/>
              <w:gridCol w:w="2031"/>
              <w:gridCol w:w="894"/>
              <w:gridCol w:w="1194"/>
              <w:gridCol w:w="1180"/>
              <w:gridCol w:w="996"/>
              <w:gridCol w:w="920"/>
              <w:gridCol w:w="1040"/>
              <w:gridCol w:w="1330"/>
              <w:gridCol w:w="1142"/>
              <w:gridCol w:w="901"/>
            </w:tblGrid>
            <w:tr w14:paraId="49528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vMerge w:val="restart"/>
                  <w:noWrap w:val="0"/>
                  <w:vAlign w:val="center"/>
                </w:tcPr>
                <w:p w14:paraId="772833A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序号</w:t>
                  </w:r>
                </w:p>
              </w:tc>
              <w:tc>
                <w:tcPr>
                  <w:tcW w:w="889" w:type="dxa"/>
                  <w:vMerge w:val="restart"/>
                  <w:noWrap w:val="0"/>
                  <w:vAlign w:val="center"/>
                </w:tcPr>
                <w:p w14:paraId="418F1BF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建筑物名称</w:t>
                  </w:r>
                </w:p>
              </w:tc>
              <w:tc>
                <w:tcPr>
                  <w:tcW w:w="2031" w:type="dxa"/>
                  <w:vMerge w:val="restart"/>
                  <w:noWrap w:val="0"/>
                  <w:vAlign w:val="center"/>
                </w:tcPr>
                <w:p w14:paraId="6E6906B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设备名称</w:t>
                  </w:r>
                </w:p>
              </w:tc>
              <w:tc>
                <w:tcPr>
                  <w:tcW w:w="894" w:type="dxa"/>
                  <w:vMerge w:val="restart"/>
                  <w:noWrap w:val="0"/>
                  <w:vAlign w:val="center"/>
                </w:tcPr>
                <w:p w14:paraId="6C73123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设备数量</w:t>
                  </w:r>
                </w:p>
              </w:tc>
              <w:tc>
                <w:tcPr>
                  <w:tcW w:w="3370" w:type="dxa"/>
                  <w:gridSpan w:val="3"/>
                  <w:noWrap w:val="0"/>
                  <w:vAlign w:val="center"/>
                </w:tcPr>
                <w:p w14:paraId="6464358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lang w:val="en-US" w:eastAsia="zh-CN"/>
                    </w:rPr>
                  </w:pPr>
                  <w:r>
                    <w:rPr>
                      <w:rFonts w:hint="default" w:ascii="Times New Roman" w:hAnsi="Times New Roman" w:eastAsia="宋体" w:cs="Times New Roman"/>
                      <w:b/>
                      <w:color w:val="auto"/>
                      <w:kern w:val="21"/>
                      <w:sz w:val="21"/>
                      <w:szCs w:val="21"/>
                      <w:lang w:val="en-US" w:eastAsia="zh-CN"/>
                    </w:rPr>
                    <w:t>空间相对位置/m</w:t>
                  </w:r>
                </w:p>
              </w:tc>
              <w:tc>
                <w:tcPr>
                  <w:tcW w:w="1960" w:type="dxa"/>
                  <w:gridSpan w:val="2"/>
                  <w:noWrap w:val="0"/>
                  <w:vAlign w:val="center"/>
                </w:tcPr>
                <w:p w14:paraId="4C4A791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声源源强</w:t>
                  </w:r>
                </w:p>
              </w:tc>
              <w:tc>
                <w:tcPr>
                  <w:tcW w:w="1330" w:type="dxa"/>
                  <w:vMerge w:val="restart"/>
                  <w:noWrap w:val="0"/>
                  <w:vAlign w:val="center"/>
                </w:tcPr>
                <w:p w14:paraId="25FCF33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声源控制措施</w:t>
                  </w:r>
                </w:p>
              </w:tc>
              <w:tc>
                <w:tcPr>
                  <w:tcW w:w="1142" w:type="dxa"/>
                  <w:vMerge w:val="restart"/>
                  <w:noWrap w:val="0"/>
                  <w:vAlign w:val="center"/>
                </w:tcPr>
                <w:p w14:paraId="7F70093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建筑物插入损失/dB（A)</w:t>
                  </w:r>
                </w:p>
              </w:tc>
              <w:tc>
                <w:tcPr>
                  <w:tcW w:w="901" w:type="dxa"/>
                  <w:vMerge w:val="restart"/>
                  <w:noWrap w:val="0"/>
                  <w:vAlign w:val="center"/>
                </w:tcPr>
                <w:p w14:paraId="7E82BAB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运行时段</w:t>
                  </w:r>
                </w:p>
              </w:tc>
            </w:tr>
            <w:tr w14:paraId="794C1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59" w:type="dxa"/>
                  <w:vMerge w:val="continue"/>
                  <w:noWrap w:val="0"/>
                  <w:vAlign w:val="center"/>
                </w:tcPr>
                <w:p w14:paraId="6317685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889" w:type="dxa"/>
                  <w:vMerge w:val="continue"/>
                  <w:noWrap w:val="0"/>
                  <w:vAlign w:val="center"/>
                </w:tcPr>
                <w:p w14:paraId="1D33183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2031" w:type="dxa"/>
                  <w:vMerge w:val="continue"/>
                  <w:noWrap w:val="0"/>
                  <w:vAlign w:val="center"/>
                </w:tcPr>
                <w:p w14:paraId="3B53B86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894" w:type="dxa"/>
                  <w:vMerge w:val="continue"/>
                  <w:noWrap w:val="0"/>
                  <w:vAlign w:val="center"/>
                </w:tcPr>
                <w:p w14:paraId="56D05D3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94" w:type="dxa"/>
                  <w:noWrap w:val="0"/>
                  <w:vAlign w:val="center"/>
                </w:tcPr>
                <w:p w14:paraId="40A16C0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1"/>
                      <w:sz w:val="21"/>
                      <w:szCs w:val="21"/>
                      <w:lang w:val="en-US" w:eastAsia="zh-CN"/>
                    </w:rPr>
                  </w:pPr>
                  <w:r>
                    <w:rPr>
                      <w:rFonts w:hint="default" w:ascii="Times New Roman" w:hAnsi="Times New Roman" w:eastAsia="宋体" w:cs="Times New Roman"/>
                      <w:b/>
                      <w:bCs w:val="0"/>
                      <w:color w:val="auto"/>
                      <w:kern w:val="21"/>
                      <w:sz w:val="21"/>
                      <w:szCs w:val="21"/>
                      <w:lang w:val="en-US" w:eastAsia="zh-CN"/>
                    </w:rPr>
                    <w:t>X</w:t>
                  </w:r>
                </w:p>
              </w:tc>
              <w:tc>
                <w:tcPr>
                  <w:tcW w:w="1180" w:type="dxa"/>
                  <w:noWrap w:val="0"/>
                  <w:vAlign w:val="center"/>
                </w:tcPr>
                <w:p w14:paraId="7637CDC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1"/>
                      <w:sz w:val="21"/>
                      <w:szCs w:val="21"/>
                      <w:lang w:val="en-US" w:eastAsia="zh-CN"/>
                    </w:rPr>
                  </w:pPr>
                  <w:r>
                    <w:rPr>
                      <w:rFonts w:hint="default" w:ascii="Times New Roman" w:hAnsi="Times New Roman" w:eastAsia="宋体" w:cs="Times New Roman"/>
                      <w:b/>
                      <w:bCs w:val="0"/>
                      <w:color w:val="auto"/>
                      <w:kern w:val="21"/>
                      <w:sz w:val="21"/>
                      <w:szCs w:val="21"/>
                      <w:lang w:val="en-US" w:eastAsia="zh-CN"/>
                    </w:rPr>
                    <w:t>Y</w:t>
                  </w:r>
                </w:p>
              </w:tc>
              <w:tc>
                <w:tcPr>
                  <w:tcW w:w="996" w:type="dxa"/>
                  <w:noWrap w:val="0"/>
                  <w:vAlign w:val="center"/>
                </w:tcPr>
                <w:p w14:paraId="20915D2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1"/>
                      <w:sz w:val="21"/>
                      <w:szCs w:val="21"/>
                      <w:lang w:val="en-US" w:eastAsia="zh-CN"/>
                    </w:rPr>
                  </w:pPr>
                  <w:r>
                    <w:rPr>
                      <w:rFonts w:hint="default" w:ascii="Times New Roman" w:hAnsi="Times New Roman" w:eastAsia="宋体" w:cs="Times New Roman"/>
                      <w:b/>
                      <w:bCs w:val="0"/>
                      <w:color w:val="auto"/>
                      <w:kern w:val="21"/>
                      <w:sz w:val="21"/>
                      <w:szCs w:val="21"/>
                      <w:lang w:val="en-US" w:eastAsia="zh-CN"/>
                    </w:rPr>
                    <w:t>Z</w:t>
                  </w:r>
                </w:p>
              </w:tc>
              <w:tc>
                <w:tcPr>
                  <w:tcW w:w="920" w:type="dxa"/>
                  <w:noWrap w:val="0"/>
                  <w:vAlign w:val="center"/>
                </w:tcPr>
                <w:p w14:paraId="089AE18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声压级/dB(A)</w:t>
                  </w:r>
                </w:p>
              </w:tc>
              <w:tc>
                <w:tcPr>
                  <w:tcW w:w="1040" w:type="dxa"/>
                  <w:noWrap w:val="0"/>
                  <w:vAlign w:val="center"/>
                </w:tcPr>
                <w:p w14:paraId="6C348E3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声功率级/dB（A)</w:t>
                  </w:r>
                </w:p>
              </w:tc>
              <w:tc>
                <w:tcPr>
                  <w:tcW w:w="1330" w:type="dxa"/>
                  <w:vMerge w:val="continue"/>
                  <w:noWrap w:val="0"/>
                  <w:vAlign w:val="center"/>
                </w:tcPr>
                <w:p w14:paraId="795A556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187B72F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vMerge w:val="continue"/>
                  <w:noWrap w:val="0"/>
                  <w:vAlign w:val="center"/>
                </w:tcPr>
                <w:p w14:paraId="4062C84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r>
            <w:tr w14:paraId="128E1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3016C4D8">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rPr>
                    <w:t>1</w:t>
                  </w:r>
                </w:p>
              </w:tc>
              <w:tc>
                <w:tcPr>
                  <w:tcW w:w="889" w:type="dxa"/>
                  <w:vMerge w:val="restart"/>
                  <w:noWrap w:val="0"/>
                  <w:vAlign w:val="center"/>
                </w:tcPr>
                <w:p w14:paraId="13BE2461">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生产车间</w:t>
                  </w:r>
                </w:p>
              </w:tc>
              <w:tc>
                <w:tcPr>
                  <w:tcW w:w="2031" w:type="dxa"/>
                  <w:noWrap w:val="0"/>
                  <w:vAlign w:val="center"/>
                </w:tcPr>
                <w:p w14:paraId="16B12E42">
                  <w:pPr>
                    <w:wordWrap/>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 w:val="21"/>
                      <w:lang w:val="en-US" w:eastAsia="zh-CN"/>
                    </w:rPr>
                    <w:t>拌料</w:t>
                  </w:r>
                  <w:r>
                    <w:rPr>
                      <w:rFonts w:ascii="Times New Roman" w:hAnsi="Times New Roman" w:cs="Times New Roman"/>
                      <w:color w:val="auto"/>
                      <w:sz w:val="21"/>
                    </w:rPr>
                    <w:t>机</w:t>
                  </w:r>
                </w:p>
              </w:tc>
              <w:tc>
                <w:tcPr>
                  <w:tcW w:w="894" w:type="dxa"/>
                  <w:noWrap w:val="0"/>
                  <w:vAlign w:val="center"/>
                </w:tcPr>
                <w:p w14:paraId="0F976004">
                  <w:pPr>
                    <w:wordWrap/>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 w:val="21"/>
                    </w:rPr>
                    <w:t>8</w:t>
                  </w:r>
                  <w:r>
                    <w:rPr>
                      <w:rFonts w:ascii="Times New Roman" w:hAnsi="Times New Roman" w:cs="Times New Roman"/>
                      <w:color w:val="auto"/>
                      <w:sz w:val="21"/>
                    </w:rPr>
                    <w:t>台</w:t>
                  </w:r>
                </w:p>
              </w:tc>
              <w:tc>
                <w:tcPr>
                  <w:tcW w:w="1194" w:type="dxa"/>
                  <w:noWrap w:val="0"/>
                  <w:vAlign w:val="center"/>
                </w:tcPr>
                <w:p w14:paraId="385C35B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-29.69</w:t>
                  </w:r>
                </w:p>
              </w:tc>
              <w:tc>
                <w:tcPr>
                  <w:tcW w:w="1180" w:type="dxa"/>
                  <w:noWrap w:val="0"/>
                  <w:vAlign w:val="center"/>
                </w:tcPr>
                <w:p w14:paraId="48B4EDDF">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36.15</w:t>
                  </w:r>
                </w:p>
              </w:tc>
              <w:tc>
                <w:tcPr>
                  <w:tcW w:w="996" w:type="dxa"/>
                  <w:noWrap w:val="0"/>
                  <w:vAlign w:val="center"/>
                </w:tcPr>
                <w:p w14:paraId="457A6778">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1</w:t>
                  </w:r>
                </w:p>
              </w:tc>
              <w:tc>
                <w:tcPr>
                  <w:tcW w:w="920" w:type="dxa"/>
                  <w:noWrap w:val="0"/>
                  <w:vAlign w:val="center"/>
                </w:tcPr>
                <w:p w14:paraId="2B4243CA">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75</w:t>
                  </w:r>
                </w:p>
              </w:tc>
              <w:tc>
                <w:tcPr>
                  <w:tcW w:w="1040" w:type="dxa"/>
                  <w:noWrap w:val="0"/>
                  <w:vAlign w:val="center"/>
                </w:tcPr>
                <w:p w14:paraId="7DF86677">
                  <w:pPr>
                    <w:keepNext w:val="0"/>
                    <w:keepLines w:val="0"/>
                    <w:suppressLineNumbers w:val="0"/>
                    <w:tabs>
                      <w:tab w:val="left" w:pos="281"/>
                    </w:tabs>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84.03</w:t>
                  </w:r>
                </w:p>
              </w:tc>
              <w:tc>
                <w:tcPr>
                  <w:tcW w:w="1330" w:type="dxa"/>
                  <w:vMerge w:val="restart"/>
                  <w:noWrap w:val="0"/>
                  <w:vAlign w:val="center"/>
                </w:tcPr>
                <w:p w14:paraId="052A691A">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eastAsia="宋体" w:cs="Times New Roman"/>
                      <w:bCs/>
                      <w:color w:val="auto"/>
                      <w:kern w:val="21"/>
                      <w:sz w:val="21"/>
                      <w:szCs w:val="21"/>
                    </w:rPr>
                    <w:t>选用低噪声设备、低噪声工艺，采取隔声、减震等措施、优化平面布局</w:t>
                  </w:r>
                </w:p>
              </w:tc>
              <w:tc>
                <w:tcPr>
                  <w:tcW w:w="1142" w:type="dxa"/>
                  <w:vMerge w:val="restart"/>
                  <w:noWrap w:val="0"/>
                  <w:vAlign w:val="center"/>
                </w:tcPr>
                <w:p w14:paraId="213527A6">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rPr>
                  </w:pPr>
                  <w:r>
                    <w:rPr>
                      <w:rFonts w:hint="default" w:ascii="Times New Roman" w:hAnsi="Times New Roman" w:eastAsia="宋体" w:cs="Times New Roman"/>
                      <w:bCs/>
                      <w:color w:val="auto"/>
                      <w:kern w:val="21"/>
                      <w:sz w:val="21"/>
                      <w:szCs w:val="21"/>
                      <w:lang w:val="en-US" w:eastAsia="zh-CN"/>
                    </w:rPr>
                    <w:t>30</w:t>
                  </w:r>
                </w:p>
              </w:tc>
              <w:tc>
                <w:tcPr>
                  <w:tcW w:w="901" w:type="dxa"/>
                  <w:noWrap w:val="0"/>
                  <w:vAlign w:val="center"/>
                </w:tcPr>
                <w:p w14:paraId="7702A8B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7E1EC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2E6FC15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rPr>
                    <w:t>2</w:t>
                  </w:r>
                </w:p>
              </w:tc>
              <w:tc>
                <w:tcPr>
                  <w:tcW w:w="889" w:type="dxa"/>
                  <w:vMerge w:val="continue"/>
                  <w:noWrap w:val="0"/>
                  <w:vAlign w:val="center"/>
                </w:tcPr>
                <w:p w14:paraId="57206256">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4108E60">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ascii="Times New Roman" w:hAnsi="Times New Roman" w:cs="Times New Roman"/>
                      <w:color w:val="auto"/>
                      <w:sz w:val="21"/>
                    </w:rPr>
                    <w:t>烘</w:t>
                  </w:r>
                  <w:r>
                    <w:rPr>
                      <w:rFonts w:hint="eastAsia" w:ascii="Times New Roman" w:hAnsi="Times New Roman" w:cs="Times New Roman"/>
                      <w:color w:val="auto"/>
                      <w:sz w:val="21"/>
                      <w:lang w:val="en-US" w:eastAsia="zh-CN"/>
                    </w:rPr>
                    <w:t>料</w:t>
                  </w:r>
                  <w:r>
                    <w:rPr>
                      <w:rFonts w:ascii="Times New Roman" w:hAnsi="Times New Roman" w:cs="Times New Roman"/>
                      <w:color w:val="auto"/>
                      <w:sz w:val="21"/>
                    </w:rPr>
                    <w:t>机</w:t>
                  </w:r>
                </w:p>
              </w:tc>
              <w:tc>
                <w:tcPr>
                  <w:tcW w:w="894" w:type="dxa"/>
                  <w:noWrap w:val="0"/>
                  <w:vAlign w:val="center"/>
                </w:tcPr>
                <w:p w14:paraId="6B4E1BEE">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10</w:t>
                  </w:r>
                  <w:r>
                    <w:rPr>
                      <w:rFonts w:ascii="Times New Roman" w:hAnsi="Times New Roman" w:cs="Times New Roman"/>
                      <w:color w:val="auto"/>
                      <w:sz w:val="21"/>
                    </w:rPr>
                    <w:t>台</w:t>
                  </w:r>
                </w:p>
              </w:tc>
              <w:tc>
                <w:tcPr>
                  <w:tcW w:w="1194" w:type="dxa"/>
                  <w:noWrap w:val="0"/>
                  <w:vAlign w:val="center"/>
                </w:tcPr>
                <w:p w14:paraId="60A1330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-29.23</w:t>
                  </w:r>
                </w:p>
              </w:tc>
              <w:tc>
                <w:tcPr>
                  <w:tcW w:w="1180" w:type="dxa"/>
                  <w:noWrap w:val="0"/>
                  <w:vAlign w:val="center"/>
                </w:tcPr>
                <w:p w14:paraId="5F66E27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30.6</w:t>
                  </w:r>
                </w:p>
              </w:tc>
              <w:tc>
                <w:tcPr>
                  <w:tcW w:w="996" w:type="dxa"/>
                  <w:noWrap w:val="0"/>
                  <w:vAlign w:val="center"/>
                </w:tcPr>
                <w:p w14:paraId="12558B4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142CBF5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75</w:t>
                  </w:r>
                </w:p>
              </w:tc>
              <w:tc>
                <w:tcPr>
                  <w:tcW w:w="1040" w:type="dxa"/>
                  <w:noWrap w:val="0"/>
                  <w:vAlign w:val="center"/>
                </w:tcPr>
                <w:p w14:paraId="3398CC4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85</w:t>
                  </w:r>
                </w:p>
              </w:tc>
              <w:tc>
                <w:tcPr>
                  <w:tcW w:w="1330" w:type="dxa"/>
                  <w:vMerge w:val="continue"/>
                  <w:noWrap w:val="0"/>
                  <w:vAlign w:val="center"/>
                </w:tcPr>
                <w:p w14:paraId="2F7FB40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4ED4FF5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lang w:val="en-US"/>
                    </w:rPr>
                  </w:pPr>
                </w:p>
              </w:tc>
              <w:tc>
                <w:tcPr>
                  <w:tcW w:w="901" w:type="dxa"/>
                  <w:noWrap w:val="0"/>
                  <w:vAlign w:val="center"/>
                </w:tcPr>
                <w:p w14:paraId="5790C04C">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0B41F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59" w:type="dxa"/>
                  <w:noWrap w:val="0"/>
                  <w:vAlign w:val="center"/>
                </w:tcPr>
                <w:p w14:paraId="14674FC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3</w:t>
                  </w:r>
                </w:p>
              </w:tc>
              <w:tc>
                <w:tcPr>
                  <w:tcW w:w="889" w:type="dxa"/>
                  <w:vMerge w:val="continue"/>
                  <w:noWrap w:val="0"/>
                  <w:vAlign w:val="center"/>
                </w:tcPr>
                <w:p w14:paraId="09B99E51">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BFB5963">
                  <w:pPr>
                    <w:wordWrap/>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 w:val="21"/>
                    </w:rPr>
                    <w:t>立式</w:t>
                  </w:r>
                  <w:r>
                    <w:rPr>
                      <w:rFonts w:ascii="Times New Roman" w:hAnsi="Times New Roman" w:cs="Times New Roman"/>
                      <w:color w:val="auto"/>
                      <w:sz w:val="21"/>
                    </w:rPr>
                    <w:t>注塑机</w:t>
                  </w:r>
                </w:p>
              </w:tc>
              <w:tc>
                <w:tcPr>
                  <w:tcW w:w="894" w:type="dxa"/>
                  <w:noWrap w:val="0"/>
                  <w:vAlign w:val="center"/>
                </w:tcPr>
                <w:p w14:paraId="45381857">
                  <w:pPr>
                    <w:wordWrap/>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 w:val="21"/>
                    </w:rPr>
                    <w:t>40</w:t>
                  </w:r>
                  <w:r>
                    <w:rPr>
                      <w:rFonts w:ascii="Times New Roman" w:hAnsi="Times New Roman" w:cs="Times New Roman"/>
                      <w:color w:val="auto"/>
                      <w:sz w:val="21"/>
                    </w:rPr>
                    <w:t>台</w:t>
                  </w:r>
                </w:p>
              </w:tc>
              <w:tc>
                <w:tcPr>
                  <w:tcW w:w="1194" w:type="dxa"/>
                  <w:noWrap w:val="0"/>
                  <w:vAlign w:val="center"/>
                </w:tcPr>
                <w:p w14:paraId="1E5ADCD3">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8.67</w:t>
                  </w:r>
                </w:p>
              </w:tc>
              <w:tc>
                <w:tcPr>
                  <w:tcW w:w="1180" w:type="dxa"/>
                  <w:noWrap w:val="0"/>
                  <w:vAlign w:val="center"/>
                </w:tcPr>
                <w:p w14:paraId="5AE69052">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-0.83</w:t>
                  </w:r>
                </w:p>
              </w:tc>
              <w:tc>
                <w:tcPr>
                  <w:tcW w:w="996" w:type="dxa"/>
                  <w:noWrap w:val="0"/>
                  <w:vAlign w:val="center"/>
                </w:tcPr>
                <w:p w14:paraId="7A6A052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1</w:t>
                  </w:r>
                </w:p>
              </w:tc>
              <w:tc>
                <w:tcPr>
                  <w:tcW w:w="920" w:type="dxa"/>
                  <w:noWrap w:val="0"/>
                  <w:vAlign w:val="center"/>
                </w:tcPr>
                <w:p w14:paraId="3E04ECC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80</w:t>
                  </w:r>
                </w:p>
              </w:tc>
              <w:tc>
                <w:tcPr>
                  <w:tcW w:w="1040" w:type="dxa"/>
                  <w:noWrap w:val="0"/>
                  <w:vAlign w:val="center"/>
                </w:tcPr>
                <w:p w14:paraId="3D62A97F">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96.02</w:t>
                  </w:r>
                </w:p>
              </w:tc>
              <w:tc>
                <w:tcPr>
                  <w:tcW w:w="1330" w:type="dxa"/>
                  <w:vMerge w:val="continue"/>
                  <w:noWrap w:val="0"/>
                  <w:vAlign w:val="center"/>
                </w:tcPr>
                <w:p w14:paraId="3C23D47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467379B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61DBD24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58127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025B894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4</w:t>
                  </w:r>
                </w:p>
              </w:tc>
              <w:tc>
                <w:tcPr>
                  <w:tcW w:w="889" w:type="dxa"/>
                  <w:vMerge w:val="continue"/>
                  <w:noWrap w:val="0"/>
                  <w:vAlign w:val="center"/>
                </w:tcPr>
                <w:p w14:paraId="3E92CE56">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2E6B6128">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卧式注塑机</w:t>
                  </w:r>
                </w:p>
              </w:tc>
              <w:tc>
                <w:tcPr>
                  <w:tcW w:w="894" w:type="dxa"/>
                  <w:noWrap w:val="0"/>
                  <w:vAlign w:val="center"/>
                </w:tcPr>
                <w:p w14:paraId="5E0924A6">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3</w:t>
                  </w:r>
                  <w:r>
                    <w:rPr>
                      <w:rFonts w:hint="eastAsia" w:cs="Times New Roman"/>
                      <w:color w:val="auto"/>
                      <w:sz w:val="21"/>
                      <w:lang w:val="en-US" w:eastAsia="zh-CN"/>
                    </w:rPr>
                    <w:t>2</w:t>
                  </w:r>
                  <w:r>
                    <w:rPr>
                      <w:rFonts w:hint="eastAsia" w:ascii="Times New Roman" w:hAnsi="Times New Roman" w:cs="Times New Roman"/>
                      <w:color w:val="auto"/>
                      <w:sz w:val="21"/>
                    </w:rPr>
                    <w:t>台</w:t>
                  </w:r>
                </w:p>
              </w:tc>
              <w:tc>
                <w:tcPr>
                  <w:tcW w:w="1194" w:type="dxa"/>
                  <w:noWrap w:val="0"/>
                  <w:vAlign w:val="center"/>
                </w:tcPr>
                <w:p w14:paraId="58CE334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-15.83</w:t>
                  </w:r>
                </w:p>
              </w:tc>
              <w:tc>
                <w:tcPr>
                  <w:tcW w:w="1180" w:type="dxa"/>
                  <w:noWrap w:val="0"/>
                  <w:vAlign w:val="center"/>
                </w:tcPr>
                <w:p w14:paraId="78DB401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7.95</w:t>
                  </w:r>
                </w:p>
              </w:tc>
              <w:tc>
                <w:tcPr>
                  <w:tcW w:w="996" w:type="dxa"/>
                  <w:noWrap w:val="0"/>
                  <w:vAlign w:val="center"/>
                </w:tcPr>
                <w:p w14:paraId="761A7EF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2AF8AA8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040" w:type="dxa"/>
                  <w:noWrap w:val="0"/>
                  <w:vAlign w:val="center"/>
                </w:tcPr>
                <w:p w14:paraId="3545D2C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94.77</w:t>
                  </w:r>
                </w:p>
              </w:tc>
              <w:tc>
                <w:tcPr>
                  <w:tcW w:w="1330" w:type="dxa"/>
                  <w:vMerge w:val="continue"/>
                  <w:noWrap w:val="0"/>
                  <w:vAlign w:val="center"/>
                </w:tcPr>
                <w:p w14:paraId="552654F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2C451D7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122F9AA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4EEA4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167234C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5</w:t>
                  </w:r>
                </w:p>
              </w:tc>
              <w:tc>
                <w:tcPr>
                  <w:tcW w:w="889" w:type="dxa"/>
                  <w:vMerge w:val="continue"/>
                  <w:noWrap w:val="0"/>
                  <w:vAlign w:val="center"/>
                </w:tcPr>
                <w:p w14:paraId="04D53D00">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399E0B91">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ascii="Times New Roman" w:hAnsi="Times New Roman" w:cs="Times New Roman"/>
                      <w:color w:val="auto"/>
                      <w:sz w:val="21"/>
                    </w:rPr>
                    <w:t>破碎机</w:t>
                  </w:r>
                </w:p>
              </w:tc>
              <w:tc>
                <w:tcPr>
                  <w:tcW w:w="894" w:type="dxa"/>
                  <w:noWrap w:val="0"/>
                  <w:vAlign w:val="center"/>
                </w:tcPr>
                <w:p w14:paraId="5BCC23EB">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60</w:t>
                  </w:r>
                  <w:r>
                    <w:rPr>
                      <w:rFonts w:ascii="Times New Roman" w:hAnsi="Times New Roman" w:cs="Times New Roman"/>
                      <w:color w:val="auto"/>
                      <w:sz w:val="21"/>
                    </w:rPr>
                    <w:t>台</w:t>
                  </w:r>
                </w:p>
              </w:tc>
              <w:tc>
                <w:tcPr>
                  <w:tcW w:w="1194" w:type="dxa"/>
                  <w:noWrap w:val="0"/>
                  <w:vAlign w:val="center"/>
                </w:tcPr>
                <w:p w14:paraId="28164BC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-24.37</w:t>
                  </w:r>
                </w:p>
              </w:tc>
              <w:tc>
                <w:tcPr>
                  <w:tcW w:w="1180" w:type="dxa"/>
                  <w:noWrap w:val="0"/>
                  <w:vAlign w:val="center"/>
                </w:tcPr>
                <w:p w14:paraId="07DB3A4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33.42</w:t>
                  </w:r>
                </w:p>
              </w:tc>
              <w:tc>
                <w:tcPr>
                  <w:tcW w:w="996" w:type="dxa"/>
                  <w:noWrap w:val="0"/>
                  <w:vAlign w:val="center"/>
                </w:tcPr>
                <w:p w14:paraId="69FD508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7682BE7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75</w:t>
                  </w:r>
                </w:p>
              </w:tc>
              <w:tc>
                <w:tcPr>
                  <w:tcW w:w="1040" w:type="dxa"/>
                  <w:noWrap w:val="0"/>
                  <w:vAlign w:val="center"/>
                </w:tcPr>
                <w:p w14:paraId="67BCE24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92.78</w:t>
                  </w:r>
                </w:p>
              </w:tc>
              <w:tc>
                <w:tcPr>
                  <w:tcW w:w="1330" w:type="dxa"/>
                  <w:vMerge w:val="continue"/>
                  <w:noWrap w:val="0"/>
                  <w:vAlign w:val="center"/>
                </w:tcPr>
                <w:p w14:paraId="633CE0B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20E1DDD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3D6DF91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eastAsia" w:cs="Times New Roman"/>
                      <w:bCs/>
                      <w:color w:val="auto"/>
                      <w:kern w:val="21"/>
                      <w:sz w:val="21"/>
                      <w:szCs w:val="21"/>
                      <w:lang w:val="en-US" w:eastAsia="zh-CN"/>
                    </w:rPr>
                    <w:t>2</w:t>
                  </w:r>
                  <w:r>
                    <w:rPr>
                      <w:rFonts w:hint="default" w:ascii="Times New Roman" w:hAnsi="Times New Roman" w:eastAsia="宋体" w:cs="Times New Roman"/>
                      <w:bCs/>
                      <w:color w:val="auto"/>
                      <w:kern w:val="21"/>
                      <w:sz w:val="21"/>
                      <w:szCs w:val="21"/>
                    </w:rPr>
                    <w:t>h/d</w:t>
                  </w:r>
                </w:p>
              </w:tc>
            </w:tr>
            <w:tr w14:paraId="6BBAA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51D501C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6</w:t>
                  </w:r>
                </w:p>
              </w:tc>
              <w:tc>
                <w:tcPr>
                  <w:tcW w:w="889" w:type="dxa"/>
                  <w:vMerge w:val="continue"/>
                  <w:noWrap w:val="0"/>
                  <w:vAlign w:val="center"/>
                </w:tcPr>
                <w:p w14:paraId="71BA55EE">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7BB1DBB6">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ascii="Times New Roman" w:hAnsi="Times New Roman" w:cs="Times New Roman"/>
                      <w:color w:val="auto"/>
                      <w:sz w:val="21"/>
                    </w:rPr>
                    <w:t>冲床</w:t>
                  </w:r>
                </w:p>
              </w:tc>
              <w:tc>
                <w:tcPr>
                  <w:tcW w:w="894" w:type="dxa"/>
                  <w:noWrap w:val="0"/>
                  <w:vAlign w:val="center"/>
                </w:tcPr>
                <w:p w14:paraId="327A4EAB">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color w:val="auto"/>
                      <w:sz w:val="21"/>
                      <w:szCs w:val="21"/>
                      <w:lang w:val="en-US" w:eastAsia="zh-CN"/>
                    </w:rPr>
                    <w:t>38台</w:t>
                  </w:r>
                </w:p>
              </w:tc>
              <w:tc>
                <w:tcPr>
                  <w:tcW w:w="1194" w:type="dxa"/>
                  <w:noWrap w:val="0"/>
                  <w:vAlign w:val="center"/>
                </w:tcPr>
                <w:p w14:paraId="7A2CEF9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-16.51</w:t>
                  </w:r>
                </w:p>
              </w:tc>
              <w:tc>
                <w:tcPr>
                  <w:tcW w:w="1180" w:type="dxa"/>
                  <w:noWrap w:val="0"/>
                  <w:vAlign w:val="center"/>
                </w:tcPr>
                <w:p w14:paraId="17EDCC7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-4.063</w:t>
                  </w:r>
                </w:p>
              </w:tc>
              <w:tc>
                <w:tcPr>
                  <w:tcW w:w="996" w:type="dxa"/>
                  <w:noWrap w:val="0"/>
                  <w:vAlign w:val="center"/>
                </w:tcPr>
                <w:p w14:paraId="6BA2BB5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7B5953A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040" w:type="dxa"/>
                  <w:noWrap w:val="0"/>
                  <w:vAlign w:val="center"/>
                </w:tcPr>
                <w:p w14:paraId="122E1E3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95.8</w:t>
                  </w:r>
                </w:p>
              </w:tc>
              <w:tc>
                <w:tcPr>
                  <w:tcW w:w="1330" w:type="dxa"/>
                  <w:vMerge w:val="continue"/>
                  <w:noWrap w:val="0"/>
                  <w:vAlign w:val="center"/>
                </w:tcPr>
                <w:p w14:paraId="6C89A0D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15B5F0C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4A0BCFB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3C1A2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0217ECF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7</w:t>
                  </w:r>
                </w:p>
              </w:tc>
              <w:tc>
                <w:tcPr>
                  <w:tcW w:w="889" w:type="dxa"/>
                  <w:vMerge w:val="continue"/>
                  <w:noWrap w:val="0"/>
                  <w:vAlign w:val="center"/>
                </w:tcPr>
                <w:p w14:paraId="7572F2C8">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575B7D46">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自动化</w:t>
                  </w:r>
                  <w:r>
                    <w:rPr>
                      <w:rFonts w:hint="eastAsia" w:ascii="Times New Roman" w:hAnsi="Times New Roman" w:cs="Times New Roman"/>
                      <w:color w:val="auto"/>
                      <w:sz w:val="21"/>
                      <w:lang w:val="en-US" w:eastAsia="zh-CN"/>
                    </w:rPr>
                    <w:t>组装机</w:t>
                  </w:r>
                </w:p>
              </w:tc>
              <w:tc>
                <w:tcPr>
                  <w:tcW w:w="894" w:type="dxa"/>
                  <w:noWrap w:val="0"/>
                  <w:vAlign w:val="center"/>
                </w:tcPr>
                <w:p w14:paraId="70FACA05">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lang w:val="en-US" w:eastAsia="zh-CN"/>
                    </w:rPr>
                    <w:t>140</w:t>
                  </w:r>
                  <w:r>
                    <w:rPr>
                      <w:rFonts w:hint="eastAsia" w:ascii="Times New Roman" w:hAnsi="Times New Roman" w:cs="Times New Roman"/>
                      <w:color w:val="auto"/>
                      <w:sz w:val="21"/>
                    </w:rPr>
                    <w:t>台</w:t>
                  </w:r>
                </w:p>
              </w:tc>
              <w:tc>
                <w:tcPr>
                  <w:tcW w:w="1194" w:type="dxa"/>
                  <w:noWrap w:val="0"/>
                  <w:vAlign w:val="center"/>
                </w:tcPr>
                <w:p w14:paraId="6DD6867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16.28</w:t>
                  </w:r>
                </w:p>
              </w:tc>
              <w:tc>
                <w:tcPr>
                  <w:tcW w:w="1180" w:type="dxa"/>
                  <w:noWrap w:val="0"/>
                  <w:vAlign w:val="center"/>
                </w:tcPr>
                <w:p w14:paraId="5300548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-27.13</w:t>
                  </w:r>
                </w:p>
              </w:tc>
              <w:tc>
                <w:tcPr>
                  <w:tcW w:w="996" w:type="dxa"/>
                  <w:noWrap w:val="0"/>
                  <w:vAlign w:val="center"/>
                </w:tcPr>
                <w:p w14:paraId="0779C52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7D7604F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70</w:t>
                  </w:r>
                </w:p>
              </w:tc>
              <w:tc>
                <w:tcPr>
                  <w:tcW w:w="1040" w:type="dxa"/>
                  <w:noWrap w:val="0"/>
                  <w:vAlign w:val="center"/>
                </w:tcPr>
                <w:p w14:paraId="011D4BB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91.46</w:t>
                  </w:r>
                </w:p>
              </w:tc>
              <w:tc>
                <w:tcPr>
                  <w:tcW w:w="1330" w:type="dxa"/>
                  <w:vMerge w:val="continue"/>
                  <w:noWrap w:val="0"/>
                  <w:vAlign w:val="center"/>
                </w:tcPr>
                <w:p w14:paraId="0E361C3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6256AE2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452D074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3B699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4A5ABB5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8</w:t>
                  </w:r>
                </w:p>
              </w:tc>
              <w:tc>
                <w:tcPr>
                  <w:tcW w:w="889" w:type="dxa"/>
                  <w:vMerge w:val="continue"/>
                  <w:noWrap w:val="0"/>
                  <w:vAlign w:val="center"/>
                </w:tcPr>
                <w:p w14:paraId="3C96CD68">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15BBEAFA">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lang w:val="en-US" w:eastAsia="zh-CN"/>
                    </w:rPr>
                    <w:t>移印机</w:t>
                  </w:r>
                </w:p>
              </w:tc>
              <w:tc>
                <w:tcPr>
                  <w:tcW w:w="894" w:type="dxa"/>
                  <w:noWrap w:val="0"/>
                  <w:vAlign w:val="center"/>
                </w:tcPr>
                <w:p w14:paraId="0D8C8EB5">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lang w:val="en-US" w:eastAsia="zh-CN"/>
                    </w:rPr>
                    <w:t>10台</w:t>
                  </w:r>
                </w:p>
              </w:tc>
              <w:tc>
                <w:tcPr>
                  <w:tcW w:w="1194" w:type="dxa"/>
                  <w:noWrap w:val="0"/>
                  <w:vAlign w:val="center"/>
                </w:tcPr>
                <w:p w14:paraId="1552A39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14.22</w:t>
                  </w:r>
                </w:p>
              </w:tc>
              <w:tc>
                <w:tcPr>
                  <w:tcW w:w="1180" w:type="dxa"/>
                  <w:noWrap w:val="0"/>
                  <w:vAlign w:val="center"/>
                </w:tcPr>
                <w:p w14:paraId="1D1708B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6.57</w:t>
                  </w:r>
                </w:p>
              </w:tc>
              <w:tc>
                <w:tcPr>
                  <w:tcW w:w="996" w:type="dxa"/>
                  <w:noWrap w:val="0"/>
                  <w:vAlign w:val="center"/>
                </w:tcPr>
                <w:p w14:paraId="208D4A9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10</w:t>
                  </w:r>
                </w:p>
              </w:tc>
              <w:tc>
                <w:tcPr>
                  <w:tcW w:w="920" w:type="dxa"/>
                  <w:noWrap w:val="0"/>
                  <w:vAlign w:val="center"/>
                </w:tcPr>
                <w:p w14:paraId="072A496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75</w:t>
                  </w:r>
                </w:p>
              </w:tc>
              <w:tc>
                <w:tcPr>
                  <w:tcW w:w="1040" w:type="dxa"/>
                  <w:noWrap w:val="0"/>
                  <w:vAlign w:val="center"/>
                </w:tcPr>
                <w:p w14:paraId="7CB737F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85</w:t>
                  </w:r>
                </w:p>
              </w:tc>
              <w:tc>
                <w:tcPr>
                  <w:tcW w:w="1330" w:type="dxa"/>
                  <w:vMerge w:val="continue"/>
                  <w:noWrap w:val="0"/>
                  <w:vAlign w:val="center"/>
                </w:tcPr>
                <w:p w14:paraId="72E9695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74CC581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65FB525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eastAsia" w:cs="Times New Roman"/>
                      <w:bCs/>
                      <w:color w:val="auto"/>
                      <w:kern w:val="21"/>
                      <w:sz w:val="21"/>
                      <w:szCs w:val="21"/>
                      <w:lang w:val="en-US" w:eastAsia="zh-CN"/>
                    </w:rPr>
                    <w:t>8</w:t>
                  </w:r>
                  <w:r>
                    <w:rPr>
                      <w:rFonts w:hint="default" w:ascii="Times New Roman" w:hAnsi="Times New Roman" w:eastAsia="宋体" w:cs="Times New Roman"/>
                      <w:bCs/>
                      <w:color w:val="auto"/>
                      <w:kern w:val="21"/>
                      <w:sz w:val="21"/>
                      <w:szCs w:val="21"/>
                    </w:rPr>
                    <w:t>h/d</w:t>
                  </w:r>
                </w:p>
              </w:tc>
            </w:tr>
            <w:tr w14:paraId="44DFB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5DA8141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w:t>
                  </w:r>
                </w:p>
              </w:tc>
              <w:tc>
                <w:tcPr>
                  <w:tcW w:w="889" w:type="dxa"/>
                  <w:vMerge w:val="continue"/>
                  <w:noWrap w:val="0"/>
                  <w:vAlign w:val="center"/>
                </w:tcPr>
                <w:p w14:paraId="0C20B93E">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6C8FB68F">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ascii="Times New Roman" w:hAnsi="Times New Roman" w:cs="Times New Roman"/>
                      <w:color w:val="auto"/>
                      <w:sz w:val="21"/>
                    </w:rPr>
                    <w:t>车床</w:t>
                  </w:r>
                </w:p>
              </w:tc>
              <w:tc>
                <w:tcPr>
                  <w:tcW w:w="894" w:type="dxa"/>
                  <w:noWrap w:val="0"/>
                  <w:vAlign w:val="center"/>
                </w:tcPr>
                <w:p w14:paraId="0A5ACF67">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ascii="Times New Roman" w:hAnsi="Times New Roman" w:cs="Times New Roman"/>
                      <w:color w:val="auto"/>
                      <w:sz w:val="21"/>
                    </w:rPr>
                    <w:t>1台</w:t>
                  </w:r>
                </w:p>
              </w:tc>
              <w:tc>
                <w:tcPr>
                  <w:tcW w:w="1194" w:type="dxa"/>
                  <w:noWrap w:val="0"/>
                  <w:vAlign w:val="center"/>
                </w:tcPr>
                <w:p w14:paraId="504ED6F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16.73</w:t>
                  </w:r>
                </w:p>
              </w:tc>
              <w:tc>
                <w:tcPr>
                  <w:tcW w:w="1180" w:type="dxa"/>
                  <w:noWrap w:val="0"/>
                  <w:vAlign w:val="center"/>
                </w:tcPr>
                <w:p w14:paraId="77F4EAE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9.77</w:t>
                  </w:r>
                </w:p>
              </w:tc>
              <w:tc>
                <w:tcPr>
                  <w:tcW w:w="996" w:type="dxa"/>
                  <w:noWrap w:val="0"/>
                  <w:vAlign w:val="center"/>
                </w:tcPr>
                <w:p w14:paraId="7DAE0BD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432BEFC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040" w:type="dxa"/>
                  <w:noWrap w:val="0"/>
                  <w:vAlign w:val="center"/>
                </w:tcPr>
                <w:p w14:paraId="5AE5A83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330" w:type="dxa"/>
                  <w:vMerge w:val="continue"/>
                  <w:noWrap w:val="0"/>
                  <w:vAlign w:val="center"/>
                </w:tcPr>
                <w:p w14:paraId="3CFC8A6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6A7F75A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5D0ED93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6</w:t>
                  </w:r>
                  <w:r>
                    <w:rPr>
                      <w:rFonts w:hint="default" w:ascii="Times New Roman" w:hAnsi="Times New Roman" w:eastAsia="宋体" w:cs="Times New Roman"/>
                      <w:bCs/>
                      <w:color w:val="auto"/>
                      <w:kern w:val="21"/>
                      <w:sz w:val="21"/>
                      <w:szCs w:val="21"/>
                    </w:rPr>
                    <w:t>h/d</w:t>
                  </w:r>
                </w:p>
              </w:tc>
            </w:tr>
            <w:tr w14:paraId="4931A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6913586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10</w:t>
                  </w:r>
                </w:p>
              </w:tc>
              <w:tc>
                <w:tcPr>
                  <w:tcW w:w="889" w:type="dxa"/>
                  <w:vMerge w:val="continue"/>
                  <w:noWrap w:val="0"/>
                  <w:vAlign w:val="center"/>
                </w:tcPr>
                <w:p w14:paraId="21BF646A">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7EDE233A">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铣</w:t>
                  </w:r>
                  <w:r>
                    <w:rPr>
                      <w:rFonts w:ascii="Times New Roman" w:hAnsi="Times New Roman" w:cs="Times New Roman"/>
                      <w:color w:val="auto"/>
                      <w:sz w:val="21"/>
                    </w:rPr>
                    <w:t>床</w:t>
                  </w:r>
                </w:p>
              </w:tc>
              <w:tc>
                <w:tcPr>
                  <w:tcW w:w="894" w:type="dxa"/>
                  <w:noWrap w:val="0"/>
                  <w:vAlign w:val="center"/>
                </w:tcPr>
                <w:p w14:paraId="155AA687">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ascii="Times New Roman" w:hAnsi="Times New Roman" w:cs="Times New Roman"/>
                      <w:color w:val="auto"/>
                      <w:sz w:val="21"/>
                    </w:rPr>
                    <w:t>2台</w:t>
                  </w:r>
                </w:p>
              </w:tc>
              <w:tc>
                <w:tcPr>
                  <w:tcW w:w="1194" w:type="dxa"/>
                  <w:noWrap w:val="0"/>
                  <w:vAlign w:val="center"/>
                </w:tcPr>
                <w:p w14:paraId="14393AC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15.71</w:t>
                  </w:r>
                </w:p>
              </w:tc>
              <w:tc>
                <w:tcPr>
                  <w:tcW w:w="1180" w:type="dxa"/>
                  <w:noWrap w:val="0"/>
                  <w:vAlign w:val="center"/>
                </w:tcPr>
                <w:p w14:paraId="4D299DD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15.41</w:t>
                  </w:r>
                </w:p>
              </w:tc>
              <w:tc>
                <w:tcPr>
                  <w:tcW w:w="996" w:type="dxa"/>
                  <w:noWrap w:val="0"/>
                  <w:vAlign w:val="center"/>
                </w:tcPr>
                <w:p w14:paraId="7692B1A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646DB77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040" w:type="dxa"/>
                  <w:noWrap w:val="0"/>
                  <w:vAlign w:val="center"/>
                </w:tcPr>
                <w:p w14:paraId="58DB1A1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83.01</w:t>
                  </w:r>
                </w:p>
              </w:tc>
              <w:tc>
                <w:tcPr>
                  <w:tcW w:w="1330" w:type="dxa"/>
                  <w:vMerge w:val="continue"/>
                  <w:noWrap w:val="0"/>
                  <w:vAlign w:val="center"/>
                </w:tcPr>
                <w:p w14:paraId="4675D9A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25076C8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0A1E725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eastAsia" w:cs="Times New Roman"/>
                      <w:bCs/>
                      <w:color w:val="auto"/>
                      <w:kern w:val="21"/>
                      <w:sz w:val="21"/>
                      <w:szCs w:val="21"/>
                      <w:lang w:val="en-US" w:eastAsia="zh-CN"/>
                    </w:rPr>
                    <w:t>6</w:t>
                  </w:r>
                  <w:r>
                    <w:rPr>
                      <w:rFonts w:hint="default" w:ascii="Times New Roman" w:hAnsi="Times New Roman" w:eastAsia="宋体" w:cs="Times New Roman"/>
                      <w:bCs/>
                      <w:color w:val="auto"/>
                      <w:kern w:val="21"/>
                      <w:sz w:val="21"/>
                      <w:szCs w:val="21"/>
                    </w:rPr>
                    <w:t>h/d</w:t>
                  </w:r>
                </w:p>
              </w:tc>
            </w:tr>
            <w:tr w14:paraId="79B5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385B609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11</w:t>
                  </w:r>
                </w:p>
              </w:tc>
              <w:tc>
                <w:tcPr>
                  <w:tcW w:w="889" w:type="dxa"/>
                  <w:vMerge w:val="continue"/>
                  <w:noWrap w:val="0"/>
                  <w:vAlign w:val="center"/>
                </w:tcPr>
                <w:p w14:paraId="39CED372">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BA76E1B">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ascii="Times New Roman" w:hAnsi="Times New Roman" w:cs="Times New Roman"/>
                      <w:color w:val="auto"/>
                      <w:sz w:val="21"/>
                    </w:rPr>
                    <w:t>线切割机</w:t>
                  </w:r>
                </w:p>
              </w:tc>
              <w:tc>
                <w:tcPr>
                  <w:tcW w:w="894" w:type="dxa"/>
                  <w:noWrap w:val="0"/>
                  <w:vAlign w:val="center"/>
                </w:tcPr>
                <w:p w14:paraId="5F3D6C98">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3</w:t>
                  </w:r>
                  <w:r>
                    <w:rPr>
                      <w:rFonts w:ascii="Times New Roman" w:hAnsi="Times New Roman" w:cs="Times New Roman"/>
                      <w:color w:val="auto"/>
                      <w:sz w:val="21"/>
                    </w:rPr>
                    <w:t>台</w:t>
                  </w:r>
                </w:p>
              </w:tc>
              <w:tc>
                <w:tcPr>
                  <w:tcW w:w="1194" w:type="dxa"/>
                  <w:noWrap w:val="0"/>
                  <w:vAlign w:val="center"/>
                </w:tcPr>
                <w:p w14:paraId="40FA0A4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7.25</w:t>
                  </w:r>
                </w:p>
              </w:tc>
              <w:tc>
                <w:tcPr>
                  <w:tcW w:w="1180" w:type="dxa"/>
                  <w:noWrap w:val="0"/>
                  <w:vAlign w:val="center"/>
                </w:tcPr>
                <w:p w14:paraId="743B248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10.89</w:t>
                  </w:r>
                </w:p>
              </w:tc>
              <w:tc>
                <w:tcPr>
                  <w:tcW w:w="996" w:type="dxa"/>
                  <w:noWrap w:val="0"/>
                  <w:vAlign w:val="center"/>
                </w:tcPr>
                <w:p w14:paraId="3FAFECC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3C4599F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80</w:t>
                  </w:r>
                </w:p>
              </w:tc>
              <w:tc>
                <w:tcPr>
                  <w:tcW w:w="1040" w:type="dxa"/>
                  <w:noWrap w:val="0"/>
                  <w:vAlign w:val="center"/>
                </w:tcPr>
                <w:p w14:paraId="562A528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84.77</w:t>
                  </w:r>
                </w:p>
              </w:tc>
              <w:tc>
                <w:tcPr>
                  <w:tcW w:w="1330" w:type="dxa"/>
                  <w:vMerge w:val="continue"/>
                  <w:noWrap w:val="0"/>
                  <w:vAlign w:val="center"/>
                </w:tcPr>
                <w:p w14:paraId="5ACDE91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6E4E276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4DA385D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eastAsia" w:cs="Times New Roman"/>
                      <w:bCs/>
                      <w:color w:val="auto"/>
                      <w:kern w:val="21"/>
                      <w:sz w:val="21"/>
                      <w:szCs w:val="21"/>
                      <w:lang w:val="en-US" w:eastAsia="zh-CN"/>
                    </w:rPr>
                    <w:t>6</w:t>
                  </w:r>
                  <w:r>
                    <w:rPr>
                      <w:rFonts w:hint="default" w:ascii="Times New Roman" w:hAnsi="Times New Roman" w:eastAsia="宋体" w:cs="Times New Roman"/>
                      <w:bCs/>
                      <w:color w:val="auto"/>
                      <w:kern w:val="21"/>
                      <w:sz w:val="21"/>
                      <w:szCs w:val="21"/>
                    </w:rPr>
                    <w:t>h/d</w:t>
                  </w:r>
                </w:p>
              </w:tc>
            </w:tr>
            <w:tr w14:paraId="5828B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9" w:type="dxa"/>
                  <w:noWrap w:val="0"/>
                  <w:vAlign w:val="center"/>
                </w:tcPr>
                <w:p w14:paraId="39E99C1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12</w:t>
                  </w:r>
                </w:p>
              </w:tc>
              <w:tc>
                <w:tcPr>
                  <w:tcW w:w="889" w:type="dxa"/>
                  <w:vMerge w:val="continue"/>
                  <w:noWrap w:val="0"/>
                  <w:vAlign w:val="center"/>
                </w:tcPr>
                <w:p w14:paraId="3BAC4BD2">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4D5EC378">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火花机</w:t>
                  </w:r>
                </w:p>
              </w:tc>
              <w:tc>
                <w:tcPr>
                  <w:tcW w:w="894" w:type="dxa"/>
                  <w:noWrap w:val="0"/>
                  <w:vAlign w:val="center"/>
                </w:tcPr>
                <w:p w14:paraId="5742519F">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2台</w:t>
                  </w:r>
                </w:p>
              </w:tc>
              <w:tc>
                <w:tcPr>
                  <w:tcW w:w="1194" w:type="dxa"/>
                  <w:noWrap w:val="0"/>
                  <w:vAlign w:val="center"/>
                </w:tcPr>
                <w:p w14:paraId="7D1C80E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7.14</w:t>
                  </w:r>
                </w:p>
              </w:tc>
              <w:tc>
                <w:tcPr>
                  <w:tcW w:w="1180" w:type="dxa"/>
                  <w:noWrap w:val="0"/>
                  <w:vAlign w:val="center"/>
                </w:tcPr>
                <w:p w14:paraId="4644B6D4">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16.08</w:t>
                  </w:r>
                </w:p>
              </w:tc>
              <w:tc>
                <w:tcPr>
                  <w:tcW w:w="996" w:type="dxa"/>
                  <w:noWrap w:val="0"/>
                  <w:vAlign w:val="center"/>
                </w:tcPr>
                <w:p w14:paraId="66EF77B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3E7A8FF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040" w:type="dxa"/>
                  <w:noWrap w:val="0"/>
                  <w:vAlign w:val="center"/>
                </w:tcPr>
                <w:p w14:paraId="2AEDA82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83.01</w:t>
                  </w:r>
                </w:p>
              </w:tc>
              <w:tc>
                <w:tcPr>
                  <w:tcW w:w="1330" w:type="dxa"/>
                  <w:vMerge w:val="continue"/>
                  <w:noWrap w:val="0"/>
                  <w:vAlign w:val="center"/>
                </w:tcPr>
                <w:p w14:paraId="6386440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4B9CAE6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2664A11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6h</w:t>
                  </w:r>
                  <w:r>
                    <w:rPr>
                      <w:rFonts w:hint="default" w:ascii="Times New Roman" w:hAnsi="Times New Roman" w:eastAsia="宋体" w:cs="Times New Roman"/>
                      <w:bCs/>
                      <w:color w:val="auto"/>
                      <w:kern w:val="21"/>
                      <w:sz w:val="21"/>
                      <w:szCs w:val="21"/>
                    </w:rPr>
                    <w:t>/d</w:t>
                  </w:r>
                </w:p>
              </w:tc>
            </w:tr>
            <w:tr w14:paraId="4756A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59" w:type="dxa"/>
                  <w:noWrap w:val="0"/>
                  <w:vAlign w:val="center"/>
                </w:tcPr>
                <w:p w14:paraId="6F89261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13</w:t>
                  </w:r>
                </w:p>
              </w:tc>
              <w:tc>
                <w:tcPr>
                  <w:tcW w:w="889" w:type="dxa"/>
                  <w:vMerge w:val="continue"/>
                  <w:noWrap w:val="0"/>
                  <w:vAlign w:val="center"/>
                </w:tcPr>
                <w:p w14:paraId="46F63A5C">
                  <w:pPr>
                    <w:keepNext w:val="0"/>
                    <w:keepLines w:val="0"/>
                    <w:widowControl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2031" w:type="dxa"/>
                  <w:noWrap w:val="0"/>
                  <w:vAlign w:val="center"/>
                </w:tcPr>
                <w:p w14:paraId="2DB1E175">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color w:val="auto"/>
                      <w:sz w:val="21"/>
                      <w:szCs w:val="21"/>
                      <w:lang w:val="en-US" w:eastAsia="zh-CN"/>
                    </w:rPr>
                    <w:t>磨床</w:t>
                  </w:r>
                </w:p>
              </w:tc>
              <w:tc>
                <w:tcPr>
                  <w:tcW w:w="894" w:type="dxa"/>
                  <w:noWrap w:val="0"/>
                  <w:vAlign w:val="center"/>
                </w:tcPr>
                <w:p w14:paraId="340B4D44">
                  <w:pPr>
                    <w:wordWrap/>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color w:val="auto"/>
                      <w:sz w:val="21"/>
                    </w:rPr>
                    <w:t>8</w:t>
                  </w:r>
                  <w:r>
                    <w:rPr>
                      <w:rFonts w:ascii="Times New Roman" w:hAnsi="Times New Roman" w:cs="Times New Roman"/>
                      <w:color w:val="auto"/>
                      <w:sz w:val="21"/>
                    </w:rPr>
                    <w:t>台</w:t>
                  </w:r>
                </w:p>
              </w:tc>
              <w:tc>
                <w:tcPr>
                  <w:tcW w:w="1194" w:type="dxa"/>
                  <w:noWrap w:val="0"/>
                  <w:vAlign w:val="center"/>
                </w:tcPr>
                <w:p w14:paraId="6CAC082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9.85</w:t>
                  </w:r>
                </w:p>
              </w:tc>
              <w:tc>
                <w:tcPr>
                  <w:tcW w:w="1180" w:type="dxa"/>
                  <w:noWrap w:val="0"/>
                  <w:vAlign w:val="center"/>
                </w:tcPr>
                <w:p w14:paraId="69835A7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12.59</w:t>
                  </w:r>
                </w:p>
              </w:tc>
              <w:tc>
                <w:tcPr>
                  <w:tcW w:w="996" w:type="dxa"/>
                  <w:noWrap w:val="0"/>
                  <w:vAlign w:val="center"/>
                </w:tcPr>
                <w:p w14:paraId="4C04B37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920" w:type="dxa"/>
                  <w:noWrap w:val="0"/>
                  <w:vAlign w:val="center"/>
                </w:tcPr>
                <w:p w14:paraId="4BDB33F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80</w:t>
                  </w:r>
                </w:p>
              </w:tc>
              <w:tc>
                <w:tcPr>
                  <w:tcW w:w="1040" w:type="dxa"/>
                  <w:noWrap w:val="0"/>
                  <w:vAlign w:val="center"/>
                </w:tcPr>
                <w:p w14:paraId="4E690DC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89.03</w:t>
                  </w:r>
                </w:p>
              </w:tc>
              <w:tc>
                <w:tcPr>
                  <w:tcW w:w="1330" w:type="dxa"/>
                  <w:vMerge w:val="continue"/>
                  <w:noWrap w:val="0"/>
                  <w:vAlign w:val="center"/>
                </w:tcPr>
                <w:p w14:paraId="2F45EA1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142" w:type="dxa"/>
                  <w:vMerge w:val="continue"/>
                  <w:noWrap w:val="0"/>
                  <w:vAlign w:val="center"/>
                </w:tcPr>
                <w:p w14:paraId="7609BB2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01" w:type="dxa"/>
                  <w:noWrap w:val="0"/>
                  <w:vAlign w:val="center"/>
                </w:tcPr>
                <w:p w14:paraId="2ED1B15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6</w:t>
                  </w:r>
                  <w:r>
                    <w:rPr>
                      <w:rFonts w:hint="default" w:ascii="Times New Roman" w:hAnsi="Times New Roman" w:eastAsia="宋体" w:cs="Times New Roman"/>
                      <w:bCs/>
                      <w:color w:val="auto"/>
                      <w:kern w:val="21"/>
                      <w:sz w:val="21"/>
                      <w:szCs w:val="21"/>
                    </w:rPr>
                    <w:t>h/d</w:t>
                  </w:r>
                </w:p>
              </w:tc>
            </w:tr>
            <w:tr w14:paraId="12E97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3276" w:type="dxa"/>
                  <w:gridSpan w:val="12"/>
                  <w:noWrap w:val="0"/>
                  <w:vAlign w:val="center"/>
                </w:tcPr>
                <w:p w14:paraId="2AF3F61B">
                  <w:pPr>
                    <w:keepNext w:val="0"/>
                    <w:keepLines w:val="0"/>
                    <w:suppressLineNumbers w:val="0"/>
                    <w:wordWrap w:val="0"/>
                    <w:spacing w:before="0" w:beforeAutospacing="0" w:after="0" w:afterAutospacing="0" w:line="240" w:lineRule="auto"/>
                    <w:ind w:left="0" w:right="0" w:firstLine="0" w:firstLineChars="0"/>
                    <w:jc w:val="both"/>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注：坐标原点经纬度坐标为E114.011961°，N23.111700°。</w:t>
                  </w:r>
                </w:p>
              </w:tc>
            </w:tr>
          </w:tbl>
          <w:p w14:paraId="2FD95FCC">
            <w:pPr>
              <w:keepNext w:val="0"/>
              <w:keepLines w:val="0"/>
              <w:numPr>
                <w:ilvl w:val="0"/>
                <w:numId w:val="0"/>
              </w:numPr>
              <w:suppressLineNumbers w:val="0"/>
              <w:tabs>
                <w:tab w:val="left" w:pos="0"/>
              </w:tabs>
              <w:wordWrap/>
              <w:adjustRightInd w:val="0"/>
              <w:snapToGrid w:val="0"/>
              <w:spacing w:before="0" w:beforeAutospacing="0" w:after="0" w:afterAutospacing="0" w:line="240" w:lineRule="auto"/>
              <w:ind w:left="0" w:leftChars="0" w:right="0" w:rightChars="0" w:firstLine="420" w:firstLineChars="0"/>
              <w:jc w:val="center"/>
              <w:rPr>
                <w:rFonts w:hint="default" w:ascii="Times New Roman" w:hAnsi="Times New Roman" w:eastAsia="宋体" w:cs="Times New Roman"/>
                <w:bCs/>
                <w:color w:val="auto"/>
                <w:kern w:val="21"/>
                <w:sz w:val="24"/>
                <w:szCs w:val="24"/>
              </w:rPr>
            </w:pPr>
            <w:r>
              <w:rPr>
                <w:rFonts w:hint="default" w:ascii="Times New Roman" w:hAnsi="Times New Roman" w:eastAsia="宋体" w:cs="Times New Roman"/>
                <w:b/>
                <w:bCs/>
                <w:color w:val="auto"/>
                <w:kern w:val="21"/>
                <w:sz w:val="24"/>
                <w:szCs w:val="24"/>
                <w:lang w:val="en-US" w:eastAsia="zh-CN" w:bidi="ar-SA"/>
              </w:rPr>
              <w:t>表4-2</w:t>
            </w:r>
            <w:r>
              <w:rPr>
                <w:rFonts w:hint="default" w:ascii="Times New Roman" w:hAnsi="Times New Roman" w:cs="Times New Roman"/>
                <w:b/>
                <w:bCs/>
                <w:color w:val="auto"/>
                <w:kern w:val="21"/>
                <w:sz w:val="24"/>
                <w:szCs w:val="24"/>
                <w:lang w:val="en-US" w:eastAsia="zh-CN" w:bidi="ar-SA"/>
              </w:rPr>
              <w:t>0</w:t>
            </w:r>
            <w:r>
              <w:rPr>
                <w:rFonts w:hint="default" w:ascii="Times New Roman" w:hAnsi="Times New Roman" w:eastAsia="宋体" w:cs="Times New Roman"/>
                <w:b/>
                <w:bCs/>
                <w:color w:val="auto"/>
                <w:kern w:val="21"/>
                <w:sz w:val="18"/>
                <w:szCs w:val="18"/>
                <w:lang w:val="en-US" w:eastAsia="zh-CN" w:bidi="ar-SA"/>
              </w:rPr>
              <w:t xml:space="preserve"> </w:t>
            </w:r>
            <w:r>
              <w:rPr>
                <w:rFonts w:hint="default" w:ascii="Times New Roman" w:hAnsi="Times New Roman" w:eastAsia="宋体" w:cs="Times New Roman"/>
                <w:b/>
                <w:color w:val="auto"/>
                <w:kern w:val="21"/>
                <w:sz w:val="24"/>
                <w:szCs w:val="24"/>
              </w:rPr>
              <w:t>工业企业噪声源强调查清单（室外声源）</w:t>
            </w:r>
          </w:p>
          <w:tbl>
            <w:tblPr>
              <w:tblStyle w:val="22"/>
              <w:tblW w:w="13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294"/>
              <w:gridCol w:w="920"/>
              <w:gridCol w:w="1340"/>
              <w:gridCol w:w="1340"/>
              <w:gridCol w:w="1344"/>
              <w:gridCol w:w="1588"/>
              <w:gridCol w:w="1690"/>
              <w:gridCol w:w="1723"/>
              <w:gridCol w:w="1322"/>
            </w:tblGrid>
            <w:tr w14:paraId="3BD02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16" w:type="dxa"/>
                  <w:vMerge w:val="restart"/>
                  <w:noWrap w:val="0"/>
                  <w:vAlign w:val="center"/>
                </w:tcPr>
                <w:p w14:paraId="0E50B87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序号</w:t>
                  </w:r>
                </w:p>
              </w:tc>
              <w:tc>
                <w:tcPr>
                  <w:tcW w:w="1294" w:type="dxa"/>
                  <w:vMerge w:val="restart"/>
                  <w:noWrap w:val="0"/>
                  <w:vAlign w:val="center"/>
                </w:tcPr>
                <w:p w14:paraId="40AA996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声源名称</w:t>
                  </w:r>
                </w:p>
              </w:tc>
              <w:tc>
                <w:tcPr>
                  <w:tcW w:w="920" w:type="dxa"/>
                  <w:vMerge w:val="restart"/>
                  <w:noWrap w:val="0"/>
                  <w:vAlign w:val="center"/>
                </w:tcPr>
                <w:p w14:paraId="7CCE8C5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设备数量</w:t>
                  </w:r>
                </w:p>
              </w:tc>
              <w:tc>
                <w:tcPr>
                  <w:tcW w:w="4024" w:type="dxa"/>
                  <w:gridSpan w:val="3"/>
                  <w:noWrap w:val="0"/>
                  <w:vAlign w:val="center"/>
                </w:tcPr>
                <w:p w14:paraId="03925F5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lang w:val="en-US" w:eastAsia="zh-CN"/>
                    </w:rPr>
                  </w:pPr>
                  <w:r>
                    <w:rPr>
                      <w:rFonts w:hint="default" w:ascii="Times New Roman" w:hAnsi="Times New Roman" w:eastAsia="宋体" w:cs="Times New Roman"/>
                      <w:b/>
                      <w:color w:val="auto"/>
                      <w:kern w:val="21"/>
                      <w:sz w:val="21"/>
                      <w:szCs w:val="21"/>
                      <w:lang w:val="en-US" w:eastAsia="zh-CN"/>
                    </w:rPr>
                    <w:t>空间相对位置/m</w:t>
                  </w:r>
                </w:p>
              </w:tc>
              <w:tc>
                <w:tcPr>
                  <w:tcW w:w="3278" w:type="dxa"/>
                  <w:gridSpan w:val="2"/>
                  <w:noWrap w:val="0"/>
                  <w:vAlign w:val="center"/>
                </w:tcPr>
                <w:p w14:paraId="699C6F2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声源源强</w:t>
                  </w:r>
                </w:p>
              </w:tc>
              <w:tc>
                <w:tcPr>
                  <w:tcW w:w="1723" w:type="dxa"/>
                  <w:vMerge w:val="restart"/>
                  <w:noWrap w:val="0"/>
                  <w:vAlign w:val="center"/>
                </w:tcPr>
                <w:p w14:paraId="47AEF74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声源控制措施</w:t>
                  </w:r>
                </w:p>
              </w:tc>
              <w:tc>
                <w:tcPr>
                  <w:tcW w:w="1322" w:type="dxa"/>
                  <w:vMerge w:val="restart"/>
                  <w:noWrap w:val="0"/>
                  <w:vAlign w:val="center"/>
                </w:tcPr>
                <w:p w14:paraId="707834EE">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运行时段</w:t>
                  </w:r>
                </w:p>
              </w:tc>
            </w:tr>
            <w:tr w14:paraId="48127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16" w:type="dxa"/>
                  <w:vMerge w:val="continue"/>
                  <w:noWrap w:val="0"/>
                  <w:vAlign w:val="center"/>
                </w:tcPr>
                <w:p w14:paraId="1223C5A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294" w:type="dxa"/>
                  <w:vMerge w:val="continue"/>
                  <w:noWrap w:val="0"/>
                  <w:vAlign w:val="center"/>
                </w:tcPr>
                <w:p w14:paraId="265E07B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920" w:type="dxa"/>
                  <w:vMerge w:val="continue"/>
                  <w:noWrap w:val="0"/>
                  <w:vAlign w:val="center"/>
                </w:tcPr>
                <w:p w14:paraId="69DAEC46">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p>
              </w:tc>
              <w:tc>
                <w:tcPr>
                  <w:tcW w:w="1340" w:type="dxa"/>
                  <w:noWrap w:val="0"/>
                  <w:vAlign w:val="center"/>
                </w:tcPr>
                <w:p w14:paraId="0EB90FFE">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bCs w:val="0"/>
                      <w:color w:val="auto"/>
                      <w:kern w:val="21"/>
                      <w:sz w:val="21"/>
                      <w:szCs w:val="21"/>
                      <w:lang w:val="en-US" w:eastAsia="zh-CN"/>
                    </w:rPr>
                    <w:t>X</w:t>
                  </w:r>
                </w:p>
              </w:tc>
              <w:tc>
                <w:tcPr>
                  <w:tcW w:w="1340" w:type="dxa"/>
                  <w:noWrap w:val="0"/>
                  <w:vAlign w:val="center"/>
                </w:tcPr>
                <w:p w14:paraId="3250E075">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bCs w:val="0"/>
                      <w:color w:val="auto"/>
                      <w:kern w:val="21"/>
                      <w:sz w:val="21"/>
                      <w:szCs w:val="21"/>
                      <w:lang w:val="en-US" w:eastAsia="zh-CN"/>
                    </w:rPr>
                    <w:t>Y</w:t>
                  </w:r>
                </w:p>
              </w:tc>
              <w:tc>
                <w:tcPr>
                  <w:tcW w:w="1344" w:type="dxa"/>
                  <w:noWrap w:val="0"/>
                  <w:vAlign w:val="center"/>
                </w:tcPr>
                <w:p w14:paraId="43FD82BB">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bCs w:val="0"/>
                      <w:color w:val="auto"/>
                      <w:kern w:val="21"/>
                      <w:sz w:val="21"/>
                      <w:szCs w:val="21"/>
                      <w:lang w:val="en-US" w:eastAsia="zh-CN"/>
                    </w:rPr>
                    <w:t>Z</w:t>
                  </w:r>
                </w:p>
              </w:tc>
              <w:tc>
                <w:tcPr>
                  <w:tcW w:w="1588" w:type="dxa"/>
                  <w:noWrap w:val="0"/>
                  <w:vAlign w:val="center"/>
                </w:tcPr>
                <w:p w14:paraId="483BB36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声压级/dB(A)</w:t>
                  </w:r>
                </w:p>
              </w:tc>
              <w:tc>
                <w:tcPr>
                  <w:tcW w:w="1690" w:type="dxa"/>
                  <w:noWrap w:val="0"/>
                  <w:vAlign w:val="center"/>
                </w:tcPr>
                <w:p w14:paraId="0DE6C71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
                      <w:color w:val="auto"/>
                      <w:kern w:val="21"/>
                      <w:sz w:val="21"/>
                      <w:szCs w:val="21"/>
                    </w:rPr>
                    <w:t>声功率级/dB（A)</w:t>
                  </w:r>
                </w:p>
              </w:tc>
              <w:tc>
                <w:tcPr>
                  <w:tcW w:w="1723" w:type="dxa"/>
                  <w:vMerge w:val="continue"/>
                  <w:noWrap w:val="0"/>
                  <w:vAlign w:val="center"/>
                </w:tcPr>
                <w:p w14:paraId="215681A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322" w:type="dxa"/>
                  <w:vMerge w:val="continue"/>
                  <w:noWrap w:val="0"/>
                  <w:vAlign w:val="center"/>
                </w:tcPr>
                <w:p w14:paraId="5C33FFA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r>
            <w:tr w14:paraId="1F789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6" w:type="dxa"/>
                  <w:noWrap w:val="0"/>
                  <w:vAlign w:val="center"/>
                </w:tcPr>
                <w:p w14:paraId="5591930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eastAsia="zh-CN"/>
                    </w:rPr>
                    <w:t>1</w:t>
                  </w:r>
                </w:p>
              </w:tc>
              <w:tc>
                <w:tcPr>
                  <w:tcW w:w="1294" w:type="dxa"/>
                  <w:noWrap w:val="0"/>
                  <w:vAlign w:val="center"/>
                </w:tcPr>
                <w:p w14:paraId="25C7C3D1">
                  <w:pPr>
                    <w:adjustRightInd w:val="0"/>
                    <w:snapToGrid w:val="0"/>
                    <w:spacing w:line="240" w:lineRule="auto"/>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color w:val="auto"/>
                      <w:sz w:val="21"/>
                      <w:szCs w:val="21"/>
                      <w:lang w:val="en-US" w:eastAsia="zh-CN"/>
                    </w:rPr>
                    <w:t>冷却水塔</w:t>
                  </w:r>
                </w:p>
              </w:tc>
              <w:tc>
                <w:tcPr>
                  <w:tcW w:w="920" w:type="dxa"/>
                  <w:noWrap w:val="0"/>
                  <w:vAlign w:val="center"/>
                </w:tcPr>
                <w:p w14:paraId="22D17536">
                  <w:pPr>
                    <w:adjustRightInd w:val="0"/>
                    <w:snapToGrid w:val="0"/>
                    <w:spacing w:line="240" w:lineRule="auto"/>
                    <w:jc w:val="center"/>
                    <w:rPr>
                      <w:rFonts w:hint="default" w:ascii="Times New Roman" w:hAnsi="Times New Roman" w:eastAsia="宋体" w:cs="Times New Roman"/>
                      <w:color w:val="auto"/>
                      <w:sz w:val="21"/>
                      <w:szCs w:val="21"/>
                      <w:lang w:val="en-US"/>
                    </w:rPr>
                  </w:pPr>
                  <w:r>
                    <w:rPr>
                      <w:rFonts w:hint="eastAsia" w:cs="Times New Roman"/>
                      <w:color w:val="auto"/>
                      <w:sz w:val="21"/>
                      <w:szCs w:val="21"/>
                      <w:lang w:val="en-US" w:eastAsia="zh-CN"/>
                    </w:rPr>
                    <w:t>5台</w:t>
                  </w:r>
                </w:p>
              </w:tc>
              <w:tc>
                <w:tcPr>
                  <w:tcW w:w="1340" w:type="dxa"/>
                  <w:noWrap w:val="0"/>
                  <w:vAlign w:val="center"/>
                </w:tcPr>
                <w:p w14:paraId="5DBD7CE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7.77</w:t>
                  </w:r>
                </w:p>
              </w:tc>
              <w:tc>
                <w:tcPr>
                  <w:tcW w:w="1340" w:type="dxa"/>
                  <w:noWrap w:val="0"/>
                  <w:vAlign w:val="center"/>
                </w:tcPr>
                <w:p w14:paraId="73BEC10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2.16</w:t>
                  </w:r>
                </w:p>
              </w:tc>
              <w:tc>
                <w:tcPr>
                  <w:tcW w:w="1344" w:type="dxa"/>
                  <w:noWrap w:val="0"/>
                  <w:vAlign w:val="center"/>
                </w:tcPr>
                <w:p w14:paraId="4B90A59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15</w:t>
                  </w:r>
                </w:p>
              </w:tc>
              <w:tc>
                <w:tcPr>
                  <w:tcW w:w="1588" w:type="dxa"/>
                  <w:noWrap w:val="0"/>
                  <w:vAlign w:val="center"/>
                </w:tcPr>
                <w:p w14:paraId="73A6E37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1"/>
                      <w:sz w:val="21"/>
                      <w:szCs w:val="21"/>
                    </w:rPr>
                  </w:pPr>
                  <w:r>
                    <w:rPr>
                      <w:rFonts w:hint="default" w:ascii="Times New Roman" w:hAnsi="Times New Roman" w:eastAsia="宋体" w:cs="Times New Roman"/>
                      <w:bCs/>
                      <w:color w:val="auto"/>
                      <w:kern w:val="21"/>
                      <w:sz w:val="21"/>
                      <w:szCs w:val="21"/>
                    </w:rPr>
                    <w:t>90</w:t>
                  </w:r>
                </w:p>
              </w:tc>
              <w:tc>
                <w:tcPr>
                  <w:tcW w:w="1690" w:type="dxa"/>
                  <w:noWrap w:val="0"/>
                  <w:vAlign w:val="center"/>
                </w:tcPr>
                <w:p w14:paraId="242E966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96.99</w:t>
                  </w:r>
                </w:p>
              </w:tc>
              <w:tc>
                <w:tcPr>
                  <w:tcW w:w="1723" w:type="dxa"/>
                  <w:vMerge w:val="restart"/>
                  <w:noWrap w:val="0"/>
                  <w:vAlign w:val="center"/>
                </w:tcPr>
                <w:p w14:paraId="1F17197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eastAsia="宋体" w:cs="Times New Roman"/>
                      <w:bCs/>
                      <w:color w:val="auto"/>
                      <w:kern w:val="21"/>
                      <w:sz w:val="21"/>
                      <w:szCs w:val="21"/>
                    </w:rPr>
                    <w:t>选用低噪声设备、减振</w:t>
                  </w:r>
                </w:p>
              </w:tc>
              <w:tc>
                <w:tcPr>
                  <w:tcW w:w="1322" w:type="dxa"/>
                  <w:noWrap w:val="0"/>
                  <w:vAlign w:val="center"/>
                </w:tcPr>
                <w:p w14:paraId="28428411">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77B0F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716" w:type="dxa"/>
                  <w:noWrap w:val="0"/>
                  <w:vAlign w:val="center"/>
                </w:tcPr>
                <w:p w14:paraId="7EB9AC0A">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2</w:t>
                  </w:r>
                </w:p>
              </w:tc>
              <w:tc>
                <w:tcPr>
                  <w:tcW w:w="1294" w:type="dxa"/>
                  <w:noWrap w:val="0"/>
                  <w:vAlign w:val="center"/>
                </w:tcPr>
                <w:p w14:paraId="2F4555B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风机</w:t>
                  </w:r>
                </w:p>
              </w:tc>
              <w:tc>
                <w:tcPr>
                  <w:tcW w:w="920" w:type="dxa"/>
                  <w:noWrap w:val="0"/>
                  <w:vAlign w:val="center"/>
                </w:tcPr>
                <w:p w14:paraId="796B693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2台</w:t>
                  </w:r>
                </w:p>
              </w:tc>
              <w:tc>
                <w:tcPr>
                  <w:tcW w:w="1340" w:type="dxa"/>
                  <w:noWrap w:val="0"/>
                  <w:vAlign w:val="center"/>
                </w:tcPr>
                <w:p w14:paraId="25FF0ED5">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8.23</w:t>
                  </w:r>
                </w:p>
              </w:tc>
              <w:tc>
                <w:tcPr>
                  <w:tcW w:w="1340" w:type="dxa"/>
                  <w:noWrap w:val="0"/>
                  <w:vAlign w:val="center"/>
                </w:tcPr>
                <w:p w14:paraId="259C12A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-17.26</w:t>
                  </w:r>
                </w:p>
              </w:tc>
              <w:tc>
                <w:tcPr>
                  <w:tcW w:w="1344" w:type="dxa"/>
                  <w:noWrap w:val="0"/>
                  <w:vAlign w:val="center"/>
                </w:tcPr>
                <w:p w14:paraId="7B88537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15</w:t>
                  </w:r>
                </w:p>
              </w:tc>
              <w:tc>
                <w:tcPr>
                  <w:tcW w:w="1588" w:type="dxa"/>
                  <w:noWrap w:val="0"/>
                  <w:vAlign w:val="center"/>
                </w:tcPr>
                <w:p w14:paraId="070AB98D">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90</w:t>
                  </w:r>
                </w:p>
              </w:tc>
              <w:tc>
                <w:tcPr>
                  <w:tcW w:w="1690" w:type="dxa"/>
                  <w:noWrap w:val="0"/>
                  <w:vAlign w:val="center"/>
                </w:tcPr>
                <w:p w14:paraId="7B3931EB">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93.01</w:t>
                  </w:r>
                </w:p>
              </w:tc>
              <w:tc>
                <w:tcPr>
                  <w:tcW w:w="1723" w:type="dxa"/>
                  <w:vMerge w:val="continue"/>
                  <w:noWrap w:val="0"/>
                  <w:vAlign w:val="center"/>
                </w:tcPr>
                <w:p w14:paraId="491B0DF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322" w:type="dxa"/>
                  <w:noWrap w:val="0"/>
                  <w:vAlign w:val="center"/>
                </w:tcPr>
                <w:p w14:paraId="3A6DF3C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r w14:paraId="79A07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716" w:type="dxa"/>
                  <w:noWrap w:val="0"/>
                  <w:vAlign w:val="center"/>
                </w:tcPr>
                <w:p w14:paraId="2D93730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cs="Times New Roman"/>
                      <w:bCs/>
                      <w:color w:val="auto"/>
                      <w:kern w:val="21"/>
                      <w:sz w:val="21"/>
                      <w:szCs w:val="21"/>
                      <w:lang w:val="en-US" w:eastAsia="zh-CN"/>
                    </w:rPr>
                  </w:pPr>
                  <w:r>
                    <w:rPr>
                      <w:rFonts w:hint="eastAsia" w:cs="Times New Roman"/>
                      <w:bCs/>
                      <w:color w:val="auto"/>
                      <w:kern w:val="21"/>
                      <w:sz w:val="21"/>
                      <w:szCs w:val="21"/>
                      <w:lang w:val="en-US" w:eastAsia="zh-CN"/>
                    </w:rPr>
                    <w:t>3</w:t>
                  </w:r>
                </w:p>
              </w:tc>
              <w:tc>
                <w:tcPr>
                  <w:tcW w:w="1294" w:type="dxa"/>
                  <w:noWrap w:val="0"/>
                  <w:vAlign w:val="center"/>
                </w:tcPr>
                <w:p w14:paraId="0DDA2F30">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空压机</w:t>
                  </w:r>
                </w:p>
              </w:tc>
              <w:tc>
                <w:tcPr>
                  <w:tcW w:w="920" w:type="dxa"/>
                  <w:noWrap w:val="0"/>
                  <w:vAlign w:val="center"/>
                </w:tcPr>
                <w:p w14:paraId="1EF8802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2台</w:t>
                  </w:r>
                </w:p>
              </w:tc>
              <w:tc>
                <w:tcPr>
                  <w:tcW w:w="1340" w:type="dxa"/>
                  <w:noWrap w:val="0"/>
                  <w:vAlign w:val="center"/>
                </w:tcPr>
                <w:p w14:paraId="3640991C">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9.16</w:t>
                  </w:r>
                </w:p>
              </w:tc>
              <w:tc>
                <w:tcPr>
                  <w:tcW w:w="1340" w:type="dxa"/>
                  <w:noWrap w:val="0"/>
                  <w:vAlign w:val="center"/>
                </w:tcPr>
                <w:p w14:paraId="2709D017">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-24.19</w:t>
                  </w:r>
                </w:p>
              </w:tc>
              <w:tc>
                <w:tcPr>
                  <w:tcW w:w="1344" w:type="dxa"/>
                  <w:noWrap w:val="0"/>
                  <w:vAlign w:val="center"/>
                </w:tcPr>
                <w:p w14:paraId="592FBF18">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15</w:t>
                  </w:r>
                </w:p>
              </w:tc>
              <w:tc>
                <w:tcPr>
                  <w:tcW w:w="1588" w:type="dxa"/>
                  <w:noWrap w:val="0"/>
                  <w:vAlign w:val="center"/>
                </w:tcPr>
                <w:p w14:paraId="113BC8E3">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eastAsia" w:cs="Times New Roman"/>
                      <w:bCs/>
                      <w:color w:val="auto"/>
                      <w:kern w:val="21"/>
                      <w:sz w:val="21"/>
                      <w:szCs w:val="21"/>
                      <w:lang w:val="en-US" w:eastAsia="zh-CN"/>
                    </w:rPr>
                    <w:t>90</w:t>
                  </w:r>
                </w:p>
              </w:tc>
              <w:tc>
                <w:tcPr>
                  <w:tcW w:w="1690" w:type="dxa"/>
                  <w:noWrap w:val="0"/>
                  <w:vAlign w:val="center"/>
                </w:tcPr>
                <w:p w14:paraId="77AAB6CF">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93.01</w:t>
                  </w:r>
                </w:p>
              </w:tc>
              <w:tc>
                <w:tcPr>
                  <w:tcW w:w="1723" w:type="dxa"/>
                  <w:vMerge w:val="continue"/>
                  <w:noWrap w:val="0"/>
                  <w:vAlign w:val="center"/>
                </w:tcPr>
                <w:p w14:paraId="08004DA9">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kern w:val="21"/>
                      <w:sz w:val="21"/>
                      <w:szCs w:val="21"/>
                    </w:rPr>
                  </w:pPr>
                </w:p>
              </w:tc>
              <w:tc>
                <w:tcPr>
                  <w:tcW w:w="1322" w:type="dxa"/>
                  <w:noWrap w:val="0"/>
                  <w:vAlign w:val="center"/>
                </w:tcPr>
                <w:p w14:paraId="0A8A85E2">
                  <w:pPr>
                    <w:keepNext w:val="0"/>
                    <w:keepLines w:val="0"/>
                    <w:suppressLineNumbers w:val="0"/>
                    <w:wordWrap w:val="0"/>
                    <w:spacing w:before="0" w:beforeAutospacing="0" w:after="0" w:afterAutospacing="0" w:line="240" w:lineRule="auto"/>
                    <w:ind w:left="0" w:right="0" w:firstLine="0" w:firstLineChars="0"/>
                    <w:jc w:val="center"/>
                    <w:rPr>
                      <w:rFonts w:hint="default" w:ascii="Times New Roman" w:hAnsi="Times New Roman" w:cs="Times New Roman"/>
                      <w:bCs/>
                      <w:color w:val="auto"/>
                      <w:kern w:val="21"/>
                      <w:sz w:val="21"/>
                      <w:szCs w:val="21"/>
                      <w:lang w:val="en-US" w:eastAsia="zh-CN"/>
                    </w:rPr>
                  </w:pPr>
                  <w:r>
                    <w:rPr>
                      <w:rFonts w:hint="default" w:ascii="Times New Roman" w:hAnsi="Times New Roman" w:cs="Times New Roman"/>
                      <w:bCs/>
                      <w:color w:val="auto"/>
                      <w:kern w:val="21"/>
                      <w:sz w:val="21"/>
                      <w:szCs w:val="21"/>
                      <w:lang w:val="en-US" w:eastAsia="zh-CN"/>
                    </w:rPr>
                    <w:t>16</w:t>
                  </w:r>
                  <w:r>
                    <w:rPr>
                      <w:rFonts w:hint="default" w:ascii="Times New Roman" w:hAnsi="Times New Roman" w:eastAsia="宋体" w:cs="Times New Roman"/>
                      <w:bCs/>
                      <w:color w:val="auto"/>
                      <w:kern w:val="21"/>
                      <w:sz w:val="21"/>
                      <w:szCs w:val="21"/>
                    </w:rPr>
                    <w:t>h/d</w:t>
                  </w:r>
                </w:p>
              </w:tc>
            </w:tr>
          </w:tbl>
          <w:p w14:paraId="017906BD">
            <w:pPr>
              <w:keepNext w:val="0"/>
              <w:keepLines w:val="0"/>
              <w:suppressLineNumbers w:val="0"/>
              <w:wordWrap w:val="0"/>
              <w:spacing w:before="0" w:beforeAutospacing="0" w:after="0" w:afterAutospacing="0"/>
              <w:ind w:left="0" w:right="0" w:firstLine="0" w:firstLineChars="0"/>
              <w:rPr>
                <w:rFonts w:hint="default" w:ascii="Times New Roman" w:hAnsi="Times New Roman" w:eastAsia="宋体" w:cs="Times New Roman"/>
                <w:color w:val="auto"/>
                <w:sz w:val="24"/>
                <w:szCs w:val="24"/>
              </w:rPr>
            </w:pPr>
          </w:p>
          <w:p w14:paraId="61013CEE">
            <w:pPr>
              <w:pStyle w:val="5"/>
              <w:rPr>
                <w:rFonts w:hint="default"/>
                <w:color w:val="auto"/>
              </w:rPr>
            </w:pPr>
          </w:p>
        </w:tc>
      </w:tr>
    </w:tbl>
    <w:p w14:paraId="7015115E">
      <w:pPr>
        <w:adjustRightInd w:val="0"/>
        <w:snapToGrid w:val="0"/>
        <w:rPr>
          <w:rFonts w:hint="default" w:ascii="Times New Roman" w:hAnsi="Times New Roman" w:cs="Times New Roman"/>
          <w:b/>
          <w:color w:val="auto"/>
          <w:kern w:val="0"/>
          <w:sz w:val="28"/>
          <w:szCs w:val="28"/>
        </w:rPr>
        <w:sectPr>
          <w:pgSz w:w="16840" w:h="11907" w:orient="landscape"/>
          <w:pgMar w:top="1531" w:right="1701" w:bottom="1531" w:left="2127" w:header="851" w:footer="1701" w:gutter="0"/>
          <w:cols w:space="720" w:num="1"/>
          <w:docGrid w:linePitch="312" w:charSpace="0"/>
        </w:sect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8588"/>
      </w:tblGrid>
      <w:tr w14:paraId="0E3B8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2" w:type="dxa"/>
          </w:tcPr>
          <w:p w14:paraId="04A2FBE2">
            <w:pPr>
              <w:pStyle w:val="18"/>
              <w:jc w:val="center"/>
              <w:outlineLvl w:val="0"/>
              <w:rPr>
                <w:rFonts w:hint="default" w:ascii="Times New Roman" w:hAnsi="Times New Roman" w:eastAsia="黑体" w:cs="Times New Roman"/>
                <w:snapToGrid w:val="0"/>
                <w:color w:val="auto"/>
                <w:sz w:val="30"/>
                <w:szCs w:val="30"/>
                <w:vertAlign w:val="baseline"/>
              </w:rPr>
            </w:pPr>
          </w:p>
        </w:tc>
        <w:tc>
          <w:tcPr>
            <w:tcW w:w="8588" w:type="dxa"/>
          </w:tcPr>
          <w:p w14:paraId="62347AC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（2）噪声环境影响分析</w:t>
            </w:r>
          </w:p>
          <w:p w14:paraId="03DB1568">
            <w:pPr>
              <w:ind w:firstLine="420" w:firstLineChars="200"/>
              <w:rPr>
                <w:rFonts w:hint="default" w:ascii="Times New Roman" w:hAnsi="Times New Roman" w:cs="Times New Roman"/>
                <w:color w:val="auto"/>
                <w:szCs w:val="22"/>
              </w:rPr>
            </w:pPr>
            <w:r>
              <w:rPr>
                <w:rFonts w:hint="default" w:ascii="Times New Roman" w:hAnsi="Times New Roman" w:cs="Times New Roman"/>
                <w:color w:val="auto"/>
                <w:sz w:val="21"/>
                <w:szCs w:val="21"/>
              </w:rPr>
              <w:t>根据《环境影响评价技术导则——声环境》（HJ2.4-2021）的要求，可选择点声源预测模式，来模拟预测</w:t>
            </w:r>
            <w:r>
              <w:rPr>
                <w:rFonts w:hint="default" w:ascii="Times New Roman" w:hAnsi="Times New Roman" w:cs="Times New Roman"/>
                <w:color w:val="auto"/>
                <w:szCs w:val="22"/>
              </w:rPr>
              <w:t>项目主要声源排放噪声随距离的衰减变化规律。</w:t>
            </w:r>
          </w:p>
          <w:p w14:paraId="735E97A2">
            <w:pPr>
              <w:ind w:firstLine="482" w:firstLineChars="200"/>
              <w:rPr>
                <w:rFonts w:hint="default" w:ascii="Times New Roman" w:hAnsi="Times New Roman" w:cs="Times New Roman"/>
                <w:b/>
                <w:bCs/>
                <w:color w:val="auto"/>
                <w:szCs w:val="22"/>
              </w:rPr>
            </w:pPr>
            <w:bookmarkStart w:id="18" w:name="_Toc474762629"/>
            <w:bookmarkStart w:id="19" w:name="_Toc428192097"/>
            <w:bookmarkStart w:id="20" w:name="_Toc475973557"/>
            <w:bookmarkStart w:id="21" w:name="_Toc467511382"/>
            <w:r>
              <w:rPr>
                <w:rFonts w:hint="default" w:ascii="Times New Roman" w:hAnsi="Times New Roman" w:cs="Times New Roman"/>
                <w:b/>
                <w:bCs/>
                <w:color w:val="auto"/>
                <w:szCs w:val="22"/>
              </w:rPr>
              <w:t>①室内点声源的预测</w:t>
            </w:r>
          </w:p>
          <w:p w14:paraId="05A4A46C">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设靠近开口处(或窗户)室内、室外某倍频带的声压级分为L</w:t>
            </w:r>
            <w:r>
              <w:rPr>
                <w:rFonts w:hint="default" w:ascii="Times New Roman" w:hAnsi="Times New Roman" w:cs="Times New Roman"/>
                <w:color w:val="auto"/>
                <w:szCs w:val="22"/>
                <w:vertAlign w:val="subscript"/>
              </w:rPr>
              <w:t>P1</w:t>
            </w:r>
            <w:r>
              <w:rPr>
                <w:rFonts w:hint="default" w:ascii="Times New Roman" w:hAnsi="Times New Roman" w:cs="Times New Roman"/>
                <w:color w:val="auto"/>
                <w:szCs w:val="22"/>
              </w:rPr>
              <w:t>和L</w:t>
            </w:r>
            <w:r>
              <w:rPr>
                <w:rFonts w:hint="default" w:ascii="Times New Roman" w:hAnsi="Times New Roman" w:cs="Times New Roman"/>
                <w:color w:val="auto"/>
                <w:szCs w:val="22"/>
                <w:vertAlign w:val="subscript"/>
              </w:rPr>
              <w:t>P2</w:t>
            </w:r>
            <w:r>
              <w:rPr>
                <w:rFonts w:hint="default" w:ascii="Times New Roman" w:hAnsi="Times New Roman" w:cs="Times New Roman"/>
                <w:color w:val="auto"/>
                <w:szCs w:val="22"/>
              </w:rPr>
              <w:t>。若声源所在室内声场为近似扩散声场，则室外的倍频带声压级可按下列公式近似求出：</w:t>
            </w:r>
          </w:p>
          <w:p w14:paraId="222E72DF">
            <w:pPr>
              <w:jc w:val="center"/>
              <w:rPr>
                <w:rFonts w:hint="default" w:ascii="Times New Roman" w:hAnsi="Times New Roman" w:cs="Times New Roman"/>
                <w:color w:val="auto"/>
                <w:szCs w:val="22"/>
              </w:rPr>
            </w:pPr>
            <w:r>
              <w:rPr>
                <w:rFonts w:hint="default" w:ascii="Times New Roman" w:hAnsi="Times New Roman" w:cs="Times New Roman"/>
                <w:color w:val="auto"/>
                <w:position w:val="-10"/>
                <w:szCs w:val="22"/>
              </w:rPr>
              <w:object>
                <v:shape id="_x0000_i1029" o:spt="75" type="#_x0000_t75" style="height:17.3pt;width:96.25pt;" o:ole="t" filled="f" o:preferrelative="t" stroked="f" coordsize="21600,21600">
                  <v:path/>
                  <v:fill on="f" focussize="0,0"/>
                  <v:stroke on="f" joinstyle="miter"/>
                  <v:imagedata r:id="rId27" o:title=""/>
                  <o:lock v:ext="edit" aspectratio="t"/>
                  <w10:wrap type="none"/>
                  <w10:anchorlock/>
                </v:shape>
                <o:OLEObject Type="Embed" ProgID="Equation.KSEE3" ShapeID="_x0000_i1029" DrawAspect="Content" ObjectID="_1468075729" r:id="rId26">
                  <o:LockedField>false</o:LockedField>
                </o:OLEObject>
              </w:object>
            </w:r>
          </w:p>
          <w:p w14:paraId="39405413">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式中：TL—隔墙（或窗户）倍频带的隔声量，dB（A）；</w:t>
            </w:r>
          </w:p>
          <w:p w14:paraId="09490231">
            <w:pPr>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3476625" cy="1476375"/>
                  <wp:effectExtent l="0" t="0" r="3175" b="9525"/>
                  <wp:docPr id="9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5"/>
                          <pic:cNvPicPr>
                            <a:picLocks noChangeAspect="1"/>
                          </pic:cNvPicPr>
                        </pic:nvPicPr>
                        <pic:blipFill>
                          <a:blip r:embed="rId28"/>
                          <a:stretch>
                            <a:fillRect/>
                          </a:stretch>
                        </pic:blipFill>
                        <pic:spPr>
                          <a:xfrm>
                            <a:off x="0" y="0"/>
                            <a:ext cx="3476625" cy="1476375"/>
                          </a:xfrm>
                          <a:prstGeom prst="rect">
                            <a:avLst/>
                          </a:prstGeom>
                          <a:noFill/>
                          <a:ln>
                            <a:noFill/>
                          </a:ln>
                        </pic:spPr>
                      </pic:pic>
                    </a:graphicData>
                  </a:graphic>
                </wp:inline>
              </w:drawing>
            </w:r>
          </w:p>
          <w:p w14:paraId="6F55EB78">
            <w:pPr>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图</w:t>
            </w:r>
            <w:r>
              <w:rPr>
                <w:rFonts w:hint="default" w:ascii="Times New Roman" w:hAnsi="Times New Roman" w:cs="Times New Roman"/>
                <w:b/>
                <w:bCs/>
                <w:color w:val="auto"/>
                <w:lang w:val="en-US" w:eastAsia="zh-CN"/>
              </w:rPr>
              <w:t>7</w:t>
            </w:r>
            <w:r>
              <w:rPr>
                <w:rFonts w:hint="default" w:ascii="Times New Roman" w:hAnsi="Times New Roman" w:cs="Times New Roman"/>
                <w:b/>
                <w:bCs/>
                <w:color w:val="auto"/>
              </w:rPr>
              <w:t xml:space="preserve"> 室内声源等效为室外声源图例</w:t>
            </w:r>
          </w:p>
          <w:p w14:paraId="73552085">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也可以按下列公式计算某一室内声源靠近围护结构处产生的倍频带声压级：</w:t>
            </w:r>
          </w:p>
          <w:p w14:paraId="607FB2D2">
            <w:pPr>
              <w:jc w:val="center"/>
              <w:rPr>
                <w:rFonts w:hint="default" w:ascii="Times New Roman" w:hAnsi="Times New Roman" w:cs="Times New Roman"/>
                <w:color w:val="auto"/>
                <w:szCs w:val="22"/>
              </w:rPr>
            </w:pPr>
            <w:r>
              <w:rPr>
                <w:rFonts w:hint="default" w:ascii="Times New Roman" w:hAnsi="Times New Roman" w:cs="Times New Roman"/>
                <w:color w:val="auto"/>
                <w:position w:val="-34"/>
                <w:szCs w:val="22"/>
              </w:rPr>
              <w:object>
                <v:shape id="_x0000_i1030" o:spt="75" type="#_x0000_t75" style="height:40.15pt;width:135.7pt;" o:ole="t" filled="f" o:preferrelative="t" stroked="f" coordsize="21600,21600">
                  <v:path/>
                  <v:fill on="f" focussize="0,0"/>
                  <v:stroke on="f" joinstyle="miter"/>
                  <v:imagedata r:id="rId30" o:title=""/>
                  <o:lock v:ext="edit" aspectratio="t"/>
                  <w10:wrap type="none"/>
                  <w10:anchorlock/>
                </v:shape>
                <o:OLEObject Type="Embed" ProgID="Equation.KSEE3" ShapeID="_x0000_i1030" DrawAspect="Content" ObjectID="_1468075730" r:id="rId29">
                  <o:LockedField>false</o:LockedField>
                </o:OLEObject>
              </w:object>
            </w:r>
          </w:p>
          <w:p w14:paraId="2FA90C57">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式中：Q—指向性因数；通常对无指向性声源，当声源放在房间中心时，Q=1；当放在一面墙的中心时，Q=2；当放在两面墙夹角处时，Q=4；当放在三面墙夹角处时，Q=8；</w:t>
            </w:r>
          </w:p>
          <w:p w14:paraId="49440880">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R—房间常数；R=Sα/（1-α），S为房间内表面面积，m</w:t>
            </w:r>
            <w:r>
              <w:rPr>
                <w:rFonts w:hint="default" w:ascii="Times New Roman" w:hAnsi="Times New Roman" w:cs="Times New Roman"/>
                <w:color w:val="auto"/>
                <w:szCs w:val="22"/>
                <w:vertAlign w:val="superscript"/>
              </w:rPr>
              <w:t>2</w:t>
            </w:r>
            <w:r>
              <w:rPr>
                <w:rFonts w:hint="default" w:ascii="Times New Roman" w:hAnsi="Times New Roman" w:cs="Times New Roman"/>
                <w:color w:val="auto"/>
                <w:szCs w:val="22"/>
              </w:rPr>
              <w:t>；α为平均吸声系数；</w:t>
            </w:r>
          </w:p>
          <w:p w14:paraId="5B39C565">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r—声源到靠近围护结构某点处的距离，m。</w:t>
            </w:r>
          </w:p>
          <w:p w14:paraId="790F571E">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然后按下列公式计算出所有室内声源在围护结构处产生的i倍频带叠加声压级：</w:t>
            </w:r>
          </w:p>
          <w:p w14:paraId="67015C6F">
            <w:pPr>
              <w:jc w:val="center"/>
              <w:rPr>
                <w:rFonts w:hint="default" w:ascii="Times New Roman" w:hAnsi="Times New Roman" w:cs="Times New Roman"/>
                <w:color w:val="auto"/>
                <w:szCs w:val="22"/>
              </w:rPr>
            </w:pPr>
            <w:r>
              <w:rPr>
                <w:rFonts w:hint="default" w:ascii="Times New Roman" w:hAnsi="Times New Roman" w:cs="Times New Roman"/>
                <w:color w:val="auto"/>
                <w:position w:val="-30"/>
                <w:szCs w:val="22"/>
              </w:rPr>
              <w:object>
                <v:shape id="_x0000_i1031" o:spt="75" type="#_x0000_t75" style="height:36pt;width:132.25pt;" o:ole="t" filled="f" o:preferrelative="t" stroked="f" coordsize="21600,21600">
                  <v:path/>
                  <v:fill on="f" focussize="0,0"/>
                  <v:stroke on="f" joinstyle="miter"/>
                  <v:imagedata r:id="rId32" o:title=""/>
                  <o:lock v:ext="edit" aspectratio="t"/>
                  <w10:wrap type="none"/>
                  <w10:anchorlock/>
                </v:shape>
                <o:OLEObject Type="Embed" ProgID="Equation.KSEE3" ShapeID="_x0000_i1031" DrawAspect="Content" ObjectID="_1468075731" r:id="rId31">
                  <o:LockedField>false</o:LockedField>
                </o:OLEObject>
              </w:object>
            </w:r>
          </w:p>
          <w:p w14:paraId="562EE3B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w:t>
            </w:r>
            <w:r>
              <w:rPr>
                <w:rFonts w:hint="default" w:ascii="Times New Roman" w:hAnsi="Times New Roman" w:cs="Times New Roman"/>
                <w:color w:val="auto"/>
                <w:szCs w:val="22"/>
                <w:vertAlign w:val="subscript"/>
              </w:rPr>
              <w:t>P1i</w:t>
            </w:r>
            <w:r>
              <w:rPr>
                <w:rFonts w:hint="default" w:ascii="Times New Roman" w:hAnsi="Times New Roman" w:cs="Times New Roman"/>
                <w:color w:val="auto"/>
                <w:szCs w:val="22"/>
              </w:rPr>
              <w:t>(T)—靠近围护结构处室内N个声源i倍频带的叠加声压级，dB；</w:t>
            </w:r>
          </w:p>
          <w:p w14:paraId="36818BF5">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L</w:t>
            </w:r>
            <w:r>
              <w:rPr>
                <w:rFonts w:hint="default" w:ascii="Times New Roman" w:hAnsi="Times New Roman" w:cs="Times New Roman"/>
                <w:color w:val="auto"/>
                <w:szCs w:val="22"/>
                <w:vertAlign w:val="subscript"/>
              </w:rPr>
              <w:t>P1i,j</w:t>
            </w:r>
            <w:r>
              <w:rPr>
                <w:rFonts w:hint="default" w:ascii="Times New Roman" w:hAnsi="Times New Roman" w:cs="Times New Roman"/>
                <w:color w:val="auto"/>
                <w:szCs w:val="22"/>
              </w:rPr>
              <w:t>—室内j声源i倍频带的声压级，dB；</w:t>
            </w:r>
          </w:p>
          <w:p w14:paraId="57F6A74F">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N—室内声源总数；</w:t>
            </w:r>
          </w:p>
          <w:p w14:paraId="123CCE6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在室内近似为扩散声场时，按下列公式计算出靠近室外围护结构处的声压级：</w:t>
            </w:r>
          </w:p>
          <w:p w14:paraId="2F2B4BCB">
            <w:pPr>
              <w:jc w:val="center"/>
              <w:rPr>
                <w:rFonts w:hint="default" w:ascii="Times New Roman" w:hAnsi="Times New Roman" w:cs="Times New Roman"/>
                <w:color w:val="auto"/>
                <w:szCs w:val="22"/>
              </w:rPr>
            </w:pPr>
            <w:r>
              <w:rPr>
                <w:rFonts w:hint="default" w:ascii="Times New Roman" w:hAnsi="Times New Roman" w:cs="Times New Roman"/>
                <w:color w:val="auto"/>
                <w:position w:val="-12"/>
                <w:szCs w:val="22"/>
              </w:rPr>
              <w:object>
                <v:shape id="_x0000_i1032" o:spt="75" type="#_x0000_t75" style="height:18pt;width:135pt;" o:ole="t" filled="f" o:preferrelative="t" stroked="f" coordsize="21600,21600">
                  <v:path/>
                  <v:fill on="f" focussize="0,0"/>
                  <v:stroke on="f" joinstyle="miter"/>
                  <v:imagedata r:id="rId34" o:title=""/>
                  <o:lock v:ext="edit" aspectratio="t"/>
                  <w10:wrap type="none"/>
                  <w10:anchorlock/>
                </v:shape>
                <o:OLEObject Type="Embed" ProgID="Equation.KSEE3" ShapeID="_x0000_i1032" DrawAspect="Content" ObjectID="_1468075732" r:id="rId33">
                  <o:LockedField>false</o:LockedField>
                </o:OLEObject>
              </w:object>
            </w:r>
          </w:p>
          <w:p w14:paraId="6D4EF727">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w:t>
            </w:r>
            <w:r>
              <w:rPr>
                <w:rFonts w:hint="default" w:ascii="Times New Roman" w:hAnsi="Times New Roman" w:cs="Times New Roman"/>
                <w:color w:val="auto"/>
                <w:szCs w:val="22"/>
                <w:vertAlign w:val="subscript"/>
              </w:rPr>
              <w:t>P2i</w:t>
            </w:r>
            <w:r>
              <w:rPr>
                <w:rFonts w:hint="default" w:ascii="Times New Roman" w:hAnsi="Times New Roman" w:cs="Times New Roman"/>
                <w:color w:val="auto"/>
                <w:szCs w:val="22"/>
              </w:rPr>
              <w:t>(T)—靠近围护结构处室外N个声源i倍频带的叠加声压级，dB；</w:t>
            </w:r>
          </w:p>
          <w:p w14:paraId="6582BC9C">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TL</w:t>
            </w:r>
            <w:r>
              <w:rPr>
                <w:rFonts w:hint="default" w:ascii="Times New Roman" w:hAnsi="Times New Roman" w:cs="Times New Roman"/>
                <w:color w:val="auto"/>
                <w:szCs w:val="22"/>
                <w:vertAlign w:val="subscript"/>
              </w:rPr>
              <w:t>i</w:t>
            </w:r>
            <w:r>
              <w:rPr>
                <w:rFonts w:hint="default" w:ascii="Times New Roman" w:hAnsi="Times New Roman" w:cs="Times New Roman"/>
                <w:color w:val="auto"/>
                <w:szCs w:val="22"/>
              </w:rPr>
              <w:t>—围护结构i倍频带的隔声量，dB；</w:t>
            </w:r>
          </w:p>
          <w:p w14:paraId="6F65786D">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然后按下列公式将室外声源的声压级和透过面积换算成等效的室外声源，计算出中心位置于透声面积（S）处的等效声源的倍频带声功率级。</w:t>
            </w:r>
          </w:p>
          <w:p w14:paraId="099A7B26">
            <w:pPr>
              <w:jc w:val="center"/>
              <w:rPr>
                <w:rFonts w:hint="default" w:ascii="Times New Roman" w:hAnsi="Times New Roman" w:cs="Times New Roman"/>
                <w:color w:val="auto"/>
                <w:szCs w:val="22"/>
              </w:rPr>
            </w:pPr>
            <w:r>
              <w:rPr>
                <w:rFonts w:hint="default" w:ascii="Times New Roman" w:hAnsi="Times New Roman" w:cs="Times New Roman"/>
                <w:color w:val="auto"/>
                <w:position w:val="-12"/>
                <w:szCs w:val="22"/>
              </w:rPr>
              <w:object>
                <v:shape id="_x0000_i1033" o:spt="75" type="#_x0000_t75" style="height:18pt;width:103.85pt;" o:ole="t" filled="f" o:preferrelative="t" stroked="f" coordsize="21600,21600">
                  <v:path/>
                  <v:fill on="f" focussize="0,0"/>
                  <v:stroke on="f" joinstyle="miter"/>
                  <v:imagedata r:id="rId36" o:title=""/>
                  <o:lock v:ext="edit" aspectratio="t"/>
                  <w10:wrap type="none"/>
                  <w10:anchorlock/>
                </v:shape>
                <o:OLEObject Type="Embed" ProgID="Equation.KSEE3" ShapeID="_x0000_i1033" DrawAspect="Content" ObjectID="_1468075733" r:id="rId35">
                  <o:LockedField>false</o:LockedField>
                </o:OLEObject>
              </w:object>
            </w:r>
          </w:p>
          <w:p w14:paraId="6BFB52A4">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然后按室外声源预测方法计算预测点处的A声级。</w:t>
            </w:r>
          </w:p>
          <w:p w14:paraId="3835F68C">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②室外点声源在预测点的倍频带声压级</w:t>
            </w:r>
          </w:p>
          <w:p w14:paraId="431F35F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A、某个声源在预测点的倍频带声压级</w:t>
            </w:r>
          </w:p>
          <w:p w14:paraId="1E87A83E">
            <w:pPr>
              <w:jc w:val="center"/>
              <w:rPr>
                <w:rFonts w:hint="default" w:ascii="Times New Roman" w:hAnsi="Times New Roman" w:cs="Times New Roman"/>
                <w:color w:val="auto"/>
                <w:szCs w:val="22"/>
              </w:rPr>
            </w:pPr>
            <w:r>
              <w:rPr>
                <w:rFonts w:hint="default" w:ascii="Times New Roman" w:hAnsi="Times New Roman" w:cs="Times New Roman"/>
                <w:color w:val="auto"/>
                <w:position w:val="-30"/>
                <w:szCs w:val="22"/>
              </w:rPr>
              <w:object>
                <v:shape id="_x0000_i1034" o:spt="75" type="#_x0000_t75" style="height:33.9pt;width:112.85pt;" o:ole="t" filled="f" o:preferrelative="t" stroked="f" coordsize="21600,21600">
                  <v:path/>
                  <v:fill on="f" focussize="0,0"/>
                  <v:stroke on="f" joinstyle="miter"/>
                  <v:imagedata r:id="rId38" o:title=""/>
                  <o:lock v:ext="edit" aspectratio="t"/>
                  <w10:wrap type="none"/>
                  <w10:anchorlock/>
                </v:shape>
                <o:OLEObject Type="Embed" ProgID="Equation.KSEE3" ShapeID="_x0000_i1034" DrawAspect="Content" ObjectID="_1468075734" r:id="rId37">
                  <o:LockedField>false</o:LockedField>
                </o:OLEObject>
              </w:object>
            </w:r>
          </w:p>
          <w:p w14:paraId="13CEAF2B">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w:t>
            </w:r>
            <w:r>
              <w:rPr>
                <w:rFonts w:hint="default" w:ascii="Times New Roman" w:hAnsi="Times New Roman" w:cs="Times New Roman"/>
                <w:color w:val="auto"/>
                <w:szCs w:val="22"/>
                <w:vertAlign w:val="subscript"/>
              </w:rPr>
              <w:t>2</w:t>
            </w:r>
            <w:r>
              <w:rPr>
                <w:rFonts w:hint="default" w:ascii="Times New Roman" w:hAnsi="Times New Roman" w:cs="Times New Roman"/>
                <w:color w:val="auto"/>
                <w:szCs w:val="22"/>
              </w:rPr>
              <w:t>—点声源在预测点产生的声压级，dB（A）；</w:t>
            </w:r>
          </w:p>
          <w:p w14:paraId="28003941">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L</w:t>
            </w:r>
            <w:r>
              <w:rPr>
                <w:rFonts w:hint="default" w:ascii="Times New Roman" w:hAnsi="Times New Roman" w:cs="Times New Roman"/>
                <w:color w:val="auto"/>
                <w:szCs w:val="22"/>
                <w:vertAlign w:val="subscript"/>
              </w:rPr>
              <w:t>1</w:t>
            </w:r>
            <w:r>
              <w:rPr>
                <w:rFonts w:hint="default" w:ascii="Times New Roman" w:hAnsi="Times New Roman" w:cs="Times New Roman"/>
                <w:color w:val="auto"/>
                <w:szCs w:val="22"/>
              </w:rPr>
              <w:t>—点声源在参考点产生的声压级，dB（A）；</w:t>
            </w:r>
          </w:p>
          <w:p w14:paraId="7CAECF46">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w:t>
            </w:r>
            <w:r>
              <w:rPr>
                <w:rFonts w:hint="default" w:ascii="Times New Roman" w:hAnsi="Times New Roman" w:cs="Times New Roman"/>
                <w:color w:val="auto"/>
                <w:szCs w:val="22"/>
                <w:vertAlign w:val="subscript"/>
              </w:rPr>
              <w:t>2</w:t>
            </w:r>
            <w:r>
              <w:rPr>
                <w:rFonts w:hint="default" w:ascii="Times New Roman" w:hAnsi="Times New Roman" w:cs="Times New Roman"/>
                <w:color w:val="auto"/>
                <w:szCs w:val="22"/>
              </w:rPr>
              <w:t>—预测点距声源的距离，m；</w:t>
            </w:r>
          </w:p>
          <w:p w14:paraId="2E16E7F7">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r</w:t>
            </w:r>
            <w:r>
              <w:rPr>
                <w:rFonts w:hint="default" w:ascii="Times New Roman" w:hAnsi="Times New Roman" w:cs="Times New Roman"/>
                <w:color w:val="auto"/>
                <w:szCs w:val="22"/>
                <w:vertAlign w:val="subscript"/>
              </w:rPr>
              <w:t>1</w:t>
            </w:r>
            <w:r>
              <w:rPr>
                <w:rFonts w:hint="default" w:ascii="Times New Roman" w:hAnsi="Times New Roman" w:cs="Times New Roman"/>
                <w:color w:val="auto"/>
                <w:szCs w:val="22"/>
              </w:rPr>
              <w:t>—参考点距声源的距离，m；</w:t>
            </w:r>
          </w:p>
          <w:p w14:paraId="7BFF913E">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ΔL—各种因素引起的衰减量(包括声屏障、空气吸收等引起的衰减量)，dB(A)。考虑设备采取减震、吸声等处理，效果取5dB(A)，车间及厂房隔声效果取 15dB(A)，故ΔL取值为20dB(A)。</w:t>
            </w:r>
          </w:p>
          <w:p w14:paraId="490B149A">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B、对两个以上多个声源同时存在时，其预测点总声压级采用下面公式：</w:t>
            </w:r>
          </w:p>
          <w:p w14:paraId="27314F92">
            <w:pPr>
              <w:jc w:val="center"/>
              <w:rPr>
                <w:rFonts w:hint="default" w:ascii="Times New Roman" w:hAnsi="Times New Roman" w:cs="Times New Roman"/>
                <w:color w:val="auto"/>
                <w:szCs w:val="22"/>
              </w:rPr>
            </w:pPr>
            <w:r>
              <w:rPr>
                <w:rFonts w:hint="default" w:ascii="Times New Roman" w:hAnsi="Times New Roman" w:cs="Times New Roman"/>
                <w:color w:val="auto"/>
                <w:position w:val="-14"/>
                <w:szCs w:val="22"/>
              </w:rPr>
              <w:object>
                <v:shape id="_x0000_i1035" o:spt="75" type="#_x0000_t75" style="height:20.1pt;width:110.1pt;" o:ole="t" filled="f" o:preferrelative="t" stroked="f" coordsize="21600,21600">
                  <v:path/>
                  <v:fill on="f" focussize="0,0"/>
                  <v:stroke on="f" joinstyle="miter"/>
                  <v:imagedata r:id="rId40" o:title=""/>
                  <o:lock v:ext="edit" aspectratio="t"/>
                  <w10:wrap type="none"/>
                  <w10:anchorlock/>
                </v:shape>
                <o:OLEObject Type="Embed" ProgID="Equation.KSEE3" ShapeID="_x0000_i1035" DrawAspect="Content" ObjectID="_1468075735" r:id="rId39">
                  <o:LockedField>false</o:LockedField>
                </o:OLEObject>
              </w:object>
            </w:r>
          </w:p>
          <w:p w14:paraId="5C0D2ACC">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式中：Leq—预测点的总等效声级，dB（A）；</w:t>
            </w:r>
          </w:p>
          <w:p w14:paraId="2942536A">
            <w:pPr>
              <w:ind w:firstLine="1200" w:firstLineChars="500"/>
              <w:rPr>
                <w:rFonts w:hint="default" w:ascii="Times New Roman" w:hAnsi="Times New Roman" w:cs="Times New Roman"/>
                <w:color w:val="auto"/>
                <w:szCs w:val="22"/>
              </w:rPr>
            </w:pPr>
            <w:r>
              <w:rPr>
                <w:rFonts w:hint="default" w:ascii="Times New Roman" w:hAnsi="Times New Roman" w:cs="Times New Roman"/>
                <w:color w:val="auto"/>
                <w:szCs w:val="22"/>
              </w:rPr>
              <w:t>L</w:t>
            </w:r>
            <w:r>
              <w:rPr>
                <w:rFonts w:hint="default" w:ascii="Times New Roman" w:hAnsi="Times New Roman" w:cs="Times New Roman"/>
                <w:color w:val="auto"/>
                <w:szCs w:val="22"/>
                <w:vertAlign w:val="subscript"/>
              </w:rPr>
              <w:t>i</w:t>
            </w:r>
            <w:r>
              <w:rPr>
                <w:rFonts w:hint="default" w:ascii="Times New Roman" w:hAnsi="Times New Roman" w:cs="Times New Roman"/>
                <w:color w:val="auto"/>
                <w:szCs w:val="22"/>
              </w:rPr>
              <w:t>—第i个声源对预测点的声级影响，dB（A）。</w:t>
            </w:r>
          </w:p>
          <w:p w14:paraId="3940DE5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（3）预测结果与分析</w:t>
            </w:r>
            <w:bookmarkEnd w:id="18"/>
            <w:bookmarkEnd w:id="19"/>
            <w:bookmarkEnd w:id="20"/>
            <w:bookmarkEnd w:id="21"/>
          </w:p>
          <w:p w14:paraId="25B3CAF7">
            <w:pPr>
              <w:jc w:val="center"/>
              <w:rPr>
                <w:rFonts w:hint="default" w:ascii="Times New Roman" w:hAnsi="Times New Roman" w:cs="Times New Roman"/>
                <w:color w:val="auto"/>
              </w:rPr>
            </w:pPr>
            <w:r>
              <w:rPr>
                <w:color w:val="auto"/>
              </w:rPr>
              <w:drawing>
                <wp:inline distT="0" distB="0" distL="114300" distR="114300">
                  <wp:extent cx="5313045" cy="6292850"/>
                  <wp:effectExtent l="0" t="0" r="1905" b="12700"/>
                  <wp:docPr id="16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28"/>
                          <pic:cNvPicPr>
                            <a:picLocks noChangeAspect="1"/>
                          </pic:cNvPicPr>
                        </pic:nvPicPr>
                        <pic:blipFill>
                          <a:blip r:embed="rId41"/>
                          <a:stretch>
                            <a:fillRect/>
                          </a:stretch>
                        </pic:blipFill>
                        <pic:spPr>
                          <a:xfrm>
                            <a:off x="0" y="0"/>
                            <a:ext cx="5313045" cy="6292850"/>
                          </a:xfrm>
                          <a:prstGeom prst="rect">
                            <a:avLst/>
                          </a:prstGeom>
                          <a:noFill/>
                          <a:ln>
                            <a:noFill/>
                          </a:ln>
                        </pic:spPr>
                      </pic:pic>
                    </a:graphicData>
                  </a:graphic>
                </wp:inline>
              </w:drawing>
            </w:r>
          </w:p>
          <w:p w14:paraId="0F6CE39B">
            <w:pPr>
              <w:spacing w:line="240" w:lineRule="auto"/>
              <w:jc w:val="center"/>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图6 噪声预测结果等值线图</w:t>
            </w:r>
          </w:p>
          <w:p w14:paraId="6395C672">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根据项目噪声源，经预测，项目厂界噪声值见下表。</w:t>
            </w:r>
          </w:p>
          <w:p w14:paraId="7B2F3422">
            <w:pPr>
              <w:wordWrap/>
              <w:spacing w:line="240" w:lineRule="auto"/>
              <w:jc w:val="center"/>
              <w:rPr>
                <w:rFonts w:hint="default" w:ascii="Times New Roman" w:hAnsi="Times New Roman" w:cs="Times New Roman"/>
                <w:b/>
                <w:bCs/>
                <w:color w:val="auto"/>
                <w:kern w:val="0"/>
                <w:szCs w:val="22"/>
              </w:rPr>
            </w:pPr>
            <w:r>
              <w:rPr>
                <w:rFonts w:hint="default" w:ascii="Times New Roman" w:hAnsi="Times New Roman" w:cs="Times New Roman"/>
                <w:b/>
                <w:bCs/>
                <w:color w:val="auto"/>
                <w:kern w:val="0"/>
                <w:szCs w:val="22"/>
              </w:rPr>
              <w:t>表4</w:t>
            </w:r>
            <w:r>
              <w:rPr>
                <w:rFonts w:hint="default" w:ascii="Times New Roman" w:hAnsi="Times New Roman" w:cs="Times New Roman"/>
                <w:b/>
                <w:bCs/>
                <w:color w:val="auto"/>
                <w:kern w:val="0"/>
                <w:szCs w:val="22"/>
                <w:lang w:val="en-US" w:eastAsia="zh-CN"/>
              </w:rPr>
              <w:t>-21</w:t>
            </w:r>
            <w:r>
              <w:rPr>
                <w:rFonts w:hint="default" w:ascii="Times New Roman" w:hAnsi="Times New Roman" w:cs="Times New Roman"/>
                <w:b/>
                <w:bCs/>
                <w:color w:val="auto"/>
                <w:kern w:val="0"/>
                <w:szCs w:val="22"/>
              </w:rPr>
              <w:t xml:space="preserve"> 项目厂界噪声值  （单位：Leq dB(A)）</w:t>
            </w:r>
          </w:p>
          <w:tbl>
            <w:tblPr>
              <w:tblStyle w:val="22"/>
              <w:tblW w:w="8399" w:type="dxa"/>
              <w:jc w:val="center"/>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493"/>
              <w:gridCol w:w="1260"/>
              <w:gridCol w:w="1260"/>
              <w:gridCol w:w="1256"/>
              <w:gridCol w:w="1130"/>
            </w:tblGrid>
            <w:tr w14:paraId="0B106917">
              <w:tblPrEx>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13" w:hRule="atLeast"/>
                <w:jc w:val="center"/>
              </w:trPr>
              <w:tc>
                <w:tcPr>
                  <w:tcW w:w="2079" w:type="pct"/>
                  <w:vAlign w:val="center"/>
                </w:tcPr>
                <w:p w14:paraId="27BEBCB8">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方位</w:t>
                  </w:r>
                </w:p>
              </w:tc>
              <w:tc>
                <w:tcPr>
                  <w:tcW w:w="750" w:type="pct"/>
                  <w:vAlign w:val="center"/>
                </w:tcPr>
                <w:p w14:paraId="1853CD18">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东面</w:t>
                  </w:r>
                </w:p>
              </w:tc>
              <w:tc>
                <w:tcPr>
                  <w:tcW w:w="750" w:type="pct"/>
                  <w:vAlign w:val="center"/>
                </w:tcPr>
                <w:p w14:paraId="4F11BACB">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南面</w:t>
                  </w:r>
                </w:p>
              </w:tc>
              <w:tc>
                <w:tcPr>
                  <w:tcW w:w="747" w:type="pct"/>
                  <w:vAlign w:val="center"/>
                </w:tcPr>
                <w:p w14:paraId="74B9811D">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西面</w:t>
                  </w:r>
                </w:p>
              </w:tc>
              <w:tc>
                <w:tcPr>
                  <w:tcW w:w="672" w:type="pct"/>
                  <w:vAlign w:val="center"/>
                </w:tcPr>
                <w:p w14:paraId="6D10BF18">
                  <w:pPr>
                    <w:wordWrap/>
                    <w:spacing w:line="240" w:lineRule="auto"/>
                    <w:jc w:val="center"/>
                    <w:rPr>
                      <w:rFonts w:hint="default" w:ascii="Times New Roman" w:hAnsi="Times New Roman" w:cs="Times New Roman"/>
                      <w:b/>
                      <w:color w:val="auto"/>
                      <w:sz w:val="21"/>
                      <w:szCs w:val="22"/>
                    </w:rPr>
                  </w:pPr>
                  <w:r>
                    <w:rPr>
                      <w:rFonts w:hint="default" w:ascii="Times New Roman" w:hAnsi="Times New Roman" w:cs="Times New Roman"/>
                      <w:b/>
                      <w:color w:val="auto"/>
                      <w:sz w:val="21"/>
                      <w:szCs w:val="22"/>
                    </w:rPr>
                    <w:t>北面</w:t>
                  </w:r>
                </w:p>
              </w:tc>
            </w:tr>
            <w:tr w14:paraId="5659DB6E">
              <w:tblPrEx>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13" w:hRule="atLeast"/>
                <w:jc w:val="center"/>
              </w:trPr>
              <w:tc>
                <w:tcPr>
                  <w:tcW w:w="2079" w:type="pct"/>
                  <w:vAlign w:val="center"/>
                </w:tcPr>
                <w:p w14:paraId="5E95AC74">
                  <w:pPr>
                    <w:wordWrap/>
                    <w:spacing w:line="240" w:lineRule="auto"/>
                    <w:jc w:val="center"/>
                    <w:rPr>
                      <w:rFonts w:hint="default" w:ascii="Times New Roman" w:hAnsi="Times New Roman" w:cs="Times New Roman"/>
                      <w:color w:val="auto"/>
                      <w:sz w:val="21"/>
                      <w:szCs w:val="22"/>
                    </w:rPr>
                  </w:pPr>
                  <w:r>
                    <w:rPr>
                      <w:rFonts w:hint="default" w:ascii="Times New Roman" w:hAnsi="Times New Roman" w:cs="Times New Roman"/>
                      <w:color w:val="auto"/>
                      <w:sz w:val="21"/>
                      <w:szCs w:val="22"/>
                    </w:rPr>
                    <w:t>车间噪声贡献值（厂界外1m处）</w:t>
                  </w:r>
                </w:p>
              </w:tc>
              <w:tc>
                <w:tcPr>
                  <w:tcW w:w="750" w:type="pct"/>
                  <w:vAlign w:val="center"/>
                </w:tcPr>
                <w:p w14:paraId="272B7C3A">
                  <w:pPr>
                    <w:wordWrap/>
                    <w:spacing w:line="240" w:lineRule="auto"/>
                    <w:jc w:val="center"/>
                    <w:rPr>
                      <w:rFonts w:hint="default" w:ascii="Times New Roman" w:hAnsi="Times New Roman" w:eastAsia="宋体" w:cs="Times New Roman"/>
                      <w:color w:val="auto"/>
                      <w:sz w:val="21"/>
                      <w:szCs w:val="22"/>
                      <w:lang w:val="en-US" w:eastAsia="zh-CN"/>
                    </w:rPr>
                  </w:pPr>
                  <w:r>
                    <w:rPr>
                      <w:rFonts w:hint="eastAsia" w:cs="Times New Roman"/>
                      <w:color w:val="auto"/>
                      <w:sz w:val="21"/>
                      <w:szCs w:val="22"/>
                      <w:lang w:val="en-US" w:eastAsia="zh-CN"/>
                    </w:rPr>
                    <w:t>3</w:t>
                  </w:r>
                  <w:r>
                    <w:rPr>
                      <w:rFonts w:hint="default" w:ascii="Times New Roman" w:hAnsi="Times New Roman" w:cs="Times New Roman"/>
                      <w:color w:val="auto"/>
                      <w:sz w:val="21"/>
                      <w:szCs w:val="22"/>
                      <w:lang w:val="en-US" w:eastAsia="zh-CN"/>
                    </w:rPr>
                    <w:t>9</w:t>
                  </w:r>
                  <w:r>
                    <w:rPr>
                      <w:rFonts w:hint="eastAsia" w:cs="Times New Roman"/>
                      <w:color w:val="auto"/>
                      <w:sz w:val="21"/>
                      <w:szCs w:val="22"/>
                      <w:lang w:val="en-US" w:eastAsia="zh-CN"/>
                    </w:rPr>
                    <w:t>.15</w:t>
                  </w:r>
                </w:p>
              </w:tc>
              <w:tc>
                <w:tcPr>
                  <w:tcW w:w="750" w:type="pct"/>
                  <w:vAlign w:val="center"/>
                </w:tcPr>
                <w:p w14:paraId="78C5961D">
                  <w:pPr>
                    <w:wordWrap/>
                    <w:spacing w:line="240" w:lineRule="auto"/>
                    <w:jc w:val="center"/>
                    <w:rPr>
                      <w:rFonts w:hint="default" w:ascii="Times New Roman" w:hAnsi="Times New Roman" w:eastAsia="宋体" w:cs="Times New Roman"/>
                      <w:color w:val="auto"/>
                      <w:sz w:val="21"/>
                      <w:szCs w:val="22"/>
                      <w:lang w:val="en-US" w:eastAsia="zh-CN"/>
                    </w:rPr>
                  </w:pPr>
                  <w:r>
                    <w:rPr>
                      <w:rFonts w:hint="default" w:ascii="Times New Roman" w:hAnsi="Times New Roman" w:eastAsia="宋体" w:cs="Times New Roman"/>
                      <w:color w:val="auto"/>
                      <w:sz w:val="21"/>
                      <w:szCs w:val="22"/>
                      <w:lang w:val="en-US" w:eastAsia="zh-CN"/>
                    </w:rPr>
                    <w:t>43</w:t>
                  </w:r>
                </w:p>
              </w:tc>
              <w:tc>
                <w:tcPr>
                  <w:tcW w:w="747" w:type="pct"/>
                  <w:vAlign w:val="center"/>
                </w:tcPr>
                <w:p w14:paraId="36540342">
                  <w:pPr>
                    <w:wordWrap/>
                    <w:spacing w:line="240" w:lineRule="auto"/>
                    <w:jc w:val="center"/>
                    <w:rPr>
                      <w:rFonts w:hint="default" w:ascii="Times New Roman" w:hAnsi="Times New Roman" w:eastAsia="宋体" w:cs="Times New Roman"/>
                      <w:color w:val="auto"/>
                      <w:sz w:val="21"/>
                      <w:szCs w:val="22"/>
                      <w:lang w:val="en-US" w:eastAsia="zh-CN"/>
                    </w:rPr>
                  </w:pPr>
                  <w:r>
                    <w:rPr>
                      <w:rFonts w:hint="default" w:ascii="Times New Roman" w:hAnsi="Times New Roman" w:eastAsia="宋体" w:cs="Times New Roman"/>
                      <w:color w:val="auto"/>
                      <w:sz w:val="21"/>
                      <w:szCs w:val="22"/>
                      <w:lang w:val="en-US" w:eastAsia="zh-CN"/>
                    </w:rPr>
                    <w:t>4</w:t>
                  </w:r>
                  <w:r>
                    <w:rPr>
                      <w:rFonts w:hint="eastAsia" w:cs="Times New Roman"/>
                      <w:color w:val="auto"/>
                      <w:sz w:val="21"/>
                      <w:szCs w:val="22"/>
                      <w:lang w:val="en-US" w:eastAsia="zh-CN"/>
                    </w:rPr>
                    <w:t>9.5</w:t>
                  </w:r>
                </w:p>
              </w:tc>
              <w:tc>
                <w:tcPr>
                  <w:tcW w:w="672" w:type="pct"/>
                  <w:vAlign w:val="center"/>
                </w:tcPr>
                <w:p w14:paraId="505FE319">
                  <w:pPr>
                    <w:wordWrap/>
                    <w:spacing w:line="240" w:lineRule="auto"/>
                    <w:jc w:val="center"/>
                    <w:rPr>
                      <w:rFonts w:hint="default" w:ascii="Times New Roman" w:hAnsi="Times New Roman" w:eastAsia="宋体" w:cs="Times New Roman"/>
                      <w:color w:val="auto"/>
                      <w:sz w:val="21"/>
                      <w:szCs w:val="22"/>
                      <w:lang w:val="en-US" w:eastAsia="zh-CN"/>
                    </w:rPr>
                  </w:pPr>
                  <w:r>
                    <w:rPr>
                      <w:rFonts w:hint="eastAsia" w:cs="Times New Roman"/>
                      <w:color w:val="auto"/>
                      <w:sz w:val="21"/>
                      <w:szCs w:val="22"/>
                      <w:lang w:val="en-US" w:eastAsia="zh-CN"/>
                    </w:rPr>
                    <w:t>29.54</w:t>
                  </w:r>
                </w:p>
              </w:tc>
            </w:tr>
            <w:tr w14:paraId="7320528E">
              <w:tblPrEx>
                <w:tblBorders>
                  <w:top w:val="single" w:color="auto" w:sz="6" w:space="0"/>
                  <w:left w:val="single" w:color="auto" w:sz="8" w:space="0"/>
                  <w:bottom w:val="single" w:color="auto" w:sz="6"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2" w:hRule="atLeast"/>
                <w:jc w:val="center"/>
              </w:trPr>
              <w:tc>
                <w:tcPr>
                  <w:tcW w:w="2079" w:type="pct"/>
                  <w:vAlign w:val="center"/>
                </w:tcPr>
                <w:p w14:paraId="7913CFA1">
                  <w:pPr>
                    <w:wordWrap/>
                    <w:spacing w:line="240" w:lineRule="auto"/>
                    <w:jc w:val="center"/>
                    <w:rPr>
                      <w:rFonts w:hint="default" w:ascii="Times New Roman" w:hAnsi="Times New Roman" w:cs="Times New Roman"/>
                      <w:color w:val="auto"/>
                      <w:sz w:val="21"/>
                      <w:szCs w:val="22"/>
                    </w:rPr>
                  </w:pPr>
                  <w:r>
                    <w:rPr>
                      <w:rFonts w:hint="default" w:ascii="Times New Roman" w:hAnsi="Times New Roman" w:cs="Times New Roman"/>
                      <w:color w:val="auto"/>
                      <w:sz w:val="21"/>
                      <w:szCs w:val="22"/>
                    </w:rPr>
                    <w:t>执行标准</w:t>
                  </w:r>
                </w:p>
              </w:tc>
              <w:tc>
                <w:tcPr>
                  <w:tcW w:w="2920" w:type="pct"/>
                  <w:gridSpan w:val="4"/>
                  <w:vAlign w:val="center"/>
                </w:tcPr>
                <w:p w14:paraId="03153D94">
                  <w:pPr>
                    <w:wordWrap/>
                    <w:spacing w:line="240" w:lineRule="auto"/>
                    <w:jc w:val="center"/>
                    <w:rPr>
                      <w:rFonts w:hint="default" w:ascii="Times New Roman" w:hAnsi="Times New Roman" w:cs="Times New Roman"/>
                      <w:color w:val="auto"/>
                      <w:sz w:val="21"/>
                      <w:szCs w:val="22"/>
                    </w:rPr>
                  </w:pPr>
                  <w:r>
                    <w:rPr>
                      <w:rFonts w:hint="default" w:ascii="Times New Roman" w:hAnsi="Times New Roman" w:cs="Times New Roman"/>
                      <w:color w:val="auto"/>
                      <w:sz w:val="21"/>
                      <w:szCs w:val="22"/>
                    </w:rPr>
                    <w:t>昼间</w:t>
                  </w:r>
                  <w:r>
                    <w:rPr>
                      <w:rFonts w:hint="default" w:ascii="Times New Roman" w:hAnsi="Times New Roman" w:cs="Times New Roman"/>
                      <w:bCs/>
                      <w:color w:val="auto"/>
                      <w:sz w:val="21"/>
                      <w:szCs w:val="21"/>
                    </w:rPr>
                    <w:t>≤6</w:t>
                  </w:r>
                  <w:r>
                    <w:rPr>
                      <w:rFonts w:hint="default" w:ascii="Times New Roman" w:hAnsi="Times New Roman" w:cs="Times New Roman"/>
                      <w:bCs/>
                      <w:color w:val="auto"/>
                      <w:sz w:val="21"/>
                      <w:szCs w:val="21"/>
                      <w:lang w:val="en-US" w:eastAsia="zh-CN"/>
                    </w:rPr>
                    <w:t>0</w:t>
                  </w:r>
                  <w:r>
                    <w:rPr>
                      <w:rFonts w:hint="default" w:ascii="Times New Roman" w:hAnsi="Times New Roman" w:cs="Times New Roman"/>
                      <w:bCs/>
                      <w:color w:val="auto"/>
                      <w:sz w:val="21"/>
                      <w:szCs w:val="21"/>
                    </w:rPr>
                    <w:t>dB(A)；</w:t>
                  </w:r>
                  <w:r>
                    <w:rPr>
                      <w:rFonts w:hint="default" w:ascii="Times New Roman" w:hAnsi="Times New Roman" w:cs="Times New Roman"/>
                      <w:bCs/>
                      <w:color w:val="auto"/>
                      <w:sz w:val="21"/>
                      <w:szCs w:val="21"/>
                      <w:lang w:val="en-US" w:eastAsia="zh-CN"/>
                    </w:rPr>
                    <w:t>夜</w:t>
                  </w:r>
                  <w:r>
                    <w:rPr>
                      <w:rFonts w:hint="default" w:ascii="Times New Roman" w:hAnsi="Times New Roman" w:cs="Times New Roman"/>
                      <w:color w:val="auto"/>
                      <w:sz w:val="21"/>
                      <w:szCs w:val="22"/>
                    </w:rPr>
                    <w:t>间</w:t>
                  </w:r>
                  <w:r>
                    <w:rPr>
                      <w:rFonts w:hint="default" w:ascii="Times New Roman" w:hAnsi="Times New Roman" w:cs="Times New Roman"/>
                      <w:bCs/>
                      <w:color w:val="auto"/>
                      <w:sz w:val="21"/>
                      <w:szCs w:val="21"/>
                    </w:rPr>
                    <w:t>≤</w:t>
                  </w:r>
                  <w:r>
                    <w:rPr>
                      <w:rFonts w:hint="default" w:ascii="Times New Roman" w:hAnsi="Times New Roman" w:cs="Times New Roman"/>
                      <w:bCs/>
                      <w:color w:val="auto"/>
                      <w:sz w:val="21"/>
                      <w:szCs w:val="21"/>
                      <w:lang w:val="en-US" w:eastAsia="zh-CN"/>
                    </w:rPr>
                    <w:t>50</w:t>
                  </w:r>
                  <w:r>
                    <w:rPr>
                      <w:rFonts w:hint="default" w:ascii="Times New Roman" w:hAnsi="Times New Roman" w:cs="Times New Roman"/>
                      <w:bCs/>
                      <w:color w:val="auto"/>
                      <w:sz w:val="21"/>
                      <w:szCs w:val="21"/>
                    </w:rPr>
                    <w:t>dB(A)</w:t>
                  </w:r>
                </w:p>
              </w:tc>
            </w:tr>
          </w:tbl>
          <w:p w14:paraId="666F5E75">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经过上述措施处理后，项目各边界噪声排放达到《工业企业厂界环境噪声排放标准》（GB12348-2008）中的</w:t>
            </w:r>
            <w:r>
              <w:rPr>
                <w:rFonts w:hint="default" w:ascii="Times New Roman" w:hAnsi="Times New Roman" w:cs="Times New Roman"/>
                <w:color w:val="auto"/>
                <w:szCs w:val="22"/>
                <w:lang w:val="en-US" w:eastAsia="zh-CN"/>
              </w:rPr>
              <w:t>2</w:t>
            </w:r>
            <w:r>
              <w:rPr>
                <w:rFonts w:hint="default" w:ascii="Times New Roman" w:hAnsi="Times New Roman" w:cs="Times New Roman"/>
                <w:color w:val="auto"/>
                <w:szCs w:val="22"/>
              </w:rPr>
              <w:t>类标准，项目运营期间所产生的噪声对厂界周围的声环境不会造成明显影响。</w:t>
            </w:r>
          </w:p>
          <w:p w14:paraId="55C97915">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（3）监测要求</w:t>
            </w:r>
          </w:p>
          <w:p w14:paraId="65680663">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w:t>
            </w:r>
            <w:r>
              <w:rPr>
                <w:rFonts w:hint="eastAsia" w:cs="Times New Roman"/>
                <w:color w:val="auto"/>
                <w:lang w:eastAsia="zh-CN"/>
              </w:rPr>
              <w:t>从事电子器件和模具</w:t>
            </w:r>
            <w:r>
              <w:rPr>
                <w:rFonts w:hint="default" w:ascii="Times New Roman" w:hAnsi="Times New Roman" w:cs="Times New Roman"/>
                <w:color w:val="auto"/>
              </w:rPr>
              <w:t>的生产，属于</w:t>
            </w:r>
            <w:r>
              <w:rPr>
                <w:rFonts w:hint="eastAsia" w:cs="Times New Roman"/>
                <w:color w:val="auto"/>
                <w:lang w:eastAsia="zh-CN"/>
              </w:rPr>
              <w:t>C3979 其他电子器件制造</w:t>
            </w:r>
            <w:r>
              <w:rPr>
                <w:rFonts w:hint="default" w:ascii="Times New Roman" w:hAnsi="Times New Roman" w:cs="Times New Roman"/>
                <w:color w:val="auto"/>
              </w:rPr>
              <w:t>，</w:t>
            </w:r>
            <w:r>
              <w:rPr>
                <w:rFonts w:hint="default" w:ascii="Times New Roman" w:hAnsi="Times New Roman" w:cs="Times New Roman"/>
                <w:color w:val="auto"/>
                <w:szCs w:val="22"/>
              </w:rPr>
              <w:t xml:space="preserve">项目以《排污单位自行监测技术指南 </w:t>
            </w:r>
            <w:r>
              <w:rPr>
                <w:rFonts w:hint="default" w:ascii="Times New Roman" w:hAnsi="Times New Roman" w:cs="Times New Roman"/>
                <w:color w:val="auto"/>
                <w:szCs w:val="22"/>
                <w:lang w:val="en-US" w:eastAsia="zh-CN"/>
              </w:rPr>
              <w:t>橡胶和塑料制品</w:t>
            </w:r>
            <w:r>
              <w:rPr>
                <w:rFonts w:hint="default" w:ascii="Times New Roman" w:hAnsi="Times New Roman" w:cs="Times New Roman"/>
                <w:color w:val="auto"/>
                <w:szCs w:val="22"/>
              </w:rPr>
              <w:t xml:space="preserve">》（HJ </w:t>
            </w:r>
            <w:r>
              <w:rPr>
                <w:rFonts w:hint="default" w:ascii="Times New Roman" w:hAnsi="Times New Roman" w:cs="Times New Roman"/>
                <w:color w:val="auto"/>
                <w:szCs w:val="22"/>
                <w:lang w:val="en-US" w:eastAsia="zh-CN"/>
              </w:rPr>
              <w:t>1207-2021</w:t>
            </w:r>
            <w:r>
              <w:rPr>
                <w:rFonts w:hint="default" w:ascii="Times New Roman" w:hAnsi="Times New Roman" w:cs="Times New Roman"/>
                <w:color w:val="auto"/>
                <w:szCs w:val="22"/>
              </w:rPr>
              <w:t>）</w:t>
            </w:r>
            <w:r>
              <w:rPr>
                <w:rFonts w:hint="default" w:ascii="Times New Roman" w:hAnsi="Times New Roman" w:cs="Times New Roman"/>
                <w:color w:val="auto"/>
              </w:rPr>
              <w:t>作为依照，制定以下监测计划。</w:t>
            </w:r>
          </w:p>
          <w:p w14:paraId="3564A4DE">
            <w:pPr>
              <w:wordWrap/>
              <w:spacing w:line="240" w:lineRule="auto"/>
              <w:jc w:val="center"/>
              <w:rPr>
                <w:rFonts w:hint="default" w:ascii="Times New Roman" w:hAnsi="Times New Roman" w:cs="Times New Roman"/>
                <w:b/>
                <w:color w:val="auto"/>
              </w:rPr>
            </w:pPr>
            <w:r>
              <w:rPr>
                <w:rFonts w:hint="default" w:ascii="Times New Roman" w:hAnsi="Times New Roman" w:cs="Times New Roman"/>
                <w:b/>
                <w:color w:val="auto"/>
                <w:kern w:val="0"/>
                <w:lang w:bidi="ar"/>
              </w:rPr>
              <w:t>表</w:t>
            </w:r>
            <w:r>
              <w:rPr>
                <w:rFonts w:hint="default" w:ascii="Times New Roman" w:hAnsi="Times New Roman" w:cs="Times New Roman"/>
                <w:b/>
                <w:color w:val="auto"/>
                <w:kern w:val="0"/>
                <w:lang w:val="en-US" w:eastAsia="zh-CN" w:bidi="ar"/>
              </w:rPr>
              <w:t>4-22</w:t>
            </w:r>
            <w:r>
              <w:rPr>
                <w:rFonts w:hint="default" w:ascii="Times New Roman" w:hAnsi="Times New Roman" w:cs="Times New Roman"/>
                <w:b/>
                <w:color w:val="auto"/>
                <w:kern w:val="0"/>
                <w:lang w:bidi="ar"/>
              </w:rPr>
              <w:t xml:space="preserve"> 污染源监测计划表</w:t>
            </w:r>
          </w:p>
          <w:tbl>
            <w:tblPr>
              <w:tblStyle w:val="22"/>
              <w:tblW w:w="8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152"/>
              <w:gridCol w:w="1822"/>
              <w:gridCol w:w="988"/>
              <w:gridCol w:w="3623"/>
            </w:tblGrid>
            <w:tr w14:paraId="38215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blHeader/>
                <w:jc w:val="center"/>
              </w:trPr>
              <w:tc>
                <w:tcPr>
                  <w:tcW w:w="874" w:type="dxa"/>
                  <w:tcBorders>
                    <w:top w:val="single" w:color="auto" w:sz="4" w:space="0"/>
                    <w:left w:val="single" w:color="auto" w:sz="4" w:space="0"/>
                    <w:bottom w:val="single" w:color="auto" w:sz="4" w:space="0"/>
                    <w:right w:val="single" w:color="auto" w:sz="4" w:space="0"/>
                  </w:tcBorders>
                  <w:vAlign w:val="center"/>
                </w:tcPr>
                <w:p w14:paraId="51A9DC64">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监测要素</w:t>
                  </w:r>
                </w:p>
              </w:tc>
              <w:tc>
                <w:tcPr>
                  <w:tcW w:w="1152" w:type="dxa"/>
                  <w:tcBorders>
                    <w:top w:val="single" w:color="auto" w:sz="4" w:space="0"/>
                    <w:left w:val="single" w:color="auto" w:sz="4" w:space="0"/>
                    <w:bottom w:val="single" w:color="auto" w:sz="4" w:space="0"/>
                    <w:right w:val="single" w:color="auto" w:sz="4" w:space="0"/>
                  </w:tcBorders>
                  <w:vAlign w:val="center"/>
                </w:tcPr>
                <w:p w14:paraId="1F754F7A">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监测点位</w:t>
                  </w:r>
                </w:p>
              </w:tc>
              <w:tc>
                <w:tcPr>
                  <w:tcW w:w="1822" w:type="dxa"/>
                  <w:tcBorders>
                    <w:top w:val="single" w:color="auto" w:sz="4" w:space="0"/>
                    <w:left w:val="single" w:color="auto" w:sz="4" w:space="0"/>
                    <w:bottom w:val="single" w:color="auto" w:sz="4" w:space="0"/>
                    <w:right w:val="single" w:color="auto" w:sz="4" w:space="0"/>
                  </w:tcBorders>
                  <w:vAlign w:val="center"/>
                </w:tcPr>
                <w:p w14:paraId="7EC2791F">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监测指标</w:t>
                  </w:r>
                </w:p>
              </w:tc>
              <w:tc>
                <w:tcPr>
                  <w:tcW w:w="988" w:type="dxa"/>
                  <w:tcBorders>
                    <w:top w:val="single" w:color="auto" w:sz="4" w:space="0"/>
                    <w:left w:val="single" w:color="auto" w:sz="4" w:space="0"/>
                    <w:bottom w:val="single" w:color="auto" w:sz="4" w:space="0"/>
                    <w:right w:val="single" w:color="auto" w:sz="4" w:space="0"/>
                  </w:tcBorders>
                  <w:vAlign w:val="center"/>
                </w:tcPr>
                <w:p w14:paraId="1B45F6DF">
                  <w:pPr>
                    <w:wordWrap/>
                    <w:spacing w:line="240" w:lineRule="auto"/>
                    <w:ind w:left="-120" w:leftChars="-50" w:right="-120" w:rightChars="-5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lang w:bidi="ar"/>
                    </w:rPr>
                    <w:t>监测频率</w:t>
                  </w:r>
                </w:p>
              </w:tc>
              <w:tc>
                <w:tcPr>
                  <w:tcW w:w="3623" w:type="dxa"/>
                  <w:tcBorders>
                    <w:top w:val="single" w:color="auto" w:sz="4" w:space="0"/>
                    <w:left w:val="single" w:color="auto" w:sz="4" w:space="0"/>
                    <w:bottom w:val="single" w:color="auto" w:sz="4" w:space="0"/>
                    <w:right w:val="single" w:color="auto" w:sz="4" w:space="0"/>
                  </w:tcBorders>
                  <w:vAlign w:val="center"/>
                </w:tcPr>
                <w:p w14:paraId="48E6AB61">
                  <w:pPr>
                    <w:wordWrap/>
                    <w:spacing w:line="240" w:lineRule="auto"/>
                    <w:ind w:left="-120" w:leftChars="-50" w:right="-120" w:rightChars="-50"/>
                    <w:jc w:val="center"/>
                    <w:rPr>
                      <w:rFonts w:hint="default" w:ascii="Times New Roman" w:hAnsi="Times New Roman" w:cs="Times New Roman"/>
                      <w:b/>
                      <w:color w:val="auto"/>
                      <w:kern w:val="0"/>
                      <w:sz w:val="21"/>
                      <w:szCs w:val="21"/>
                      <w:lang w:bidi="ar"/>
                    </w:rPr>
                  </w:pPr>
                  <w:r>
                    <w:rPr>
                      <w:rFonts w:hint="default" w:ascii="Times New Roman" w:hAnsi="Times New Roman" w:cs="Times New Roman"/>
                      <w:b/>
                      <w:color w:val="auto"/>
                      <w:kern w:val="0"/>
                      <w:sz w:val="21"/>
                      <w:szCs w:val="21"/>
                      <w:lang w:bidi="ar"/>
                    </w:rPr>
                    <w:t>执行排放标准</w:t>
                  </w:r>
                </w:p>
              </w:tc>
            </w:tr>
            <w:tr w14:paraId="1BA30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4" w:type="dxa"/>
                  <w:tcBorders>
                    <w:top w:val="single" w:color="auto" w:sz="4" w:space="0"/>
                    <w:left w:val="single" w:color="auto" w:sz="4" w:space="0"/>
                    <w:bottom w:val="single" w:color="auto" w:sz="4" w:space="0"/>
                    <w:right w:val="single" w:color="auto" w:sz="4" w:space="0"/>
                  </w:tcBorders>
                  <w:vAlign w:val="center"/>
                </w:tcPr>
                <w:p w14:paraId="1AC8A39A">
                  <w:pPr>
                    <w:wordWrap/>
                    <w:spacing w:line="240" w:lineRule="auto"/>
                    <w:ind w:left="-120" w:leftChars="-50" w:right="-120" w:rightChars="-5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噪声</w:t>
                  </w:r>
                </w:p>
              </w:tc>
              <w:tc>
                <w:tcPr>
                  <w:tcW w:w="1152" w:type="dxa"/>
                  <w:tcBorders>
                    <w:top w:val="single" w:color="auto" w:sz="4" w:space="0"/>
                    <w:left w:val="single" w:color="auto" w:sz="4" w:space="0"/>
                    <w:bottom w:val="single" w:color="auto" w:sz="4" w:space="0"/>
                    <w:right w:val="single" w:color="auto" w:sz="4" w:space="0"/>
                  </w:tcBorders>
                  <w:vAlign w:val="center"/>
                </w:tcPr>
                <w:p w14:paraId="0A28274B">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厂界四周</w:t>
                  </w:r>
                </w:p>
              </w:tc>
              <w:tc>
                <w:tcPr>
                  <w:tcW w:w="1822" w:type="dxa"/>
                  <w:tcBorders>
                    <w:top w:val="single" w:color="auto" w:sz="4" w:space="0"/>
                    <w:left w:val="single" w:color="auto" w:sz="4" w:space="0"/>
                    <w:bottom w:val="single" w:color="auto" w:sz="4" w:space="0"/>
                    <w:right w:val="single" w:color="auto" w:sz="4" w:space="0"/>
                  </w:tcBorders>
                  <w:vAlign w:val="center"/>
                </w:tcPr>
                <w:p w14:paraId="32E38202">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等效连续A声级</w:t>
                  </w:r>
                </w:p>
              </w:tc>
              <w:tc>
                <w:tcPr>
                  <w:tcW w:w="988" w:type="dxa"/>
                  <w:tcBorders>
                    <w:top w:val="single" w:color="auto" w:sz="4" w:space="0"/>
                    <w:left w:val="single" w:color="auto" w:sz="4" w:space="0"/>
                    <w:bottom w:val="single" w:color="auto" w:sz="4" w:space="0"/>
                    <w:right w:val="single" w:color="auto" w:sz="4" w:space="0"/>
                  </w:tcBorders>
                  <w:vAlign w:val="center"/>
                </w:tcPr>
                <w:p w14:paraId="26D8960B">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1次/季</w:t>
                  </w:r>
                </w:p>
              </w:tc>
              <w:tc>
                <w:tcPr>
                  <w:tcW w:w="3623" w:type="dxa"/>
                  <w:tcBorders>
                    <w:top w:val="single" w:color="auto" w:sz="4" w:space="0"/>
                    <w:left w:val="single" w:color="auto" w:sz="4" w:space="0"/>
                    <w:bottom w:val="single" w:color="auto" w:sz="4" w:space="0"/>
                    <w:right w:val="single" w:color="auto" w:sz="4" w:space="0"/>
                  </w:tcBorders>
                  <w:vAlign w:val="center"/>
                </w:tcPr>
                <w:p w14:paraId="58F07F1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《工业企业厂界环境噪声排放标准》（GB12348-2008）中的</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类标准</w:t>
                  </w:r>
                </w:p>
              </w:tc>
            </w:tr>
            <w:tr w14:paraId="5CFBD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459" w:type="dxa"/>
                  <w:gridSpan w:val="5"/>
                  <w:tcBorders>
                    <w:top w:val="single" w:color="auto" w:sz="4" w:space="0"/>
                    <w:left w:val="single" w:color="auto" w:sz="4" w:space="0"/>
                    <w:right w:val="single" w:color="auto" w:sz="4" w:space="0"/>
                  </w:tcBorders>
                  <w:vAlign w:val="center"/>
                </w:tcPr>
                <w:p w14:paraId="232D1EC3">
                  <w:pPr>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注：项目夜间不生产，故无需进行夜间噪声监测</w:t>
                  </w:r>
                </w:p>
              </w:tc>
            </w:tr>
          </w:tbl>
          <w:p w14:paraId="75C7C8BD">
            <w:pPr>
              <w:rPr>
                <w:rFonts w:hint="default" w:ascii="Times New Roman" w:hAnsi="Times New Roman" w:cs="Times New Roman"/>
                <w:b/>
                <w:bCs/>
                <w:color w:val="auto"/>
                <w:szCs w:val="22"/>
              </w:rPr>
            </w:pPr>
            <w:r>
              <w:rPr>
                <w:rFonts w:hint="default" w:ascii="Times New Roman" w:hAnsi="Times New Roman" w:cs="Times New Roman"/>
                <w:b/>
                <w:bCs/>
                <w:color w:val="auto"/>
                <w:szCs w:val="22"/>
              </w:rPr>
              <w:t>4、固体废物</w:t>
            </w:r>
          </w:p>
          <w:p w14:paraId="1CCF0CCE">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（1）固体废物产生情况</w:t>
            </w:r>
          </w:p>
          <w:p w14:paraId="03961C19">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项目运营期会产生一般固体废物、危险废物、生活垃圾。</w:t>
            </w:r>
          </w:p>
          <w:p w14:paraId="1D8BAEAE">
            <w:pPr>
              <w:ind w:firstLine="482" w:firstLineChars="200"/>
              <w:rPr>
                <w:rFonts w:hint="default" w:ascii="Times New Roman" w:hAnsi="Times New Roman" w:cs="Times New Roman"/>
                <w:b/>
                <w:bCs/>
                <w:color w:val="auto"/>
                <w:szCs w:val="20"/>
              </w:rPr>
            </w:pPr>
            <w:r>
              <w:rPr>
                <w:rFonts w:hint="default" w:ascii="Times New Roman" w:hAnsi="Times New Roman" w:cs="Times New Roman"/>
                <w:b/>
                <w:bCs/>
                <w:color w:val="auto"/>
                <w:szCs w:val="20"/>
              </w:rPr>
              <w:t>1）一般工业固体废物</w:t>
            </w:r>
          </w:p>
          <w:p w14:paraId="74FED66B">
            <w:pPr>
              <w:ind w:firstLine="482" w:firstLineChars="200"/>
              <w:rPr>
                <w:rFonts w:hint="default" w:ascii="Times New Roman" w:hAnsi="Times New Roman" w:cs="Times New Roman"/>
                <w:b/>
                <w:bCs/>
                <w:color w:val="auto"/>
                <w:szCs w:val="22"/>
                <w:lang w:val="en-US"/>
              </w:rPr>
            </w:pPr>
            <w:r>
              <w:rPr>
                <w:rFonts w:hint="default" w:ascii="Times New Roman" w:hAnsi="Times New Roman" w:cs="Times New Roman"/>
                <w:b/>
                <w:bCs/>
                <w:color w:val="auto"/>
                <w:szCs w:val="22"/>
              </w:rPr>
              <w:t>①</w:t>
            </w:r>
            <w:r>
              <w:rPr>
                <w:rFonts w:hint="eastAsia" w:cs="Times New Roman"/>
                <w:b/>
                <w:bCs/>
                <w:color w:val="auto"/>
                <w:lang w:val="en-US" w:eastAsia="zh-CN"/>
              </w:rPr>
              <w:t>金属边角料</w:t>
            </w:r>
          </w:p>
          <w:p w14:paraId="111830E2">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w:t>
            </w:r>
            <w:r>
              <w:rPr>
                <w:rFonts w:hint="default" w:ascii="Times New Roman" w:hAnsi="Times New Roman" w:cs="Times New Roman"/>
                <w:color w:val="auto"/>
                <w:szCs w:val="22"/>
                <w:lang w:val="en-US" w:eastAsia="zh-CN"/>
              </w:rPr>
              <w:t>生产过程</w:t>
            </w:r>
            <w:r>
              <w:rPr>
                <w:rFonts w:hint="default" w:ascii="Times New Roman" w:hAnsi="Times New Roman" w:cs="Times New Roman"/>
                <w:color w:val="auto"/>
                <w:szCs w:val="22"/>
              </w:rPr>
              <w:t>会产生一定量的</w:t>
            </w:r>
            <w:r>
              <w:rPr>
                <w:rFonts w:hint="eastAsia" w:cs="Times New Roman"/>
                <w:color w:val="auto"/>
                <w:szCs w:val="22"/>
                <w:lang w:val="en-US" w:eastAsia="zh-CN"/>
              </w:rPr>
              <w:t>金属边角料</w:t>
            </w:r>
            <w:r>
              <w:rPr>
                <w:rFonts w:hint="default" w:ascii="Times New Roman" w:hAnsi="Times New Roman" w:cs="Times New Roman"/>
                <w:color w:val="auto"/>
                <w:szCs w:val="22"/>
              </w:rPr>
              <w:t>，产生量约为</w:t>
            </w:r>
            <w:r>
              <w:rPr>
                <w:rFonts w:hint="eastAsia" w:cs="Times New Roman"/>
                <w:color w:val="auto"/>
                <w:szCs w:val="22"/>
                <w:lang w:val="en-US" w:eastAsia="zh-CN"/>
              </w:rPr>
              <w:t>10</w:t>
            </w:r>
            <w:r>
              <w:rPr>
                <w:rFonts w:hint="default" w:ascii="Times New Roman" w:hAnsi="Times New Roman" w:cs="Times New Roman"/>
                <w:color w:val="auto"/>
                <w:szCs w:val="22"/>
              </w:rPr>
              <w:t>t/a，</w:t>
            </w:r>
            <w:r>
              <w:rPr>
                <w:rFonts w:hint="default" w:ascii="Times New Roman" w:hAnsi="Times New Roman" w:cs="Times New Roman"/>
                <w:color w:val="auto"/>
                <w:szCs w:val="22"/>
                <w:lang w:val="en-US" w:eastAsia="zh-CN"/>
              </w:rPr>
              <w:t>根据</w:t>
            </w:r>
            <w:r>
              <w:rPr>
                <w:rFonts w:hint="default" w:ascii="Times New Roman" w:hAnsi="Times New Roman" w:cs="Times New Roman"/>
                <w:color w:val="auto"/>
              </w:rPr>
              <w:t>《固体废物分类与代码目录》（生态环境部公告 2024年第4号）</w:t>
            </w:r>
            <w:r>
              <w:rPr>
                <w:rFonts w:hint="default" w:ascii="Times New Roman" w:hAnsi="Times New Roman" w:cs="Times New Roman"/>
                <w:color w:val="auto"/>
                <w:szCs w:val="22"/>
              </w:rPr>
              <w:t>，属于SW17，废物代码为900-006-S17，收集后交由专业回收公司处理。</w:t>
            </w:r>
          </w:p>
          <w:p w14:paraId="251A04B9">
            <w:pPr>
              <w:bidi w:val="0"/>
              <w:ind w:firstLine="482" w:firstLineChars="20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②废包装材料</w:t>
            </w:r>
          </w:p>
          <w:p w14:paraId="3A746E78">
            <w:pPr>
              <w:bidi w:val="0"/>
              <w:ind w:firstLine="480" w:firstLineChars="200"/>
              <w:rPr>
                <w:rFonts w:hint="default" w:ascii="Times New Roman" w:hAnsi="Times New Roman" w:cs="Times New Roman"/>
                <w:color w:val="auto"/>
                <w:szCs w:val="22"/>
                <w:lang w:val="en-US" w:eastAsia="zh-CN"/>
              </w:rPr>
            </w:pPr>
            <w:r>
              <w:rPr>
                <w:rFonts w:hint="default" w:ascii="Times New Roman" w:hAnsi="Times New Roman" w:cs="Times New Roman"/>
                <w:color w:val="auto"/>
                <w:lang w:val="en-US" w:eastAsia="zh-CN"/>
              </w:rPr>
              <w:t>项目产品出货过程会产生一定量的废包装材料，</w:t>
            </w:r>
            <w:r>
              <w:rPr>
                <w:rFonts w:hint="default" w:ascii="Times New Roman" w:hAnsi="Times New Roman" w:cs="Times New Roman"/>
                <w:color w:val="auto"/>
                <w:szCs w:val="22"/>
                <w:lang w:val="en-US" w:eastAsia="zh-CN"/>
              </w:rPr>
              <w:t>根据</w:t>
            </w:r>
            <w:r>
              <w:rPr>
                <w:rFonts w:hint="default" w:ascii="Times New Roman" w:hAnsi="Times New Roman" w:cs="Times New Roman"/>
                <w:color w:val="auto"/>
              </w:rPr>
              <w:t>《固体废物分类与代码目录》（生态环境部公告 2024年第4号）</w:t>
            </w:r>
            <w:r>
              <w:rPr>
                <w:rFonts w:hint="default" w:ascii="Times New Roman" w:hAnsi="Times New Roman" w:cs="Times New Roman"/>
                <w:color w:val="auto"/>
                <w:szCs w:val="22"/>
              </w:rPr>
              <w:t>，属于SW17，废物代码为900-005-S17</w:t>
            </w:r>
            <w:r>
              <w:rPr>
                <w:rFonts w:hint="default" w:ascii="Times New Roman" w:hAnsi="Times New Roman" w:cs="Times New Roman"/>
                <w:color w:val="auto"/>
                <w:szCs w:val="22"/>
                <w:lang w:val="en-US" w:eastAsia="zh-CN"/>
              </w:rPr>
              <w:t>，产生量为</w:t>
            </w:r>
            <w:r>
              <w:rPr>
                <w:rFonts w:hint="eastAsia" w:cs="Times New Roman"/>
                <w:color w:val="auto"/>
                <w:szCs w:val="22"/>
                <w:lang w:val="en-US" w:eastAsia="zh-CN"/>
              </w:rPr>
              <w:t>0.5</w:t>
            </w:r>
            <w:r>
              <w:rPr>
                <w:rFonts w:hint="default" w:ascii="Times New Roman" w:hAnsi="Times New Roman" w:cs="Times New Roman"/>
                <w:color w:val="auto"/>
                <w:szCs w:val="22"/>
                <w:lang w:val="en-US" w:eastAsia="zh-CN"/>
              </w:rPr>
              <w:t>t/a，收集后交由专业回收公司处理。</w:t>
            </w:r>
          </w:p>
          <w:p w14:paraId="0356E2F0">
            <w:pPr>
              <w:bidi w:val="0"/>
              <w:ind w:left="480" w:leftChars="200" w:firstLine="0" w:firstLineChars="0"/>
              <w:rPr>
                <w:rFonts w:hint="default" w:ascii="Times New Roman" w:hAnsi="Times New Roman" w:cs="Times New Roman"/>
                <w:b/>
                <w:bCs/>
                <w:color w:val="auto"/>
                <w:szCs w:val="22"/>
                <w:lang w:val="en-US" w:eastAsia="zh-CN"/>
              </w:rPr>
            </w:pPr>
            <w:r>
              <w:rPr>
                <w:rFonts w:hint="default" w:ascii="Times New Roman" w:hAnsi="Times New Roman" w:cs="Times New Roman"/>
                <w:b/>
                <w:bCs/>
                <w:color w:val="auto"/>
                <w:szCs w:val="22"/>
                <w:lang w:val="en-US" w:eastAsia="zh-CN"/>
              </w:rPr>
              <w:t>③废模具</w:t>
            </w:r>
          </w:p>
          <w:p w14:paraId="22A09DC1">
            <w:pPr>
              <w:bidi w:val="0"/>
              <w:ind w:firstLine="480" w:firstLineChars="200"/>
              <w:rPr>
                <w:rFonts w:hint="default" w:ascii="Times New Roman" w:hAnsi="Times New Roman" w:cs="Times New Roman"/>
                <w:color w:val="auto"/>
                <w:szCs w:val="22"/>
                <w:lang w:val="en-US" w:eastAsia="zh-CN"/>
              </w:rPr>
            </w:pPr>
            <w:r>
              <w:rPr>
                <w:rFonts w:hint="default" w:ascii="Times New Roman" w:hAnsi="Times New Roman" w:cs="Times New Roman"/>
                <w:color w:val="auto"/>
              </w:rPr>
              <w:t>项目模具制作过程会有一部分损坏或报废的废模具，属于一般固体废物，</w:t>
            </w:r>
            <w:r>
              <w:rPr>
                <w:rFonts w:hint="default" w:ascii="Times New Roman" w:hAnsi="Times New Roman" w:cs="Times New Roman"/>
                <w:color w:val="auto"/>
                <w:szCs w:val="22"/>
              </w:rPr>
              <w:t>根据</w:t>
            </w:r>
            <w:r>
              <w:rPr>
                <w:rFonts w:hint="default" w:ascii="Times New Roman" w:hAnsi="Times New Roman" w:cs="Times New Roman"/>
                <w:color w:val="auto"/>
              </w:rPr>
              <w:t>《固体废物分类与代码目录》（生态环境部公告 2024年第4号）</w:t>
            </w:r>
            <w:r>
              <w:rPr>
                <w:rFonts w:hint="default" w:ascii="Times New Roman" w:hAnsi="Times New Roman" w:cs="Times New Roman"/>
                <w:color w:val="auto"/>
                <w:szCs w:val="22"/>
              </w:rPr>
              <w:t>，属于SW17可再生类废物 非特定行业 废钢铁。工业生产活动中产生的以钢铁为主要成分的边角料、残次品，以及报废机动车、报废机械设备拆解产生的以钢铁为主要成分的零部件等。废物代码为900-001-S17，产生量为</w:t>
            </w:r>
            <w:r>
              <w:rPr>
                <w:rFonts w:hint="default" w:ascii="Times New Roman" w:hAnsi="Times New Roman" w:cs="Times New Roman"/>
                <w:color w:val="auto"/>
                <w:szCs w:val="22"/>
                <w:lang w:val="en-US" w:eastAsia="zh-CN"/>
              </w:rPr>
              <w:t>0.</w:t>
            </w:r>
            <w:r>
              <w:rPr>
                <w:rFonts w:hint="eastAsia" w:cs="Times New Roman"/>
                <w:color w:val="auto"/>
                <w:szCs w:val="22"/>
                <w:lang w:val="en-US" w:eastAsia="zh-CN"/>
              </w:rPr>
              <w:t>05</w:t>
            </w:r>
            <w:r>
              <w:rPr>
                <w:rFonts w:hint="default" w:ascii="Times New Roman" w:hAnsi="Times New Roman" w:cs="Times New Roman"/>
                <w:color w:val="auto"/>
                <w:szCs w:val="22"/>
              </w:rPr>
              <w:t>t/a，收集后交由专业回收公司处理。</w:t>
            </w:r>
          </w:p>
          <w:p w14:paraId="0EEB25A6">
            <w:pPr>
              <w:ind w:firstLine="482" w:firstLineChars="200"/>
              <w:rPr>
                <w:rFonts w:hint="default" w:ascii="Times New Roman" w:hAnsi="Times New Roman" w:cs="Times New Roman"/>
                <w:b/>
                <w:bCs/>
                <w:color w:val="auto"/>
                <w:szCs w:val="20"/>
              </w:rPr>
            </w:pPr>
            <w:r>
              <w:rPr>
                <w:rFonts w:hint="default" w:ascii="Times New Roman" w:hAnsi="Times New Roman" w:cs="Times New Roman"/>
                <w:b/>
                <w:bCs/>
                <w:color w:val="auto"/>
                <w:szCs w:val="20"/>
              </w:rPr>
              <w:t>2）危险废物</w:t>
            </w:r>
          </w:p>
          <w:p w14:paraId="3C37FEB4">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0"/>
              </w:rPr>
              <w:t>①</w:t>
            </w:r>
            <w:r>
              <w:rPr>
                <w:rFonts w:hint="default" w:ascii="Times New Roman" w:hAnsi="Times New Roman" w:cs="Times New Roman"/>
                <w:b/>
                <w:bCs/>
                <w:color w:val="auto"/>
                <w:szCs w:val="22"/>
              </w:rPr>
              <w:t>废原料桶</w:t>
            </w:r>
          </w:p>
          <w:p w14:paraId="302A2146">
            <w:pPr>
              <w:wordWrap/>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项目生产过程中使用的液体原辅材料为</w:t>
            </w:r>
            <w:r>
              <w:rPr>
                <w:rFonts w:hint="default" w:ascii="Times New Roman" w:hAnsi="Times New Roman" w:cs="Times New Roman"/>
                <w:color w:val="auto"/>
                <w:sz w:val="24"/>
                <w:szCs w:val="24"/>
                <w:lang w:val="en-US" w:eastAsia="zh-CN"/>
              </w:rPr>
              <w:t>水性油墨、</w:t>
            </w:r>
            <w:r>
              <w:rPr>
                <w:rFonts w:hint="eastAsia" w:cs="Times New Roman"/>
                <w:color w:val="auto"/>
                <w:sz w:val="24"/>
                <w:szCs w:val="24"/>
                <w:lang w:val="en-US" w:eastAsia="zh-CN"/>
              </w:rPr>
              <w:t>切削液</w:t>
            </w:r>
            <w:r>
              <w:rPr>
                <w:rFonts w:hint="default" w:ascii="Times New Roman" w:hAnsi="Times New Roman" w:cs="Times New Roman"/>
                <w:color w:val="auto"/>
                <w:sz w:val="24"/>
                <w:szCs w:val="24"/>
                <w:lang w:val="en-US" w:eastAsia="zh-CN"/>
              </w:rPr>
              <w:t>、火花油及润滑油</w:t>
            </w:r>
            <w:r>
              <w:rPr>
                <w:rFonts w:hint="default" w:ascii="Times New Roman" w:hAnsi="Times New Roman" w:cs="Times New Roman"/>
                <w:color w:val="auto"/>
                <w:sz w:val="24"/>
                <w:szCs w:val="24"/>
              </w:rPr>
              <w:t>等，来料时的包装形式为桶装，使用过程中会产生废包装桶，内壁粘附有少量</w:t>
            </w:r>
            <w:r>
              <w:rPr>
                <w:rFonts w:hint="default" w:ascii="Times New Roman" w:hAnsi="Times New Roman" w:cs="Times New Roman"/>
                <w:color w:val="auto"/>
                <w:sz w:val="24"/>
                <w:szCs w:val="24"/>
                <w:lang w:val="en-US" w:eastAsia="zh-CN"/>
              </w:rPr>
              <w:t>液体</w:t>
            </w:r>
            <w:r>
              <w:rPr>
                <w:rFonts w:hint="default" w:ascii="Times New Roman" w:hAnsi="Times New Roman" w:cs="Times New Roman"/>
                <w:color w:val="auto"/>
                <w:sz w:val="24"/>
                <w:szCs w:val="24"/>
              </w:rPr>
              <w:t>，因此作为危险废物，收集后交由有资质的单位回收处理。根据《国家危险废物名录》（2021年版），废物类别为HW49 其他废物，废物代码为900-041-49（含有或沾染毒性、感染性危险废物的废弃包装物、容器、过滤吸附介质），产生量为0.0</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t/a。</w:t>
            </w:r>
          </w:p>
          <w:p w14:paraId="2C13AE27">
            <w:pPr>
              <w:wordWrap/>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②废</w:t>
            </w:r>
            <w:r>
              <w:rPr>
                <w:rFonts w:hint="default" w:ascii="Times New Roman" w:hAnsi="Times New Roman" w:cs="Times New Roman"/>
                <w:b/>
                <w:bCs/>
                <w:color w:val="auto"/>
                <w:szCs w:val="22"/>
                <w:lang w:val="en-US" w:eastAsia="zh-CN"/>
              </w:rPr>
              <w:t>矿物</w:t>
            </w:r>
            <w:r>
              <w:rPr>
                <w:rFonts w:hint="default" w:ascii="Times New Roman" w:hAnsi="Times New Roman" w:cs="Times New Roman"/>
                <w:b/>
                <w:bCs/>
                <w:color w:val="auto"/>
                <w:szCs w:val="22"/>
              </w:rPr>
              <w:t>油</w:t>
            </w:r>
          </w:p>
          <w:p w14:paraId="2A308899">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项目生产设备日常维护保养过程中会产生一定量的废润滑油</w:t>
            </w:r>
            <w:r>
              <w:rPr>
                <w:rFonts w:hint="eastAsia" w:cs="Times New Roman"/>
                <w:color w:val="auto"/>
                <w:szCs w:val="22"/>
                <w:lang w:eastAsia="zh-CN"/>
              </w:rPr>
              <w:t>，</w:t>
            </w:r>
            <w:r>
              <w:rPr>
                <w:rFonts w:hint="eastAsia" w:cs="Times New Roman"/>
                <w:color w:val="auto"/>
                <w:szCs w:val="22"/>
                <w:lang w:val="en-US" w:eastAsia="zh-CN"/>
              </w:rPr>
              <w:t>机加工过程会产生废切削液，</w:t>
            </w:r>
            <w:r>
              <w:rPr>
                <w:rFonts w:hint="default" w:ascii="Times New Roman" w:hAnsi="Times New Roman" w:cs="Times New Roman"/>
                <w:color w:val="auto"/>
                <w:szCs w:val="22"/>
                <w:lang w:val="en-US" w:eastAsia="zh-CN"/>
              </w:rPr>
              <w:t>电火花加工过程会产生一定量的废火花油，</w:t>
            </w:r>
            <w:r>
              <w:rPr>
                <w:rFonts w:hint="default" w:ascii="Times New Roman" w:hAnsi="Times New Roman" w:cs="Times New Roman"/>
                <w:color w:val="auto"/>
                <w:szCs w:val="22"/>
              </w:rPr>
              <w:t>产生量约0.</w:t>
            </w:r>
            <w:r>
              <w:rPr>
                <w:rFonts w:hint="eastAsia" w:cs="Times New Roman"/>
                <w:color w:val="auto"/>
                <w:szCs w:val="22"/>
                <w:lang w:val="en-US" w:eastAsia="zh-CN"/>
              </w:rPr>
              <w:t>1</w:t>
            </w:r>
            <w:r>
              <w:rPr>
                <w:rFonts w:hint="default" w:ascii="Times New Roman" w:hAnsi="Times New Roman" w:cs="Times New Roman"/>
                <w:color w:val="auto"/>
                <w:szCs w:val="22"/>
              </w:rPr>
              <w:t>t/a。根据《国家危险废物名录（2021年版）》，废机油属于HW08 废矿物油与含矿物油废物，危废代码为900-249-08 其他生产、销售、使用过程中产生的废矿物油及沾染矿物油的废弃包装物，收集后交由有资质的单位回收处理。</w:t>
            </w:r>
          </w:p>
          <w:p w14:paraId="2543AB9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0"/>
              </w:rPr>
              <w:t>③</w:t>
            </w:r>
            <w:r>
              <w:rPr>
                <w:rFonts w:hint="default" w:ascii="Times New Roman" w:hAnsi="Times New Roman" w:cs="Times New Roman"/>
                <w:b/>
                <w:bCs/>
                <w:color w:val="auto"/>
                <w:szCs w:val="22"/>
              </w:rPr>
              <w:t>废抹布及废手套</w:t>
            </w:r>
          </w:p>
          <w:p w14:paraId="16436F5F">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项目生产设备需定期使用抹布擦拭清洁，员工工作时会戴上手套，因此废抹布及废手套上会沾染润滑油等有害物质，</w:t>
            </w:r>
            <w:r>
              <w:rPr>
                <w:rFonts w:hint="default" w:ascii="Times New Roman" w:hAnsi="Times New Roman" w:cs="Times New Roman"/>
                <w:color w:val="auto"/>
                <w:szCs w:val="22"/>
                <w:lang w:val="en-US" w:eastAsia="zh-CN"/>
              </w:rPr>
              <w:t>废抹布及废手套</w:t>
            </w:r>
            <w:r>
              <w:rPr>
                <w:rFonts w:hint="default" w:ascii="Times New Roman" w:hAnsi="Times New Roman" w:cs="Times New Roman"/>
                <w:color w:val="auto"/>
                <w:szCs w:val="22"/>
              </w:rPr>
              <w:t>产生量约为0.</w:t>
            </w:r>
            <w:r>
              <w:rPr>
                <w:rFonts w:hint="eastAsia" w:cs="Times New Roman"/>
                <w:color w:val="auto"/>
                <w:szCs w:val="22"/>
                <w:lang w:val="en-US" w:eastAsia="zh-CN"/>
              </w:rPr>
              <w:t>01</w:t>
            </w:r>
            <w:r>
              <w:rPr>
                <w:rFonts w:hint="default" w:ascii="Times New Roman" w:hAnsi="Times New Roman" w:cs="Times New Roman"/>
                <w:color w:val="auto"/>
                <w:szCs w:val="22"/>
              </w:rPr>
              <w:t>t/a。根据《国家危险废物名录（2021年版）》，废抹布及废手套属于HW49 其他废物，危废代码为900-041-49 含有或沾染毒性、感染性危险废物的废弃包装物、容器、过滤吸附介质，收集后交由有资质的单位处理。</w:t>
            </w:r>
          </w:p>
          <w:p w14:paraId="46CB6357">
            <w:pPr>
              <w:wordWrap/>
              <w:ind w:firstLine="482" w:firstLineChars="200"/>
              <w:rPr>
                <w:rFonts w:hint="default" w:ascii="Times New Roman" w:hAnsi="Times New Roman" w:cs="Times New Roman"/>
                <w:b/>
                <w:bCs/>
                <w:color w:val="auto"/>
                <w:szCs w:val="22"/>
              </w:rPr>
            </w:pPr>
            <w:r>
              <w:rPr>
                <w:rFonts w:hint="eastAsia" w:cs="Times New Roman"/>
                <w:b/>
                <w:bCs/>
                <w:color w:val="auto"/>
                <w:szCs w:val="22"/>
                <w:lang w:val="en-US" w:eastAsia="zh-CN"/>
              </w:rPr>
              <w:t>④</w:t>
            </w:r>
            <w:r>
              <w:rPr>
                <w:rFonts w:hint="default" w:ascii="Times New Roman" w:hAnsi="Times New Roman" w:cs="Times New Roman"/>
                <w:b/>
                <w:bCs/>
                <w:color w:val="auto"/>
                <w:szCs w:val="22"/>
                <w:lang w:val="en-US" w:eastAsia="zh-CN"/>
              </w:rPr>
              <w:t>喷淋</w:t>
            </w:r>
            <w:r>
              <w:rPr>
                <w:rFonts w:hint="default" w:ascii="Times New Roman" w:hAnsi="Times New Roman" w:cs="Times New Roman"/>
                <w:b/>
                <w:bCs/>
                <w:color w:val="auto"/>
                <w:szCs w:val="22"/>
              </w:rPr>
              <w:t>废水</w:t>
            </w:r>
          </w:p>
          <w:p w14:paraId="22357A82">
            <w:pPr>
              <w:wordWrap/>
              <w:ind w:firstLine="480" w:firstLineChars="200"/>
              <w:rPr>
                <w:rFonts w:hint="default" w:ascii="Times New Roman" w:hAnsi="Times New Roman" w:cs="Times New Roman"/>
                <w:color w:val="auto"/>
                <w:szCs w:val="20"/>
              </w:rPr>
            </w:pPr>
            <w:r>
              <w:rPr>
                <w:rFonts w:hint="default" w:ascii="Times New Roman" w:hAnsi="Times New Roman" w:cs="Times New Roman"/>
                <w:color w:val="auto"/>
                <w:szCs w:val="22"/>
              </w:rPr>
              <w:t>根据前文分析，</w:t>
            </w:r>
            <w:r>
              <w:rPr>
                <w:rFonts w:hint="default" w:ascii="Times New Roman" w:hAnsi="Times New Roman" w:cs="Times New Roman"/>
                <w:color w:val="auto"/>
                <w:szCs w:val="22"/>
                <w:lang w:val="en-US" w:eastAsia="zh-CN"/>
              </w:rPr>
              <w:t>喷淋</w:t>
            </w:r>
            <w:r>
              <w:rPr>
                <w:rFonts w:hint="default" w:ascii="Times New Roman" w:hAnsi="Times New Roman" w:cs="Times New Roman"/>
                <w:color w:val="auto"/>
                <w:szCs w:val="22"/>
              </w:rPr>
              <w:t>废水产生量共</w:t>
            </w:r>
            <w:r>
              <w:rPr>
                <w:rFonts w:hint="eastAsia" w:cs="Times New Roman"/>
                <w:color w:val="auto"/>
                <w:szCs w:val="22"/>
                <w:lang w:val="en-US" w:eastAsia="zh-CN"/>
              </w:rPr>
              <w:t>10</w:t>
            </w:r>
            <w:r>
              <w:rPr>
                <w:rFonts w:hint="default" w:ascii="Times New Roman" w:hAnsi="Times New Roman" w:cs="Times New Roman"/>
                <w:color w:val="auto"/>
                <w:szCs w:val="22"/>
              </w:rPr>
              <w:t>t/a，属于危险废物。</w:t>
            </w:r>
            <w:r>
              <w:rPr>
                <w:rFonts w:hint="default" w:ascii="Times New Roman" w:hAnsi="Times New Roman" w:cs="Times New Roman"/>
                <w:color w:val="auto"/>
                <w:szCs w:val="20"/>
              </w:rPr>
              <w:t>根据《国家危险废物名录》（2021年版），废物类别为</w:t>
            </w:r>
            <w:r>
              <w:rPr>
                <w:rFonts w:hint="default" w:ascii="Times New Roman" w:hAnsi="Times New Roman" w:cs="Times New Roman"/>
                <w:color w:val="auto"/>
                <w:szCs w:val="22"/>
              </w:rPr>
              <w:t>HW49 其他废物，危废代码为900-041-49 含有或沾染毒性、感染性危险废物的废弃包装物、容器、过滤吸附介质</w:t>
            </w:r>
            <w:r>
              <w:rPr>
                <w:rFonts w:hint="default" w:ascii="Times New Roman" w:hAnsi="Times New Roman" w:cs="Times New Roman"/>
                <w:color w:val="auto"/>
                <w:szCs w:val="20"/>
              </w:rPr>
              <w:t>，收集后交由有资质的单位处理。</w:t>
            </w:r>
          </w:p>
          <w:p w14:paraId="56EF34E3">
            <w:pPr>
              <w:bidi w:val="0"/>
              <w:ind w:firstLine="482" w:firstLineChars="200"/>
              <w:rPr>
                <w:rFonts w:hint="default" w:ascii="Times New Roman" w:hAnsi="Times New Roman" w:eastAsia="宋体" w:cs="Times New Roman"/>
                <w:b/>
                <w:bCs/>
                <w:color w:val="auto"/>
                <w:szCs w:val="22"/>
                <w:lang w:val="en-US" w:eastAsia="zh-CN"/>
              </w:rPr>
            </w:pPr>
            <w:bookmarkStart w:id="22" w:name="⑥废活性炭"/>
            <w:r>
              <w:rPr>
                <w:rFonts w:hint="eastAsia" w:cs="Times New Roman"/>
                <w:b/>
                <w:bCs/>
                <w:color w:val="auto"/>
                <w:szCs w:val="22"/>
                <w:lang w:val="en-US" w:eastAsia="zh-CN"/>
              </w:rPr>
              <w:t>⑤</w:t>
            </w:r>
            <w:r>
              <w:rPr>
                <w:rFonts w:hint="default" w:ascii="Times New Roman" w:hAnsi="Times New Roman" w:cs="Times New Roman"/>
                <w:b/>
                <w:bCs/>
                <w:color w:val="auto"/>
                <w:szCs w:val="22"/>
                <w:lang w:val="en-US" w:eastAsia="zh-CN"/>
              </w:rPr>
              <w:t>含油金属屑</w:t>
            </w:r>
          </w:p>
          <w:p w14:paraId="0E189B1F">
            <w:pPr>
              <w:bidi w:val="0"/>
              <w:ind w:firstLine="480" w:firstLineChars="200"/>
              <w:rPr>
                <w:rFonts w:hint="default" w:ascii="Times New Roman" w:hAnsi="Times New Roman" w:eastAsia="宋体" w:cs="Times New Roman"/>
                <w:b w:val="0"/>
                <w:bCs w:val="0"/>
                <w:color w:val="auto"/>
                <w:szCs w:val="22"/>
                <w:lang w:val="en-US" w:eastAsia="zh-CN"/>
              </w:rPr>
            </w:pPr>
            <w:r>
              <w:rPr>
                <w:rFonts w:hint="default" w:ascii="Times New Roman" w:hAnsi="Times New Roman" w:cs="Times New Roman"/>
                <w:color w:val="auto"/>
                <w:szCs w:val="20"/>
                <w:lang w:val="en-US" w:eastAsia="zh-CN"/>
              </w:rPr>
              <w:t>项目</w:t>
            </w:r>
            <w:r>
              <w:rPr>
                <w:rFonts w:hint="eastAsia" w:cs="Times New Roman"/>
                <w:color w:val="auto"/>
                <w:szCs w:val="20"/>
                <w:lang w:val="en-US" w:eastAsia="zh-CN"/>
              </w:rPr>
              <w:t>机加工</w:t>
            </w:r>
            <w:r>
              <w:rPr>
                <w:rFonts w:hint="default" w:ascii="Times New Roman" w:hAnsi="Times New Roman" w:cs="Times New Roman"/>
                <w:color w:val="auto"/>
                <w:szCs w:val="20"/>
                <w:lang w:val="en-US" w:eastAsia="zh-CN"/>
              </w:rPr>
              <w:t>使用切削液进行冷却和润滑，切削过程会产生沾有切削液的金属屑，产生量约为0.0</w:t>
            </w:r>
            <w:r>
              <w:rPr>
                <w:rFonts w:hint="eastAsia" w:cs="Times New Roman"/>
                <w:color w:val="auto"/>
                <w:szCs w:val="20"/>
                <w:lang w:val="en-US" w:eastAsia="zh-CN"/>
              </w:rPr>
              <w:t>5</w:t>
            </w:r>
            <w:r>
              <w:rPr>
                <w:rFonts w:hint="default" w:ascii="Times New Roman" w:hAnsi="Times New Roman" w:cs="Times New Roman"/>
                <w:color w:val="auto"/>
                <w:szCs w:val="20"/>
                <w:lang w:val="en-US" w:eastAsia="zh-CN"/>
              </w:rPr>
              <w:t>t/a，属于危险废物。</w:t>
            </w:r>
            <w:r>
              <w:rPr>
                <w:rFonts w:hint="default" w:ascii="Times New Roman" w:hAnsi="Times New Roman" w:cs="Times New Roman"/>
                <w:color w:val="auto"/>
                <w:lang w:val="en-US" w:eastAsia="zh-CN"/>
              </w:rPr>
              <w:t>根据</w:t>
            </w:r>
            <w:r>
              <w:rPr>
                <w:rFonts w:hint="default" w:ascii="Times New Roman" w:hAnsi="Times New Roman" w:cs="Times New Roman"/>
                <w:color w:val="auto"/>
              </w:rPr>
              <w:t>《国家危险废物名录》（2021年版），</w:t>
            </w:r>
            <w:r>
              <w:rPr>
                <w:rFonts w:hint="default" w:ascii="Times New Roman" w:hAnsi="Times New Roman" w:cs="Times New Roman"/>
                <w:color w:val="auto"/>
                <w:lang w:val="en-US" w:eastAsia="zh-CN"/>
              </w:rPr>
              <w:t>含油金属屑废物类别为HW09</w:t>
            </w:r>
            <w:r>
              <w:rPr>
                <w:rFonts w:hint="default" w:ascii="Times New Roman" w:hAnsi="Times New Roman" w:cs="Times New Roman"/>
                <w:color w:val="auto"/>
                <w:szCs w:val="20"/>
                <w:lang w:val="en-US" w:eastAsia="zh-CN"/>
              </w:rPr>
              <w:t>油/水、烃/水混合物或乳化液，废物代码为900-006-09（使用切削油或切削液进行机械加工过程中产生的油/水、烃/水混合物或乳化液），收集后交由有资质的单位处理。</w:t>
            </w:r>
          </w:p>
          <w:p w14:paraId="771025F9">
            <w:pPr>
              <w:wordWrap/>
              <w:ind w:firstLine="482" w:firstLineChars="200"/>
              <w:rPr>
                <w:rFonts w:hint="default" w:ascii="Times New Roman" w:hAnsi="Times New Roman" w:cs="Times New Roman"/>
                <w:b/>
                <w:bCs/>
                <w:color w:val="auto"/>
                <w:szCs w:val="22"/>
              </w:rPr>
            </w:pPr>
            <w:r>
              <w:rPr>
                <w:rFonts w:hint="eastAsia" w:cs="Times New Roman"/>
                <w:b/>
                <w:bCs/>
                <w:color w:val="auto"/>
                <w:szCs w:val="22"/>
                <w:lang w:val="en-US" w:eastAsia="zh-CN"/>
              </w:rPr>
              <w:t>⑥</w:t>
            </w:r>
            <w:r>
              <w:rPr>
                <w:rFonts w:hint="default" w:ascii="Times New Roman" w:hAnsi="Times New Roman" w:cs="Times New Roman"/>
                <w:b/>
                <w:bCs/>
                <w:color w:val="auto"/>
                <w:szCs w:val="22"/>
              </w:rPr>
              <w:t>废活性炭</w:t>
            </w:r>
          </w:p>
          <w:bookmarkEnd w:id="22"/>
          <w:p w14:paraId="0C9815D9">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lang w:val="en-US" w:eastAsia="zh-CN"/>
              </w:rPr>
              <w:t>注塑、</w:t>
            </w:r>
            <w:r>
              <w:rPr>
                <w:rFonts w:hint="eastAsia" w:cs="Times New Roman"/>
                <w:color w:val="auto"/>
                <w:szCs w:val="22"/>
                <w:lang w:val="en-US" w:eastAsia="zh-CN"/>
              </w:rPr>
              <w:t>移印</w:t>
            </w:r>
            <w:r>
              <w:rPr>
                <w:rFonts w:hint="default" w:ascii="Times New Roman" w:hAnsi="Times New Roman" w:cs="Times New Roman"/>
                <w:color w:val="auto"/>
                <w:szCs w:val="22"/>
                <w:lang w:val="en-US" w:eastAsia="zh-CN"/>
              </w:rPr>
              <w:t>工序废气经集气罩收集至“水喷淋+干式过滤+二级活性炭吸附”装置处理后引至排气筒</w:t>
            </w:r>
            <w:r>
              <w:rPr>
                <w:rFonts w:hint="eastAsia" w:cs="Times New Roman"/>
                <w:color w:val="auto"/>
                <w:szCs w:val="22"/>
                <w:lang w:val="en-US" w:eastAsia="zh-CN"/>
              </w:rPr>
              <w:t>DA001</w:t>
            </w:r>
            <w:r>
              <w:rPr>
                <w:rFonts w:hint="default" w:ascii="Times New Roman" w:hAnsi="Times New Roman" w:cs="Times New Roman"/>
                <w:color w:val="auto"/>
                <w:szCs w:val="22"/>
                <w:lang w:val="en-US" w:eastAsia="zh-CN"/>
              </w:rPr>
              <w:t>排放，</w:t>
            </w:r>
            <w:r>
              <w:rPr>
                <w:rFonts w:hint="default" w:ascii="Times New Roman" w:hAnsi="Times New Roman" w:cs="Times New Roman"/>
                <w:color w:val="auto"/>
                <w:szCs w:val="22"/>
              </w:rPr>
              <w:t>活性炭吸附装置处理过程会产生一定量的废活性炭。根据《国家危险废物名录》（2021版），废活性炭属于废物类别：HW49 其他废物，废物代码为900-039-49（烟气、VOCs治理过程（不包括餐饮行业油烟治理过程）产生的废活性炭，化学原料和化学制品脱色（不包括有机合成食品添加剂脱色）、除杂、净化过程产生的废活性炭（不包括900-405-06、772-005-18、261-053-29、265-002-29、384-003-29、387-001-29类废物）。废活性炭产生量根据以下公式进行计算。</w:t>
            </w:r>
          </w:p>
          <w:p w14:paraId="2D86F574">
            <w:pPr>
              <w:wordWrap/>
              <w:jc w:val="center"/>
              <w:rPr>
                <w:rFonts w:hint="default" w:ascii="Times New Roman" w:hAnsi="Times New Roman" w:cs="Times New Roman"/>
                <w:color w:val="auto"/>
                <w:szCs w:val="22"/>
              </w:rPr>
            </w:pPr>
            <w:r>
              <w:rPr>
                <w:rFonts w:hint="default" w:ascii="Times New Roman" w:hAnsi="Times New Roman" w:cs="Times New Roman"/>
                <w:color w:val="auto"/>
                <w:szCs w:val="22"/>
              </w:rPr>
              <w:t>T=mS×10</w:t>
            </w:r>
            <w:r>
              <w:rPr>
                <w:rFonts w:hint="default" w:ascii="Times New Roman" w:hAnsi="Times New Roman" w:cs="Times New Roman"/>
                <w:color w:val="auto"/>
                <w:szCs w:val="22"/>
                <w:vertAlign w:val="superscript"/>
              </w:rPr>
              <w:t>6</w:t>
            </w:r>
            <w:r>
              <w:rPr>
                <w:rFonts w:hint="default" w:ascii="Times New Roman" w:hAnsi="Times New Roman" w:cs="Times New Roman"/>
                <w:color w:val="auto"/>
                <w:szCs w:val="22"/>
              </w:rPr>
              <w:t>/QtC</w:t>
            </w:r>
          </w:p>
          <w:p w14:paraId="665ADACD">
            <w:pPr>
              <w:autoSpaceDE w:val="0"/>
              <w:autoSpaceDN w:val="0"/>
              <w:rPr>
                <w:rFonts w:hint="default" w:ascii="Times New Roman" w:hAnsi="Times New Roman" w:cs="Times New Roman"/>
                <w:color w:val="auto"/>
                <w:szCs w:val="22"/>
              </w:rPr>
            </w:pPr>
            <w:r>
              <w:rPr>
                <w:rFonts w:hint="default" w:ascii="Times New Roman" w:hAnsi="Times New Roman" w:cs="Times New Roman"/>
                <w:color w:val="auto"/>
                <w:szCs w:val="22"/>
              </w:rPr>
              <w:t>其中：T——活性炭使用天数，天；</w:t>
            </w:r>
          </w:p>
          <w:p w14:paraId="03EFEB95">
            <w:pPr>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m——活性炭填充量，kg；</w:t>
            </w:r>
          </w:p>
          <w:p w14:paraId="263AFB07">
            <w:pPr>
              <w:autoSpaceDE w:val="0"/>
              <w:autoSpaceDN w:val="0"/>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S——平衡保持量，%，项目取30%；</w:t>
            </w:r>
          </w:p>
          <w:p w14:paraId="08D572FB">
            <w:pPr>
              <w:ind w:firstLine="720" w:firstLineChars="300"/>
              <w:rPr>
                <w:rFonts w:hint="default" w:ascii="Times New Roman" w:hAnsi="Times New Roman" w:cs="Times New Roman"/>
                <w:color w:val="auto"/>
              </w:rPr>
            </w:pPr>
            <w:r>
              <w:rPr>
                <w:rFonts w:hint="default" w:ascii="Times New Roman" w:hAnsi="Times New Roman" w:cs="Times New Roman"/>
                <w:color w:val="auto"/>
              </w:rPr>
              <w:t>Q——活性炭吸附装置风量，m</w:t>
            </w:r>
            <w:r>
              <w:rPr>
                <w:rFonts w:hint="default" w:ascii="Times New Roman" w:hAnsi="Times New Roman" w:cs="Times New Roman"/>
                <w:color w:val="auto"/>
                <w:vertAlign w:val="superscript"/>
              </w:rPr>
              <w:t>3</w:t>
            </w:r>
            <w:r>
              <w:rPr>
                <w:rFonts w:hint="default" w:ascii="Times New Roman" w:hAnsi="Times New Roman" w:cs="Times New Roman"/>
                <w:color w:val="auto"/>
              </w:rPr>
              <w:t>/h；</w:t>
            </w:r>
          </w:p>
          <w:p w14:paraId="188268E4">
            <w:pPr>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t——活性炭吸附装置工作时间，h/d，</w:t>
            </w:r>
            <w:r>
              <w:rPr>
                <w:rFonts w:hint="default" w:ascii="Times New Roman" w:hAnsi="Times New Roman" w:cs="Times New Roman"/>
                <w:color w:val="auto"/>
                <w:szCs w:val="22"/>
                <w:lang w:val="en-US" w:eastAsia="zh-CN"/>
              </w:rPr>
              <w:t>排气筒DA001二级活性炭吸附装置每周使用一次，一次使用16小时</w:t>
            </w:r>
            <w:r>
              <w:rPr>
                <w:rFonts w:hint="default" w:ascii="Times New Roman" w:hAnsi="Times New Roman" w:cs="Times New Roman"/>
                <w:color w:val="auto"/>
                <w:szCs w:val="22"/>
              </w:rPr>
              <w:t>；</w:t>
            </w:r>
          </w:p>
          <w:p w14:paraId="2FAAA48F">
            <w:pPr>
              <w:ind w:firstLine="720" w:firstLineChars="300"/>
              <w:rPr>
                <w:rFonts w:hint="default" w:ascii="Times New Roman" w:hAnsi="Times New Roman" w:cs="Times New Roman"/>
                <w:color w:val="auto"/>
                <w:szCs w:val="22"/>
              </w:rPr>
            </w:pPr>
            <w:r>
              <w:rPr>
                <w:rFonts w:hint="default" w:ascii="Times New Roman" w:hAnsi="Times New Roman" w:cs="Times New Roman"/>
                <w:color w:val="auto"/>
                <w:szCs w:val="22"/>
              </w:rPr>
              <w:t>C——废气削减浓度，mg/m</w:t>
            </w:r>
            <w:r>
              <w:rPr>
                <w:rFonts w:hint="default" w:ascii="Times New Roman" w:hAnsi="Times New Roman" w:cs="Times New Roman"/>
                <w:color w:val="auto"/>
                <w:szCs w:val="22"/>
                <w:vertAlign w:val="superscript"/>
              </w:rPr>
              <w:t>3</w:t>
            </w:r>
            <w:r>
              <w:rPr>
                <w:rFonts w:hint="default" w:ascii="Times New Roman" w:hAnsi="Times New Roman" w:cs="Times New Roman"/>
                <w:color w:val="auto"/>
                <w:szCs w:val="22"/>
              </w:rPr>
              <w:t>。</w:t>
            </w:r>
          </w:p>
          <w:p w14:paraId="2640AA0F">
            <w:pPr>
              <w:spacing w:line="240" w:lineRule="auto"/>
              <w:jc w:val="center"/>
              <w:rPr>
                <w:rFonts w:hint="default" w:ascii="Times New Roman" w:hAnsi="Times New Roman" w:cs="Times New Roman"/>
                <w:b/>
                <w:color w:val="auto"/>
                <w:kern w:val="0"/>
                <w:szCs w:val="22"/>
              </w:rPr>
            </w:pPr>
            <w:r>
              <w:rPr>
                <w:rFonts w:hint="default" w:ascii="Times New Roman" w:hAnsi="Times New Roman" w:cs="Times New Roman"/>
                <w:b/>
                <w:color w:val="auto"/>
                <w:kern w:val="0"/>
                <w:szCs w:val="22"/>
              </w:rPr>
              <w:t>表</w:t>
            </w:r>
            <w:r>
              <w:rPr>
                <w:rFonts w:hint="default" w:ascii="Times New Roman" w:hAnsi="Times New Roman" w:cs="Times New Roman"/>
                <w:b/>
                <w:color w:val="auto"/>
                <w:kern w:val="0"/>
                <w:szCs w:val="22"/>
                <w:lang w:val="en-US" w:eastAsia="zh-CN"/>
              </w:rPr>
              <w:t>4-23</w:t>
            </w:r>
            <w:r>
              <w:rPr>
                <w:rFonts w:hint="default" w:ascii="Times New Roman" w:hAnsi="Times New Roman" w:cs="Times New Roman"/>
                <w:b/>
                <w:color w:val="auto"/>
                <w:kern w:val="0"/>
                <w:szCs w:val="22"/>
              </w:rPr>
              <w:t>项目</w:t>
            </w:r>
            <w:bookmarkStart w:id="23" w:name="废活性炭产生量"/>
            <w:r>
              <w:rPr>
                <w:rFonts w:hint="default" w:ascii="Times New Roman" w:hAnsi="Times New Roman" w:cs="Times New Roman"/>
                <w:b/>
                <w:color w:val="auto"/>
                <w:kern w:val="0"/>
                <w:szCs w:val="22"/>
              </w:rPr>
              <w:t>废活性炭产生量</w:t>
            </w:r>
            <w:bookmarkEnd w:id="23"/>
            <w:r>
              <w:rPr>
                <w:rFonts w:hint="default" w:ascii="Times New Roman" w:hAnsi="Times New Roman" w:cs="Times New Roman"/>
                <w:b/>
                <w:color w:val="auto"/>
                <w:kern w:val="0"/>
                <w:szCs w:val="22"/>
              </w:rPr>
              <w:t>核算情况一览表</w:t>
            </w:r>
          </w:p>
          <w:tbl>
            <w:tblPr>
              <w:tblStyle w:val="23"/>
              <w:tblW w:w="8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246"/>
              <w:gridCol w:w="1246"/>
              <w:gridCol w:w="1246"/>
              <w:gridCol w:w="1246"/>
              <w:gridCol w:w="1277"/>
              <w:gridCol w:w="1216"/>
            </w:tblGrid>
            <w:tr w14:paraId="3F52F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959" w:type="dxa"/>
                  <w:vAlign w:val="center"/>
                </w:tcPr>
                <w:p w14:paraId="14772087">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排气筒</w:t>
                  </w:r>
                </w:p>
              </w:tc>
              <w:tc>
                <w:tcPr>
                  <w:tcW w:w="1246" w:type="dxa"/>
                  <w:vAlign w:val="center"/>
                </w:tcPr>
                <w:p w14:paraId="5E332604">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活性炭填料量（kg）</w:t>
                  </w:r>
                </w:p>
              </w:tc>
              <w:tc>
                <w:tcPr>
                  <w:tcW w:w="1246" w:type="dxa"/>
                  <w:vAlign w:val="center"/>
                </w:tcPr>
                <w:p w14:paraId="4935FA7B">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活性炭吸附装置风量（m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c>
                <w:tcPr>
                  <w:tcW w:w="1246" w:type="dxa"/>
                  <w:vAlign w:val="center"/>
                </w:tcPr>
                <w:p w14:paraId="56A44842">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废气处理前浓度（mg/m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246" w:type="dxa"/>
                  <w:vAlign w:val="center"/>
                </w:tcPr>
                <w:p w14:paraId="318921DC">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废气处理后浓度（mg/m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277" w:type="dxa"/>
                  <w:vAlign w:val="center"/>
                </w:tcPr>
                <w:p w14:paraId="7798089B">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废气削减浓度（mg/m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216" w:type="dxa"/>
                  <w:vAlign w:val="center"/>
                </w:tcPr>
                <w:p w14:paraId="1586F2E2">
                  <w:pPr>
                    <w:autoSpaceDE w:val="0"/>
                    <w:autoSpaceDN w:val="0"/>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活性炭使用天数</w:t>
                  </w:r>
                </w:p>
              </w:tc>
            </w:tr>
            <w:tr w14:paraId="0B92E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59" w:type="dxa"/>
                  <w:vAlign w:val="center"/>
                </w:tcPr>
                <w:p w14:paraId="6D74035E">
                  <w:pPr>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DA001</w:t>
                  </w:r>
                </w:p>
              </w:tc>
              <w:tc>
                <w:tcPr>
                  <w:tcW w:w="1246" w:type="dxa"/>
                  <w:vAlign w:val="center"/>
                </w:tcPr>
                <w:p w14:paraId="357BA0B4">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1016</w:t>
                  </w:r>
                </w:p>
              </w:tc>
              <w:tc>
                <w:tcPr>
                  <w:tcW w:w="1246" w:type="dxa"/>
                  <w:vAlign w:val="center"/>
                </w:tcPr>
                <w:p w14:paraId="7745B67C">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28000</w:t>
                  </w:r>
                </w:p>
              </w:tc>
              <w:tc>
                <w:tcPr>
                  <w:tcW w:w="1246" w:type="dxa"/>
                  <w:vAlign w:val="center"/>
                </w:tcPr>
                <w:p w14:paraId="04C383A8">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3.06</w:t>
                  </w:r>
                </w:p>
              </w:tc>
              <w:tc>
                <w:tcPr>
                  <w:tcW w:w="1246" w:type="dxa"/>
                  <w:vAlign w:val="center"/>
                </w:tcPr>
                <w:p w14:paraId="15223525">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0.76</w:t>
                  </w:r>
                </w:p>
              </w:tc>
              <w:tc>
                <w:tcPr>
                  <w:tcW w:w="1277" w:type="dxa"/>
                  <w:vAlign w:val="center"/>
                </w:tcPr>
                <w:p w14:paraId="74F578B6">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2.3</w:t>
                  </w:r>
                </w:p>
              </w:tc>
              <w:tc>
                <w:tcPr>
                  <w:tcW w:w="1216" w:type="dxa"/>
                  <w:vAlign w:val="center"/>
                </w:tcPr>
                <w:p w14:paraId="4AD6F204">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295</w:t>
                  </w:r>
                </w:p>
              </w:tc>
            </w:tr>
          </w:tbl>
          <w:p w14:paraId="24BB32F9">
            <w:pPr>
              <w:wordWrap/>
              <w:ind w:firstLine="480" w:firstLineChars="200"/>
              <w:rPr>
                <w:rFonts w:hint="default" w:ascii="Times New Roman" w:hAnsi="Times New Roman" w:cs="Times New Roman"/>
                <w:color w:val="auto"/>
              </w:rPr>
            </w:pPr>
            <w:r>
              <w:rPr>
                <w:rFonts w:hint="default" w:ascii="Times New Roman" w:hAnsi="Times New Roman" w:cs="Times New Roman"/>
                <w:color w:val="auto"/>
              </w:rPr>
              <w:t>活性炭使用天数分别为</w:t>
            </w:r>
            <w:r>
              <w:rPr>
                <w:rFonts w:hint="default" w:ascii="Times New Roman" w:hAnsi="Times New Roman" w:cs="Times New Roman"/>
                <w:color w:val="auto"/>
                <w:lang w:val="en-US" w:eastAsia="zh-CN"/>
              </w:rPr>
              <w:t>2</w:t>
            </w:r>
            <w:r>
              <w:rPr>
                <w:rFonts w:hint="eastAsia" w:cs="Times New Roman"/>
                <w:color w:val="auto"/>
                <w:lang w:val="en-US" w:eastAsia="zh-CN"/>
              </w:rPr>
              <w:t>9</w:t>
            </w:r>
            <w:r>
              <w:rPr>
                <w:rFonts w:hint="default" w:ascii="Times New Roman" w:hAnsi="Times New Roman" w:cs="Times New Roman"/>
                <w:color w:val="auto"/>
                <w:lang w:val="en-US" w:eastAsia="zh-CN"/>
              </w:rPr>
              <w:t>5</w:t>
            </w:r>
            <w:r>
              <w:rPr>
                <w:rFonts w:hint="default" w:ascii="Times New Roman" w:hAnsi="Times New Roman" w:cs="Times New Roman"/>
                <w:color w:val="auto"/>
              </w:rPr>
              <w:t>天，项目年工作300天，每月工作25天，考虑活性炭吸附效果，活性炭吸附装置活性炭每3个月更换一次，每次共更换</w:t>
            </w:r>
            <w:r>
              <w:rPr>
                <w:rFonts w:hint="eastAsia" w:cs="Times New Roman"/>
                <w:color w:val="auto"/>
                <w:lang w:val="en-US" w:eastAsia="zh-CN"/>
              </w:rPr>
              <w:t>2032</w:t>
            </w:r>
            <w:r>
              <w:rPr>
                <w:rFonts w:hint="default" w:ascii="Times New Roman" w:hAnsi="Times New Roman" w:cs="Times New Roman"/>
                <w:color w:val="auto"/>
              </w:rPr>
              <w:t>kg，更换的活性炭量为</w:t>
            </w:r>
            <w:r>
              <w:rPr>
                <w:rFonts w:hint="eastAsia" w:cs="Times New Roman"/>
                <w:color w:val="auto"/>
                <w:lang w:val="en-US" w:eastAsia="zh-CN"/>
              </w:rPr>
              <w:t>8.128</w:t>
            </w:r>
            <w:r>
              <w:rPr>
                <w:rFonts w:hint="default" w:ascii="Times New Roman" w:hAnsi="Times New Roman" w:cs="Times New Roman"/>
                <w:color w:val="auto"/>
              </w:rPr>
              <w:t>t/a，吸附的有机废气量为</w:t>
            </w:r>
            <w:r>
              <w:rPr>
                <w:rFonts w:hint="eastAsia" w:cs="Times New Roman"/>
                <w:color w:val="auto"/>
                <w:lang w:val="en-US" w:eastAsia="zh-CN"/>
              </w:rPr>
              <w:t>0.2991</w:t>
            </w:r>
            <w:r>
              <w:rPr>
                <w:rFonts w:hint="default" w:ascii="Times New Roman" w:hAnsi="Times New Roman" w:cs="Times New Roman"/>
                <w:color w:val="auto"/>
              </w:rPr>
              <w:t>t/a，计算得出废活性炭产生量为</w:t>
            </w:r>
            <w:r>
              <w:rPr>
                <w:rFonts w:hint="eastAsia" w:cs="Times New Roman"/>
                <w:color w:val="auto"/>
                <w:lang w:val="en-US" w:eastAsia="zh-CN"/>
              </w:rPr>
              <w:t>8.4271</w:t>
            </w:r>
            <w:r>
              <w:rPr>
                <w:rFonts w:hint="default" w:ascii="Times New Roman" w:hAnsi="Times New Roman" w:cs="Times New Roman"/>
                <w:color w:val="auto"/>
              </w:rPr>
              <w:t>t/a，约</w:t>
            </w:r>
            <w:r>
              <w:rPr>
                <w:rFonts w:hint="eastAsia" w:cs="Times New Roman"/>
                <w:color w:val="auto"/>
                <w:lang w:eastAsia="zh-CN"/>
              </w:rPr>
              <w:t>8.43</w:t>
            </w:r>
            <w:r>
              <w:rPr>
                <w:rFonts w:hint="default" w:ascii="Times New Roman" w:hAnsi="Times New Roman" w:cs="Times New Roman"/>
                <w:color w:val="auto"/>
              </w:rPr>
              <w:t>t/a，收集后定期交有危险废物资质单位处置。</w:t>
            </w:r>
          </w:p>
          <w:p w14:paraId="0D3A8784">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rPr>
              <w:t>根据《广东省工业源挥发性有机物减排量核算方法（试行）》（粤环办〔2021〕92号 附件1）表4.5-2，建议直接将“活性炭年更换量×活性炭吸附比例（蜂窝状活性炭取值20%）”作为废气处理设施VOCs削减量并进行复核，项目废气处理设施VOCs削减量为</w:t>
            </w:r>
            <w:r>
              <w:rPr>
                <w:rFonts w:hint="eastAsia" w:cs="Times New Roman"/>
                <w:color w:val="auto"/>
                <w:lang w:val="en-US" w:eastAsia="zh-CN"/>
              </w:rPr>
              <w:t>0.2991t</w:t>
            </w:r>
            <w:r>
              <w:rPr>
                <w:rFonts w:hint="default" w:ascii="Times New Roman" w:hAnsi="Times New Roman" w:cs="Times New Roman"/>
                <w:color w:val="auto"/>
              </w:rPr>
              <w:t>/a，计算得出活性炭年更换量应不小于</w:t>
            </w:r>
            <w:r>
              <w:rPr>
                <w:rFonts w:hint="eastAsia" w:cs="Times New Roman"/>
                <w:color w:val="auto"/>
                <w:lang w:val="en-US" w:eastAsia="zh-CN"/>
              </w:rPr>
              <w:t>1.4955</w:t>
            </w:r>
            <w:r>
              <w:rPr>
                <w:rFonts w:hint="default" w:ascii="Times New Roman" w:hAnsi="Times New Roman" w:cs="Times New Roman"/>
                <w:color w:val="auto"/>
              </w:rPr>
              <w:t>t/a，由上式计算得出年更换量为</w:t>
            </w:r>
            <w:r>
              <w:rPr>
                <w:rFonts w:hint="eastAsia" w:cs="Times New Roman"/>
                <w:color w:val="auto"/>
                <w:lang w:val="en-US" w:eastAsia="zh-CN"/>
              </w:rPr>
              <w:t>8.43</w:t>
            </w:r>
            <w:r>
              <w:rPr>
                <w:rFonts w:hint="default" w:ascii="Times New Roman" w:hAnsi="Times New Roman" w:cs="Times New Roman"/>
                <w:color w:val="auto"/>
              </w:rPr>
              <w:t>t/a，符合文件要求。</w:t>
            </w:r>
          </w:p>
          <w:p w14:paraId="7FA9E68F">
            <w:pPr>
              <w:wordWrap/>
              <w:bidi w:val="0"/>
              <w:ind w:firstLine="482" w:firstLineChars="200"/>
              <w:rPr>
                <w:rFonts w:hint="default" w:ascii="Times New Roman" w:hAnsi="Times New Roman" w:eastAsia="宋体" w:cs="Times New Roman"/>
                <w:b/>
                <w:bCs/>
                <w:color w:val="auto"/>
                <w:sz w:val="24"/>
                <w:szCs w:val="32"/>
                <w:lang w:val="en-US" w:eastAsia="zh-CN"/>
              </w:rPr>
            </w:pPr>
            <w:r>
              <w:rPr>
                <w:rFonts w:hint="eastAsia" w:cs="Times New Roman"/>
                <w:b/>
                <w:bCs/>
                <w:color w:val="auto"/>
                <w:sz w:val="24"/>
                <w:szCs w:val="32"/>
                <w:lang w:val="en-US" w:eastAsia="zh-CN"/>
              </w:rPr>
              <w:t>⑦</w:t>
            </w:r>
            <w:r>
              <w:rPr>
                <w:rFonts w:hint="default" w:ascii="Times New Roman" w:hAnsi="Times New Roman" w:eastAsia="宋体" w:cs="Times New Roman"/>
                <w:b/>
                <w:bCs/>
                <w:color w:val="auto"/>
                <w:sz w:val="24"/>
                <w:szCs w:val="32"/>
                <w:lang w:val="en-US" w:eastAsia="zh-CN"/>
              </w:rPr>
              <w:t>废网版</w:t>
            </w:r>
          </w:p>
          <w:p w14:paraId="508C372C">
            <w:pPr>
              <w:wordWrap/>
              <w:bidi w:val="0"/>
              <w:ind w:firstLine="480" w:firstLineChars="200"/>
              <w:rPr>
                <w:rFonts w:hint="default" w:ascii="Times New Roman" w:hAnsi="Times New Roman" w:eastAsia="宋体" w:cs="Times New Roman"/>
                <w:color w:val="auto"/>
                <w:sz w:val="24"/>
                <w:szCs w:val="32"/>
                <w:lang w:val="en-US" w:eastAsia="zh-CN"/>
              </w:rPr>
            </w:pPr>
            <w:r>
              <w:rPr>
                <w:rFonts w:hint="default" w:ascii="Times New Roman" w:hAnsi="Times New Roman" w:eastAsia="宋体" w:cs="Times New Roman"/>
                <w:color w:val="auto"/>
                <w:sz w:val="24"/>
                <w:szCs w:val="32"/>
                <w:lang w:val="en-US" w:eastAsia="zh-CN"/>
              </w:rPr>
              <w:t>项目定期更换丝印机的网版，更换的废网版产生量为0.</w:t>
            </w:r>
            <w:r>
              <w:rPr>
                <w:rFonts w:hint="eastAsia" w:cs="Times New Roman"/>
                <w:color w:val="auto"/>
                <w:sz w:val="24"/>
                <w:szCs w:val="32"/>
                <w:lang w:val="en-US" w:eastAsia="zh-CN"/>
              </w:rPr>
              <w:t>05</w:t>
            </w:r>
            <w:r>
              <w:rPr>
                <w:rFonts w:hint="default" w:ascii="Times New Roman" w:hAnsi="Times New Roman" w:eastAsia="宋体" w:cs="Times New Roman"/>
                <w:color w:val="auto"/>
                <w:sz w:val="24"/>
                <w:szCs w:val="32"/>
                <w:lang w:val="en-US" w:eastAsia="zh-CN"/>
              </w:rPr>
              <w:t>t/a，沾染了水性油墨，属于危险废物，据《国家危险废物名录（2021年版）》，属于HW12 染料、涂料废物，危废代码为900-253-12使用油墨和有机溶剂进行丝网印刷过程中产生的废物，收集后定期交有危险废物资质单位处置。</w:t>
            </w:r>
          </w:p>
          <w:p w14:paraId="45773072">
            <w:pPr>
              <w:wordWrap/>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项目危险废物汇总见下表。</w:t>
            </w:r>
          </w:p>
          <w:p w14:paraId="7D6765BD">
            <w:pPr>
              <w:spacing w:line="240" w:lineRule="auto"/>
              <w:jc w:val="center"/>
              <w:rPr>
                <w:rFonts w:hint="default" w:ascii="Times New Roman" w:hAnsi="Times New Roman" w:cs="Times New Roman"/>
                <w:b/>
                <w:color w:val="auto"/>
                <w:kern w:val="0"/>
                <w:szCs w:val="22"/>
              </w:rPr>
            </w:pPr>
            <w:bookmarkStart w:id="24" w:name="项目危险废物汇总表"/>
            <w:r>
              <w:rPr>
                <w:rFonts w:hint="default" w:ascii="Times New Roman" w:hAnsi="Times New Roman" w:cs="Times New Roman"/>
                <w:b/>
                <w:color w:val="auto"/>
                <w:kern w:val="0"/>
                <w:szCs w:val="22"/>
              </w:rPr>
              <w:t>表</w:t>
            </w:r>
            <w:r>
              <w:rPr>
                <w:rFonts w:hint="default" w:ascii="Times New Roman" w:hAnsi="Times New Roman" w:cs="Times New Roman"/>
                <w:b/>
                <w:color w:val="auto"/>
                <w:kern w:val="0"/>
                <w:szCs w:val="22"/>
                <w:lang w:val="en-US" w:eastAsia="zh-CN"/>
              </w:rPr>
              <w:t>4-24</w:t>
            </w:r>
            <w:r>
              <w:rPr>
                <w:rFonts w:hint="default" w:ascii="Times New Roman" w:hAnsi="Times New Roman" w:cs="Times New Roman"/>
                <w:b/>
                <w:color w:val="auto"/>
                <w:kern w:val="0"/>
                <w:szCs w:val="22"/>
              </w:rPr>
              <w:t xml:space="preserve"> 项目</w:t>
            </w:r>
            <w:bookmarkStart w:id="25" w:name="危险废物汇总表"/>
            <w:r>
              <w:rPr>
                <w:rFonts w:hint="default" w:ascii="Times New Roman" w:hAnsi="Times New Roman" w:cs="Times New Roman"/>
                <w:b/>
                <w:color w:val="auto"/>
                <w:kern w:val="0"/>
                <w:szCs w:val="22"/>
              </w:rPr>
              <w:t>危险废物汇总表</w:t>
            </w:r>
            <w:bookmarkEnd w:id="24"/>
            <w:bookmarkEnd w:id="25"/>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
              <w:gridCol w:w="815"/>
              <w:gridCol w:w="1261"/>
              <w:gridCol w:w="697"/>
              <w:gridCol w:w="889"/>
              <w:gridCol w:w="415"/>
              <w:gridCol w:w="666"/>
              <w:gridCol w:w="681"/>
              <w:gridCol w:w="698"/>
              <w:gridCol w:w="635"/>
              <w:gridCol w:w="753"/>
            </w:tblGrid>
            <w:tr w14:paraId="6F9EF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9" w:type="pct"/>
                  <w:vAlign w:val="center"/>
                </w:tcPr>
                <w:p w14:paraId="05668D1A">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危险废物名称</w:t>
                  </w:r>
                </w:p>
              </w:tc>
              <w:tc>
                <w:tcPr>
                  <w:tcW w:w="487" w:type="pct"/>
                  <w:vAlign w:val="center"/>
                </w:tcPr>
                <w:p w14:paraId="485A64E9">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危险废物类别</w:t>
                  </w:r>
                </w:p>
              </w:tc>
              <w:tc>
                <w:tcPr>
                  <w:tcW w:w="754" w:type="pct"/>
                  <w:vAlign w:val="center"/>
                </w:tcPr>
                <w:p w14:paraId="32779D56">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危险废物代码</w:t>
                  </w:r>
                </w:p>
              </w:tc>
              <w:tc>
                <w:tcPr>
                  <w:tcW w:w="416" w:type="pct"/>
                  <w:vAlign w:val="center"/>
                </w:tcPr>
                <w:p w14:paraId="20C28E3D">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产生量t/a</w:t>
                  </w:r>
                </w:p>
              </w:tc>
              <w:tc>
                <w:tcPr>
                  <w:tcW w:w="531" w:type="pct"/>
                  <w:vAlign w:val="center"/>
                </w:tcPr>
                <w:p w14:paraId="5CD64CF7">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产生工序及装置</w:t>
                  </w:r>
                </w:p>
              </w:tc>
              <w:tc>
                <w:tcPr>
                  <w:tcW w:w="248" w:type="pct"/>
                  <w:vAlign w:val="center"/>
                </w:tcPr>
                <w:p w14:paraId="4E351372">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形态</w:t>
                  </w:r>
                </w:p>
              </w:tc>
              <w:tc>
                <w:tcPr>
                  <w:tcW w:w="398" w:type="pct"/>
                  <w:vAlign w:val="center"/>
                </w:tcPr>
                <w:p w14:paraId="4C3A851D">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主要成分</w:t>
                  </w:r>
                </w:p>
              </w:tc>
              <w:tc>
                <w:tcPr>
                  <w:tcW w:w="407" w:type="pct"/>
                  <w:vAlign w:val="center"/>
                </w:tcPr>
                <w:p w14:paraId="54F13585">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有害成分</w:t>
                  </w:r>
                </w:p>
              </w:tc>
              <w:tc>
                <w:tcPr>
                  <w:tcW w:w="417" w:type="pct"/>
                  <w:vAlign w:val="center"/>
                </w:tcPr>
                <w:p w14:paraId="36865E41">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产废周期</w:t>
                  </w:r>
                </w:p>
              </w:tc>
              <w:tc>
                <w:tcPr>
                  <w:tcW w:w="379" w:type="pct"/>
                  <w:vAlign w:val="center"/>
                </w:tcPr>
                <w:p w14:paraId="3FB9C833">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危险特性</w:t>
                  </w:r>
                </w:p>
              </w:tc>
              <w:tc>
                <w:tcPr>
                  <w:tcW w:w="450" w:type="pct"/>
                  <w:vAlign w:val="center"/>
                </w:tcPr>
                <w:p w14:paraId="37AC9A32">
                  <w:pPr>
                    <w:autoSpaceDE w:val="0"/>
                    <w:autoSpaceDN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污染防治措施</w:t>
                  </w:r>
                </w:p>
              </w:tc>
            </w:tr>
            <w:tr w14:paraId="49E07D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3DB116D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487" w:type="pct"/>
                  <w:vAlign w:val="center"/>
                </w:tcPr>
                <w:p w14:paraId="4C7186D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HW08</w:t>
                  </w:r>
                </w:p>
              </w:tc>
              <w:tc>
                <w:tcPr>
                  <w:tcW w:w="754" w:type="pct"/>
                  <w:vAlign w:val="center"/>
                </w:tcPr>
                <w:p w14:paraId="55E242E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900-249-08</w:t>
                  </w:r>
                </w:p>
              </w:tc>
              <w:tc>
                <w:tcPr>
                  <w:tcW w:w="416" w:type="pct"/>
                  <w:vAlign w:val="center"/>
                </w:tcPr>
                <w:p w14:paraId="6A9E088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w:t>
                  </w:r>
                </w:p>
              </w:tc>
              <w:tc>
                <w:tcPr>
                  <w:tcW w:w="531" w:type="pct"/>
                  <w:vAlign w:val="center"/>
                </w:tcPr>
                <w:p w14:paraId="20A871E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设备维护、</w:t>
                  </w:r>
                  <w:r>
                    <w:rPr>
                      <w:rFonts w:hint="eastAsia" w:cs="Times New Roman"/>
                      <w:color w:val="auto"/>
                      <w:sz w:val="21"/>
                      <w:szCs w:val="21"/>
                      <w:lang w:val="en-US" w:eastAsia="zh-CN"/>
                    </w:rPr>
                    <w:t>机加工、</w:t>
                  </w:r>
                  <w:r>
                    <w:rPr>
                      <w:rFonts w:hint="default" w:ascii="Times New Roman" w:hAnsi="Times New Roman" w:cs="Times New Roman"/>
                      <w:color w:val="auto"/>
                      <w:sz w:val="21"/>
                      <w:szCs w:val="21"/>
                      <w:lang w:val="en-US" w:eastAsia="zh-CN"/>
                    </w:rPr>
                    <w:t>电火花</w:t>
                  </w:r>
                </w:p>
              </w:tc>
              <w:tc>
                <w:tcPr>
                  <w:tcW w:w="248" w:type="pct"/>
                  <w:vAlign w:val="center"/>
                </w:tcPr>
                <w:p w14:paraId="5DB91C2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液态</w:t>
                  </w:r>
                </w:p>
              </w:tc>
              <w:tc>
                <w:tcPr>
                  <w:tcW w:w="398" w:type="pct"/>
                  <w:vAlign w:val="center"/>
                </w:tcPr>
                <w:p w14:paraId="53F75C5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矿物油</w:t>
                  </w:r>
                </w:p>
              </w:tc>
              <w:tc>
                <w:tcPr>
                  <w:tcW w:w="407" w:type="pct"/>
                  <w:vAlign w:val="center"/>
                </w:tcPr>
                <w:p w14:paraId="19BE657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矿物油</w:t>
                  </w:r>
                </w:p>
              </w:tc>
              <w:tc>
                <w:tcPr>
                  <w:tcW w:w="417" w:type="pct"/>
                  <w:vAlign w:val="center"/>
                </w:tcPr>
                <w:p w14:paraId="68A73DB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半年</w:t>
                  </w:r>
                </w:p>
              </w:tc>
              <w:tc>
                <w:tcPr>
                  <w:tcW w:w="379" w:type="pct"/>
                  <w:vAlign w:val="center"/>
                </w:tcPr>
                <w:p w14:paraId="626B0EF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T,I</w:t>
                  </w:r>
                </w:p>
              </w:tc>
              <w:tc>
                <w:tcPr>
                  <w:tcW w:w="450" w:type="pct"/>
                  <w:vMerge w:val="restart"/>
                  <w:vAlign w:val="center"/>
                </w:tcPr>
                <w:p w14:paraId="5D5D849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放置于危废暂存间，经收集后交有资质的单位处理处置</w:t>
                  </w:r>
                </w:p>
              </w:tc>
            </w:tr>
            <w:tr w14:paraId="1BE59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26F7CEC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废原料桶</w:t>
                  </w:r>
                </w:p>
              </w:tc>
              <w:tc>
                <w:tcPr>
                  <w:tcW w:w="487" w:type="pct"/>
                  <w:vAlign w:val="center"/>
                </w:tcPr>
                <w:p w14:paraId="3DF3CF3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3DE3F5D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416" w:type="pct"/>
                  <w:vAlign w:val="center"/>
                </w:tcPr>
                <w:p w14:paraId="20A986EC">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531" w:type="pct"/>
                  <w:vAlign w:val="center"/>
                </w:tcPr>
                <w:p w14:paraId="36F6771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248" w:type="pct"/>
                  <w:vAlign w:val="center"/>
                </w:tcPr>
                <w:p w14:paraId="7FA72CE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398" w:type="pct"/>
                  <w:vAlign w:val="center"/>
                </w:tcPr>
                <w:p w14:paraId="505329DC">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07" w:type="pct"/>
                  <w:vAlign w:val="center"/>
                </w:tcPr>
                <w:p w14:paraId="0AE83CE4">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17" w:type="pct"/>
                  <w:vAlign w:val="center"/>
                </w:tcPr>
                <w:p w14:paraId="0AC3251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379" w:type="pct"/>
                  <w:vAlign w:val="center"/>
                </w:tcPr>
                <w:p w14:paraId="2AACA3E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4E6F6D64">
                  <w:pPr>
                    <w:autoSpaceDE w:val="0"/>
                    <w:autoSpaceDN w:val="0"/>
                    <w:spacing w:line="240" w:lineRule="auto"/>
                    <w:jc w:val="center"/>
                    <w:rPr>
                      <w:rFonts w:hint="default" w:ascii="Times New Roman" w:hAnsi="Times New Roman" w:cs="Times New Roman"/>
                      <w:color w:val="auto"/>
                      <w:sz w:val="21"/>
                      <w:szCs w:val="21"/>
                    </w:rPr>
                  </w:pPr>
                </w:p>
              </w:tc>
            </w:tr>
            <w:tr w14:paraId="5F20B1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0BE9004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废抹布及废手套</w:t>
                  </w:r>
                </w:p>
              </w:tc>
              <w:tc>
                <w:tcPr>
                  <w:tcW w:w="487" w:type="pct"/>
                  <w:vAlign w:val="center"/>
                </w:tcPr>
                <w:p w14:paraId="21025EC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31ED67B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416" w:type="pct"/>
                  <w:vAlign w:val="center"/>
                </w:tcPr>
                <w:p w14:paraId="69C4CB60">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531" w:type="pct"/>
                  <w:vAlign w:val="center"/>
                </w:tcPr>
                <w:p w14:paraId="5722966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248" w:type="pct"/>
                  <w:vAlign w:val="center"/>
                </w:tcPr>
                <w:p w14:paraId="71C1323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398" w:type="pct"/>
                  <w:vAlign w:val="center"/>
                </w:tcPr>
                <w:p w14:paraId="5849B4A8">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矿物油</w:t>
                  </w:r>
                </w:p>
              </w:tc>
              <w:tc>
                <w:tcPr>
                  <w:tcW w:w="407" w:type="pct"/>
                  <w:vAlign w:val="center"/>
                </w:tcPr>
                <w:p w14:paraId="68CE24D2">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矿物油</w:t>
                  </w:r>
                </w:p>
              </w:tc>
              <w:tc>
                <w:tcPr>
                  <w:tcW w:w="417" w:type="pct"/>
                  <w:vAlign w:val="center"/>
                </w:tcPr>
                <w:p w14:paraId="4C3F535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379" w:type="pct"/>
                  <w:vAlign w:val="center"/>
                </w:tcPr>
                <w:p w14:paraId="37D46EF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06478E72">
                  <w:pPr>
                    <w:autoSpaceDE w:val="0"/>
                    <w:autoSpaceDN w:val="0"/>
                    <w:spacing w:line="240" w:lineRule="auto"/>
                    <w:jc w:val="center"/>
                    <w:rPr>
                      <w:rFonts w:hint="default" w:ascii="Times New Roman" w:hAnsi="Times New Roman" w:cs="Times New Roman"/>
                      <w:color w:val="auto"/>
                      <w:sz w:val="21"/>
                      <w:szCs w:val="21"/>
                    </w:rPr>
                  </w:pPr>
                </w:p>
              </w:tc>
            </w:tr>
            <w:tr w14:paraId="51F54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1E364F43">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喷淋废水</w:t>
                  </w:r>
                </w:p>
              </w:tc>
              <w:tc>
                <w:tcPr>
                  <w:tcW w:w="487" w:type="pct"/>
                  <w:vAlign w:val="center"/>
                </w:tcPr>
                <w:p w14:paraId="443C0E4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171F46F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416" w:type="pct"/>
                  <w:vAlign w:val="center"/>
                </w:tcPr>
                <w:p w14:paraId="1FA2D51D">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w:t>
                  </w:r>
                </w:p>
              </w:tc>
              <w:tc>
                <w:tcPr>
                  <w:tcW w:w="531" w:type="pct"/>
                  <w:vAlign w:val="center"/>
                </w:tcPr>
                <w:p w14:paraId="0B29342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248" w:type="pct"/>
                  <w:vAlign w:val="center"/>
                </w:tcPr>
                <w:p w14:paraId="0B5D16F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液态</w:t>
                  </w:r>
                </w:p>
              </w:tc>
              <w:tc>
                <w:tcPr>
                  <w:tcW w:w="398" w:type="pct"/>
                  <w:vAlign w:val="center"/>
                </w:tcPr>
                <w:p w14:paraId="0519A915">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07" w:type="pct"/>
                  <w:vAlign w:val="center"/>
                </w:tcPr>
                <w:p w14:paraId="04AD5713">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17" w:type="pct"/>
                  <w:vAlign w:val="center"/>
                </w:tcPr>
                <w:p w14:paraId="7B10D6B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379" w:type="pct"/>
                  <w:vAlign w:val="center"/>
                </w:tcPr>
                <w:p w14:paraId="0064EE0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4F05EE12">
                  <w:pPr>
                    <w:autoSpaceDE w:val="0"/>
                    <w:autoSpaceDN w:val="0"/>
                    <w:spacing w:line="240" w:lineRule="auto"/>
                    <w:jc w:val="center"/>
                    <w:rPr>
                      <w:rFonts w:hint="default" w:ascii="Times New Roman" w:hAnsi="Times New Roman" w:cs="Times New Roman"/>
                      <w:color w:val="auto"/>
                      <w:sz w:val="21"/>
                      <w:szCs w:val="21"/>
                    </w:rPr>
                  </w:pPr>
                </w:p>
              </w:tc>
            </w:tr>
            <w:tr w14:paraId="316F2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3F8AA39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含油金属屑</w:t>
                  </w:r>
                </w:p>
              </w:tc>
              <w:tc>
                <w:tcPr>
                  <w:tcW w:w="487" w:type="pct"/>
                  <w:vAlign w:val="center"/>
                </w:tcPr>
                <w:p w14:paraId="75C1E93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HW09</w:t>
                  </w:r>
                </w:p>
              </w:tc>
              <w:tc>
                <w:tcPr>
                  <w:tcW w:w="754" w:type="pct"/>
                  <w:vAlign w:val="center"/>
                </w:tcPr>
                <w:p w14:paraId="6E817D05">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900-006-09</w:t>
                  </w:r>
                </w:p>
              </w:tc>
              <w:tc>
                <w:tcPr>
                  <w:tcW w:w="416" w:type="pct"/>
                  <w:vAlign w:val="center"/>
                </w:tcPr>
                <w:p w14:paraId="669A8D02">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0.05</w:t>
                  </w:r>
                </w:p>
              </w:tc>
              <w:tc>
                <w:tcPr>
                  <w:tcW w:w="531" w:type="pct"/>
                  <w:vAlign w:val="center"/>
                </w:tcPr>
                <w:p w14:paraId="5E5067B0">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CNC加工</w:t>
                  </w:r>
                </w:p>
              </w:tc>
              <w:tc>
                <w:tcPr>
                  <w:tcW w:w="248" w:type="pct"/>
                  <w:vAlign w:val="center"/>
                </w:tcPr>
                <w:p w14:paraId="0AB9EED9">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固态</w:t>
                  </w:r>
                </w:p>
              </w:tc>
              <w:tc>
                <w:tcPr>
                  <w:tcW w:w="398" w:type="pct"/>
                  <w:vAlign w:val="center"/>
                </w:tcPr>
                <w:p w14:paraId="246D5FA2">
                  <w:pPr>
                    <w:autoSpaceDE w:val="0"/>
                    <w:autoSpaceDN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切削液</w:t>
                  </w:r>
                </w:p>
              </w:tc>
              <w:tc>
                <w:tcPr>
                  <w:tcW w:w="407" w:type="pct"/>
                  <w:vAlign w:val="center"/>
                </w:tcPr>
                <w:p w14:paraId="2CE422B7">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切削液</w:t>
                  </w:r>
                </w:p>
              </w:tc>
              <w:tc>
                <w:tcPr>
                  <w:tcW w:w="417" w:type="pct"/>
                  <w:vAlign w:val="center"/>
                </w:tcPr>
                <w:p w14:paraId="578A953B">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1个月</w:t>
                  </w:r>
                </w:p>
              </w:tc>
              <w:tc>
                <w:tcPr>
                  <w:tcW w:w="379" w:type="pct"/>
                  <w:vAlign w:val="center"/>
                </w:tcPr>
                <w:p w14:paraId="16F44D2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T,I</w:t>
                  </w:r>
                </w:p>
              </w:tc>
              <w:tc>
                <w:tcPr>
                  <w:tcW w:w="450" w:type="pct"/>
                  <w:vMerge w:val="continue"/>
                  <w:vAlign w:val="center"/>
                </w:tcPr>
                <w:p w14:paraId="0D6D4D59">
                  <w:pPr>
                    <w:autoSpaceDE w:val="0"/>
                    <w:autoSpaceDN w:val="0"/>
                    <w:spacing w:line="240" w:lineRule="auto"/>
                    <w:jc w:val="center"/>
                    <w:rPr>
                      <w:rFonts w:hint="default" w:ascii="Times New Roman" w:hAnsi="Times New Roman" w:cs="Times New Roman"/>
                      <w:color w:val="auto"/>
                      <w:sz w:val="21"/>
                      <w:szCs w:val="21"/>
                    </w:rPr>
                  </w:pPr>
                </w:p>
              </w:tc>
            </w:tr>
            <w:tr w14:paraId="30EB7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6D694C9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487" w:type="pct"/>
                  <w:vAlign w:val="center"/>
                </w:tcPr>
                <w:p w14:paraId="38142EF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w:t>
                  </w:r>
                </w:p>
              </w:tc>
              <w:tc>
                <w:tcPr>
                  <w:tcW w:w="754" w:type="pct"/>
                  <w:vAlign w:val="center"/>
                </w:tcPr>
                <w:p w14:paraId="59653A1D">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900-039-49</w:t>
                  </w:r>
                </w:p>
              </w:tc>
              <w:tc>
                <w:tcPr>
                  <w:tcW w:w="416" w:type="pct"/>
                  <w:vAlign w:val="center"/>
                </w:tcPr>
                <w:p w14:paraId="7FF4CCE7">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8.43</w:t>
                  </w:r>
                </w:p>
              </w:tc>
              <w:tc>
                <w:tcPr>
                  <w:tcW w:w="531" w:type="pct"/>
                  <w:vAlign w:val="center"/>
                </w:tcPr>
                <w:p w14:paraId="262D5F0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活性炭吸附装置</w:t>
                  </w:r>
                </w:p>
              </w:tc>
              <w:tc>
                <w:tcPr>
                  <w:tcW w:w="248" w:type="pct"/>
                  <w:vAlign w:val="center"/>
                </w:tcPr>
                <w:p w14:paraId="009898A8">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398" w:type="pct"/>
                  <w:vAlign w:val="center"/>
                </w:tcPr>
                <w:p w14:paraId="5045111F">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07" w:type="pct"/>
                  <w:vAlign w:val="center"/>
                </w:tcPr>
                <w:p w14:paraId="5981282F">
                  <w:pPr>
                    <w:autoSpaceDE w:val="0"/>
                    <w:autoSpaceDN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有机物</w:t>
                  </w:r>
                </w:p>
              </w:tc>
              <w:tc>
                <w:tcPr>
                  <w:tcW w:w="417" w:type="pct"/>
                  <w:vAlign w:val="center"/>
                </w:tcPr>
                <w:p w14:paraId="2028388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379" w:type="pct"/>
                  <w:vAlign w:val="center"/>
                </w:tcPr>
                <w:p w14:paraId="2D6F73B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450" w:type="pct"/>
                  <w:vMerge w:val="continue"/>
                  <w:vAlign w:val="center"/>
                </w:tcPr>
                <w:p w14:paraId="48DD833D">
                  <w:pPr>
                    <w:autoSpaceDE w:val="0"/>
                    <w:autoSpaceDN w:val="0"/>
                    <w:spacing w:line="240" w:lineRule="auto"/>
                    <w:jc w:val="center"/>
                    <w:rPr>
                      <w:rFonts w:hint="default" w:ascii="Times New Roman" w:hAnsi="Times New Roman" w:cs="Times New Roman"/>
                      <w:color w:val="auto"/>
                      <w:sz w:val="21"/>
                      <w:szCs w:val="21"/>
                    </w:rPr>
                  </w:pPr>
                </w:p>
              </w:tc>
            </w:tr>
            <w:tr w14:paraId="0303C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509" w:type="pct"/>
                  <w:vAlign w:val="center"/>
                </w:tcPr>
                <w:p w14:paraId="3EDBF383">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废网版</w:t>
                  </w:r>
                </w:p>
              </w:tc>
              <w:tc>
                <w:tcPr>
                  <w:tcW w:w="487" w:type="pct"/>
                  <w:vAlign w:val="center"/>
                </w:tcPr>
                <w:p w14:paraId="76D962A3">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HW12</w:t>
                  </w:r>
                </w:p>
              </w:tc>
              <w:tc>
                <w:tcPr>
                  <w:tcW w:w="754" w:type="pct"/>
                  <w:vAlign w:val="center"/>
                </w:tcPr>
                <w:p w14:paraId="50B1E120">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900-253-12</w:t>
                  </w:r>
                </w:p>
              </w:tc>
              <w:tc>
                <w:tcPr>
                  <w:tcW w:w="416" w:type="pct"/>
                  <w:vAlign w:val="center"/>
                </w:tcPr>
                <w:p w14:paraId="7DCDDC4F">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c>
                <w:tcPr>
                  <w:tcW w:w="531" w:type="pct"/>
                  <w:vAlign w:val="center"/>
                </w:tcPr>
                <w:p w14:paraId="13B85D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网版清洁</w:t>
                  </w:r>
                </w:p>
              </w:tc>
              <w:tc>
                <w:tcPr>
                  <w:tcW w:w="248" w:type="pct"/>
                  <w:vAlign w:val="center"/>
                </w:tcPr>
                <w:p w14:paraId="7521F2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固态</w:t>
                  </w:r>
                </w:p>
              </w:tc>
              <w:tc>
                <w:tcPr>
                  <w:tcW w:w="398" w:type="pct"/>
                  <w:vAlign w:val="center"/>
                </w:tcPr>
                <w:p w14:paraId="076656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eastAsia="宋体" w:cs="Times New Roman"/>
                      <w:color w:val="auto"/>
                      <w:kern w:val="2"/>
                      <w:sz w:val="21"/>
                      <w:szCs w:val="21"/>
                      <w:lang w:val="en-US" w:eastAsia="zh-CN" w:bidi="ar-SA"/>
                    </w:rPr>
                    <w:t>油墨</w:t>
                  </w:r>
                </w:p>
              </w:tc>
              <w:tc>
                <w:tcPr>
                  <w:tcW w:w="407" w:type="pct"/>
                  <w:vAlign w:val="center"/>
                </w:tcPr>
                <w:p w14:paraId="37791D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eastAsia="宋体" w:cs="Times New Roman"/>
                      <w:color w:val="auto"/>
                      <w:kern w:val="2"/>
                      <w:sz w:val="21"/>
                      <w:szCs w:val="21"/>
                      <w:lang w:val="en-US" w:eastAsia="zh-CN" w:bidi="ar-SA"/>
                    </w:rPr>
                    <w:t>油墨</w:t>
                  </w:r>
                </w:p>
              </w:tc>
              <w:tc>
                <w:tcPr>
                  <w:tcW w:w="417" w:type="pct"/>
                  <w:vAlign w:val="center"/>
                </w:tcPr>
                <w:p w14:paraId="236305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月</w:t>
                  </w:r>
                </w:p>
              </w:tc>
              <w:tc>
                <w:tcPr>
                  <w:tcW w:w="379" w:type="pct"/>
                  <w:vAlign w:val="center"/>
                </w:tcPr>
                <w:p w14:paraId="3B752A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T，I</w:t>
                  </w:r>
                </w:p>
              </w:tc>
              <w:tc>
                <w:tcPr>
                  <w:tcW w:w="450" w:type="pct"/>
                  <w:vMerge w:val="continue"/>
                  <w:vAlign w:val="center"/>
                </w:tcPr>
                <w:p w14:paraId="6FEE2EFA">
                  <w:pPr>
                    <w:autoSpaceDE w:val="0"/>
                    <w:autoSpaceDN w:val="0"/>
                    <w:spacing w:line="240" w:lineRule="auto"/>
                    <w:jc w:val="center"/>
                    <w:rPr>
                      <w:rFonts w:hint="default" w:ascii="Times New Roman" w:hAnsi="Times New Roman" w:cs="Times New Roman"/>
                      <w:color w:val="auto"/>
                      <w:sz w:val="21"/>
                      <w:szCs w:val="21"/>
                    </w:rPr>
                  </w:pPr>
                </w:p>
              </w:tc>
            </w:tr>
          </w:tbl>
          <w:p w14:paraId="0869876A">
            <w:pPr>
              <w:ind w:firstLine="482" w:firstLineChars="200"/>
              <w:rPr>
                <w:rFonts w:hint="default" w:ascii="Times New Roman" w:hAnsi="Times New Roman" w:cs="Times New Roman"/>
                <w:b/>
                <w:bCs/>
                <w:color w:val="auto"/>
                <w:kern w:val="0"/>
                <w:szCs w:val="22"/>
              </w:rPr>
            </w:pPr>
            <w:r>
              <w:rPr>
                <w:rFonts w:hint="default" w:ascii="Times New Roman" w:hAnsi="Times New Roman" w:cs="Times New Roman"/>
                <w:b/>
                <w:bCs/>
                <w:color w:val="auto"/>
                <w:szCs w:val="22"/>
              </w:rPr>
              <w:t>3）生活垃</w:t>
            </w:r>
            <w:r>
              <w:rPr>
                <w:rFonts w:hint="default" w:ascii="Times New Roman" w:hAnsi="Times New Roman" w:cs="Times New Roman"/>
                <w:b/>
                <w:bCs/>
                <w:color w:val="auto"/>
                <w:kern w:val="0"/>
                <w:szCs w:val="22"/>
              </w:rPr>
              <w:t>圾</w:t>
            </w:r>
          </w:p>
          <w:p w14:paraId="3A5435D8">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lang w:bidi="ar"/>
              </w:rPr>
              <w:t>项目员工</w:t>
            </w:r>
            <w:r>
              <w:rPr>
                <w:rFonts w:hint="eastAsia" w:cs="Times New Roman"/>
                <w:color w:val="auto"/>
                <w:lang w:val="en-US" w:eastAsia="zh-CN" w:bidi="ar"/>
              </w:rPr>
              <w:t>在厂区住宿</w:t>
            </w:r>
            <w:r>
              <w:rPr>
                <w:rFonts w:hint="default" w:ascii="Times New Roman" w:hAnsi="Times New Roman" w:cs="Times New Roman"/>
                <w:color w:val="auto"/>
                <w:lang w:bidi="ar"/>
              </w:rPr>
              <w:t>，生活垃圾产生系数为</w:t>
            </w:r>
            <w:r>
              <w:rPr>
                <w:rFonts w:hint="eastAsia" w:cs="Times New Roman"/>
                <w:color w:val="auto"/>
                <w:lang w:val="en-US" w:eastAsia="zh-CN" w:bidi="ar"/>
              </w:rPr>
              <w:t>1</w:t>
            </w:r>
            <w:r>
              <w:rPr>
                <w:rFonts w:hint="default" w:ascii="Times New Roman" w:hAnsi="Times New Roman" w:cs="Times New Roman"/>
                <w:color w:val="auto"/>
                <w:lang w:bidi="ar"/>
              </w:rPr>
              <w:t>kg/人•d，项目拟招员工</w:t>
            </w:r>
            <w:r>
              <w:rPr>
                <w:rFonts w:hint="eastAsia" w:cs="Times New Roman"/>
                <w:color w:val="auto"/>
                <w:lang w:val="en-US" w:eastAsia="zh-CN" w:bidi="ar"/>
              </w:rPr>
              <w:t>100</w:t>
            </w:r>
            <w:r>
              <w:rPr>
                <w:rFonts w:hint="default" w:ascii="Times New Roman" w:hAnsi="Times New Roman" w:cs="Times New Roman"/>
                <w:color w:val="auto"/>
                <w:lang w:bidi="ar"/>
              </w:rPr>
              <w:t>人，年工作</w:t>
            </w:r>
            <w:r>
              <w:rPr>
                <w:rFonts w:hint="default" w:ascii="Times New Roman" w:hAnsi="Times New Roman" w:cs="Times New Roman"/>
                <w:color w:val="auto"/>
                <w:lang w:val="en-US" w:eastAsia="zh-CN" w:bidi="ar"/>
              </w:rPr>
              <w:t>300</w:t>
            </w:r>
            <w:r>
              <w:rPr>
                <w:rFonts w:hint="default" w:ascii="Times New Roman" w:hAnsi="Times New Roman" w:cs="Times New Roman"/>
                <w:color w:val="auto"/>
                <w:lang w:bidi="ar"/>
              </w:rPr>
              <w:t>天，则生活垃圾产生量为</w:t>
            </w:r>
            <w:r>
              <w:rPr>
                <w:rFonts w:hint="eastAsia" w:cs="Times New Roman"/>
                <w:color w:val="auto"/>
                <w:lang w:val="en-US" w:eastAsia="zh-CN" w:bidi="ar"/>
              </w:rPr>
              <w:t>30</w:t>
            </w:r>
            <w:r>
              <w:rPr>
                <w:rFonts w:hint="default" w:ascii="Times New Roman" w:hAnsi="Times New Roman" w:cs="Times New Roman"/>
                <w:color w:val="auto"/>
                <w:lang w:bidi="ar"/>
              </w:rPr>
              <w:t>t/a，由环卫部门定期清运。</w:t>
            </w:r>
          </w:p>
          <w:p w14:paraId="4F52F938">
            <w:pPr>
              <w:autoSpaceDE w:val="0"/>
              <w:autoSpaceDN w:val="0"/>
              <w:ind w:firstLine="480" w:firstLineChars="200"/>
              <w:rPr>
                <w:rFonts w:hint="default" w:ascii="Times New Roman" w:hAnsi="Times New Roman" w:cs="Times New Roman"/>
                <w:color w:val="auto"/>
              </w:rPr>
            </w:pPr>
            <w:r>
              <w:rPr>
                <w:rFonts w:hint="default" w:ascii="Times New Roman" w:hAnsi="Times New Roman" w:cs="Times New Roman"/>
                <w:color w:val="auto"/>
              </w:rPr>
              <w:t>项目固体废物产生情况及去向情况见下表。</w:t>
            </w:r>
          </w:p>
          <w:p w14:paraId="714E84D2">
            <w:pPr>
              <w:spacing w:line="240" w:lineRule="auto"/>
              <w:jc w:val="center"/>
              <w:rPr>
                <w:rFonts w:hint="default" w:ascii="Times New Roman" w:hAnsi="Times New Roman" w:cs="Times New Roman"/>
                <w:b/>
                <w:color w:val="auto"/>
                <w:kern w:val="0"/>
                <w:szCs w:val="22"/>
              </w:rPr>
            </w:pPr>
            <w:r>
              <w:rPr>
                <w:rFonts w:hint="default" w:ascii="Times New Roman" w:hAnsi="Times New Roman" w:cs="Times New Roman"/>
                <w:b/>
                <w:color w:val="auto"/>
                <w:kern w:val="0"/>
                <w:szCs w:val="22"/>
              </w:rPr>
              <w:t>表</w:t>
            </w:r>
            <w:r>
              <w:rPr>
                <w:rFonts w:hint="default" w:ascii="Times New Roman" w:hAnsi="Times New Roman" w:cs="Times New Roman"/>
                <w:b/>
                <w:color w:val="auto"/>
                <w:kern w:val="0"/>
                <w:szCs w:val="22"/>
                <w:lang w:val="en-US" w:eastAsia="zh-CN"/>
              </w:rPr>
              <w:t>4-25</w:t>
            </w:r>
            <w:r>
              <w:rPr>
                <w:rFonts w:hint="default" w:ascii="Times New Roman" w:hAnsi="Times New Roman" w:cs="Times New Roman"/>
                <w:b/>
                <w:color w:val="auto"/>
                <w:kern w:val="0"/>
                <w:szCs w:val="22"/>
              </w:rPr>
              <w:t xml:space="preserve"> 项目营运期固体废物产生量及去向一览表</w:t>
            </w:r>
          </w:p>
          <w:tbl>
            <w:tblPr>
              <w:tblStyle w:val="22"/>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1357"/>
              <w:gridCol w:w="657"/>
              <w:gridCol w:w="1410"/>
              <w:gridCol w:w="855"/>
              <w:gridCol w:w="672"/>
              <w:gridCol w:w="1034"/>
              <w:gridCol w:w="1125"/>
            </w:tblGrid>
            <w:tr w14:paraId="3739F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2F30FAF7">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产生工序</w:t>
                  </w:r>
                </w:p>
              </w:tc>
              <w:tc>
                <w:tcPr>
                  <w:tcW w:w="1357" w:type="dxa"/>
                  <w:vAlign w:val="center"/>
                </w:tcPr>
                <w:p w14:paraId="14136911">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废物名称</w:t>
                  </w:r>
                </w:p>
              </w:tc>
              <w:tc>
                <w:tcPr>
                  <w:tcW w:w="657" w:type="dxa"/>
                  <w:vAlign w:val="center"/>
                </w:tcPr>
                <w:p w14:paraId="3D4C0DD9">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废物类型</w:t>
                  </w:r>
                </w:p>
              </w:tc>
              <w:tc>
                <w:tcPr>
                  <w:tcW w:w="1410" w:type="dxa"/>
                  <w:vAlign w:val="center"/>
                </w:tcPr>
                <w:p w14:paraId="202B50D6">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废物代码</w:t>
                  </w:r>
                </w:p>
              </w:tc>
              <w:tc>
                <w:tcPr>
                  <w:tcW w:w="855" w:type="dxa"/>
                  <w:vAlign w:val="center"/>
                </w:tcPr>
                <w:p w14:paraId="68086FD9">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672" w:type="dxa"/>
                  <w:vAlign w:val="center"/>
                </w:tcPr>
                <w:p w14:paraId="4C5F521B">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形态</w:t>
                  </w:r>
                </w:p>
              </w:tc>
              <w:tc>
                <w:tcPr>
                  <w:tcW w:w="1034" w:type="dxa"/>
                  <w:vAlign w:val="center"/>
                </w:tcPr>
                <w:p w14:paraId="541EA1F9">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产废</w:t>
                  </w:r>
                </w:p>
                <w:p w14:paraId="77F648FD">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周期</w:t>
                  </w:r>
                </w:p>
              </w:tc>
              <w:tc>
                <w:tcPr>
                  <w:tcW w:w="1125" w:type="dxa"/>
                  <w:vAlign w:val="center"/>
                </w:tcPr>
                <w:p w14:paraId="4F7F8B43">
                  <w:pPr>
                    <w:wordWrap/>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污染防治措施</w:t>
                  </w:r>
                </w:p>
              </w:tc>
            </w:tr>
            <w:tr w14:paraId="744C2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31E51CDB">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生产过程</w:t>
                  </w:r>
                </w:p>
              </w:tc>
              <w:tc>
                <w:tcPr>
                  <w:tcW w:w="1357" w:type="dxa"/>
                  <w:vAlign w:val="center"/>
                </w:tcPr>
                <w:p w14:paraId="25D720D5">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金属边角料</w:t>
                  </w:r>
                </w:p>
              </w:tc>
              <w:tc>
                <w:tcPr>
                  <w:tcW w:w="657" w:type="dxa"/>
                  <w:vMerge w:val="restart"/>
                  <w:vAlign w:val="center"/>
                </w:tcPr>
                <w:p w14:paraId="51AFD884">
                  <w:pPr>
                    <w:wordWrap/>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一般固废</w:t>
                  </w:r>
                </w:p>
              </w:tc>
              <w:tc>
                <w:tcPr>
                  <w:tcW w:w="1410" w:type="dxa"/>
                  <w:vAlign w:val="center"/>
                </w:tcPr>
                <w:p w14:paraId="6B7D7552">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900-006-S17</w:t>
                  </w:r>
                </w:p>
              </w:tc>
              <w:tc>
                <w:tcPr>
                  <w:tcW w:w="855" w:type="dxa"/>
                  <w:vAlign w:val="center"/>
                </w:tcPr>
                <w:p w14:paraId="2D6DE988">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w:t>
                  </w:r>
                </w:p>
              </w:tc>
              <w:tc>
                <w:tcPr>
                  <w:tcW w:w="672" w:type="dxa"/>
                  <w:vAlign w:val="center"/>
                </w:tcPr>
                <w:p w14:paraId="0824C7C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00ACBC04">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Merge w:val="restart"/>
                  <w:vAlign w:val="center"/>
                </w:tcPr>
                <w:p w14:paraId="57435982">
                  <w:pPr>
                    <w:wordWrap/>
                    <w:spacing w:line="240" w:lineRule="auto"/>
                    <w:jc w:val="center"/>
                    <w:rPr>
                      <w:rFonts w:hint="default" w:ascii="Times New Roman" w:hAnsi="Times New Roman" w:cs="Times New Roman"/>
                      <w:color w:val="auto"/>
                      <w:sz w:val="21"/>
                      <w:szCs w:val="21"/>
                    </w:rPr>
                  </w:pPr>
                </w:p>
              </w:tc>
            </w:tr>
            <w:tr w14:paraId="2E104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6A91D853">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包装</w:t>
                  </w:r>
                </w:p>
              </w:tc>
              <w:tc>
                <w:tcPr>
                  <w:tcW w:w="1357" w:type="dxa"/>
                  <w:vAlign w:val="center"/>
                </w:tcPr>
                <w:p w14:paraId="7AB9FC74">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废包装材料</w:t>
                  </w:r>
                </w:p>
              </w:tc>
              <w:tc>
                <w:tcPr>
                  <w:tcW w:w="657" w:type="dxa"/>
                  <w:vMerge w:val="continue"/>
                  <w:vAlign w:val="center"/>
                </w:tcPr>
                <w:p w14:paraId="4A8B4C65">
                  <w:pPr>
                    <w:wordWrap/>
                    <w:spacing w:line="240" w:lineRule="auto"/>
                    <w:jc w:val="center"/>
                    <w:rPr>
                      <w:rFonts w:hint="default" w:ascii="Times New Roman" w:hAnsi="Times New Roman" w:cs="Times New Roman"/>
                      <w:color w:val="auto"/>
                      <w:sz w:val="21"/>
                      <w:szCs w:val="21"/>
                    </w:rPr>
                  </w:pPr>
                </w:p>
              </w:tc>
              <w:tc>
                <w:tcPr>
                  <w:tcW w:w="1410" w:type="dxa"/>
                  <w:vAlign w:val="center"/>
                </w:tcPr>
                <w:p w14:paraId="34F379B1">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900-005-S17</w:t>
                  </w:r>
                </w:p>
              </w:tc>
              <w:tc>
                <w:tcPr>
                  <w:tcW w:w="855" w:type="dxa"/>
                  <w:vAlign w:val="center"/>
                </w:tcPr>
                <w:p w14:paraId="16F52FB3">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0.5</w:t>
                  </w:r>
                </w:p>
              </w:tc>
              <w:tc>
                <w:tcPr>
                  <w:tcW w:w="672" w:type="dxa"/>
                  <w:vAlign w:val="center"/>
                </w:tcPr>
                <w:p w14:paraId="437B5010">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固态</w:t>
                  </w:r>
                </w:p>
              </w:tc>
              <w:tc>
                <w:tcPr>
                  <w:tcW w:w="1034" w:type="dxa"/>
                  <w:vAlign w:val="center"/>
                </w:tcPr>
                <w:p w14:paraId="526EA670">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Merge w:val="continue"/>
                  <w:vAlign w:val="center"/>
                </w:tcPr>
                <w:p w14:paraId="1D2A45B6">
                  <w:pPr>
                    <w:wordWrap/>
                    <w:spacing w:line="240" w:lineRule="auto"/>
                    <w:jc w:val="center"/>
                    <w:rPr>
                      <w:rFonts w:hint="default" w:ascii="Times New Roman" w:hAnsi="Times New Roman" w:cs="Times New Roman"/>
                      <w:color w:val="auto"/>
                      <w:sz w:val="21"/>
                      <w:szCs w:val="21"/>
                    </w:rPr>
                  </w:pPr>
                </w:p>
              </w:tc>
            </w:tr>
            <w:tr w14:paraId="6F9EA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2AD0C6BC">
                  <w:pPr>
                    <w:wordWrap/>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模具制造</w:t>
                  </w:r>
                </w:p>
              </w:tc>
              <w:tc>
                <w:tcPr>
                  <w:tcW w:w="1357" w:type="dxa"/>
                  <w:vAlign w:val="center"/>
                </w:tcPr>
                <w:p w14:paraId="4D755B83">
                  <w:pPr>
                    <w:wordWrap/>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废模具</w:t>
                  </w:r>
                </w:p>
              </w:tc>
              <w:tc>
                <w:tcPr>
                  <w:tcW w:w="657" w:type="dxa"/>
                  <w:vMerge w:val="continue"/>
                  <w:vAlign w:val="center"/>
                </w:tcPr>
                <w:p w14:paraId="6C7F4640">
                  <w:pPr>
                    <w:wordWrap/>
                    <w:spacing w:line="240" w:lineRule="auto"/>
                    <w:jc w:val="center"/>
                    <w:rPr>
                      <w:rFonts w:hint="default" w:ascii="Times New Roman" w:hAnsi="Times New Roman" w:cs="Times New Roman"/>
                      <w:color w:val="auto"/>
                      <w:sz w:val="21"/>
                      <w:szCs w:val="21"/>
                    </w:rPr>
                  </w:pPr>
                </w:p>
              </w:tc>
              <w:tc>
                <w:tcPr>
                  <w:tcW w:w="1410" w:type="dxa"/>
                  <w:vAlign w:val="center"/>
                </w:tcPr>
                <w:p w14:paraId="76580266">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900-001-S17</w:t>
                  </w:r>
                </w:p>
              </w:tc>
              <w:tc>
                <w:tcPr>
                  <w:tcW w:w="855" w:type="dxa"/>
                  <w:vAlign w:val="center"/>
                </w:tcPr>
                <w:p w14:paraId="390B972D">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c>
                <w:tcPr>
                  <w:tcW w:w="672" w:type="dxa"/>
                  <w:vAlign w:val="center"/>
                </w:tcPr>
                <w:p w14:paraId="75DA765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2193FDDE">
                  <w:pPr>
                    <w:wordWrap/>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Merge w:val="continue"/>
                  <w:vAlign w:val="center"/>
                </w:tcPr>
                <w:p w14:paraId="365B6641">
                  <w:pPr>
                    <w:wordWrap/>
                    <w:spacing w:line="240" w:lineRule="auto"/>
                    <w:jc w:val="center"/>
                    <w:rPr>
                      <w:rFonts w:hint="default" w:ascii="Times New Roman" w:hAnsi="Times New Roman" w:cs="Times New Roman"/>
                      <w:color w:val="auto"/>
                      <w:sz w:val="21"/>
                      <w:szCs w:val="21"/>
                    </w:rPr>
                  </w:pPr>
                </w:p>
              </w:tc>
            </w:tr>
            <w:tr w14:paraId="1157E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273" w:type="dxa"/>
                  <w:vAlign w:val="center"/>
                </w:tcPr>
                <w:p w14:paraId="1FDAAE2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设备维护、</w:t>
                  </w:r>
                  <w:r>
                    <w:rPr>
                      <w:rFonts w:hint="eastAsia" w:cs="Times New Roman"/>
                      <w:color w:val="auto"/>
                      <w:sz w:val="21"/>
                      <w:szCs w:val="21"/>
                      <w:lang w:val="en-US" w:eastAsia="zh-CN"/>
                    </w:rPr>
                    <w:t>机加工、</w:t>
                  </w:r>
                  <w:r>
                    <w:rPr>
                      <w:rFonts w:hint="default" w:ascii="Times New Roman" w:hAnsi="Times New Roman" w:cs="Times New Roman"/>
                      <w:color w:val="auto"/>
                      <w:sz w:val="21"/>
                      <w:szCs w:val="21"/>
                      <w:lang w:val="en-US" w:eastAsia="zh-CN"/>
                    </w:rPr>
                    <w:t>电火花</w:t>
                  </w:r>
                </w:p>
              </w:tc>
              <w:tc>
                <w:tcPr>
                  <w:tcW w:w="1357" w:type="dxa"/>
                  <w:vAlign w:val="center"/>
                </w:tcPr>
                <w:p w14:paraId="40BDCCC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657" w:type="dxa"/>
                  <w:vMerge w:val="restart"/>
                  <w:vAlign w:val="center"/>
                </w:tcPr>
                <w:p w14:paraId="38427380">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1410" w:type="dxa"/>
                  <w:vAlign w:val="center"/>
                </w:tcPr>
                <w:p w14:paraId="2F06F74E">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900-249-08</w:t>
                  </w:r>
                </w:p>
              </w:tc>
              <w:tc>
                <w:tcPr>
                  <w:tcW w:w="855" w:type="dxa"/>
                  <w:vAlign w:val="center"/>
                </w:tcPr>
                <w:p w14:paraId="595E2EBA">
                  <w:pPr>
                    <w:autoSpaceDE w:val="0"/>
                    <w:autoSpaceDN w:val="0"/>
                    <w:spacing w:line="240" w:lineRule="auto"/>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0.1</w:t>
                  </w:r>
                </w:p>
              </w:tc>
              <w:tc>
                <w:tcPr>
                  <w:tcW w:w="672" w:type="dxa"/>
                  <w:vAlign w:val="center"/>
                </w:tcPr>
                <w:p w14:paraId="0A776D7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液态</w:t>
                  </w:r>
                </w:p>
              </w:tc>
              <w:tc>
                <w:tcPr>
                  <w:tcW w:w="1034" w:type="dxa"/>
                  <w:vAlign w:val="center"/>
                </w:tcPr>
                <w:p w14:paraId="37E7792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半年</w:t>
                  </w:r>
                </w:p>
              </w:tc>
              <w:tc>
                <w:tcPr>
                  <w:tcW w:w="1125" w:type="dxa"/>
                  <w:vMerge w:val="restart"/>
                  <w:vAlign w:val="center"/>
                </w:tcPr>
                <w:p w14:paraId="7443EE0B">
                  <w:pPr>
                    <w:wordWrap/>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收集后交由有资质的单位回收处理</w:t>
                  </w:r>
                </w:p>
              </w:tc>
            </w:tr>
            <w:tr w14:paraId="6AC97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70E8E0E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357" w:type="dxa"/>
                  <w:vAlign w:val="center"/>
                </w:tcPr>
                <w:p w14:paraId="567AD172">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废原料桶</w:t>
                  </w:r>
                </w:p>
              </w:tc>
              <w:tc>
                <w:tcPr>
                  <w:tcW w:w="657" w:type="dxa"/>
                  <w:vMerge w:val="continue"/>
                  <w:vAlign w:val="center"/>
                </w:tcPr>
                <w:p w14:paraId="0F858768">
                  <w:pPr>
                    <w:wordWrap/>
                    <w:spacing w:line="240" w:lineRule="auto"/>
                    <w:jc w:val="center"/>
                    <w:rPr>
                      <w:rFonts w:hint="default" w:ascii="Times New Roman" w:hAnsi="Times New Roman" w:cs="Times New Roman"/>
                      <w:color w:val="auto"/>
                      <w:sz w:val="21"/>
                      <w:szCs w:val="21"/>
                    </w:rPr>
                  </w:pPr>
                </w:p>
              </w:tc>
              <w:tc>
                <w:tcPr>
                  <w:tcW w:w="1410" w:type="dxa"/>
                  <w:vAlign w:val="center"/>
                </w:tcPr>
                <w:p w14:paraId="5EE1DDA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855" w:type="dxa"/>
                  <w:vAlign w:val="center"/>
                </w:tcPr>
                <w:p w14:paraId="4EF10E86">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0.05</w:t>
                  </w:r>
                </w:p>
              </w:tc>
              <w:tc>
                <w:tcPr>
                  <w:tcW w:w="672" w:type="dxa"/>
                  <w:vAlign w:val="center"/>
                </w:tcPr>
                <w:p w14:paraId="4554F86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016DD0CD">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1125" w:type="dxa"/>
                  <w:vMerge w:val="continue"/>
                  <w:vAlign w:val="center"/>
                </w:tcPr>
                <w:p w14:paraId="605D7560">
                  <w:pPr>
                    <w:wordWrap/>
                    <w:spacing w:line="240" w:lineRule="auto"/>
                    <w:jc w:val="center"/>
                    <w:rPr>
                      <w:rFonts w:hint="default" w:ascii="Times New Roman" w:hAnsi="Times New Roman" w:cs="Times New Roman"/>
                      <w:color w:val="auto"/>
                      <w:sz w:val="21"/>
                      <w:szCs w:val="21"/>
                    </w:rPr>
                  </w:pPr>
                </w:p>
              </w:tc>
            </w:tr>
            <w:tr w14:paraId="220B3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33700DE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生产过程</w:t>
                  </w:r>
                </w:p>
              </w:tc>
              <w:tc>
                <w:tcPr>
                  <w:tcW w:w="1357" w:type="dxa"/>
                  <w:vAlign w:val="center"/>
                </w:tcPr>
                <w:p w14:paraId="07F9DA1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废抹布及废手套</w:t>
                  </w:r>
                </w:p>
              </w:tc>
              <w:tc>
                <w:tcPr>
                  <w:tcW w:w="657" w:type="dxa"/>
                  <w:vMerge w:val="continue"/>
                  <w:vAlign w:val="center"/>
                </w:tcPr>
                <w:p w14:paraId="1C11D25B">
                  <w:pPr>
                    <w:wordWrap/>
                    <w:spacing w:line="240" w:lineRule="auto"/>
                    <w:jc w:val="center"/>
                    <w:rPr>
                      <w:rFonts w:hint="default" w:ascii="Times New Roman" w:hAnsi="Times New Roman" w:cs="Times New Roman"/>
                      <w:color w:val="auto"/>
                      <w:sz w:val="21"/>
                      <w:szCs w:val="21"/>
                    </w:rPr>
                  </w:pPr>
                </w:p>
              </w:tc>
              <w:tc>
                <w:tcPr>
                  <w:tcW w:w="1410" w:type="dxa"/>
                  <w:vAlign w:val="center"/>
                </w:tcPr>
                <w:p w14:paraId="524EAFF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900-041-49</w:t>
                  </w:r>
                </w:p>
              </w:tc>
              <w:tc>
                <w:tcPr>
                  <w:tcW w:w="855" w:type="dxa"/>
                  <w:vAlign w:val="center"/>
                </w:tcPr>
                <w:p w14:paraId="1DED5E1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672" w:type="dxa"/>
                  <w:vAlign w:val="center"/>
                </w:tcPr>
                <w:p w14:paraId="4C05419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58B089B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1个月</w:t>
                  </w:r>
                </w:p>
              </w:tc>
              <w:tc>
                <w:tcPr>
                  <w:tcW w:w="1125" w:type="dxa"/>
                  <w:vMerge w:val="continue"/>
                  <w:vAlign w:val="center"/>
                </w:tcPr>
                <w:p w14:paraId="6C6F740E">
                  <w:pPr>
                    <w:wordWrap/>
                    <w:spacing w:line="240" w:lineRule="auto"/>
                    <w:jc w:val="center"/>
                    <w:rPr>
                      <w:rFonts w:hint="default" w:ascii="Times New Roman" w:hAnsi="Times New Roman" w:cs="Times New Roman"/>
                      <w:color w:val="auto"/>
                      <w:sz w:val="21"/>
                      <w:szCs w:val="21"/>
                    </w:rPr>
                  </w:pPr>
                </w:p>
              </w:tc>
            </w:tr>
            <w:tr w14:paraId="2AAF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273" w:type="dxa"/>
                  <w:vAlign w:val="center"/>
                </w:tcPr>
                <w:p w14:paraId="386DA53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CNC加工</w:t>
                  </w:r>
                </w:p>
              </w:tc>
              <w:tc>
                <w:tcPr>
                  <w:tcW w:w="1357" w:type="dxa"/>
                  <w:vAlign w:val="center"/>
                </w:tcPr>
                <w:p w14:paraId="5610C0B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含油金属屑</w:t>
                  </w:r>
                </w:p>
              </w:tc>
              <w:tc>
                <w:tcPr>
                  <w:tcW w:w="657" w:type="dxa"/>
                  <w:vMerge w:val="continue"/>
                  <w:vAlign w:val="center"/>
                </w:tcPr>
                <w:p w14:paraId="1A8A8C1A">
                  <w:pPr>
                    <w:wordWrap/>
                    <w:spacing w:line="240" w:lineRule="auto"/>
                    <w:jc w:val="center"/>
                    <w:rPr>
                      <w:rFonts w:hint="default" w:ascii="Times New Roman" w:hAnsi="Times New Roman" w:cs="Times New Roman"/>
                      <w:color w:val="auto"/>
                      <w:sz w:val="21"/>
                      <w:szCs w:val="21"/>
                    </w:rPr>
                  </w:pPr>
                </w:p>
              </w:tc>
              <w:tc>
                <w:tcPr>
                  <w:tcW w:w="1410" w:type="dxa"/>
                  <w:vAlign w:val="center"/>
                </w:tcPr>
                <w:p w14:paraId="5F19E699">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900-006-09</w:t>
                  </w:r>
                </w:p>
              </w:tc>
              <w:tc>
                <w:tcPr>
                  <w:tcW w:w="855" w:type="dxa"/>
                  <w:vAlign w:val="center"/>
                </w:tcPr>
                <w:p w14:paraId="57B095D1">
                  <w:pPr>
                    <w:autoSpaceDE w:val="0"/>
                    <w:autoSpaceDN w:val="0"/>
                    <w:spacing w:line="240" w:lineRule="auto"/>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0.05</w:t>
                  </w:r>
                </w:p>
              </w:tc>
              <w:tc>
                <w:tcPr>
                  <w:tcW w:w="672" w:type="dxa"/>
                  <w:vAlign w:val="center"/>
                </w:tcPr>
                <w:p w14:paraId="23268F2A">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固态</w:t>
                  </w:r>
                </w:p>
              </w:tc>
              <w:tc>
                <w:tcPr>
                  <w:tcW w:w="1034" w:type="dxa"/>
                  <w:vAlign w:val="center"/>
                </w:tcPr>
                <w:p w14:paraId="4B852C04">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1个月</w:t>
                  </w:r>
                </w:p>
              </w:tc>
              <w:tc>
                <w:tcPr>
                  <w:tcW w:w="1125" w:type="dxa"/>
                  <w:vMerge w:val="continue"/>
                  <w:vAlign w:val="center"/>
                </w:tcPr>
                <w:p w14:paraId="75D701C6">
                  <w:pPr>
                    <w:wordWrap/>
                    <w:spacing w:line="240" w:lineRule="auto"/>
                    <w:jc w:val="center"/>
                    <w:rPr>
                      <w:rFonts w:hint="default" w:ascii="Times New Roman" w:hAnsi="Times New Roman" w:cs="Times New Roman"/>
                      <w:color w:val="auto"/>
                      <w:sz w:val="21"/>
                      <w:szCs w:val="21"/>
                    </w:rPr>
                  </w:pPr>
                </w:p>
              </w:tc>
            </w:tr>
            <w:tr w14:paraId="7644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5FCF056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活性炭吸附装置</w:t>
                  </w:r>
                </w:p>
              </w:tc>
              <w:tc>
                <w:tcPr>
                  <w:tcW w:w="1357" w:type="dxa"/>
                  <w:vAlign w:val="center"/>
                </w:tcPr>
                <w:p w14:paraId="4CBD9D6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657" w:type="dxa"/>
                  <w:vMerge w:val="continue"/>
                  <w:vAlign w:val="center"/>
                </w:tcPr>
                <w:p w14:paraId="413F20FA">
                  <w:pPr>
                    <w:wordWrap/>
                    <w:spacing w:line="240" w:lineRule="auto"/>
                    <w:jc w:val="center"/>
                    <w:rPr>
                      <w:rFonts w:hint="default" w:ascii="Times New Roman" w:hAnsi="Times New Roman" w:cs="Times New Roman"/>
                      <w:color w:val="auto"/>
                      <w:sz w:val="21"/>
                      <w:szCs w:val="21"/>
                    </w:rPr>
                  </w:pPr>
                </w:p>
              </w:tc>
              <w:tc>
                <w:tcPr>
                  <w:tcW w:w="1410" w:type="dxa"/>
                  <w:vAlign w:val="center"/>
                </w:tcPr>
                <w:p w14:paraId="63C1AC4F">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900-039-49</w:t>
                  </w:r>
                </w:p>
              </w:tc>
              <w:tc>
                <w:tcPr>
                  <w:tcW w:w="855" w:type="dxa"/>
                  <w:vAlign w:val="center"/>
                </w:tcPr>
                <w:p w14:paraId="62B754BB">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8.43</w:t>
                  </w:r>
                </w:p>
              </w:tc>
              <w:tc>
                <w:tcPr>
                  <w:tcW w:w="672" w:type="dxa"/>
                  <w:vAlign w:val="center"/>
                </w:tcPr>
                <w:p w14:paraId="16161021">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固态</w:t>
                  </w:r>
                </w:p>
              </w:tc>
              <w:tc>
                <w:tcPr>
                  <w:tcW w:w="1034" w:type="dxa"/>
                  <w:vAlign w:val="center"/>
                </w:tcPr>
                <w:p w14:paraId="643CD8F7">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3个月</w:t>
                  </w:r>
                </w:p>
              </w:tc>
              <w:tc>
                <w:tcPr>
                  <w:tcW w:w="1125" w:type="dxa"/>
                  <w:vMerge w:val="continue"/>
                  <w:vAlign w:val="center"/>
                </w:tcPr>
                <w:p w14:paraId="2E032421">
                  <w:pPr>
                    <w:wordWrap/>
                    <w:spacing w:line="240" w:lineRule="auto"/>
                    <w:jc w:val="center"/>
                    <w:rPr>
                      <w:rFonts w:hint="default" w:ascii="Times New Roman" w:hAnsi="Times New Roman" w:cs="Times New Roman"/>
                      <w:color w:val="auto"/>
                      <w:sz w:val="21"/>
                      <w:szCs w:val="21"/>
                    </w:rPr>
                  </w:pPr>
                </w:p>
              </w:tc>
            </w:tr>
            <w:tr w14:paraId="58679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273" w:type="dxa"/>
                  <w:vAlign w:val="center"/>
                </w:tcPr>
                <w:p w14:paraId="6EC367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网版清洁</w:t>
                  </w:r>
                </w:p>
              </w:tc>
              <w:tc>
                <w:tcPr>
                  <w:tcW w:w="1357" w:type="dxa"/>
                  <w:vAlign w:val="center"/>
                </w:tcPr>
                <w:p w14:paraId="3BB15A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废网版</w:t>
                  </w:r>
                </w:p>
              </w:tc>
              <w:tc>
                <w:tcPr>
                  <w:tcW w:w="657" w:type="dxa"/>
                  <w:vMerge w:val="continue"/>
                  <w:vAlign w:val="center"/>
                </w:tcPr>
                <w:p w14:paraId="59B64099">
                  <w:pPr>
                    <w:keepNext w:val="0"/>
                    <w:keepLines w:val="0"/>
                    <w:suppressLineNumbers w:val="0"/>
                    <w:wordWrap/>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p>
              </w:tc>
              <w:tc>
                <w:tcPr>
                  <w:tcW w:w="1410" w:type="dxa"/>
                  <w:vAlign w:val="center"/>
                </w:tcPr>
                <w:p w14:paraId="5B3862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900-253-12</w:t>
                  </w:r>
                </w:p>
              </w:tc>
              <w:tc>
                <w:tcPr>
                  <w:tcW w:w="855" w:type="dxa"/>
                  <w:vAlign w:val="center"/>
                </w:tcPr>
                <w:p w14:paraId="525A71AF">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c>
                <w:tcPr>
                  <w:tcW w:w="672" w:type="dxa"/>
                  <w:vAlign w:val="center"/>
                </w:tcPr>
                <w:p w14:paraId="19A602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固态</w:t>
                  </w:r>
                </w:p>
              </w:tc>
              <w:tc>
                <w:tcPr>
                  <w:tcW w:w="1034" w:type="dxa"/>
                  <w:vAlign w:val="center"/>
                </w:tcPr>
                <w:p w14:paraId="4CCEF7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月</w:t>
                  </w:r>
                </w:p>
              </w:tc>
              <w:tc>
                <w:tcPr>
                  <w:tcW w:w="1125" w:type="dxa"/>
                  <w:vMerge w:val="continue"/>
                  <w:vAlign w:val="center"/>
                </w:tcPr>
                <w:p w14:paraId="3420AAA7">
                  <w:pPr>
                    <w:wordWrap/>
                    <w:spacing w:line="240" w:lineRule="auto"/>
                    <w:jc w:val="center"/>
                    <w:rPr>
                      <w:rFonts w:hint="default" w:ascii="Times New Roman" w:hAnsi="Times New Roman" w:cs="Times New Roman"/>
                      <w:color w:val="auto"/>
                      <w:sz w:val="21"/>
                      <w:szCs w:val="21"/>
                    </w:rPr>
                  </w:pPr>
                </w:p>
              </w:tc>
            </w:tr>
            <w:tr w14:paraId="04C35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3" w:type="dxa"/>
                  <w:vAlign w:val="center"/>
                </w:tcPr>
                <w:p w14:paraId="0ED1FD96">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员工生活</w:t>
                  </w:r>
                </w:p>
              </w:tc>
              <w:tc>
                <w:tcPr>
                  <w:tcW w:w="1357" w:type="dxa"/>
                  <w:vAlign w:val="center"/>
                </w:tcPr>
                <w:p w14:paraId="7E4D6FE5">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生活垃圾</w:t>
                  </w:r>
                </w:p>
              </w:tc>
              <w:tc>
                <w:tcPr>
                  <w:tcW w:w="657" w:type="dxa"/>
                  <w:vAlign w:val="center"/>
                </w:tcPr>
                <w:p w14:paraId="067387D2">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410" w:type="dxa"/>
                  <w:vAlign w:val="center"/>
                </w:tcPr>
                <w:p w14:paraId="3DD07A59">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855" w:type="dxa"/>
                  <w:vAlign w:val="center"/>
                </w:tcPr>
                <w:p w14:paraId="560A9964">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30</w:t>
                  </w:r>
                </w:p>
              </w:tc>
              <w:tc>
                <w:tcPr>
                  <w:tcW w:w="672" w:type="dxa"/>
                  <w:vAlign w:val="center"/>
                </w:tcPr>
                <w:p w14:paraId="35A754E9">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固态</w:t>
                  </w:r>
                </w:p>
              </w:tc>
              <w:tc>
                <w:tcPr>
                  <w:tcW w:w="1034" w:type="dxa"/>
                  <w:vAlign w:val="center"/>
                </w:tcPr>
                <w:p w14:paraId="47F3072F">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一天</w:t>
                  </w:r>
                </w:p>
              </w:tc>
              <w:tc>
                <w:tcPr>
                  <w:tcW w:w="1125" w:type="dxa"/>
                  <w:vAlign w:val="center"/>
                </w:tcPr>
                <w:p w14:paraId="5B2B6960">
                  <w:pPr>
                    <w:wordWrap/>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交由环卫部门定期清运</w:t>
                  </w:r>
                </w:p>
              </w:tc>
            </w:tr>
          </w:tbl>
          <w:p w14:paraId="69F18EBC">
            <w:pPr>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（2）固体废物环境影响分析</w:t>
            </w:r>
          </w:p>
          <w:p w14:paraId="5094569E">
            <w:pPr>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1）一般固体废物放置措施</w:t>
            </w:r>
          </w:p>
          <w:p w14:paraId="1C4D0736">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项目机加工产生的</w:t>
            </w:r>
            <w:r>
              <w:rPr>
                <w:rFonts w:hint="default" w:ascii="Times New Roman" w:hAnsi="Times New Roman" w:cs="Times New Roman"/>
                <w:color w:val="auto"/>
                <w:szCs w:val="22"/>
                <w:lang w:val="en-US" w:eastAsia="zh-CN"/>
              </w:rPr>
              <w:t>废模具</w:t>
            </w:r>
            <w:r>
              <w:rPr>
                <w:rFonts w:hint="default" w:ascii="Times New Roman" w:hAnsi="Times New Roman" w:cs="Times New Roman"/>
                <w:color w:val="auto"/>
                <w:szCs w:val="22"/>
              </w:rPr>
              <w:t>、</w:t>
            </w:r>
            <w:r>
              <w:rPr>
                <w:rFonts w:hint="eastAsia" w:cs="Times New Roman"/>
                <w:color w:val="auto"/>
                <w:szCs w:val="22"/>
                <w:lang w:val="en-US" w:eastAsia="zh-CN"/>
              </w:rPr>
              <w:t>冲压</w:t>
            </w:r>
            <w:r>
              <w:rPr>
                <w:rFonts w:hint="default" w:ascii="Times New Roman" w:hAnsi="Times New Roman" w:cs="Times New Roman"/>
                <w:color w:val="auto"/>
                <w:szCs w:val="22"/>
                <w:lang w:val="en-US" w:eastAsia="zh-CN"/>
              </w:rPr>
              <w:t>过程金属边角料</w:t>
            </w:r>
            <w:r>
              <w:rPr>
                <w:rFonts w:hint="default" w:ascii="Times New Roman" w:hAnsi="Times New Roman" w:cs="Times New Roman"/>
                <w:color w:val="auto"/>
                <w:szCs w:val="22"/>
                <w:lang w:eastAsia="zh-CN"/>
              </w:rPr>
              <w:t>、</w:t>
            </w:r>
            <w:r>
              <w:rPr>
                <w:rFonts w:hint="default" w:ascii="Times New Roman" w:hAnsi="Times New Roman" w:cs="Times New Roman"/>
                <w:color w:val="auto"/>
                <w:szCs w:val="22"/>
                <w:lang w:val="en-US" w:eastAsia="zh-CN"/>
              </w:rPr>
              <w:t>包装产生的废包装材料和废水处理产生的废过滤网</w:t>
            </w:r>
            <w:r>
              <w:rPr>
                <w:rFonts w:hint="default" w:ascii="Times New Roman" w:hAnsi="Times New Roman" w:cs="Times New Roman"/>
                <w:color w:val="auto"/>
                <w:szCs w:val="22"/>
              </w:rPr>
              <w:t>收集后交由专业回收公司回收处理</w:t>
            </w:r>
            <w:r>
              <w:rPr>
                <w:rFonts w:hint="default" w:ascii="Times New Roman" w:hAnsi="Times New Roman" w:cs="Times New Roman"/>
                <w:color w:val="auto"/>
              </w:rPr>
              <w:t>。项目设一个</w:t>
            </w:r>
            <w:r>
              <w:rPr>
                <w:rFonts w:hint="eastAsia" w:cs="Times New Roman"/>
                <w:color w:val="auto"/>
                <w:lang w:val="en-US" w:eastAsia="zh-CN"/>
              </w:rPr>
              <w:t>20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的固废暂存间，</w:t>
            </w:r>
            <w:r>
              <w:rPr>
                <w:rFonts w:hint="default" w:ascii="Times New Roman" w:hAnsi="Times New Roman" w:cs="Times New Roman"/>
                <w:color w:val="auto"/>
                <w:lang w:val="en-US" w:eastAsia="zh-CN"/>
              </w:rPr>
              <w:t>位</w:t>
            </w:r>
            <w:r>
              <w:rPr>
                <w:rFonts w:hint="eastAsia" w:cs="Times New Roman"/>
                <w:color w:val="auto"/>
                <w:lang w:val="en-US" w:eastAsia="zh-CN"/>
              </w:rPr>
              <w:t>于厂区西北侧</w:t>
            </w:r>
            <w:r>
              <w:rPr>
                <w:rFonts w:hint="default" w:ascii="Times New Roman" w:hAnsi="Times New Roman" w:cs="Times New Roman"/>
                <w:color w:val="auto"/>
                <w:lang w:val="en-US" w:eastAsia="zh-CN"/>
              </w:rPr>
              <w:t>，</w:t>
            </w:r>
            <w:r>
              <w:rPr>
                <w:rFonts w:hint="default" w:ascii="Times New Roman" w:hAnsi="Times New Roman" w:cs="Times New Roman"/>
                <w:color w:val="auto"/>
              </w:rPr>
              <w:t>按照防渗漏、防雨淋、防扬尘的相关要求</w:t>
            </w:r>
            <w:r>
              <w:rPr>
                <w:rFonts w:hint="default" w:ascii="Times New Roman" w:hAnsi="Times New Roman" w:cs="Times New Roman"/>
                <w:color w:val="auto"/>
                <w:szCs w:val="22"/>
              </w:rPr>
              <w:t>进行建设。</w:t>
            </w:r>
          </w:p>
          <w:p w14:paraId="25A9B3EE">
            <w:pPr>
              <w:ind w:firstLine="482" w:firstLineChars="200"/>
              <w:rPr>
                <w:rFonts w:hint="default" w:ascii="Times New Roman" w:hAnsi="Times New Roman" w:cs="Times New Roman"/>
                <w:bCs/>
                <w:color w:val="auto"/>
              </w:rPr>
            </w:pPr>
            <w:r>
              <w:rPr>
                <w:rFonts w:hint="default" w:ascii="Times New Roman" w:hAnsi="Times New Roman" w:cs="Times New Roman"/>
                <w:b/>
                <w:bCs/>
                <w:color w:val="auto"/>
              </w:rPr>
              <w:t>2）危险废物放置措施</w:t>
            </w:r>
          </w:p>
          <w:p w14:paraId="311FCFDD">
            <w:pPr>
              <w:pStyle w:val="69"/>
              <w:wordWrap w:val="0"/>
              <w:adjustRightInd/>
              <w:snapToGrid/>
              <w:ind w:firstLine="480"/>
              <w:jc w:val="both"/>
              <w:rPr>
                <w:rFonts w:hint="default" w:ascii="Times New Roman" w:hAnsi="Times New Roman" w:cs="Times New Roman"/>
                <w:color w:val="auto"/>
              </w:rPr>
            </w:pPr>
            <w:r>
              <w:rPr>
                <w:rFonts w:hint="default" w:ascii="Times New Roman" w:hAnsi="Times New Roman" w:cs="Times New Roman"/>
                <w:color w:val="auto"/>
              </w:rPr>
              <w:t>项目设一个</w:t>
            </w:r>
            <w:r>
              <w:rPr>
                <w:rFonts w:hint="eastAsia" w:cs="Times New Roman"/>
                <w:color w:val="auto"/>
                <w:lang w:val="en-US" w:eastAsia="zh-CN"/>
              </w:rPr>
              <w:t>1</w:t>
            </w:r>
            <w:r>
              <w:rPr>
                <w:rFonts w:hint="default" w:ascii="Times New Roman" w:hAnsi="Times New Roman" w:cs="Times New Roman"/>
                <w:color w:val="auto"/>
              </w:rPr>
              <w:t>0m</w:t>
            </w:r>
            <w:r>
              <w:rPr>
                <w:rFonts w:hint="default" w:ascii="Times New Roman" w:hAnsi="Times New Roman" w:cs="Times New Roman"/>
                <w:color w:val="auto"/>
                <w:vertAlign w:val="superscript"/>
              </w:rPr>
              <w:t>2</w:t>
            </w:r>
            <w:r>
              <w:rPr>
                <w:rFonts w:hint="default" w:ascii="Times New Roman" w:hAnsi="Times New Roman" w:cs="Times New Roman"/>
                <w:color w:val="auto"/>
              </w:rPr>
              <w:t>的危废暂存间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位</w:t>
            </w:r>
            <w:r>
              <w:rPr>
                <w:rFonts w:hint="eastAsia" w:cs="Times New Roman"/>
                <w:color w:val="auto"/>
                <w:lang w:val="en-US" w:eastAsia="zh-CN"/>
              </w:rPr>
              <w:t>于厂区西北侧</w:t>
            </w:r>
            <w:r>
              <w:rPr>
                <w:rFonts w:hint="default" w:ascii="Times New Roman" w:hAnsi="Times New Roman" w:cs="Times New Roman"/>
                <w:color w:val="auto"/>
                <w:lang w:val="en-US" w:eastAsia="zh-CN"/>
              </w:rPr>
              <w:t>，</w:t>
            </w:r>
            <w:r>
              <w:rPr>
                <w:rFonts w:hint="default" w:ascii="Times New Roman" w:hAnsi="Times New Roman" w:cs="Times New Roman"/>
                <w:color w:val="auto"/>
              </w:rPr>
              <w:t>收集、贮存危险废物，生产过程产生的废原料桶、</w:t>
            </w:r>
            <w:r>
              <w:rPr>
                <w:rFonts w:hint="default" w:ascii="Times New Roman" w:hAnsi="Times New Roman" w:cs="Times New Roman"/>
                <w:color w:val="auto"/>
                <w:lang w:val="en-US" w:eastAsia="zh-CN"/>
              </w:rPr>
              <w:t>废抹布及废手套、</w:t>
            </w:r>
            <w:r>
              <w:rPr>
                <w:rFonts w:hint="default" w:ascii="Times New Roman" w:hAnsi="Times New Roman" w:cs="Times New Roman"/>
                <w:color w:val="auto"/>
              </w:rPr>
              <w:t>设备维护产生的废</w:t>
            </w:r>
            <w:r>
              <w:rPr>
                <w:rFonts w:hint="default" w:ascii="Times New Roman" w:hAnsi="Times New Roman" w:cs="Times New Roman"/>
                <w:color w:val="auto"/>
                <w:lang w:val="en-US" w:eastAsia="zh-CN"/>
              </w:rPr>
              <w:t>矿物油</w:t>
            </w:r>
            <w:r>
              <w:rPr>
                <w:rFonts w:hint="default" w:ascii="Times New Roman" w:hAnsi="Times New Roman" w:cs="Times New Roman"/>
                <w:color w:val="auto"/>
              </w:rPr>
              <w:t>、生产过程产生的</w:t>
            </w:r>
            <w:r>
              <w:rPr>
                <w:rFonts w:hint="default" w:ascii="Times New Roman" w:hAnsi="Times New Roman" w:cs="Times New Roman"/>
                <w:color w:val="auto"/>
                <w:lang w:eastAsia="zh-CN"/>
              </w:rPr>
              <w:t>喷淋废水、</w:t>
            </w:r>
            <w:r>
              <w:rPr>
                <w:rFonts w:hint="eastAsia" w:cs="Times New Roman"/>
                <w:color w:val="auto"/>
                <w:lang w:val="en-US" w:eastAsia="zh-CN"/>
              </w:rPr>
              <w:t>机</w:t>
            </w:r>
            <w:r>
              <w:rPr>
                <w:rFonts w:hint="default" w:ascii="Times New Roman" w:hAnsi="Times New Roman" w:cs="Times New Roman"/>
                <w:color w:val="auto"/>
                <w:lang w:val="en-US" w:eastAsia="zh-CN"/>
              </w:rPr>
              <w:t>加工过程产生的含油金属屑、以及</w:t>
            </w:r>
            <w:r>
              <w:rPr>
                <w:rFonts w:hint="default" w:ascii="Times New Roman" w:hAnsi="Times New Roman" w:cs="Times New Roman"/>
                <w:color w:val="auto"/>
              </w:rPr>
              <w:t>废气处理过程产生的废活性炭</w:t>
            </w:r>
            <w:r>
              <w:rPr>
                <w:rFonts w:hint="eastAsia" w:cs="Times New Roman"/>
                <w:color w:val="auto"/>
                <w:lang w:eastAsia="zh-CN"/>
              </w:rPr>
              <w:t>、</w:t>
            </w:r>
            <w:r>
              <w:rPr>
                <w:rFonts w:hint="eastAsia" w:cs="Times New Roman"/>
                <w:color w:val="auto"/>
                <w:lang w:val="en-US" w:eastAsia="zh-CN"/>
              </w:rPr>
              <w:t>移印产生的废钢网，</w:t>
            </w:r>
            <w:r>
              <w:rPr>
                <w:rFonts w:hint="default" w:ascii="Times New Roman" w:hAnsi="Times New Roman" w:cs="Times New Roman"/>
                <w:color w:val="auto"/>
              </w:rPr>
              <w:t>收集后交由有资质的单位处理。危废暂存间应严格按照</w:t>
            </w:r>
            <w:r>
              <w:rPr>
                <w:rFonts w:hint="default" w:ascii="Times New Roman" w:hAnsi="Times New Roman" w:eastAsia="宋体" w:cs="Times New Roman"/>
                <w:bCs/>
                <w:color w:val="auto"/>
                <w:sz w:val="24"/>
                <w:szCs w:val="22"/>
              </w:rPr>
              <w:t>《危险废物贮存污染控制标准》（GB 18597-2023）</w:t>
            </w:r>
            <w:r>
              <w:rPr>
                <w:rFonts w:hint="default" w:ascii="Times New Roman" w:hAnsi="Times New Roman" w:cs="Times New Roman"/>
                <w:color w:val="auto"/>
              </w:rPr>
              <w:t>设置，做好警示标识，根据项目所产生危险废物的类别和性质分类贮存，必须采取防扬散、防流失、防渗漏及其他防止污染环境的措施，危险废物不得随意露天堆放。</w:t>
            </w:r>
          </w:p>
          <w:p w14:paraId="12D3DF84">
            <w:pPr>
              <w:ind w:firstLine="480" w:firstLineChars="200"/>
              <w:rPr>
                <w:rFonts w:hint="default" w:ascii="Times New Roman" w:hAnsi="Times New Roman" w:cs="Times New Roman"/>
                <w:color w:val="auto"/>
              </w:rPr>
            </w:pPr>
            <w:r>
              <w:rPr>
                <w:rFonts w:hint="default" w:ascii="Times New Roman" w:hAnsi="Times New Roman" w:cs="Times New Roman"/>
                <w:color w:val="auto"/>
              </w:rPr>
              <w:t>同时，企业必须定期对所贮存的危险废物包装容器及贮存设施进行检查，发现破损，应及时采取措施清理更换。</w:t>
            </w:r>
          </w:p>
          <w:p w14:paraId="6FA85AE3">
            <w:pPr>
              <w:autoSpaceDE w:val="0"/>
              <w:ind w:firstLine="480" w:firstLineChars="200"/>
              <w:rPr>
                <w:rFonts w:hint="default" w:ascii="Times New Roman" w:hAnsi="Times New Roman" w:cs="Times New Roman"/>
                <w:color w:val="auto"/>
              </w:rPr>
            </w:pPr>
            <w:r>
              <w:rPr>
                <w:rFonts w:hint="default" w:ascii="Times New Roman" w:hAnsi="Times New Roman" w:cs="Times New Roman"/>
                <w:color w:val="auto"/>
                <w:lang w:bidi="ar"/>
              </w:rPr>
              <w:t>项目根据《建设项目危险废物环境影响评价指南》设立危险废物暂存点，危险废物储存到一定量后交由有危险废物处置资质单位处理。危险废物贮存场所基本情况如下表。</w:t>
            </w:r>
          </w:p>
          <w:p w14:paraId="1E547F58">
            <w:pPr>
              <w:wordWrap/>
              <w:spacing w:line="240" w:lineRule="auto"/>
              <w:ind w:firstLine="482"/>
              <w:jc w:val="center"/>
              <w:rPr>
                <w:rFonts w:hint="default" w:ascii="Times New Roman" w:hAnsi="Times New Roman" w:cs="Times New Roman"/>
                <w:b/>
                <w:color w:val="auto"/>
              </w:rPr>
            </w:pPr>
            <w:r>
              <w:rPr>
                <w:rFonts w:hint="default" w:ascii="Times New Roman" w:hAnsi="Times New Roman" w:cs="Times New Roman"/>
                <w:b/>
                <w:color w:val="auto"/>
              </w:rPr>
              <w:t>表</w:t>
            </w:r>
            <w:r>
              <w:rPr>
                <w:rFonts w:hint="default" w:ascii="Times New Roman" w:hAnsi="Times New Roman" w:cs="Times New Roman"/>
                <w:b/>
                <w:color w:val="auto"/>
                <w:lang w:val="en-US" w:eastAsia="zh-CN"/>
              </w:rPr>
              <w:t>4-26</w:t>
            </w:r>
            <w:r>
              <w:rPr>
                <w:rFonts w:hint="default" w:ascii="Times New Roman" w:hAnsi="Times New Roman" w:cs="Times New Roman"/>
                <w:b/>
                <w:color w:val="auto"/>
              </w:rPr>
              <w:t xml:space="preserve"> 建设项目危险废物贮存场所基本情况样表</w:t>
            </w:r>
          </w:p>
          <w:tbl>
            <w:tblPr>
              <w:tblStyle w:val="22"/>
              <w:tblW w:w="8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257"/>
              <w:gridCol w:w="1187"/>
              <w:gridCol w:w="1341"/>
              <w:gridCol w:w="1233"/>
              <w:gridCol w:w="1217"/>
            </w:tblGrid>
            <w:tr w14:paraId="7F044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242" w:type="dxa"/>
                  <w:shd w:val="clear" w:color="auto" w:fill="auto"/>
                  <w:vAlign w:val="center"/>
                </w:tcPr>
                <w:p w14:paraId="41ABDF04">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贮存场所名称</w:t>
                  </w:r>
                </w:p>
              </w:tc>
              <w:tc>
                <w:tcPr>
                  <w:tcW w:w="2257" w:type="dxa"/>
                  <w:shd w:val="clear" w:color="auto" w:fill="auto"/>
                  <w:vAlign w:val="center"/>
                </w:tcPr>
                <w:p w14:paraId="040415D5">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危险废物名称</w:t>
                  </w:r>
                </w:p>
              </w:tc>
              <w:tc>
                <w:tcPr>
                  <w:tcW w:w="1187" w:type="dxa"/>
                  <w:shd w:val="clear" w:color="auto" w:fill="auto"/>
                  <w:vAlign w:val="center"/>
                </w:tcPr>
                <w:p w14:paraId="5F6B099E">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占地面积</w:t>
                  </w:r>
                </w:p>
              </w:tc>
              <w:tc>
                <w:tcPr>
                  <w:tcW w:w="1341" w:type="dxa"/>
                  <w:shd w:val="clear" w:color="auto" w:fill="auto"/>
                  <w:vAlign w:val="center"/>
                </w:tcPr>
                <w:p w14:paraId="51F613C7">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贮存方式</w:t>
                  </w:r>
                </w:p>
              </w:tc>
              <w:tc>
                <w:tcPr>
                  <w:tcW w:w="1233" w:type="dxa"/>
                  <w:shd w:val="clear" w:color="auto" w:fill="auto"/>
                  <w:vAlign w:val="center"/>
                </w:tcPr>
                <w:p w14:paraId="6B372286">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贮存能力</w:t>
                  </w:r>
                </w:p>
              </w:tc>
              <w:tc>
                <w:tcPr>
                  <w:tcW w:w="1217" w:type="dxa"/>
                  <w:shd w:val="clear" w:color="auto" w:fill="auto"/>
                  <w:vAlign w:val="center"/>
                </w:tcPr>
                <w:p w14:paraId="060BF003">
                  <w:pPr>
                    <w:topLinePunct/>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lang w:bidi="ar"/>
                    </w:rPr>
                    <w:t>贮存周期</w:t>
                  </w:r>
                </w:p>
              </w:tc>
            </w:tr>
            <w:tr w14:paraId="00338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restart"/>
                  <w:shd w:val="clear" w:color="auto" w:fill="auto"/>
                  <w:vAlign w:val="center"/>
                </w:tcPr>
                <w:p w14:paraId="5B4BFC82">
                  <w:pPr>
                    <w:topLinePunct/>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危险废物暂存间</w:t>
                  </w:r>
                </w:p>
              </w:tc>
              <w:tc>
                <w:tcPr>
                  <w:tcW w:w="2257" w:type="dxa"/>
                  <w:shd w:val="clear" w:color="auto" w:fill="auto"/>
                  <w:vAlign w:val="center"/>
                </w:tcPr>
                <w:p w14:paraId="2D30564E">
                  <w:pPr>
                    <w:autoSpaceDE w:val="0"/>
                    <w:autoSpaceDN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矿物油</w:t>
                  </w:r>
                </w:p>
              </w:tc>
              <w:tc>
                <w:tcPr>
                  <w:tcW w:w="1187" w:type="dxa"/>
                  <w:vMerge w:val="restart"/>
                  <w:shd w:val="clear" w:color="auto" w:fill="auto"/>
                  <w:vAlign w:val="center"/>
                </w:tcPr>
                <w:p w14:paraId="77A072BA">
                  <w:pPr>
                    <w:topLinePunct/>
                    <w:spacing w:line="240" w:lineRule="auto"/>
                    <w:jc w:val="center"/>
                    <w:rPr>
                      <w:rFonts w:hint="default" w:ascii="Times New Roman" w:hAnsi="Times New Roman" w:cs="Times New Roman"/>
                      <w:color w:val="auto"/>
                      <w:kern w:val="0"/>
                      <w:sz w:val="21"/>
                      <w:szCs w:val="21"/>
                    </w:rPr>
                  </w:pPr>
                  <w:r>
                    <w:rPr>
                      <w:rFonts w:hint="eastAsia" w:cs="Times New Roman"/>
                      <w:color w:val="auto"/>
                      <w:kern w:val="0"/>
                      <w:sz w:val="21"/>
                      <w:szCs w:val="21"/>
                      <w:lang w:val="en-US" w:eastAsia="zh-CN"/>
                    </w:rPr>
                    <w:t>1</w:t>
                  </w:r>
                  <w:r>
                    <w:rPr>
                      <w:rFonts w:hint="default" w:ascii="Times New Roman" w:hAnsi="Times New Roman" w:cs="Times New Roman"/>
                      <w:color w:val="auto"/>
                      <w:kern w:val="0"/>
                      <w:sz w:val="21"/>
                      <w:szCs w:val="21"/>
                    </w:rPr>
                    <w:t>0m</w:t>
                  </w:r>
                  <w:r>
                    <w:rPr>
                      <w:rFonts w:hint="default" w:ascii="Times New Roman" w:hAnsi="Times New Roman" w:cs="Times New Roman"/>
                      <w:color w:val="auto"/>
                      <w:kern w:val="0"/>
                      <w:sz w:val="21"/>
                      <w:szCs w:val="21"/>
                      <w:vertAlign w:val="superscript"/>
                    </w:rPr>
                    <w:t>2</w:t>
                  </w:r>
                </w:p>
              </w:tc>
              <w:tc>
                <w:tcPr>
                  <w:tcW w:w="1341" w:type="dxa"/>
                  <w:shd w:val="clear" w:color="auto" w:fill="auto"/>
                  <w:vAlign w:val="center"/>
                </w:tcPr>
                <w:p w14:paraId="6D941406">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桶装</w:t>
                  </w:r>
                </w:p>
              </w:tc>
              <w:tc>
                <w:tcPr>
                  <w:tcW w:w="1233" w:type="dxa"/>
                  <w:shd w:val="clear" w:color="auto" w:fill="auto"/>
                  <w:vAlign w:val="center"/>
                </w:tcPr>
                <w:p w14:paraId="25A5C782">
                  <w:pPr>
                    <w:topLinePunct/>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60</w:t>
                  </w:r>
                  <w:r>
                    <w:rPr>
                      <w:rFonts w:hint="default" w:ascii="Times New Roman" w:hAnsi="Times New Roman" w:cs="Times New Roman"/>
                      <w:color w:val="auto"/>
                      <w:kern w:val="0"/>
                      <w:sz w:val="21"/>
                      <w:szCs w:val="21"/>
                      <w:lang w:val="en-US" w:eastAsia="zh-CN"/>
                    </w:rPr>
                    <w:t>kg</w:t>
                  </w:r>
                </w:p>
              </w:tc>
              <w:tc>
                <w:tcPr>
                  <w:tcW w:w="1217" w:type="dxa"/>
                  <w:shd w:val="clear" w:color="auto" w:fill="auto"/>
                  <w:vAlign w:val="center"/>
                </w:tcPr>
                <w:p w14:paraId="5318369A">
                  <w:pPr>
                    <w:autoSpaceDE w:val="0"/>
                    <w:autoSpaceDN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半年</w:t>
                  </w:r>
                </w:p>
              </w:tc>
            </w:tr>
            <w:tr w14:paraId="542A7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786CC92B">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134510A2">
                  <w:pPr>
                    <w:autoSpaceDE w:val="0"/>
                    <w:autoSpaceDN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废原料桶</w:t>
                  </w:r>
                </w:p>
              </w:tc>
              <w:tc>
                <w:tcPr>
                  <w:tcW w:w="1187" w:type="dxa"/>
                  <w:vMerge w:val="continue"/>
                  <w:shd w:val="clear" w:color="auto" w:fill="auto"/>
                  <w:vAlign w:val="center"/>
                </w:tcPr>
                <w:p w14:paraId="76F2616E">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063DBE86">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堆放</w:t>
                  </w:r>
                </w:p>
              </w:tc>
              <w:tc>
                <w:tcPr>
                  <w:tcW w:w="1233" w:type="dxa"/>
                  <w:shd w:val="clear" w:color="auto" w:fill="auto"/>
                  <w:vAlign w:val="center"/>
                </w:tcPr>
                <w:p w14:paraId="58B6C6FC">
                  <w:pPr>
                    <w:topLinePunct/>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5</w:t>
                  </w:r>
                  <w:r>
                    <w:rPr>
                      <w:rFonts w:hint="default" w:ascii="Times New Roman" w:hAnsi="Times New Roman" w:cs="Times New Roman"/>
                      <w:color w:val="auto"/>
                      <w:kern w:val="0"/>
                      <w:sz w:val="21"/>
                      <w:szCs w:val="21"/>
                      <w:lang w:val="en-US" w:eastAsia="zh-CN"/>
                    </w:rPr>
                    <w:t>kg</w:t>
                  </w:r>
                </w:p>
              </w:tc>
              <w:tc>
                <w:tcPr>
                  <w:tcW w:w="1217" w:type="dxa"/>
                  <w:shd w:val="clear" w:color="auto" w:fill="auto"/>
                  <w:vAlign w:val="center"/>
                </w:tcPr>
                <w:p w14:paraId="44478492">
                  <w:pPr>
                    <w:autoSpaceDE w:val="0"/>
                    <w:autoSpaceDN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一个月</w:t>
                  </w:r>
                </w:p>
              </w:tc>
            </w:tr>
            <w:tr w14:paraId="1779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18B80A59">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7B15C8F3">
                  <w:pPr>
                    <w:autoSpaceDE w:val="0"/>
                    <w:autoSpaceDN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喷淋废水</w:t>
                  </w:r>
                </w:p>
              </w:tc>
              <w:tc>
                <w:tcPr>
                  <w:tcW w:w="1187" w:type="dxa"/>
                  <w:vMerge w:val="continue"/>
                  <w:shd w:val="clear" w:color="auto" w:fill="auto"/>
                  <w:vAlign w:val="center"/>
                </w:tcPr>
                <w:p w14:paraId="6C41BE0C">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24FDB6F1">
                  <w:pPr>
                    <w:topLinePunct/>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桶装</w:t>
                  </w:r>
                </w:p>
              </w:tc>
              <w:tc>
                <w:tcPr>
                  <w:tcW w:w="1233" w:type="dxa"/>
                  <w:shd w:val="clear" w:color="auto" w:fill="auto"/>
                  <w:vAlign w:val="center"/>
                </w:tcPr>
                <w:p w14:paraId="4788A8D3">
                  <w:pPr>
                    <w:topLinePunct/>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3</w:t>
                  </w:r>
                  <w:r>
                    <w:rPr>
                      <w:rFonts w:hint="default" w:ascii="Times New Roman" w:hAnsi="Times New Roman" w:cs="Times New Roman"/>
                      <w:color w:val="auto"/>
                      <w:kern w:val="0"/>
                      <w:sz w:val="21"/>
                      <w:szCs w:val="21"/>
                      <w:lang w:val="en-US" w:eastAsia="zh-CN"/>
                    </w:rPr>
                    <w:t>t</w:t>
                  </w:r>
                </w:p>
              </w:tc>
              <w:tc>
                <w:tcPr>
                  <w:tcW w:w="1217" w:type="dxa"/>
                  <w:shd w:val="clear" w:color="auto" w:fill="auto"/>
                  <w:vAlign w:val="center"/>
                </w:tcPr>
                <w:p w14:paraId="12A13F8A">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三个月</w:t>
                  </w:r>
                </w:p>
              </w:tc>
            </w:tr>
            <w:tr w14:paraId="5A494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42" w:type="dxa"/>
                  <w:vMerge w:val="continue"/>
                  <w:shd w:val="clear" w:color="auto" w:fill="auto"/>
                  <w:vAlign w:val="center"/>
                </w:tcPr>
                <w:p w14:paraId="79F8F811">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0132026E">
                  <w:pPr>
                    <w:autoSpaceDE w:val="0"/>
                    <w:autoSpaceDN w:val="0"/>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废活性炭</w:t>
                  </w:r>
                </w:p>
              </w:tc>
              <w:tc>
                <w:tcPr>
                  <w:tcW w:w="1187" w:type="dxa"/>
                  <w:vMerge w:val="continue"/>
                  <w:shd w:val="clear" w:color="auto" w:fill="auto"/>
                  <w:vAlign w:val="center"/>
                </w:tcPr>
                <w:p w14:paraId="482E462C">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40B4460D">
                  <w:pPr>
                    <w:topLinePunct/>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袋装</w:t>
                  </w:r>
                </w:p>
              </w:tc>
              <w:tc>
                <w:tcPr>
                  <w:tcW w:w="1233" w:type="dxa"/>
                  <w:shd w:val="clear" w:color="auto" w:fill="auto"/>
                  <w:vAlign w:val="center"/>
                </w:tcPr>
                <w:p w14:paraId="0EEAD1D6">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1t</w:t>
                  </w:r>
                </w:p>
              </w:tc>
              <w:tc>
                <w:tcPr>
                  <w:tcW w:w="1217" w:type="dxa"/>
                  <w:shd w:val="clear" w:color="auto" w:fill="auto"/>
                  <w:vAlign w:val="center"/>
                </w:tcPr>
                <w:p w14:paraId="7F33A939">
                  <w:pPr>
                    <w:autoSpaceDE w:val="0"/>
                    <w:autoSpaceDN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三个月</w:t>
                  </w:r>
                </w:p>
              </w:tc>
            </w:tr>
            <w:tr w14:paraId="30AD4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42" w:type="dxa"/>
                  <w:vMerge w:val="continue"/>
                  <w:shd w:val="clear" w:color="auto" w:fill="auto"/>
                  <w:vAlign w:val="center"/>
                </w:tcPr>
                <w:p w14:paraId="26D682BC">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47FDE7BA">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含油金属屑</w:t>
                  </w:r>
                </w:p>
              </w:tc>
              <w:tc>
                <w:tcPr>
                  <w:tcW w:w="1187" w:type="dxa"/>
                  <w:vMerge w:val="continue"/>
                  <w:shd w:val="clear" w:color="auto" w:fill="auto"/>
                  <w:vAlign w:val="center"/>
                </w:tcPr>
                <w:p w14:paraId="6DA1AE93">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63F218D8">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桶装</w:t>
                  </w:r>
                </w:p>
              </w:tc>
              <w:tc>
                <w:tcPr>
                  <w:tcW w:w="1233" w:type="dxa"/>
                  <w:shd w:val="clear" w:color="auto" w:fill="auto"/>
                  <w:vAlign w:val="center"/>
                </w:tcPr>
                <w:p w14:paraId="01460795">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10kg</w:t>
                  </w:r>
                </w:p>
              </w:tc>
              <w:tc>
                <w:tcPr>
                  <w:tcW w:w="1217" w:type="dxa"/>
                  <w:shd w:val="clear" w:color="auto" w:fill="auto"/>
                  <w:vAlign w:val="center"/>
                </w:tcPr>
                <w:p w14:paraId="234925A8">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一个月</w:t>
                  </w:r>
                </w:p>
              </w:tc>
            </w:tr>
            <w:tr w14:paraId="62635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42" w:type="dxa"/>
                  <w:vMerge w:val="continue"/>
                  <w:shd w:val="clear" w:color="auto" w:fill="auto"/>
                  <w:vAlign w:val="center"/>
                </w:tcPr>
                <w:p w14:paraId="2B3E47BA">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64436FCB">
                  <w:pPr>
                    <w:autoSpaceDE w:val="0"/>
                    <w:autoSpaceDN w:val="0"/>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废抹布及废手套</w:t>
                  </w:r>
                </w:p>
              </w:tc>
              <w:tc>
                <w:tcPr>
                  <w:tcW w:w="1187" w:type="dxa"/>
                  <w:vMerge w:val="continue"/>
                  <w:shd w:val="clear" w:color="auto" w:fill="auto"/>
                  <w:vAlign w:val="center"/>
                </w:tcPr>
                <w:p w14:paraId="6479DAB5">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38504447">
                  <w:pPr>
                    <w:topLinePunct/>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袋装</w:t>
                  </w:r>
                </w:p>
              </w:tc>
              <w:tc>
                <w:tcPr>
                  <w:tcW w:w="1233" w:type="dxa"/>
                  <w:shd w:val="clear" w:color="auto" w:fill="auto"/>
                  <w:vAlign w:val="center"/>
                </w:tcPr>
                <w:p w14:paraId="2CBA5D93">
                  <w:pPr>
                    <w:topLinePunct/>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5kg</w:t>
                  </w:r>
                </w:p>
              </w:tc>
              <w:tc>
                <w:tcPr>
                  <w:tcW w:w="1217" w:type="dxa"/>
                  <w:shd w:val="clear" w:color="auto" w:fill="auto"/>
                  <w:vAlign w:val="center"/>
                </w:tcPr>
                <w:p w14:paraId="26E2F1B8">
                  <w:pPr>
                    <w:autoSpaceDE w:val="0"/>
                    <w:autoSpaceDN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半年</w:t>
                  </w:r>
                </w:p>
              </w:tc>
            </w:tr>
            <w:tr w14:paraId="583C9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42" w:type="dxa"/>
                  <w:vMerge w:val="continue"/>
                  <w:shd w:val="clear" w:color="auto" w:fill="auto"/>
                  <w:vAlign w:val="center"/>
                </w:tcPr>
                <w:p w14:paraId="60F0B736">
                  <w:pPr>
                    <w:spacing w:line="240" w:lineRule="auto"/>
                    <w:rPr>
                      <w:rFonts w:hint="default" w:ascii="Times New Roman" w:hAnsi="Times New Roman" w:cs="Times New Roman"/>
                      <w:color w:val="auto"/>
                      <w:sz w:val="20"/>
                      <w:szCs w:val="20"/>
                    </w:rPr>
                  </w:pPr>
                </w:p>
              </w:tc>
              <w:tc>
                <w:tcPr>
                  <w:tcW w:w="2257" w:type="dxa"/>
                  <w:shd w:val="clear" w:color="auto" w:fill="auto"/>
                  <w:vAlign w:val="center"/>
                </w:tcPr>
                <w:p w14:paraId="7F3E259E">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废网版</w:t>
                  </w:r>
                </w:p>
              </w:tc>
              <w:tc>
                <w:tcPr>
                  <w:tcW w:w="1187" w:type="dxa"/>
                  <w:vMerge w:val="continue"/>
                  <w:shd w:val="clear" w:color="auto" w:fill="auto"/>
                  <w:vAlign w:val="center"/>
                </w:tcPr>
                <w:p w14:paraId="4F99D922">
                  <w:pPr>
                    <w:spacing w:line="240" w:lineRule="auto"/>
                    <w:rPr>
                      <w:rFonts w:hint="default" w:ascii="Times New Roman" w:hAnsi="Times New Roman" w:cs="Times New Roman"/>
                      <w:color w:val="auto"/>
                      <w:sz w:val="20"/>
                      <w:szCs w:val="20"/>
                    </w:rPr>
                  </w:pPr>
                </w:p>
              </w:tc>
              <w:tc>
                <w:tcPr>
                  <w:tcW w:w="1341" w:type="dxa"/>
                  <w:shd w:val="clear" w:color="auto" w:fill="auto"/>
                  <w:vAlign w:val="center"/>
                </w:tcPr>
                <w:p w14:paraId="49118172">
                  <w:pPr>
                    <w:topLinePunct/>
                    <w:spacing w:line="240" w:lineRule="auto"/>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袋装</w:t>
                  </w:r>
                </w:p>
              </w:tc>
              <w:tc>
                <w:tcPr>
                  <w:tcW w:w="1233" w:type="dxa"/>
                  <w:shd w:val="clear" w:color="auto" w:fill="auto"/>
                  <w:vAlign w:val="center"/>
                </w:tcPr>
                <w:p w14:paraId="18A269AB">
                  <w:pPr>
                    <w:topLinePunct/>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0.1t</w:t>
                  </w:r>
                </w:p>
              </w:tc>
              <w:tc>
                <w:tcPr>
                  <w:tcW w:w="1217" w:type="dxa"/>
                  <w:shd w:val="clear" w:color="auto" w:fill="auto"/>
                  <w:vAlign w:val="center"/>
                </w:tcPr>
                <w:p w14:paraId="745EDB30">
                  <w:pPr>
                    <w:autoSpaceDE w:val="0"/>
                    <w:autoSpaceDN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三个月</w:t>
                  </w:r>
                </w:p>
              </w:tc>
            </w:tr>
          </w:tbl>
          <w:p w14:paraId="49D8BBE7">
            <w:pPr>
              <w:ind w:left="482"/>
              <w:rPr>
                <w:rFonts w:hint="default" w:ascii="Times New Roman" w:hAnsi="Times New Roman" w:cs="Times New Roman"/>
                <w:b/>
                <w:bCs/>
                <w:color w:val="auto"/>
              </w:rPr>
            </w:pPr>
            <w:r>
              <w:rPr>
                <w:rFonts w:hint="default" w:ascii="Times New Roman" w:hAnsi="Times New Roman" w:cs="Times New Roman"/>
                <w:b/>
                <w:bCs/>
                <w:color w:val="auto"/>
              </w:rPr>
              <w:t>3）生活垃圾处理措施</w:t>
            </w:r>
          </w:p>
          <w:p w14:paraId="22E42945">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项目设置有多个垃圾收集筒，生活垃圾全部分类收集，然后经收集后定期交环卫部门清运处理。</w:t>
            </w:r>
          </w:p>
          <w:p w14:paraId="20C83F3D">
            <w:pPr>
              <w:ind w:firstLine="480" w:firstLineChars="200"/>
              <w:rPr>
                <w:rFonts w:hint="default" w:ascii="Times New Roman" w:hAnsi="Times New Roman" w:cs="Times New Roman"/>
                <w:color w:val="auto"/>
                <w:kern w:val="0"/>
              </w:rPr>
            </w:pPr>
            <w:r>
              <w:rPr>
                <w:rFonts w:hint="default" w:ascii="Times New Roman" w:hAnsi="Times New Roman" w:cs="Times New Roman"/>
                <w:color w:val="auto"/>
                <w:kern w:val="0"/>
              </w:rPr>
              <w:t>综上所述，项目固体废物经采取相关的措施处理处置后，可以得到及时、妥善的处理和处置，对周围环境产生影响较小。</w:t>
            </w:r>
          </w:p>
          <w:p w14:paraId="78F22236">
            <w:pPr>
              <w:widowControl/>
              <w:rPr>
                <w:rFonts w:hint="default" w:ascii="Times New Roman" w:hAnsi="Times New Roman" w:cs="Times New Roman"/>
                <w:b/>
                <w:bCs/>
                <w:color w:val="auto"/>
                <w:szCs w:val="22"/>
              </w:rPr>
            </w:pPr>
            <w:r>
              <w:rPr>
                <w:rFonts w:hint="default" w:ascii="Times New Roman" w:hAnsi="Times New Roman" w:cs="Times New Roman"/>
                <w:b/>
                <w:bCs/>
                <w:color w:val="auto"/>
                <w:szCs w:val="22"/>
              </w:rPr>
              <w:t>5、土壤、地下水环境</w:t>
            </w:r>
          </w:p>
          <w:p w14:paraId="2DEC0EB9">
            <w:pPr>
              <w:widowControl/>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项目将对地面进行</w:t>
            </w:r>
            <w:r>
              <w:rPr>
                <w:rFonts w:hint="default" w:ascii="Times New Roman" w:hAnsi="Times New Roman" w:cs="Times New Roman"/>
                <w:color w:val="auto"/>
                <w:szCs w:val="22"/>
                <w:lang w:val="en-US" w:eastAsia="zh-CN"/>
              </w:rPr>
              <w:t>硬化</w:t>
            </w:r>
            <w:r>
              <w:rPr>
                <w:rFonts w:hint="default" w:ascii="Times New Roman" w:hAnsi="Times New Roman" w:cs="Times New Roman"/>
                <w:color w:val="auto"/>
                <w:szCs w:val="22"/>
              </w:rPr>
              <w:t>处理，厂区内设置雨水收集管网，因此运营期可不考虑地面漫流的污染途径。</w:t>
            </w:r>
            <w:r>
              <w:rPr>
                <w:rFonts w:hint="default" w:ascii="Times New Roman" w:hAnsi="Times New Roman" w:eastAsia="宋体" w:cs="Times New Roman"/>
                <w:color w:val="auto"/>
                <w:sz w:val="24"/>
                <w:szCs w:val="22"/>
                <w:lang w:val="en-US" w:eastAsia="zh-CN"/>
              </w:rPr>
              <w:t>项目设危废暂存间和固废暂存间贮存固体废物，位于</w:t>
            </w:r>
            <w:r>
              <w:rPr>
                <w:rFonts w:hint="default" w:ascii="Times New Roman" w:hAnsi="Times New Roman" w:cs="Times New Roman"/>
                <w:color w:val="auto"/>
                <w:sz w:val="24"/>
                <w:szCs w:val="22"/>
                <w:lang w:val="en-US" w:eastAsia="zh-CN"/>
              </w:rPr>
              <w:t>一楼</w:t>
            </w:r>
            <w:r>
              <w:rPr>
                <w:rFonts w:hint="eastAsia" w:cs="Times New Roman"/>
                <w:color w:val="auto"/>
                <w:sz w:val="24"/>
                <w:szCs w:val="22"/>
                <w:lang w:val="en-US" w:eastAsia="zh-CN"/>
              </w:rPr>
              <w:t>西北侧</w:t>
            </w:r>
            <w:r>
              <w:rPr>
                <w:rFonts w:hint="default" w:ascii="Times New Roman" w:hAnsi="Times New Roman" w:eastAsia="宋体" w:cs="Times New Roman"/>
                <w:color w:val="auto"/>
                <w:sz w:val="24"/>
                <w:szCs w:val="22"/>
                <w:lang w:val="en-US" w:eastAsia="zh-CN"/>
              </w:rPr>
              <w:t>，</w:t>
            </w:r>
            <w:r>
              <w:rPr>
                <w:rFonts w:hint="default" w:ascii="Times New Roman" w:hAnsi="Times New Roman" w:cs="Times New Roman"/>
                <w:color w:val="auto"/>
                <w:szCs w:val="22"/>
              </w:rPr>
              <w:t>危废暂存间做好防腐防渗措施，严格按照相应规范要求进行施工，因此不会出现底部破损进而导致污染物经过垂直入渗途径影响土壤环境和地下水环境的情况。项目废气经收集处理后可以达标排放，</w:t>
            </w:r>
            <w:r>
              <w:rPr>
                <w:rFonts w:hint="default" w:ascii="Times New Roman" w:hAnsi="Times New Roman" w:cs="Times New Roman"/>
                <w:color w:val="auto"/>
              </w:rPr>
              <w:t>因此废气排放对土壤和地下水环境造成较小影响。</w:t>
            </w:r>
            <w:r>
              <w:rPr>
                <w:rFonts w:hint="default" w:ascii="Times New Roman" w:hAnsi="Times New Roman" w:cs="Times New Roman"/>
                <w:color w:val="auto"/>
                <w:szCs w:val="22"/>
              </w:rPr>
              <w:t>综上所述，项目建成后对土壤环境和地下水环境造成的影响较小，无需进行土壤和地下水环境影响分析。</w:t>
            </w:r>
          </w:p>
          <w:p w14:paraId="68877300">
            <w:pPr>
              <w:widowControl/>
              <w:rPr>
                <w:rFonts w:hint="default" w:ascii="Times New Roman" w:hAnsi="Times New Roman" w:cs="Times New Roman"/>
                <w:b/>
                <w:bCs/>
                <w:color w:val="auto"/>
                <w:szCs w:val="22"/>
              </w:rPr>
            </w:pPr>
            <w:r>
              <w:rPr>
                <w:rFonts w:hint="default" w:ascii="Times New Roman" w:hAnsi="Times New Roman" w:cs="Times New Roman"/>
                <w:b/>
                <w:bCs/>
                <w:color w:val="auto"/>
                <w:szCs w:val="22"/>
              </w:rPr>
              <w:t>6、环境风险</w:t>
            </w:r>
          </w:p>
          <w:p w14:paraId="6D5DC3B2">
            <w:pPr>
              <w:adjustRightIn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（1）风险识别</w:t>
            </w:r>
          </w:p>
          <w:p w14:paraId="4401594C">
            <w:pPr>
              <w:adjustRightInd w:val="0"/>
              <w:ind w:firstLine="480" w:firstLineChars="200"/>
              <w:rPr>
                <w:rFonts w:hint="default" w:ascii="Times New Roman" w:hAnsi="Times New Roman" w:cs="Times New Roman"/>
                <w:color w:val="auto"/>
              </w:rPr>
            </w:pPr>
            <w:r>
              <w:rPr>
                <w:rFonts w:hint="default" w:ascii="Times New Roman" w:hAnsi="Times New Roman" w:cs="Times New Roman"/>
                <w:color w:val="auto"/>
              </w:rPr>
              <w:t>根据《建设项目环境风险评价技术导则》（HJ 169-2018）附录B及《危险化学品重大危险源辨识》（18218-2018），项目生产过程中涉及的风险物质为原辅材料中使用的润滑油、</w:t>
            </w:r>
            <w:r>
              <w:rPr>
                <w:rFonts w:hint="default" w:ascii="Times New Roman" w:hAnsi="Times New Roman" w:cs="Times New Roman"/>
                <w:color w:val="auto"/>
                <w:lang w:val="en-US" w:eastAsia="zh-CN"/>
              </w:rPr>
              <w:t>火花油、水性油墨、切削液</w:t>
            </w:r>
            <w:r>
              <w:rPr>
                <w:rFonts w:hint="default" w:ascii="Times New Roman" w:hAnsi="Times New Roman" w:cs="Times New Roman"/>
                <w:color w:val="auto"/>
              </w:rPr>
              <w:t>等，润滑油和</w:t>
            </w:r>
            <w:r>
              <w:rPr>
                <w:rFonts w:hint="default" w:ascii="Times New Roman" w:hAnsi="Times New Roman" w:cs="Times New Roman"/>
                <w:color w:val="auto"/>
                <w:lang w:val="en-US" w:eastAsia="zh-CN"/>
              </w:rPr>
              <w:t>火花油</w:t>
            </w:r>
            <w:r>
              <w:rPr>
                <w:rFonts w:hint="default" w:ascii="Times New Roman" w:hAnsi="Times New Roman" w:cs="Times New Roman"/>
                <w:color w:val="auto"/>
              </w:rPr>
              <w:t>属于</w:t>
            </w:r>
            <w:r>
              <w:rPr>
                <w:rFonts w:hint="default" w:ascii="Times New Roman" w:hAnsi="Times New Roman" w:cs="Times New Roman"/>
                <w:color w:val="auto"/>
                <w:szCs w:val="21"/>
              </w:rPr>
              <w:t>油类物质（矿物油类，如石油、汽油、柴油等；生物柴油等），</w:t>
            </w:r>
            <w:r>
              <w:rPr>
                <w:rFonts w:hint="default" w:ascii="Times New Roman" w:hAnsi="Times New Roman" w:cs="Times New Roman"/>
                <w:color w:val="auto"/>
                <w:lang w:val="en-US" w:eastAsia="zh-CN"/>
              </w:rPr>
              <w:t>水性油墨、切削液、废活性炭等</w:t>
            </w:r>
            <w:r>
              <w:rPr>
                <w:rFonts w:hint="default" w:ascii="Times New Roman" w:hAnsi="Times New Roman" w:cs="Times New Roman"/>
                <w:color w:val="auto"/>
                <w:szCs w:val="21"/>
              </w:rPr>
              <w:t>属于健康危险急性毒性物质（类别2，类别3）</w:t>
            </w:r>
            <w:r>
              <w:rPr>
                <w:rFonts w:hint="default" w:ascii="Times New Roman" w:hAnsi="Times New Roman" w:cs="Times New Roman"/>
                <w:color w:val="auto"/>
              </w:rPr>
              <w:t>。</w:t>
            </w:r>
          </w:p>
          <w:p w14:paraId="49B5DD24">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根据《建设项目环境风险评价技术导则》（HJ 169-2018）附录C，危险物质数量与临界量比值Q定义如下：</w:t>
            </w:r>
          </w:p>
          <w:p w14:paraId="3F348EFA">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当只涉及一种危险物质时，计算该物质的总量与其临界量比值，即为Q；</w:t>
            </w:r>
          </w:p>
          <w:p w14:paraId="12E0240E">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当存在多种危险物质时，则按式（1.5-1）计算物质总量与其临界量比值（Q）：</w:t>
            </w:r>
          </w:p>
          <w:p w14:paraId="35728CF8">
            <w:pPr>
              <w:snapToGrid w:val="0"/>
              <w:ind w:firstLine="480" w:firstLineChars="200"/>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1990725" cy="485775"/>
                  <wp:effectExtent l="0" t="0" r="3175" b="9525"/>
                  <wp:docPr id="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
                          <pic:cNvPicPr>
                            <a:picLocks noChangeAspect="1"/>
                          </pic:cNvPicPr>
                        </pic:nvPicPr>
                        <pic:blipFill>
                          <a:blip r:embed="rId42"/>
                          <a:stretch>
                            <a:fillRect/>
                          </a:stretch>
                        </pic:blipFill>
                        <pic:spPr>
                          <a:xfrm>
                            <a:off x="0" y="0"/>
                            <a:ext cx="1990725" cy="485775"/>
                          </a:xfrm>
                          <a:prstGeom prst="rect">
                            <a:avLst/>
                          </a:prstGeom>
                          <a:noFill/>
                          <a:ln>
                            <a:noFill/>
                          </a:ln>
                        </pic:spPr>
                      </pic:pic>
                    </a:graphicData>
                  </a:graphic>
                </wp:inline>
              </w:drawing>
            </w:r>
            <w:r>
              <w:rPr>
                <w:rFonts w:hint="default" w:ascii="Times New Roman" w:hAnsi="Times New Roman" w:cs="Times New Roman"/>
                <w:color w:val="auto"/>
              </w:rPr>
              <w:t>（1.5-1）</w:t>
            </w:r>
          </w:p>
          <w:p w14:paraId="00C756F9">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式中：q</w:t>
            </w:r>
            <w:r>
              <w:rPr>
                <w:rFonts w:hint="default" w:ascii="Times New Roman" w:hAnsi="Times New Roman" w:cs="Times New Roman"/>
                <w:color w:val="auto"/>
                <w:vertAlign w:val="subscript"/>
              </w:rPr>
              <w:t>1</w:t>
            </w:r>
            <w:r>
              <w:rPr>
                <w:rFonts w:hint="default" w:ascii="Times New Roman" w:hAnsi="Times New Roman" w:cs="Times New Roman"/>
                <w:color w:val="auto"/>
              </w:rPr>
              <w:t>，q</w:t>
            </w:r>
            <w:r>
              <w:rPr>
                <w:rFonts w:hint="default" w:ascii="Times New Roman" w:hAnsi="Times New Roman" w:cs="Times New Roman"/>
                <w:color w:val="auto"/>
                <w:vertAlign w:val="subscript"/>
              </w:rPr>
              <w:t>2</w:t>
            </w:r>
            <w:r>
              <w:rPr>
                <w:rFonts w:hint="default" w:ascii="Times New Roman" w:hAnsi="Times New Roman" w:cs="Times New Roman"/>
                <w:color w:val="auto"/>
              </w:rPr>
              <w:t>，…，q</w:t>
            </w:r>
            <w:r>
              <w:rPr>
                <w:rFonts w:hint="default" w:ascii="Times New Roman" w:hAnsi="Times New Roman" w:cs="Times New Roman"/>
                <w:color w:val="auto"/>
                <w:vertAlign w:val="subscript"/>
              </w:rPr>
              <w:t>n</w:t>
            </w:r>
            <w:r>
              <w:rPr>
                <w:rFonts w:hint="default" w:ascii="Times New Roman" w:hAnsi="Times New Roman" w:cs="Times New Roman"/>
                <w:color w:val="auto"/>
              </w:rPr>
              <w:t>——每种危险物质的最大存在总量，t；</w:t>
            </w:r>
          </w:p>
          <w:p w14:paraId="5E2F6E35">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 xml:space="preserve">      Q</w:t>
            </w:r>
            <w:r>
              <w:rPr>
                <w:rFonts w:hint="default" w:ascii="Times New Roman" w:hAnsi="Times New Roman" w:cs="Times New Roman"/>
                <w:color w:val="auto"/>
                <w:vertAlign w:val="subscript"/>
              </w:rPr>
              <w:t>1</w:t>
            </w:r>
            <w:r>
              <w:rPr>
                <w:rFonts w:hint="default" w:ascii="Times New Roman" w:hAnsi="Times New Roman" w:cs="Times New Roman"/>
                <w:color w:val="auto"/>
              </w:rPr>
              <w:t>，Q</w:t>
            </w:r>
            <w:r>
              <w:rPr>
                <w:rFonts w:hint="default" w:ascii="Times New Roman" w:hAnsi="Times New Roman" w:cs="Times New Roman"/>
                <w:color w:val="auto"/>
                <w:vertAlign w:val="subscript"/>
              </w:rPr>
              <w:t>2</w:t>
            </w:r>
            <w:r>
              <w:rPr>
                <w:rFonts w:hint="default" w:ascii="Times New Roman" w:hAnsi="Times New Roman" w:cs="Times New Roman"/>
                <w:color w:val="auto"/>
              </w:rPr>
              <w:t>，…，Q</w:t>
            </w:r>
            <w:r>
              <w:rPr>
                <w:rFonts w:hint="default" w:ascii="Times New Roman" w:hAnsi="Times New Roman" w:cs="Times New Roman"/>
                <w:color w:val="auto"/>
                <w:vertAlign w:val="subscript"/>
              </w:rPr>
              <w:t>n</w:t>
            </w:r>
            <w:r>
              <w:rPr>
                <w:rFonts w:hint="default" w:ascii="Times New Roman" w:hAnsi="Times New Roman" w:cs="Times New Roman"/>
                <w:color w:val="auto"/>
              </w:rPr>
              <w:t>——每种危险物质的临界量，t；</w:t>
            </w:r>
          </w:p>
          <w:p w14:paraId="070AE75D">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当Q＜1时，该项目环境风险潜势为I；</w:t>
            </w:r>
          </w:p>
          <w:p w14:paraId="47E559E1">
            <w:pPr>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rPr>
              <w:t>当Q≥1时，将Q值划分为：（1）1≤Q＜10；（2）10≤Q＜100；（3）Q≥100。</w:t>
            </w:r>
          </w:p>
          <w:p w14:paraId="6202C2A2">
            <w:pPr>
              <w:wordWrap/>
              <w:adjustRightInd w:val="0"/>
              <w:spacing w:line="240" w:lineRule="auto"/>
              <w:ind w:firstLine="602" w:firstLineChars="25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w:t>
            </w:r>
            <w:r>
              <w:rPr>
                <w:rFonts w:hint="default" w:ascii="Times New Roman" w:hAnsi="Times New Roman" w:cs="Times New Roman"/>
                <w:b/>
                <w:bCs/>
                <w:color w:val="auto"/>
                <w:szCs w:val="21"/>
                <w:lang w:val="en-US" w:eastAsia="zh-CN"/>
              </w:rPr>
              <w:t>4-27</w:t>
            </w:r>
            <w:r>
              <w:rPr>
                <w:rFonts w:hint="default" w:ascii="Times New Roman" w:hAnsi="Times New Roman" w:cs="Times New Roman"/>
                <w:b/>
                <w:bCs/>
                <w:color w:val="auto"/>
                <w:szCs w:val="21"/>
              </w:rPr>
              <w:t xml:space="preserve"> 项目</w:t>
            </w:r>
            <w:bookmarkStart w:id="26" w:name="危险物质Q值"/>
            <w:r>
              <w:rPr>
                <w:rFonts w:hint="default" w:ascii="Times New Roman" w:hAnsi="Times New Roman" w:cs="Times New Roman"/>
                <w:b/>
                <w:bCs/>
                <w:color w:val="auto"/>
                <w:szCs w:val="21"/>
              </w:rPr>
              <w:t>危险物质Q值</w:t>
            </w:r>
            <w:bookmarkEnd w:id="26"/>
            <w:r>
              <w:rPr>
                <w:rFonts w:hint="default" w:ascii="Times New Roman" w:hAnsi="Times New Roman" w:cs="Times New Roman"/>
                <w:b/>
                <w:bCs/>
                <w:color w:val="auto"/>
                <w:szCs w:val="21"/>
              </w:rPr>
              <w:t>确定表</w:t>
            </w:r>
          </w:p>
          <w:tbl>
            <w:tblPr>
              <w:tblStyle w:val="22"/>
              <w:tblW w:w="8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1114"/>
              <w:gridCol w:w="2191"/>
              <w:gridCol w:w="1215"/>
              <w:gridCol w:w="1311"/>
              <w:gridCol w:w="1033"/>
              <w:gridCol w:w="1175"/>
            </w:tblGrid>
            <w:tr w14:paraId="1664C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518156CA">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114" w:type="dxa"/>
                  <w:tcBorders>
                    <w:top w:val="single" w:color="auto" w:sz="4" w:space="0"/>
                    <w:left w:val="nil"/>
                    <w:bottom w:val="single" w:color="auto" w:sz="4" w:space="0"/>
                    <w:right w:val="single" w:color="auto" w:sz="4" w:space="0"/>
                  </w:tcBorders>
                  <w:vAlign w:val="center"/>
                </w:tcPr>
                <w:p w14:paraId="38B7241A">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危险物质名称</w:t>
                  </w:r>
                </w:p>
              </w:tc>
              <w:tc>
                <w:tcPr>
                  <w:tcW w:w="2191" w:type="dxa"/>
                  <w:tcBorders>
                    <w:top w:val="single" w:color="auto" w:sz="4" w:space="0"/>
                    <w:left w:val="nil"/>
                    <w:bottom w:val="single" w:color="auto" w:sz="4" w:space="0"/>
                    <w:right w:val="single" w:color="auto" w:sz="4" w:space="0"/>
                  </w:tcBorders>
                  <w:vAlign w:val="center"/>
                </w:tcPr>
                <w:p w14:paraId="392651EC">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危险物质类别</w:t>
                  </w:r>
                </w:p>
              </w:tc>
              <w:tc>
                <w:tcPr>
                  <w:tcW w:w="1215" w:type="dxa"/>
                  <w:tcBorders>
                    <w:top w:val="single" w:color="auto" w:sz="4" w:space="0"/>
                    <w:left w:val="nil"/>
                    <w:bottom w:val="single" w:color="auto" w:sz="4" w:space="0"/>
                    <w:right w:val="single" w:color="auto" w:sz="4" w:space="0"/>
                  </w:tcBorders>
                  <w:vAlign w:val="center"/>
                </w:tcPr>
                <w:p w14:paraId="7AD5C4BE">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CAS号</w:t>
                  </w:r>
                </w:p>
              </w:tc>
              <w:tc>
                <w:tcPr>
                  <w:tcW w:w="1311" w:type="dxa"/>
                  <w:tcBorders>
                    <w:top w:val="single" w:color="auto" w:sz="4" w:space="0"/>
                    <w:left w:val="nil"/>
                    <w:bottom w:val="single" w:color="auto" w:sz="4" w:space="0"/>
                    <w:right w:val="single" w:color="auto" w:sz="4" w:space="0"/>
                  </w:tcBorders>
                  <w:vAlign w:val="center"/>
                </w:tcPr>
                <w:p w14:paraId="6BCCE1AB">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最大存在总量（q</w:t>
                  </w:r>
                  <w:r>
                    <w:rPr>
                      <w:rFonts w:hint="default" w:ascii="Times New Roman" w:hAnsi="Times New Roman" w:cs="Times New Roman"/>
                      <w:b/>
                      <w:bCs/>
                      <w:color w:val="auto"/>
                      <w:sz w:val="21"/>
                      <w:szCs w:val="21"/>
                      <w:vertAlign w:val="subscript"/>
                    </w:rPr>
                    <w:t>n</w:t>
                  </w:r>
                  <w:r>
                    <w:rPr>
                      <w:rFonts w:hint="default" w:ascii="Times New Roman" w:hAnsi="Times New Roman" w:cs="Times New Roman"/>
                      <w:b/>
                      <w:bCs/>
                      <w:color w:val="auto"/>
                      <w:sz w:val="21"/>
                      <w:szCs w:val="21"/>
                    </w:rPr>
                    <w:t>/t）</w:t>
                  </w:r>
                </w:p>
              </w:tc>
              <w:tc>
                <w:tcPr>
                  <w:tcW w:w="1033" w:type="dxa"/>
                  <w:tcBorders>
                    <w:top w:val="single" w:color="auto" w:sz="4" w:space="0"/>
                    <w:left w:val="nil"/>
                    <w:bottom w:val="single" w:color="auto" w:sz="4" w:space="0"/>
                    <w:right w:val="single" w:color="auto" w:sz="4" w:space="0"/>
                  </w:tcBorders>
                  <w:vAlign w:val="center"/>
                </w:tcPr>
                <w:p w14:paraId="59E0BD6D">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临界量（Q</w:t>
                  </w:r>
                  <w:r>
                    <w:rPr>
                      <w:rFonts w:hint="default" w:ascii="Times New Roman" w:hAnsi="Times New Roman" w:cs="Times New Roman"/>
                      <w:b/>
                      <w:bCs/>
                      <w:color w:val="auto"/>
                      <w:sz w:val="21"/>
                      <w:szCs w:val="21"/>
                      <w:vertAlign w:val="subscript"/>
                    </w:rPr>
                    <w:t>n</w:t>
                  </w:r>
                  <w:r>
                    <w:rPr>
                      <w:rFonts w:hint="default" w:ascii="Times New Roman" w:hAnsi="Times New Roman" w:cs="Times New Roman"/>
                      <w:b/>
                      <w:bCs/>
                      <w:color w:val="auto"/>
                      <w:sz w:val="21"/>
                      <w:szCs w:val="21"/>
                    </w:rPr>
                    <w:t>/t）</w:t>
                  </w:r>
                </w:p>
              </w:tc>
              <w:tc>
                <w:tcPr>
                  <w:tcW w:w="1175" w:type="dxa"/>
                  <w:tcBorders>
                    <w:top w:val="single" w:color="auto" w:sz="4" w:space="0"/>
                    <w:left w:val="nil"/>
                    <w:bottom w:val="single" w:color="auto" w:sz="4" w:space="0"/>
                    <w:right w:val="single" w:color="auto" w:sz="4" w:space="0"/>
                  </w:tcBorders>
                  <w:vAlign w:val="center"/>
                </w:tcPr>
                <w:p w14:paraId="7C79AEB2">
                  <w:pPr>
                    <w:wordWrap/>
                    <w:adjustRightIn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该种危险物质Q值</w:t>
                  </w:r>
                </w:p>
              </w:tc>
            </w:tr>
            <w:tr w14:paraId="635E2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575128DD">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114" w:type="dxa"/>
                  <w:tcBorders>
                    <w:top w:val="single" w:color="auto" w:sz="4" w:space="0"/>
                    <w:left w:val="nil"/>
                    <w:bottom w:val="single" w:color="auto" w:sz="4" w:space="0"/>
                    <w:right w:val="single" w:color="auto" w:sz="4" w:space="0"/>
                  </w:tcBorders>
                  <w:vAlign w:val="center"/>
                </w:tcPr>
                <w:p w14:paraId="5DA3ECA2">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润滑油</w:t>
                  </w:r>
                </w:p>
              </w:tc>
              <w:tc>
                <w:tcPr>
                  <w:tcW w:w="2191" w:type="dxa"/>
                  <w:tcBorders>
                    <w:top w:val="single" w:color="auto" w:sz="4" w:space="0"/>
                    <w:left w:val="nil"/>
                    <w:right w:val="single" w:color="auto" w:sz="4" w:space="0"/>
                  </w:tcBorders>
                  <w:vAlign w:val="center"/>
                </w:tcPr>
                <w:p w14:paraId="7D3142B4">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油类物质（矿物油类，如石油、汽油、柴油等；生物柴油等）</w:t>
                  </w:r>
                </w:p>
              </w:tc>
              <w:tc>
                <w:tcPr>
                  <w:tcW w:w="1215" w:type="dxa"/>
                  <w:tcBorders>
                    <w:top w:val="single" w:color="auto" w:sz="4" w:space="0"/>
                    <w:left w:val="nil"/>
                    <w:bottom w:val="single" w:color="auto" w:sz="4" w:space="0"/>
                    <w:right w:val="single" w:color="auto" w:sz="4" w:space="0"/>
                  </w:tcBorders>
                  <w:vAlign w:val="center"/>
                </w:tcPr>
                <w:p w14:paraId="312D63A3">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11" w:type="dxa"/>
                  <w:tcBorders>
                    <w:top w:val="single" w:color="auto" w:sz="4" w:space="0"/>
                    <w:left w:val="nil"/>
                    <w:bottom w:val="single" w:color="auto" w:sz="4" w:space="0"/>
                    <w:right w:val="single" w:color="auto" w:sz="4" w:space="0"/>
                  </w:tcBorders>
                  <w:vAlign w:val="center"/>
                </w:tcPr>
                <w:p w14:paraId="6944320A">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0.01</w:t>
                  </w:r>
                </w:p>
              </w:tc>
              <w:tc>
                <w:tcPr>
                  <w:tcW w:w="1033" w:type="dxa"/>
                  <w:tcBorders>
                    <w:top w:val="single" w:color="auto" w:sz="4" w:space="0"/>
                    <w:left w:val="nil"/>
                    <w:bottom w:val="single" w:color="auto" w:sz="4" w:space="0"/>
                    <w:right w:val="single" w:color="auto" w:sz="4" w:space="0"/>
                  </w:tcBorders>
                  <w:vAlign w:val="center"/>
                </w:tcPr>
                <w:p w14:paraId="229077C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1175" w:type="dxa"/>
                  <w:tcBorders>
                    <w:top w:val="single" w:color="auto" w:sz="4" w:space="0"/>
                    <w:left w:val="nil"/>
                    <w:bottom w:val="single" w:color="auto" w:sz="4" w:space="0"/>
                    <w:right w:val="single" w:color="auto" w:sz="4" w:space="0"/>
                  </w:tcBorders>
                  <w:vAlign w:val="center"/>
                </w:tcPr>
                <w:p w14:paraId="0BB619EB">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0.000004</w:t>
                  </w:r>
                </w:p>
              </w:tc>
            </w:tr>
            <w:tr w14:paraId="3727D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0ADCF03F">
                  <w:pPr>
                    <w:wordWrap/>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2</w:t>
                  </w:r>
                </w:p>
              </w:tc>
              <w:tc>
                <w:tcPr>
                  <w:tcW w:w="1114" w:type="dxa"/>
                  <w:tcBorders>
                    <w:top w:val="single" w:color="auto" w:sz="4" w:space="0"/>
                    <w:left w:val="nil"/>
                    <w:bottom w:val="single" w:color="auto" w:sz="4" w:space="0"/>
                    <w:right w:val="single" w:color="auto" w:sz="4" w:space="0"/>
                  </w:tcBorders>
                  <w:vAlign w:val="center"/>
                </w:tcPr>
                <w:p w14:paraId="54A3E7A6">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火花油</w:t>
                  </w:r>
                </w:p>
              </w:tc>
              <w:tc>
                <w:tcPr>
                  <w:tcW w:w="2191" w:type="dxa"/>
                  <w:tcBorders>
                    <w:top w:val="single" w:color="auto" w:sz="4" w:space="0"/>
                    <w:left w:val="nil"/>
                    <w:right w:val="single" w:color="auto" w:sz="4" w:space="0"/>
                  </w:tcBorders>
                  <w:vAlign w:val="center"/>
                </w:tcPr>
                <w:p w14:paraId="2D754D84">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油类物质（矿物油类，如石油、汽油、柴油等；生物柴油等）</w:t>
                  </w:r>
                </w:p>
              </w:tc>
              <w:tc>
                <w:tcPr>
                  <w:tcW w:w="1215" w:type="dxa"/>
                  <w:tcBorders>
                    <w:top w:val="single" w:color="auto" w:sz="4" w:space="0"/>
                    <w:left w:val="nil"/>
                    <w:bottom w:val="single" w:color="auto" w:sz="4" w:space="0"/>
                    <w:right w:val="single" w:color="auto" w:sz="4" w:space="0"/>
                  </w:tcBorders>
                  <w:vAlign w:val="center"/>
                </w:tcPr>
                <w:p w14:paraId="607E4790">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311" w:type="dxa"/>
                  <w:tcBorders>
                    <w:top w:val="single" w:color="auto" w:sz="4" w:space="0"/>
                    <w:left w:val="nil"/>
                    <w:bottom w:val="single" w:color="auto" w:sz="4" w:space="0"/>
                    <w:right w:val="single" w:color="auto" w:sz="4" w:space="0"/>
                  </w:tcBorders>
                  <w:vAlign w:val="center"/>
                </w:tcPr>
                <w:p w14:paraId="1674748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w:t>
                  </w:r>
                </w:p>
              </w:tc>
              <w:tc>
                <w:tcPr>
                  <w:tcW w:w="1033" w:type="dxa"/>
                  <w:tcBorders>
                    <w:top w:val="single" w:color="auto" w:sz="4" w:space="0"/>
                    <w:left w:val="nil"/>
                    <w:bottom w:val="single" w:color="auto" w:sz="4" w:space="0"/>
                    <w:right w:val="single" w:color="auto" w:sz="4" w:space="0"/>
                  </w:tcBorders>
                  <w:vAlign w:val="center"/>
                </w:tcPr>
                <w:p w14:paraId="1708502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1175" w:type="dxa"/>
                  <w:tcBorders>
                    <w:top w:val="single" w:color="auto" w:sz="4" w:space="0"/>
                    <w:left w:val="nil"/>
                    <w:bottom w:val="single" w:color="auto" w:sz="4" w:space="0"/>
                    <w:right w:val="single" w:color="auto" w:sz="4" w:space="0"/>
                  </w:tcBorders>
                  <w:vAlign w:val="center"/>
                </w:tcPr>
                <w:p w14:paraId="4DF92F15">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0.0000080.002</w:t>
                  </w:r>
                </w:p>
              </w:tc>
            </w:tr>
            <w:tr w14:paraId="5837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36B75335">
                  <w:pPr>
                    <w:wordWrap/>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p>
              </w:tc>
              <w:tc>
                <w:tcPr>
                  <w:tcW w:w="1114" w:type="dxa"/>
                  <w:tcBorders>
                    <w:top w:val="single" w:color="auto" w:sz="4" w:space="0"/>
                    <w:left w:val="nil"/>
                    <w:bottom w:val="single" w:color="auto" w:sz="4" w:space="0"/>
                    <w:right w:val="single" w:color="auto" w:sz="4" w:space="0"/>
                  </w:tcBorders>
                  <w:vAlign w:val="center"/>
                </w:tcPr>
                <w:p w14:paraId="39AA2C4D">
                  <w:pPr>
                    <w:spacing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水性油墨</w:t>
                  </w:r>
                </w:p>
              </w:tc>
              <w:tc>
                <w:tcPr>
                  <w:tcW w:w="2191" w:type="dxa"/>
                  <w:tcBorders>
                    <w:top w:val="single" w:color="auto" w:sz="4" w:space="0"/>
                    <w:left w:val="nil"/>
                    <w:right w:val="single" w:color="auto" w:sz="4" w:space="0"/>
                  </w:tcBorders>
                  <w:vAlign w:val="center"/>
                </w:tcPr>
                <w:p w14:paraId="4C1C1FE6">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健康危险急性毒性物质（类别2，类别3）</w:t>
                  </w:r>
                </w:p>
              </w:tc>
              <w:tc>
                <w:tcPr>
                  <w:tcW w:w="1215" w:type="dxa"/>
                  <w:tcBorders>
                    <w:top w:val="single" w:color="auto" w:sz="4" w:space="0"/>
                    <w:left w:val="nil"/>
                    <w:bottom w:val="single" w:color="auto" w:sz="4" w:space="0"/>
                    <w:right w:val="single" w:color="auto" w:sz="4" w:space="0"/>
                  </w:tcBorders>
                  <w:vAlign w:val="center"/>
                </w:tcPr>
                <w:p w14:paraId="46A09FCD">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11" w:type="dxa"/>
                  <w:tcBorders>
                    <w:top w:val="single" w:color="auto" w:sz="4" w:space="0"/>
                    <w:left w:val="nil"/>
                    <w:bottom w:val="single" w:color="auto" w:sz="4" w:space="0"/>
                    <w:right w:val="single" w:color="auto" w:sz="4" w:space="0"/>
                  </w:tcBorders>
                  <w:vAlign w:val="center"/>
                </w:tcPr>
                <w:p w14:paraId="0B8C3B16">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w:t>
                  </w:r>
                </w:p>
              </w:tc>
              <w:tc>
                <w:tcPr>
                  <w:tcW w:w="1033" w:type="dxa"/>
                  <w:tcBorders>
                    <w:top w:val="single" w:color="auto" w:sz="4" w:space="0"/>
                    <w:left w:val="nil"/>
                    <w:bottom w:val="single" w:color="auto" w:sz="4" w:space="0"/>
                    <w:right w:val="single" w:color="auto" w:sz="4" w:space="0"/>
                  </w:tcBorders>
                  <w:vAlign w:val="center"/>
                </w:tcPr>
                <w:p w14:paraId="685B1123">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1175" w:type="dxa"/>
                  <w:tcBorders>
                    <w:top w:val="single" w:color="auto" w:sz="4" w:space="0"/>
                    <w:left w:val="nil"/>
                    <w:bottom w:val="single" w:color="auto" w:sz="4" w:space="0"/>
                    <w:right w:val="single" w:color="auto" w:sz="4" w:space="0"/>
                  </w:tcBorders>
                  <w:vAlign w:val="center"/>
                </w:tcPr>
                <w:p w14:paraId="7CCAAEC1">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0.002</w:t>
                  </w:r>
                </w:p>
              </w:tc>
            </w:tr>
            <w:tr w14:paraId="01429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09C4D9BB">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1114" w:type="dxa"/>
                  <w:tcBorders>
                    <w:top w:val="single" w:color="auto" w:sz="4" w:space="0"/>
                    <w:left w:val="nil"/>
                    <w:bottom w:val="single" w:color="auto" w:sz="4" w:space="0"/>
                    <w:right w:val="single" w:color="auto" w:sz="4" w:space="0"/>
                  </w:tcBorders>
                  <w:vAlign w:val="center"/>
                </w:tcPr>
                <w:p w14:paraId="4BF9D773">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切削液</w:t>
                  </w:r>
                </w:p>
              </w:tc>
              <w:tc>
                <w:tcPr>
                  <w:tcW w:w="2191" w:type="dxa"/>
                  <w:tcBorders>
                    <w:top w:val="single" w:color="auto" w:sz="4" w:space="0"/>
                    <w:left w:val="nil"/>
                    <w:right w:val="single" w:color="auto" w:sz="4" w:space="0"/>
                  </w:tcBorders>
                  <w:vAlign w:val="center"/>
                </w:tcPr>
                <w:p w14:paraId="36F4D4A6">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健康危险急性毒性物质（类别2，类别3）</w:t>
                  </w:r>
                </w:p>
              </w:tc>
              <w:tc>
                <w:tcPr>
                  <w:tcW w:w="1215" w:type="dxa"/>
                  <w:tcBorders>
                    <w:top w:val="single" w:color="auto" w:sz="4" w:space="0"/>
                    <w:left w:val="nil"/>
                    <w:bottom w:val="single" w:color="auto" w:sz="4" w:space="0"/>
                    <w:right w:val="single" w:color="auto" w:sz="4" w:space="0"/>
                  </w:tcBorders>
                  <w:vAlign w:val="center"/>
                </w:tcPr>
                <w:p w14:paraId="5E409427">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1311" w:type="dxa"/>
                  <w:tcBorders>
                    <w:top w:val="single" w:color="auto" w:sz="4" w:space="0"/>
                    <w:left w:val="nil"/>
                    <w:bottom w:val="single" w:color="auto" w:sz="4" w:space="0"/>
                    <w:right w:val="single" w:color="auto" w:sz="4" w:space="0"/>
                  </w:tcBorders>
                  <w:vAlign w:val="center"/>
                </w:tcPr>
                <w:p w14:paraId="1B4CBA5C">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w:t>
                  </w:r>
                </w:p>
              </w:tc>
              <w:tc>
                <w:tcPr>
                  <w:tcW w:w="1033" w:type="dxa"/>
                  <w:tcBorders>
                    <w:top w:val="single" w:color="auto" w:sz="4" w:space="0"/>
                    <w:left w:val="nil"/>
                    <w:bottom w:val="single" w:color="auto" w:sz="4" w:space="0"/>
                    <w:right w:val="single" w:color="auto" w:sz="4" w:space="0"/>
                  </w:tcBorders>
                  <w:vAlign w:val="center"/>
                </w:tcPr>
                <w:p w14:paraId="4E975F1D">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50</w:t>
                  </w:r>
                </w:p>
              </w:tc>
              <w:tc>
                <w:tcPr>
                  <w:tcW w:w="1175" w:type="dxa"/>
                  <w:tcBorders>
                    <w:top w:val="single" w:color="auto" w:sz="4" w:space="0"/>
                    <w:left w:val="nil"/>
                    <w:bottom w:val="single" w:color="auto" w:sz="4" w:space="0"/>
                    <w:right w:val="single" w:color="auto" w:sz="4" w:space="0"/>
                  </w:tcBorders>
                  <w:vAlign w:val="center"/>
                </w:tcPr>
                <w:p w14:paraId="02F5064B">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0.0004</w:t>
                  </w:r>
                </w:p>
              </w:tc>
            </w:tr>
            <w:tr w14:paraId="61167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37" w:type="dxa"/>
                  <w:tcBorders>
                    <w:top w:val="single" w:color="auto" w:sz="4" w:space="0"/>
                    <w:left w:val="single" w:color="auto" w:sz="4" w:space="0"/>
                    <w:bottom w:val="single" w:color="auto" w:sz="4" w:space="0"/>
                    <w:right w:val="single" w:color="auto" w:sz="4" w:space="0"/>
                  </w:tcBorders>
                  <w:vAlign w:val="center"/>
                </w:tcPr>
                <w:p w14:paraId="3C8D4DE4">
                  <w:pPr>
                    <w:wordWrap/>
                    <w:adjustRightInd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5</w:t>
                  </w:r>
                </w:p>
              </w:tc>
              <w:tc>
                <w:tcPr>
                  <w:tcW w:w="1114" w:type="dxa"/>
                  <w:tcBorders>
                    <w:top w:val="single" w:color="auto" w:sz="4" w:space="0"/>
                    <w:left w:val="nil"/>
                    <w:bottom w:val="single" w:color="auto" w:sz="4" w:space="0"/>
                    <w:right w:val="single" w:color="auto" w:sz="4" w:space="0"/>
                  </w:tcBorders>
                  <w:vAlign w:val="center"/>
                </w:tcPr>
                <w:p w14:paraId="2AA55C6F">
                  <w:pPr>
                    <w:spacing w:line="240" w:lineRule="auto"/>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废矿物油</w:t>
                  </w:r>
                </w:p>
              </w:tc>
              <w:tc>
                <w:tcPr>
                  <w:tcW w:w="2191" w:type="dxa"/>
                  <w:tcBorders>
                    <w:top w:val="single" w:color="auto" w:sz="4" w:space="0"/>
                    <w:left w:val="nil"/>
                    <w:right w:val="single" w:color="auto" w:sz="4" w:space="0"/>
                  </w:tcBorders>
                  <w:vAlign w:val="center"/>
                </w:tcPr>
                <w:p w14:paraId="63FC581F">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油类物质（矿物油类，如石油、汽油、柴油等；生物柴油等）</w:t>
                  </w:r>
                </w:p>
              </w:tc>
              <w:tc>
                <w:tcPr>
                  <w:tcW w:w="1215" w:type="dxa"/>
                  <w:tcBorders>
                    <w:top w:val="single" w:color="auto" w:sz="4" w:space="0"/>
                    <w:left w:val="nil"/>
                    <w:bottom w:val="single" w:color="auto" w:sz="4" w:space="0"/>
                    <w:right w:val="single" w:color="auto" w:sz="4" w:space="0"/>
                  </w:tcBorders>
                  <w:vAlign w:val="center"/>
                </w:tcPr>
                <w:p w14:paraId="187D9835">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311" w:type="dxa"/>
                  <w:tcBorders>
                    <w:top w:val="single" w:color="auto" w:sz="4" w:space="0"/>
                    <w:left w:val="nil"/>
                    <w:bottom w:val="single" w:color="auto" w:sz="4" w:space="0"/>
                    <w:right w:val="single" w:color="auto" w:sz="4" w:space="0"/>
                  </w:tcBorders>
                  <w:vAlign w:val="center"/>
                </w:tcPr>
                <w:p w14:paraId="23FC4A44">
                  <w:pPr>
                    <w:wordWrap/>
                    <w:adjustRightInd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0.06</w:t>
                  </w:r>
                </w:p>
              </w:tc>
              <w:tc>
                <w:tcPr>
                  <w:tcW w:w="1033" w:type="dxa"/>
                  <w:tcBorders>
                    <w:top w:val="single" w:color="auto" w:sz="4" w:space="0"/>
                    <w:left w:val="nil"/>
                    <w:bottom w:val="single" w:color="auto" w:sz="4" w:space="0"/>
                    <w:right w:val="single" w:color="auto" w:sz="4" w:space="0"/>
                  </w:tcBorders>
                  <w:vAlign w:val="center"/>
                </w:tcPr>
                <w:p w14:paraId="16458F54">
                  <w:pPr>
                    <w:wordWrap/>
                    <w:adjustRightIn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1175" w:type="dxa"/>
                  <w:tcBorders>
                    <w:top w:val="single" w:color="auto" w:sz="4" w:space="0"/>
                    <w:left w:val="nil"/>
                    <w:bottom w:val="single" w:color="auto" w:sz="4" w:space="0"/>
                    <w:right w:val="single" w:color="auto" w:sz="4" w:space="0"/>
                  </w:tcBorders>
                  <w:vAlign w:val="center"/>
                </w:tcPr>
                <w:p w14:paraId="1F2AE577">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0.000024</w:t>
                  </w:r>
                </w:p>
              </w:tc>
            </w:tr>
            <w:tr w14:paraId="5D224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7301" w:type="dxa"/>
                  <w:gridSpan w:val="6"/>
                  <w:tcBorders>
                    <w:top w:val="single" w:color="auto" w:sz="4" w:space="0"/>
                    <w:left w:val="single" w:color="auto" w:sz="4" w:space="0"/>
                    <w:bottom w:val="single" w:color="auto" w:sz="4" w:space="0"/>
                    <w:right w:val="single" w:color="auto" w:sz="4" w:space="0"/>
                  </w:tcBorders>
                  <w:vAlign w:val="center"/>
                </w:tcPr>
                <w:p w14:paraId="4A1CABB4">
                  <w:pPr>
                    <w:wordWrap/>
                    <w:adjustRightIn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项目Q值∑</w:t>
                  </w:r>
                </w:p>
              </w:tc>
              <w:tc>
                <w:tcPr>
                  <w:tcW w:w="1175" w:type="dxa"/>
                  <w:tcBorders>
                    <w:top w:val="single" w:color="auto" w:sz="4" w:space="0"/>
                    <w:left w:val="nil"/>
                    <w:bottom w:val="single" w:color="auto" w:sz="4" w:space="0"/>
                    <w:right w:val="single" w:color="auto" w:sz="4" w:space="0"/>
                  </w:tcBorders>
                  <w:vAlign w:val="center"/>
                </w:tcPr>
                <w:p w14:paraId="0278D145">
                  <w:pPr>
                    <w:wordWrap/>
                    <w:adjustRightIn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0.002436</w:t>
                  </w:r>
                </w:p>
              </w:tc>
            </w:tr>
          </w:tbl>
          <w:p w14:paraId="4CE4BB0B">
            <w:pPr>
              <w:ind w:firstLine="480" w:firstLineChars="200"/>
              <w:rPr>
                <w:rFonts w:hint="default" w:ascii="Times New Roman" w:hAnsi="Times New Roman" w:cs="Times New Roman"/>
                <w:color w:val="auto"/>
              </w:rPr>
            </w:pPr>
            <w:r>
              <w:rPr>
                <w:rFonts w:hint="default" w:ascii="Times New Roman" w:hAnsi="Times New Roman" w:cs="Times New Roman"/>
                <w:color w:val="auto"/>
              </w:rPr>
              <w:t>根据上表，项目厂区风险物质数量与临界量的比值Q=</w:t>
            </w:r>
            <w:r>
              <w:rPr>
                <w:rFonts w:hint="eastAsia" w:cs="Times New Roman"/>
                <w:color w:val="auto"/>
                <w:lang w:val="en-US" w:eastAsia="zh-CN"/>
              </w:rPr>
              <w:t>0.002436</w:t>
            </w:r>
            <w:r>
              <w:rPr>
                <w:rFonts w:hint="default" w:ascii="Times New Roman" w:hAnsi="Times New Roman" w:cs="Times New Roman"/>
                <w:color w:val="auto"/>
              </w:rPr>
              <w:t>，即Q值划分为Q＜1。</w:t>
            </w:r>
          </w:p>
          <w:p w14:paraId="4B9C75DC">
            <w:pPr>
              <w:ind w:firstLine="480" w:firstLineChars="200"/>
              <w:rPr>
                <w:rFonts w:hint="eastAsia" w:ascii="Times New Roman" w:hAnsi="Times New Roman" w:eastAsia="宋体" w:cs="Times New Roman"/>
                <w:color w:val="auto"/>
                <w:szCs w:val="22"/>
                <w:lang w:val="en-US" w:eastAsia="zh-CN"/>
              </w:rPr>
            </w:pPr>
            <w:r>
              <w:rPr>
                <w:rFonts w:hint="default" w:ascii="Times New Roman" w:hAnsi="Times New Roman" w:cs="Times New Roman"/>
                <w:color w:val="auto"/>
                <w:szCs w:val="22"/>
              </w:rPr>
              <w:t>项目的事故风险来源主要为①废气处理设施发生破损，会使废气中颗粒物</w:t>
            </w:r>
            <w:r>
              <w:rPr>
                <w:rFonts w:hint="default" w:ascii="Times New Roman" w:hAnsi="Times New Roman" w:cs="Times New Roman"/>
                <w:color w:val="auto"/>
                <w:szCs w:val="22"/>
                <w:lang w:val="en-US" w:eastAsia="zh-CN"/>
              </w:rPr>
              <w:t>和有机废气</w:t>
            </w:r>
            <w:r>
              <w:rPr>
                <w:rFonts w:hint="default" w:ascii="Times New Roman" w:hAnsi="Times New Roman" w:cs="Times New Roman"/>
                <w:color w:val="auto"/>
                <w:szCs w:val="22"/>
              </w:rPr>
              <w:t>浓度上升；②</w:t>
            </w:r>
            <w:r>
              <w:rPr>
                <w:rFonts w:hint="default" w:ascii="Times New Roman" w:hAnsi="Times New Roman" w:cs="Times New Roman"/>
                <w:color w:val="auto"/>
                <w:szCs w:val="22"/>
                <w:lang w:val="en-US" w:eastAsia="zh-CN"/>
              </w:rPr>
              <w:t>液体</w:t>
            </w:r>
            <w:r>
              <w:rPr>
                <w:rFonts w:hint="default" w:ascii="Times New Roman" w:hAnsi="Times New Roman" w:cs="Times New Roman"/>
                <w:color w:val="auto"/>
                <w:szCs w:val="22"/>
              </w:rPr>
              <w:t>原料桶的破裂泄漏，容易引发火灾，产生有毒有害气体。③</w:t>
            </w:r>
            <w:r>
              <w:rPr>
                <w:rFonts w:hint="default" w:ascii="Times New Roman" w:hAnsi="Times New Roman" w:cs="Times New Roman"/>
                <w:color w:val="auto"/>
                <w:szCs w:val="22"/>
                <w:lang w:val="en-US" w:eastAsia="zh-CN"/>
              </w:rPr>
              <w:t>液体</w:t>
            </w:r>
            <w:r>
              <w:rPr>
                <w:rFonts w:hint="default" w:ascii="Times New Roman" w:hAnsi="Times New Roman" w:cs="Times New Roman"/>
                <w:color w:val="auto"/>
                <w:szCs w:val="22"/>
              </w:rPr>
              <w:t>原料桶破裂渗漏，污染地下水和土壤环境；④危废间中存放的废</w:t>
            </w:r>
            <w:r>
              <w:rPr>
                <w:rFonts w:hint="default" w:ascii="Times New Roman" w:hAnsi="Times New Roman" w:cs="Times New Roman"/>
                <w:color w:val="auto"/>
                <w:szCs w:val="22"/>
                <w:lang w:val="en-US" w:eastAsia="zh-CN"/>
              </w:rPr>
              <w:t>原料</w:t>
            </w:r>
            <w:r>
              <w:rPr>
                <w:rFonts w:hint="default" w:ascii="Times New Roman" w:hAnsi="Times New Roman" w:cs="Times New Roman"/>
                <w:color w:val="auto"/>
                <w:szCs w:val="22"/>
              </w:rPr>
              <w:t>桶</w:t>
            </w:r>
            <w:r>
              <w:rPr>
                <w:rFonts w:hint="default" w:ascii="Times New Roman" w:hAnsi="Times New Roman" w:cs="Times New Roman"/>
                <w:color w:val="auto"/>
                <w:szCs w:val="22"/>
                <w:lang w:val="en-US" w:eastAsia="zh-CN"/>
              </w:rPr>
              <w:t>和废矿物油桶</w:t>
            </w:r>
            <w:r>
              <w:rPr>
                <w:rFonts w:hint="default" w:ascii="Times New Roman" w:hAnsi="Times New Roman" w:cs="Times New Roman"/>
                <w:color w:val="auto"/>
                <w:szCs w:val="22"/>
              </w:rPr>
              <w:t>破裂导致泄漏，污染地下水和土壤环境。</w:t>
            </w:r>
            <w:r>
              <w:rPr>
                <w:rFonts w:hint="eastAsia" w:cs="Times New Roman"/>
                <w:color w:val="auto"/>
                <w:szCs w:val="22"/>
                <w:lang w:val="en-US" w:eastAsia="zh-CN"/>
              </w:rPr>
              <w:t xml:space="preserve"> </w:t>
            </w:r>
          </w:p>
          <w:p w14:paraId="64D63556">
            <w:pPr>
              <w:spacing w:line="240" w:lineRule="auto"/>
              <w:jc w:val="center"/>
              <w:rPr>
                <w:rFonts w:hint="default" w:ascii="Times New Roman" w:hAnsi="Times New Roman" w:cs="Times New Roman"/>
                <w:b/>
                <w:bCs/>
                <w:color w:val="auto"/>
              </w:rPr>
            </w:pPr>
            <w:r>
              <w:rPr>
                <w:rFonts w:hint="default" w:ascii="Times New Roman" w:hAnsi="Times New Roman" w:cs="Times New Roman"/>
                <w:b/>
                <w:bCs/>
                <w:color w:val="auto"/>
              </w:rPr>
              <w:t>表</w:t>
            </w:r>
            <w:r>
              <w:rPr>
                <w:rFonts w:hint="default" w:ascii="Times New Roman" w:hAnsi="Times New Roman" w:cs="Times New Roman"/>
                <w:b/>
                <w:bCs/>
                <w:color w:val="auto"/>
                <w:lang w:val="en-US" w:eastAsia="zh-CN"/>
              </w:rPr>
              <w:t>4-28</w:t>
            </w:r>
            <w:r>
              <w:rPr>
                <w:rFonts w:hint="default" w:ascii="Times New Roman" w:hAnsi="Times New Roman" w:cs="Times New Roman"/>
                <w:b/>
                <w:bCs/>
                <w:color w:val="auto"/>
              </w:rPr>
              <w:t xml:space="preserve"> 项目环境风险识别表</w:t>
            </w:r>
          </w:p>
          <w:tbl>
            <w:tblPr>
              <w:tblStyle w:val="22"/>
              <w:tblW w:w="846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437"/>
              <w:gridCol w:w="1341"/>
              <w:gridCol w:w="1140"/>
              <w:gridCol w:w="2102"/>
              <w:gridCol w:w="2196"/>
              <w:gridCol w:w="1248"/>
            </w:tblGrid>
            <w:tr w14:paraId="49DE19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318B02B7">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rPr>
                    <w:t>序</w:t>
                  </w:r>
                  <w:r>
                    <w:rPr>
                      <w:rFonts w:hint="default" w:ascii="Times New Roman" w:hAnsi="Times New Roman" w:cs="Times New Roman"/>
                      <w:b/>
                      <w:bCs/>
                      <w:color w:val="auto"/>
                      <w:sz w:val="21"/>
                      <w:szCs w:val="21"/>
                      <w:lang w:val="zh-CN"/>
                    </w:rPr>
                    <w:t>号</w:t>
                  </w:r>
                </w:p>
              </w:tc>
              <w:tc>
                <w:tcPr>
                  <w:tcW w:w="792" w:type="pct"/>
                  <w:tcMar>
                    <w:top w:w="0" w:type="dxa"/>
                    <w:left w:w="117" w:type="dxa"/>
                    <w:bottom w:w="0" w:type="dxa"/>
                    <w:right w:w="117" w:type="dxa"/>
                  </w:tcMar>
                  <w:vAlign w:val="center"/>
                </w:tcPr>
                <w:p w14:paraId="2C25D920">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危险单元</w:t>
                  </w:r>
                </w:p>
              </w:tc>
              <w:tc>
                <w:tcPr>
                  <w:tcW w:w="672" w:type="pct"/>
                  <w:tcMar>
                    <w:top w:w="0" w:type="dxa"/>
                    <w:left w:w="117" w:type="dxa"/>
                    <w:bottom w:w="0" w:type="dxa"/>
                    <w:right w:w="117" w:type="dxa"/>
                  </w:tcMar>
                  <w:vAlign w:val="center"/>
                </w:tcPr>
                <w:p w14:paraId="426E1E67">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风险源</w:t>
                  </w:r>
                </w:p>
              </w:tc>
              <w:tc>
                <w:tcPr>
                  <w:tcW w:w="1241" w:type="pct"/>
                  <w:tcMar>
                    <w:top w:w="0" w:type="dxa"/>
                    <w:left w:w="117" w:type="dxa"/>
                    <w:bottom w:w="0" w:type="dxa"/>
                    <w:right w:w="117" w:type="dxa"/>
                  </w:tcMar>
                  <w:vAlign w:val="center"/>
                </w:tcPr>
                <w:p w14:paraId="023526C4">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主要危险物质</w:t>
                  </w:r>
                </w:p>
              </w:tc>
              <w:tc>
                <w:tcPr>
                  <w:tcW w:w="1297" w:type="pct"/>
                  <w:tcMar>
                    <w:top w:w="0" w:type="dxa"/>
                    <w:left w:w="117" w:type="dxa"/>
                    <w:bottom w:w="0" w:type="dxa"/>
                    <w:right w:w="117" w:type="dxa"/>
                  </w:tcMar>
                  <w:vAlign w:val="center"/>
                </w:tcPr>
                <w:p w14:paraId="1FA3D37A">
                  <w:pPr>
                    <w:spacing w:line="240" w:lineRule="auto"/>
                    <w:jc w:val="center"/>
                    <w:textAlignment w:val="baseline"/>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环境风险类型</w:t>
                  </w:r>
                </w:p>
              </w:tc>
              <w:tc>
                <w:tcPr>
                  <w:tcW w:w="737" w:type="pct"/>
                  <w:tcMar>
                    <w:top w:w="0" w:type="dxa"/>
                    <w:left w:w="117" w:type="dxa"/>
                    <w:bottom w:w="0" w:type="dxa"/>
                    <w:right w:w="117" w:type="dxa"/>
                  </w:tcMar>
                  <w:vAlign w:val="center"/>
                </w:tcPr>
                <w:p w14:paraId="60610A39">
                  <w:pPr>
                    <w:spacing w:line="240" w:lineRule="auto"/>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zh-CN"/>
                    </w:rPr>
                    <w:t>风险</w:t>
                  </w:r>
                  <w:r>
                    <w:rPr>
                      <w:rFonts w:hint="default" w:ascii="Times New Roman" w:hAnsi="Times New Roman" w:cs="Times New Roman"/>
                      <w:b/>
                      <w:bCs/>
                      <w:color w:val="auto"/>
                      <w:sz w:val="21"/>
                      <w:szCs w:val="21"/>
                    </w:rPr>
                    <w:t>影响途径</w:t>
                  </w:r>
                </w:p>
              </w:tc>
            </w:tr>
            <w:tr w14:paraId="12256F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37C9BDE0">
                  <w:pPr>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rPr>
                    <w:t>1</w:t>
                  </w:r>
                </w:p>
              </w:tc>
              <w:tc>
                <w:tcPr>
                  <w:tcW w:w="1465" w:type="pct"/>
                  <w:gridSpan w:val="2"/>
                  <w:tcMar>
                    <w:top w:w="0" w:type="dxa"/>
                    <w:left w:w="117" w:type="dxa"/>
                    <w:bottom w:w="0" w:type="dxa"/>
                    <w:right w:w="117" w:type="dxa"/>
                  </w:tcMar>
                  <w:vAlign w:val="center"/>
                </w:tcPr>
                <w:p w14:paraId="0459D9FE">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生产车间</w:t>
                  </w:r>
                </w:p>
              </w:tc>
              <w:tc>
                <w:tcPr>
                  <w:tcW w:w="1241" w:type="pct"/>
                  <w:vMerge w:val="restart"/>
                  <w:tcMar>
                    <w:top w:w="0" w:type="dxa"/>
                    <w:left w:w="117" w:type="dxa"/>
                    <w:bottom w:w="0" w:type="dxa"/>
                    <w:right w:w="117" w:type="dxa"/>
                  </w:tcMar>
                  <w:vAlign w:val="center"/>
                </w:tcPr>
                <w:p w14:paraId="5BE69501">
                  <w:pPr>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润滑油、</w:t>
                  </w:r>
                  <w:r>
                    <w:rPr>
                      <w:rFonts w:hint="default" w:ascii="Times New Roman" w:hAnsi="Times New Roman" w:cs="Times New Roman"/>
                      <w:color w:val="auto"/>
                      <w:sz w:val="21"/>
                      <w:szCs w:val="21"/>
                      <w:lang w:eastAsia="zh-CN"/>
                    </w:rPr>
                    <w:t>水性油墨</w:t>
                  </w:r>
                  <w:r>
                    <w:rPr>
                      <w:rFonts w:hint="default" w:ascii="Times New Roman" w:hAnsi="Times New Roman" w:cs="Times New Roman"/>
                      <w:color w:val="auto"/>
                      <w:sz w:val="21"/>
                      <w:szCs w:val="21"/>
                    </w:rPr>
                    <w:t>、切削液</w:t>
                  </w:r>
                  <w:r>
                    <w:rPr>
                      <w:rFonts w:hint="default" w:ascii="Times New Roman" w:hAnsi="Times New Roman" w:cs="Times New Roman"/>
                      <w:color w:val="auto"/>
                      <w:sz w:val="21"/>
                      <w:szCs w:val="21"/>
                      <w:lang w:val="en-US" w:eastAsia="zh-CN"/>
                    </w:rPr>
                    <w:t>等</w:t>
                  </w:r>
                </w:p>
              </w:tc>
              <w:tc>
                <w:tcPr>
                  <w:tcW w:w="1297" w:type="pct"/>
                  <w:vMerge w:val="restart"/>
                  <w:tcMar>
                    <w:top w:w="0" w:type="dxa"/>
                    <w:left w:w="117" w:type="dxa"/>
                    <w:bottom w:w="0" w:type="dxa"/>
                    <w:right w:w="117" w:type="dxa"/>
                  </w:tcMar>
                  <w:vAlign w:val="center"/>
                </w:tcPr>
                <w:p w14:paraId="576E0013">
                  <w:pPr>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rPr>
                    <w:t>泄漏，火灾、爆炸等引发的伴生/次生污染物排放</w:t>
                  </w:r>
                </w:p>
              </w:tc>
              <w:tc>
                <w:tcPr>
                  <w:tcW w:w="737" w:type="pct"/>
                  <w:vMerge w:val="restart"/>
                  <w:tcMar>
                    <w:top w:w="0" w:type="dxa"/>
                    <w:left w:w="117" w:type="dxa"/>
                    <w:bottom w:w="0" w:type="dxa"/>
                    <w:right w:w="117" w:type="dxa"/>
                  </w:tcMar>
                  <w:vAlign w:val="center"/>
                </w:tcPr>
                <w:p w14:paraId="22B1814A">
                  <w:pPr>
                    <w:widowControl/>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地表水/地下水、大气</w:t>
                  </w:r>
                </w:p>
              </w:tc>
            </w:tr>
            <w:tr w14:paraId="42BC4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7F075CBF">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465" w:type="pct"/>
                  <w:gridSpan w:val="2"/>
                  <w:tcMar>
                    <w:top w:w="0" w:type="dxa"/>
                    <w:left w:w="117" w:type="dxa"/>
                    <w:bottom w:w="0" w:type="dxa"/>
                    <w:right w:w="117" w:type="dxa"/>
                  </w:tcMar>
                  <w:vAlign w:val="center"/>
                </w:tcPr>
                <w:p w14:paraId="70C270BD">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化学品仓库</w:t>
                  </w:r>
                </w:p>
              </w:tc>
              <w:tc>
                <w:tcPr>
                  <w:tcW w:w="1241" w:type="pct"/>
                  <w:vMerge w:val="continue"/>
                  <w:tcMar>
                    <w:top w:w="0" w:type="dxa"/>
                    <w:left w:w="117" w:type="dxa"/>
                    <w:bottom w:w="0" w:type="dxa"/>
                    <w:right w:w="117" w:type="dxa"/>
                  </w:tcMar>
                  <w:vAlign w:val="center"/>
                </w:tcPr>
                <w:p w14:paraId="2EF6F045">
                  <w:pPr>
                    <w:spacing w:line="240" w:lineRule="auto"/>
                    <w:jc w:val="center"/>
                    <w:textAlignment w:val="baseline"/>
                    <w:rPr>
                      <w:rFonts w:hint="default" w:ascii="Times New Roman" w:hAnsi="Times New Roman" w:cs="Times New Roman"/>
                      <w:color w:val="auto"/>
                      <w:sz w:val="21"/>
                      <w:szCs w:val="21"/>
                      <w:lang w:val="zh-CN"/>
                    </w:rPr>
                  </w:pPr>
                </w:p>
              </w:tc>
              <w:tc>
                <w:tcPr>
                  <w:tcW w:w="1297" w:type="pct"/>
                  <w:vMerge w:val="continue"/>
                  <w:tcMar>
                    <w:top w:w="0" w:type="dxa"/>
                    <w:left w:w="117" w:type="dxa"/>
                    <w:bottom w:w="0" w:type="dxa"/>
                    <w:right w:w="117" w:type="dxa"/>
                  </w:tcMar>
                  <w:vAlign w:val="center"/>
                </w:tcPr>
                <w:p w14:paraId="0AF89ED3">
                  <w:pPr>
                    <w:spacing w:line="240" w:lineRule="auto"/>
                    <w:jc w:val="center"/>
                    <w:textAlignment w:val="baseline"/>
                    <w:rPr>
                      <w:rFonts w:hint="default" w:ascii="Times New Roman" w:hAnsi="Times New Roman" w:cs="Times New Roman"/>
                      <w:color w:val="auto"/>
                      <w:sz w:val="21"/>
                      <w:szCs w:val="21"/>
                      <w:lang w:val="zh-CN"/>
                    </w:rPr>
                  </w:pPr>
                </w:p>
              </w:tc>
              <w:tc>
                <w:tcPr>
                  <w:tcW w:w="737" w:type="pct"/>
                  <w:vMerge w:val="continue"/>
                  <w:tcMar>
                    <w:top w:w="0" w:type="dxa"/>
                    <w:left w:w="117" w:type="dxa"/>
                    <w:bottom w:w="0" w:type="dxa"/>
                    <w:right w:w="117" w:type="dxa"/>
                  </w:tcMar>
                  <w:vAlign w:val="center"/>
                </w:tcPr>
                <w:p w14:paraId="6455E21B">
                  <w:pPr>
                    <w:widowControl/>
                    <w:spacing w:line="240" w:lineRule="auto"/>
                    <w:jc w:val="center"/>
                    <w:textAlignment w:val="baseline"/>
                    <w:rPr>
                      <w:rFonts w:hint="default" w:ascii="Times New Roman" w:hAnsi="Times New Roman" w:cs="Times New Roman"/>
                      <w:color w:val="auto"/>
                      <w:sz w:val="21"/>
                      <w:szCs w:val="21"/>
                    </w:rPr>
                  </w:pPr>
                </w:p>
              </w:tc>
            </w:tr>
            <w:tr w14:paraId="2510C1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Mar>
                    <w:top w:w="0" w:type="dxa"/>
                    <w:left w:w="117" w:type="dxa"/>
                    <w:bottom w:w="0" w:type="dxa"/>
                    <w:right w:w="117" w:type="dxa"/>
                  </w:tcMar>
                  <w:vAlign w:val="center"/>
                </w:tcPr>
                <w:p w14:paraId="74AC423F">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792" w:type="pct"/>
                  <w:tcMar>
                    <w:top w:w="0" w:type="dxa"/>
                    <w:left w:w="117" w:type="dxa"/>
                    <w:bottom w:w="0" w:type="dxa"/>
                    <w:right w:w="117" w:type="dxa"/>
                  </w:tcMar>
                  <w:vAlign w:val="center"/>
                </w:tcPr>
                <w:p w14:paraId="70AE8F98">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危废暂存间</w:t>
                  </w:r>
                </w:p>
              </w:tc>
              <w:tc>
                <w:tcPr>
                  <w:tcW w:w="672" w:type="pct"/>
                  <w:tcMar>
                    <w:top w:w="0" w:type="dxa"/>
                    <w:left w:w="117" w:type="dxa"/>
                    <w:bottom w:w="0" w:type="dxa"/>
                    <w:right w:w="117" w:type="dxa"/>
                  </w:tcMar>
                  <w:vAlign w:val="center"/>
                </w:tcPr>
                <w:p w14:paraId="77C77C8F">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1241" w:type="pct"/>
                  <w:tcMar>
                    <w:top w:w="0" w:type="dxa"/>
                    <w:left w:w="117" w:type="dxa"/>
                    <w:bottom w:w="0" w:type="dxa"/>
                    <w:right w:w="117" w:type="dxa"/>
                  </w:tcMar>
                  <w:vAlign w:val="center"/>
                </w:tcPr>
                <w:p w14:paraId="1B232C10">
                  <w:pPr>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原料桶、废矿物油</w:t>
                  </w:r>
                </w:p>
              </w:tc>
              <w:tc>
                <w:tcPr>
                  <w:tcW w:w="1297" w:type="pct"/>
                  <w:vMerge w:val="continue"/>
                  <w:tcMar>
                    <w:top w:w="0" w:type="dxa"/>
                    <w:left w:w="117" w:type="dxa"/>
                    <w:bottom w:w="0" w:type="dxa"/>
                    <w:right w:w="117" w:type="dxa"/>
                  </w:tcMar>
                  <w:vAlign w:val="center"/>
                </w:tcPr>
                <w:p w14:paraId="1263608A">
                  <w:pPr>
                    <w:spacing w:line="240" w:lineRule="auto"/>
                    <w:jc w:val="center"/>
                    <w:textAlignment w:val="baseline"/>
                    <w:rPr>
                      <w:rFonts w:hint="default" w:ascii="Times New Roman" w:hAnsi="Times New Roman" w:cs="Times New Roman"/>
                      <w:color w:val="auto"/>
                      <w:sz w:val="21"/>
                      <w:szCs w:val="21"/>
                      <w:lang w:val="zh-CN"/>
                    </w:rPr>
                  </w:pPr>
                </w:p>
              </w:tc>
              <w:tc>
                <w:tcPr>
                  <w:tcW w:w="737" w:type="pct"/>
                  <w:vMerge w:val="continue"/>
                  <w:tcMar>
                    <w:top w:w="0" w:type="dxa"/>
                    <w:left w:w="117" w:type="dxa"/>
                    <w:bottom w:w="0" w:type="dxa"/>
                    <w:right w:w="117" w:type="dxa"/>
                  </w:tcMar>
                  <w:vAlign w:val="center"/>
                </w:tcPr>
                <w:p w14:paraId="50D96CB4">
                  <w:pPr>
                    <w:widowControl/>
                    <w:spacing w:line="240" w:lineRule="auto"/>
                    <w:jc w:val="center"/>
                    <w:textAlignment w:val="baseline"/>
                    <w:rPr>
                      <w:rFonts w:hint="default" w:ascii="Times New Roman" w:hAnsi="Times New Roman" w:cs="Times New Roman"/>
                      <w:color w:val="auto"/>
                      <w:sz w:val="21"/>
                      <w:szCs w:val="21"/>
                    </w:rPr>
                  </w:pPr>
                </w:p>
              </w:tc>
            </w:tr>
            <w:tr w14:paraId="01C05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58" w:type="pct"/>
                  <w:tcBorders>
                    <w:bottom w:val="single" w:color="auto" w:sz="4" w:space="0"/>
                  </w:tcBorders>
                  <w:tcMar>
                    <w:top w:w="0" w:type="dxa"/>
                    <w:left w:w="117" w:type="dxa"/>
                    <w:bottom w:w="0" w:type="dxa"/>
                    <w:right w:w="117" w:type="dxa"/>
                  </w:tcMar>
                  <w:vAlign w:val="center"/>
                </w:tcPr>
                <w:p w14:paraId="651682F7">
                  <w:pPr>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4</w:t>
                  </w:r>
                </w:p>
              </w:tc>
              <w:tc>
                <w:tcPr>
                  <w:tcW w:w="792" w:type="pct"/>
                  <w:tcMar>
                    <w:top w:w="0" w:type="dxa"/>
                    <w:left w:w="117" w:type="dxa"/>
                    <w:bottom w:w="0" w:type="dxa"/>
                    <w:right w:w="117" w:type="dxa"/>
                  </w:tcMar>
                  <w:vAlign w:val="center"/>
                </w:tcPr>
                <w:p w14:paraId="5D4A1DA8">
                  <w:pPr>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环保工程</w:t>
                  </w:r>
                </w:p>
              </w:tc>
              <w:tc>
                <w:tcPr>
                  <w:tcW w:w="672" w:type="pct"/>
                  <w:tcMar>
                    <w:top w:w="0" w:type="dxa"/>
                    <w:left w:w="117" w:type="dxa"/>
                    <w:bottom w:w="0" w:type="dxa"/>
                    <w:right w:w="117" w:type="dxa"/>
                  </w:tcMar>
                  <w:vAlign w:val="center"/>
                </w:tcPr>
                <w:p w14:paraId="4E69CD04">
                  <w:pPr>
                    <w:widowControl/>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废气处理设施</w:t>
                  </w:r>
                </w:p>
              </w:tc>
              <w:tc>
                <w:tcPr>
                  <w:tcW w:w="1241" w:type="pct"/>
                  <w:tcMar>
                    <w:top w:w="0" w:type="dxa"/>
                    <w:left w:w="117" w:type="dxa"/>
                    <w:bottom w:w="0" w:type="dxa"/>
                    <w:right w:w="117" w:type="dxa"/>
                  </w:tcMar>
                  <w:vAlign w:val="center"/>
                </w:tcPr>
                <w:p w14:paraId="7AF8B51A">
                  <w:pPr>
                    <w:widowControl/>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val="en-US" w:eastAsia="zh-CN"/>
                    </w:rPr>
                    <w:t>和有机废气</w:t>
                  </w:r>
                </w:p>
              </w:tc>
              <w:tc>
                <w:tcPr>
                  <w:tcW w:w="1297" w:type="pct"/>
                  <w:tcMar>
                    <w:top w:w="0" w:type="dxa"/>
                    <w:left w:w="117" w:type="dxa"/>
                    <w:bottom w:w="0" w:type="dxa"/>
                    <w:right w:w="117" w:type="dxa"/>
                  </w:tcMar>
                  <w:vAlign w:val="center"/>
                </w:tcPr>
                <w:p w14:paraId="5E68A1B3">
                  <w:pPr>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废气处理设施发生故障导致事故排放</w:t>
                  </w:r>
                </w:p>
              </w:tc>
              <w:tc>
                <w:tcPr>
                  <w:tcW w:w="737" w:type="pct"/>
                  <w:tcMar>
                    <w:top w:w="0" w:type="dxa"/>
                    <w:left w:w="117" w:type="dxa"/>
                    <w:bottom w:w="0" w:type="dxa"/>
                    <w:right w:w="117" w:type="dxa"/>
                  </w:tcMar>
                  <w:vAlign w:val="center"/>
                </w:tcPr>
                <w:p w14:paraId="1423F428">
                  <w:pPr>
                    <w:widowControl/>
                    <w:spacing w:line="240" w:lineRule="auto"/>
                    <w:jc w:val="center"/>
                    <w:textAlignment w:val="baseline"/>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rPr>
                    <w:t>大气</w:t>
                  </w:r>
                </w:p>
              </w:tc>
            </w:tr>
          </w:tbl>
          <w:p w14:paraId="3E13921C">
            <w:pPr>
              <w:widowControl/>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（2）环境风险防范措施</w:t>
            </w:r>
          </w:p>
          <w:p w14:paraId="0AD90638">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1）生产车间泄漏防范措施</w:t>
            </w:r>
          </w:p>
          <w:p w14:paraId="49F5C16A">
            <w:pPr>
              <w:autoSpaceDE w:val="0"/>
              <w:autoSpaceDN w:val="0"/>
              <w:ind w:firstLine="480" w:firstLineChars="200"/>
              <w:rPr>
                <w:rFonts w:hint="default" w:ascii="Times New Roman" w:hAnsi="Times New Roman" w:cs="Times New Roman"/>
                <w:color w:val="auto"/>
              </w:rPr>
            </w:pPr>
            <w:r>
              <w:rPr>
                <w:rFonts w:hint="default" w:ascii="Times New Roman" w:hAnsi="Times New Roman" w:cs="Times New Roman"/>
                <w:bCs/>
                <w:color w:val="auto"/>
              </w:rPr>
              <w:t>车间应</w:t>
            </w:r>
            <w:r>
              <w:rPr>
                <w:rFonts w:hint="default" w:ascii="Times New Roman" w:hAnsi="Times New Roman" w:cs="Times New Roman"/>
                <w:color w:val="auto"/>
              </w:rPr>
              <w:t>符合《建筑设计防火规范》中相应的消防、防火防爆要求</w:t>
            </w:r>
            <w:r>
              <w:rPr>
                <w:rFonts w:hint="default" w:ascii="Times New Roman" w:hAnsi="Times New Roman" w:cs="Times New Roman"/>
                <w:bCs/>
                <w:color w:val="auto"/>
              </w:rPr>
              <w:t>，</w:t>
            </w:r>
            <w:r>
              <w:rPr>
                <w:rFonts w:hint="default" w:ascii="Times New Roman" w:hAnsi="Times New Roman" w:cs="Times New Roman"/>
                <w:color w:val="auto"/>
              </w:rPr>
              <w:t>配备足量的泡沫、干粉等灭火器、消防沙、灭火毯等消防器材。</w:t>
            </w:r>
            <w:r>
              <w:rPr>
                <w:rFonts w:hint="default" w:ascii="Times New Roman" w:hAnsi="Times New Roman" w:cs="Times New Roman"/>
                <w:bCs/>
                <w:color w:val="auto"/>
              </w:rPr>
              <w:t>同时应加强车间通风，防止可燃气体的累积。生产车间、</w:t>
            </w:r>
            <w:r>
              <w:rPr>
                <w:rFonts w:hint="default" w:ascii="Times New Roman" w:hAnsi="Times New Roman" w:cs="Times New Roman"/>
                <w:bCs/>
                <w:color w:val="auto"/>
                <w:lang w:val="en-US" w:eastAsia="zh-CN"/>
              </w:rPr>
              <w:t>仓库</w:t>
            </w:r>
            <w:r>
              <w:rPr>
                <w:rFonts w:hint="default" w:ascii="Times New Roman" w:hAnsi="Times New Roman" w:cs="Times New Roman"/>
                <w:bCs/>
                <w:color w:val="auto"/>
              </w:rPr>
              <w:t>等安装自动监测装置和自动火灾报警系统。</w:t>
            </w:r>
            <w:r>
              <w:rPr>
                <w:rFonts w:hint="default" w:ascii="Times New Roman" w:hAnsi="Times New Roman" w:cs="Times New Roman"/>
                <w:color w:val="auto"/>
                <w:szCs w:val="22"/>
              </w:rPr>
              <w:t>生产设备、管道的设计应根据生产过程的特点和物料的性质选择合适材料。设备和管道的设计、制造、安装、试压等应符合国家标准和有关规范要求。</w:t>
            </w:r>
          </w:p>
          <w:p w14:paraId="49535ECD">
            <w:pPr>
              <w:autoSpaceDE w:val="0"/>
              <w:autoSpaceDN w:val="0"/>
              <w:ind w:firstLine="480" w:firstLineChars="200"/>
              <w:rPr>
                <w:rFonts w:hint="default" w:ascii="Times New Roman" w:hAnsi="Times New Roman" w:cs="Times New Roman"/>
                <w:color w:val="auto"/>
              </w:rPr>
            </w:pPr>
            <w:r>
              <w:rPr>
                <w:rFonts w:hint="default" w:ascii="Times New Roman" w:hAnsi="Times New Roman" w:cs="Times New Roman"/>
                <w:bCs/>
                <w:color w:val="auto"/>
              </w:rPr>
              <w:t>储存液体原材料的铁桶上应注明物质的名称、危险特性、安全使用说明以及事故应对措施等内容。</w:t>
            </w:r>
            <w:r>
              <w:rPr>
                <w:rFonts w:hint="default" w:ascii="Times New Roman" w:hAnsi="Times New Roman" w:cs="Times New Roman"/>
                <w:color w:val="auto"/>
              </w:rPr>
              <w:t>企业危险化学品仓库应急物资配备参照《危险化学品单位应急救援物资配备要求危化品应急物资配备标准》（GB 30077-2013）。一旦出现泄漏事故，应将泄漏物料集中收集至专用收集桶。发生少量泄漏时，用吸液棉等吸附残液，转移至安全容器内，交由有资质的单位进行处置。</w:t>
            </w:r>
          </w:p>
          <w:p w14:paraId="009D6670">
            <w:pPr>
              <w:ind w:firstLine="482" w:firstLineChars="200"/>
              <w:rPr>
                <w:rFonts w:hint="default" w:ascii="Times New Roman" w:hAnsi="Times New Roman" w:cs="Times New Roman"/>
                <w:b/>
                <w:bCs/>
                <w:color w:val="auto"/>
                <w:szCs w:val="22"/>
              </w:rPr>
            </w:pPr>
            <w:r>
              <w:rPr>
                <w:rFonts w:hint="default" w:ascii="Times New Roman" w:hAnsi="Times New Roman" w:cs="Times New Roman"/>
                <w:b/>
                <w:bCs/>
                <w:color w:val="auto"/>
                <w:szCs w:val="22"/>
              </w:rPr>
              <w:t>2）危废暂存间泄漏防范措施</w:t>
            </w:r>
          </w:p>
          <w:p w14:paraId="1F74EC4F">
            <w:pPr>
              <w:ind w:firstLine="480" w:firstLineChars="200"/>
              <w:rPr>
                <w:rFonts w:hint="default" w:ascii="Times New Roman" w:hAnsi="Times New Roman" w:cs="Times New Roman"/>
                <w:color w:val="auto"/>
                <w:szCs w:val="22"/>
              </w:rPr>
            </w:pPr>
            <w:r>
              <w:rPr>
                <w:rFonts w:hint="default" w:ascii="Times New Roman" w:hAnsi="Times New Roman" w:cs="Times New Roman"/>
                <w:color w:val="auto"/>
                <w:szCs w:val="22"/>
              </w:rPr>
              <w:t>应按照相关规定规范对危险废物的贮存及管理过程，加强对员工的教育培训。危废暂存间在厂内存储地点必须远离动火点，且保证存储地点通风良好，在明显位置张贴禁用明火的告示。危废暂存间应安排专人管理，做好入库记录，并定期检查危险废物存储的安全状态，定期检查其包装有无破损，以防止泄漏。同时在危废暂存间门口设置围堰，发生少量泄漏事件时泄漏物不会流出危废暂存间。</w:t>
            </w:r>
            <w:r>
              <w:rPr>
                <w:rFonts w:hint="default" w:ascii="Times New Roman" w:hAnsi="Times New Roman" w:cs="Times New Roman"/>
                <w:color w:val="auto"/>
              </w:rPr>
              <w:t>危废暂存间严格按照</w:t>
            </w:r>
            <w:r>
              <w:rPr>
                <w:rFonts w:hint="default" w:ascii="Times New Roman" w:hAnsi="Times New Roman" w:eastAsia="宋体" w:cs="Times New Roman"/>
                <w:bCs/>
                <w:color w:val="auto"/>
                <w:sz w:val="24"/>
                <w:szCs w:val="22"/>
              </w:rPr>
              <w:t>《危险废物贮存污染控制标准》（GB 18597-2023）</w:t>
            </w:r>
            <w:r>
              <w:rPr>
                <w:rFonts w:hint="default" w:ascii="Times New Roman" w:hAnsi="Times New Roman" w:cs="Times New Roman"/>
                <w:color w:val="auto"/>
              </w:rPr>
              <w:t>的要求设计，地面采用2mm厚的环氧树脂漆进行防腐、防渗处理，</w:t>
            </w:r>
            <w:r>
              <w:rPr>
                <w:rFonts w:hint="default" w:ascii="Times New Roman" w:hAnsi="Times New Roman" w:cs="Times New Roman"/>
                <w:bCs/>
                <w:color w:val="auto"/>
              </w:rPr>
              <w:t>周围设应急物资，确保发生泄漏事故时能及时处理。</w:t>
            </w:r>
            <w:r>
              <w:rPr>
                <w:rFonts w:hint="default" w:ascii="Times New Roman" w:hAnsi="Times New Roman" w:cs="Times New Roman"/>
                <w:color w:val="auto"/>
                <w:szCs w:val="22"/>
              </w:rPr>
              <w:t>另外，危险废物定期交有资质单位处理，运输过程落实防渗、防漏措施。</w:t>
            </w:r>
          </w:p>
          <w:p w14:paraId="07193A8A">
            <w:pPr>
              <w:wordWrap w:val="0"/>
              <w:bidi w:val="0"/>
              <w:spacing w:line="360" w:lineRule="auto"/>
              <w:ind w:firstLine="482" w:firstLineChars="200"/>
              <w:rPr>
                <w:rFonts w:hint="default" w:ascii="Times New Roman" w:hAnsi="Times New Roman" w:eastAsia="宋体" w:cs="Times New Roman"/>
                <w:b/>
                <w:bCs/>
                <w:color w:val="auto"/>
                <w:sz w:val="24"/>
                <w:szCs w:val="22"/>
              </w:rPr>
            </w:pPr>
            <w:r>
              <w:rPr>
                <w:rFonts w:hint="default" w:ascii="Times New Roman" w:hAnsi="Times New Roman" w:eastAsia="宋体" w:cs="Times New Roman"/>
                <w:b/>
                <w:bCs/>
                <w:color w:val="auto"/>
                <w:sz w:val="24"/>
                <w:szCs w:val="22"/>
                <w:lang w:val="en-US" w:eastAsia="zh-CN"/>
              </w:rPr>
              <w:t>3）</w:t>
            </w:r>
            <w:r>
              <w:rPr>
                <w:rFonts w:hint="default" w:ascii="Times New Roman" w:hAnsi="Times New Roman" w:eastAsia="宋体" w:cs="Times New Roman"/>
                <w:b/>
                <w:bCs/>
                <w:color w:val="auto"/>
                <w:sz w:val="24"/>
                <w:szCs w:val="22"/>
              </w:rPr>
              <w:t>废气处理系统</w:t>
            </w:r>
            <w:r>
              <w:rPr>
                <w:rFonts w:hint="default" w:ascii="Times New Roman" w:hAnsi="Times New Roman" w:eastAsia="宋体" w:cs="Times New Roman"/>
                <w:b/>
                <w:bCs/>
                <w:color w:val="auto"/>
                <w:sz w:val="24"/>
                <w:szCs w:val="22"/>
                <w:lang w:val="en-US" w:eastAsia="zh-CN"/>
              </w:rPr>
              <w:t>故障事故排放防范</w:t>
            </w:r>
            <w:r>
              <w:rPr>
                <w:rFonts w:hint="default" w:ascii="Times New Roman" w:hAnsi="Times New Roman" w:eastAsia="宋体" w:cs="Times New Roman"/>
                <w:b/>
                <w:bCs/>
                <w:color w:val="auto"/>
                <w:sz w:val="24"/>
                <w:szCs w:val="22"/>
              </w:rPr>
              <w:t>措施</w:t>
            </w:r>
          </w:p>
          <w:p w14:paraId="7387EFB3">
            <w:pPr>
              <w:wordWrap w:val="0"/>
              <w:autoSpaceDE w:val="0"/>
              <w:autoSpaceDN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各生产环节严格执行生产管理的有关规定，加强设备的检修及保养，提高管理人员素质，并设置及其事故应急措施及管理制度，确保设备长期处于良好状态，使设备达到预期的处理效果。</w:t>
            </w:r>
            <w:r>
              <w:rPr>
                <w:rFonts w:hint="default" w:ascii="Times New Roman" w:hAnsi="Times New Roman" w:eastAsia="宋体" w:cs="Times New Roman"/>
                <w:color w:val="auto"/>
                <w:sz w:val="24"/>
              </w:rPr>
              <w:t>建立事故防范和处理应对制度，</w:t>
            </w:r>
            <w:r>
              <w:rPr>
                <w:rFonts w:hint="default" w:ascii="Times New Roman" w:hAnsi="Times New Roman" w:eastAsia="宋体" w:cs="Times New Roman"/>
                <w:bCs/>
                <w:color w:val="auto"/>
                <w:sz w:val="24"/>
              </w:rPr>
              <w:t>设专人负责废气处理设施的运行，</w:t>
            </w:r>
            <w:r>
              <w:rPr>
                <w:rFonts w:hint="default" w:ascii="Times New Roman" w:hAnsi="Times New Roman" w:eastAsia="宋体" w:cs="Times New Roman"/>
                <w:color w:val="auto"/>
                <w:sz w:val="24"/>
              </w:rPr>
              <w:t>密切监视废气产生状况的波动</w:t>
            </w:r>
            <w:r>
              <w:rPr>
                <w:rFonts w:hint="default" w:ascii="Times New Roman" w:hAnsi="Times New Roman" w:eastAsia="宋体" w:cs="Times New Roman"/>
                <w:bCs/>
                <w:color w:val="auto"/>
                <w:sz w:val="24"/>
              </w:rPr>
              <w:t>，定期检查废气处理设施是否正常运转。</w:t>
            </w:r>
          </w:p>
          <w:p w14:paraId="4CFFA592">
            <w:pPr>
              <w:wordWrap w:val="0"/>
              <w:autoSpaceDE w:val="0"/>
              <w:autoSpaceDN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废气收集系统</w:t>
            </w:r>
            <w:r>
              <w:rPr>
                <w:rFonts w:hint="default" w:ascii="Times New Roman" w:hAnsi="Times New Roman" w:eastAsia="宋体" w:cs="Times New Roman"/>
                <w:color w:val="auto"/>
                <w:sz w:val="24"/>
              </w:rPr>
              <w:t>管道破裂，或阀门故障，导致废气泄漏至车间，可通过在车间设置局部排风系统，每班工作人员都要对管道、泵、阀门进行检查，一旦发现管道破裂、泵或阀门出现异常，立即启动排风系统，相关安全人员及时处理，处理作业时应佩带防毒面具。并停止作业，待维修好后方可作业。</w:t>
            </w:r>
          </w:p>
          <w:p w14:paraId="0BEDB072">
            <w:pPr>
              <w:wordWrap w:val="0"/>
              <w:bidi w:val="0"/>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bCs/>
                <w:color w:val="auto"/>
                <w:sz w:val="24"/>
              </w:rPr>
              <w:t>现场作业人员定时记录废气处理状况，如对风机、废气处理设施等设备进行定期检查，并派专人巡视，遇不良工作状况应立即停止车间相关作业，维修正常后再开始作业，杜绝事故性废气直排，并及时呈报单位主管。待检修完毕再通知生产车间相关工序。风机等重要设备应一用一备，发生故障时可自动启动备用设备。</w:t>
            </w:r>
            <w:r>
              <w:rPr>
                <w:rFonts w:hint="default" w:ascii="Times New Roman" w:hAnsi="Times New Roman" w:eastAsia="宋体" w:cs="Times New Roman"/>
                <w:bCs/>
                <w:color w:val="auto"/>
                <w:sz w:val="24"/>
                <w:szCs w:val="22"/>
              </w:rPr>
              <w:t>对于废气处理设施所有的易损部件（如皮带、轴承）等，废气处理设施负责人要及时委托采购人员</w:t>
            </w:r>
            <w:r>
              <w:rPr>
                <w:rFonts w:hint="eastAsia" w:cs="Times New Roman"/>
                <w:bCs/>
                <w:color w:val="auto"/>
                <w:sz w:val="24"/>
                <w:szCs w:val="22"/>
                <w:lang w:eastAsia="zh-CN"/>
              </w:rPr>
              <w:t>租用</w:t>
            </w:r>
            <w:r>
              <w:rPr>
                <w:rFonts w:hint="default" w:ascii="Times New Roman" w:hAnsi="Times New Roman" w:eastAsia="宋体" w:cs="Times New Roman"/>
                <w:bCs/>
                <w:color w:val="auto"/>
                <w:sz w:val="24"/>
                <w:szCs w:val="22"/>
              </w:rPr>
              <w:t>备用件，一旦发生损坏及时更换。</w:t>
            </w:r>
          </w:p>
          <w:p w14:paraId="25376151">
            <w:pPr>
              <w:wordWrap w:val="0"/>
              <w:bidi w:val="0"/>
              <w:spacing w:line="360" w:lineRule="auto"/>
              <w:ind w:firstLine="480" w:firstLineChars="200"/>
              <w:rPr>
                <w:rFonts w:hint="default" w:ascii="Times New Roman" w:hAnsi="Times New Roman" w:eastAsia="宋体" w:cs="Times New Roman"/>
                <w:b w:val="0"/>
                <w:bCs w:val="0"/>
                <w:color w:val="auto"/>
                <w:sz w:val="24"/>
                <w:szCs w:val="22"/>
                <w:lang w:val="en-US" w:eastAsia="zh-CN"/>
              </w:rPr>
            </w:pPr>
            <w:r>
              <w:rPr>
                <w:rFonts w:hint="default" w:ascii="Times New Roman" w:hAnsi="Times New Roman" w:eastAsia="宋体" w:cs="Times New Roman"/>
                <w:b w:val="0"/>
                <w:bCs w:val="0"/>
                <w:color w:val="auto"/>
                <w:sz w:val="24"/>
                <w:szCs w:val="22"/>
                <w:lang w:val="en-US" w:eastAsia="zh-CN"/>
              </w:rPr>
              <w:t>在采取以上措施的情况下，风险事故发生概率很低，项目环境风险在可接受范围内。</w:t>
            </w:r>
          </w:p>
          <w:p w14:paraId="48E0207B">
            <w:pPr>
              <w:rPr>
                <w:rFonts w:hint="default" w:ascii="Times New Roman" w:hAnsi="Times New Roman" w:cs="Times New Roman"/>
                <w:b/>
                <w:bCs/>
                <w:color w:val="auto"/>
                <w:szCs w:val="22"/>
              </w:rPr>
            </w:pPr>
            <w:r>
              <w:rPr>
                <w:rFonts w:hint="default" w:ascii="Times New Roman" w:hAnsi="Times New Roman" w:cs="Times New Roman"/>
                <w:b/>
                <w:bCs/>
                <w:color w:val="auto"/>
                <w:szCs w:val="22"/>
              </w:rPr>
              <w:t>7、电磁辐射</w:t>
            </w:r>
          </w:p>
          <w:p w14:paraId="14F7A75C">
            <w:pPr>
              <w:ind w:firstLine="480" w:firstLineChars="200"/>
              <w:rPr>
                <w:rFonts w:hint="default" w:ascii="Times New Roman" w:hAnsi="Times New Roman" w:eastAsia="黑体" w:cs="Times New Roman"/>
                <w:snapToGrid w:val="0"/>
                <w:color w:val="auto"/>
                <w:sz w:val="30"/>
                <w:szCs w:val="30"/>
                <w:vertAlign w:val="baseline"/>
              </w:rPr>
            </w:pPr>
            <w:r>
              <w:rPr>
                <w:rFonts w:hint="default" w:ascii="Times New Roman" w:hAnsi="Times New Roman" w:eastAsia="宋体" w:cs="Times New Roman"/>
                <w:color w:val="auto"/>
                <w:szCs w:val="22"/>
                <w:lang w:val="en-US" w:eastAsia="zh-CN"/>
              </w:rPr>
              <w:t>项目不涉及电磁辐射，无需开展电磁辐射影响和保护措施分析。</w:t>
            </w:r>
          </w:p>
        </w:tc>
      </w:tr>
    </w:tbl>
    <w:p w14:paraId="469EA4A6">
      <w:pPr>
        <w:pStyle w:val="18"/>
        <w:jc w:val="center"/>
        <w:outlineLvl w:val="0"/>
        <w:rPr>
          <w:rFonts w:hint="default" w:ascii="Times New Roman" w:hAnsi="Times New Roman" w:eastAsia="黑体" w:cs="Times New Roman"/>
          <w:snapToGrid w:val="0"/>
          <w:color w:val="auto"/>
          <w:sz w:val="30"/>
          <w:szCs w:val="30"/>
        </w:rPr>
        <w:sectPr>
          <w:pgSz w:w="11906" w:h="16838"/>
          <w:pgMar w:top="1701" w:right="1531" w:bottom="1701" w:left="1531" w:header="851" w:footer="851" w:gutter="0"/>
          <w:cols w:space="720" w:num="1"/>
          <w:docGrid w:linePitch="312" w:charSpace="0"/>
        </w:sectPr>
      </w:pPr>
    </w:p>
    <w:p w14:paraId="4858F54C">
      <w:pPr>
        <w:pStyle w:val="18"/>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五、</w:t>
      </w:r>
      <w:bookmarkStart w:id="27" w:name="_Hlk54167917"/>
      <w:r>
        <w:rPr>
          <w:rFonts w:hint="default" w:ascii="Times New Roman" w:hAnsi="Times New Roman" w:eastAsia="黑体" w:cs="Times New Roman"/>
          <w:snapToGrid w:val="0"/>
          <w:color w:val="auto"/>
          <w:sz w:val="30"/>
          <w:szCs w:val="30"/>
        </w:rPr>
        <w:t>环境保护措施监督检查清单</w:t>
      </w:r>
      <w:bookmarkEnd w:id="27"/>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759"/>
        <w:gridCol w:w="726"/>
        <w:gridCol w:w="1140"/>
        <w:gridCol w:w="2205"/>
        <w:gridCol w:w="2543"/>
      </w:tblGrid>
      <w:tr w14:paraId="6E5F35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463" w:type="dxa"/>
            <w:tcBorders>
              <w:tl2br w:val="single" w:color="auto" w:sz="4" w:space="0"/>
            </w:tcBorders>
            <w:vAlign w:val="center"/>
          </w:tcPr>
          <w:p w14:paraId="75E2A1EA">
            <w:pPr>
              <w:adjustRightInd w:val="0"/>
              <w:snapToGrid w:val="0"/>
              <w:spacing w:line="240" w:lineRule="auto"/>
              <w:ind w:firstLine="84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内容</w:t>
            </w:r>
          </w:p>
          <w:p w14:paraId="3FAFB523">
            <w:pPr>
              <w:adjustRightInd w:val="0"/>
              <w:snapToGrid w:val="0"/>
              <w:spacing w:line="240" w:lineRule="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要素</w:t>
            </w:r>
          </w:p>
        </w:tc>
        <w:tc>
          <w:tcPr>
            <w:tcW w:w="1485" w:type="dxa"/>
            <w:gridSpan w:val="2"/>
            <w:vAlign w:val="center"/>
          </w:tcPr>
          <w:p w14:paraId="3D5ECC4F">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排放口(编号、</w:t>
            </w:r>
          </w:p>
          <w:p w14:paraId="7F34F1A4">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名称)/污染源</w:t>
            </w:r>
          </w:p>
        </w:tc>
        <w:tc>
          <w:tcPr>
            <w:tcW w:w="1140" w:type="dxa"/>
            <w:vAlign w:val="center"/>
          </w:tcPr>
          <w:p w14:paraId="1229FDC4">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污染物项目</w:t>
            </w:r>
          </w:p>
        </w:tc>
        <w:tc>
          <w:tcPr>
            <w:tcW w:w="2205" w:type="dxa"/>
            <w:vAlign w:val="center"/>
          </w:tcPr>
          <w:p w14:paraId="442C5516">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环境保护措施</w:t>
            </w:r>
          </w:p>
        </w:tc>
        <w:tc>
          <w:tcPr>
            <w:tcW w:w="2543" w:type="dxa"/>
            <w:vAlign w:val="center"/>
          </w:tcPr>
          <w:p w14:paraId="2819DEDA">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执行标准</w:t>
            </w:r>
          </w:p>
        </w:tc>
      </w:tr>
      <w:tr w14:paraId="775B34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restart"/>
            <w:vAlign w:val="center"/>
          </w:tcPr>
          <w:p w14:paraId="34CF111D">
            <w:pPr>
              <w:adjustRightInd w:val="0"/>
              <w:snapToGrid w:val="0"/>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大气环境</w:t>
            </w:r>
          </w:p>
        </w:tc>
        <w:tc>
          <w:tcPr>
            <w:tcW w:w="1485" w:type="dxa"/>
            <w:gridSpan w:val="2"/>
            <w:vMerge w:val="restart"/>
            <w:vAlign w:val="center"/>
          </w:tcPr>
          <w:p w14:paraId="3EC33CDD">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排气筒</w:t>
            </w:r>
            <w:r>
              <w:rPr>
                <w:rFonts w:hint="eastAsia" w:cs="Times New Roman"/>
                <w:color w:val="auto"/>
                <w:sz w:val="21"/>
                <w:szCs w:val="21"/>
                <w:lang w:val="en-US" w:eastAsia="zh-CN"/>
              </w:rPr>
              <w:t>DA001</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注塑、</w:t>
            </w:r>
            <w:r>
              <w:rPr>
                <w:rFonts w:hint="eastAsia" w:cs="Times New Roman"/>
                <w:color w:val="auto"/>
                <w:sz w:val="21"/>
                <w:szCs w:val="21"/>
                <w:lang w:val="en-US" w:eastAsia="zh-CN"/>
              </w:rPr>
              <w:t>移印</w:t>
            </w:r>
          </w:p>
        </w:tc>
        <w:tc>
          <w:tcPr>
            <w:tcW w:w="1140" w:type="dxa"/>
            <w:vAlign w:val="center"/>
          </w:tcPr>
          <w:p w14:paraId="1805C846">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VOCs</w:t>
            </w:r>
          </w:p>
        </w:tc>
        <w:tc>
          <w:tcPr>
            <w:tcW w:w="2205" w:type="dxa"/>
            <w:vMerge w:val="restart"/>
            <w:vAlign w:val="center"/>
          </w:tcPr>
          <w:p w14:paraId="1553111C">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进入“水喷淋塔+干式过滤棉+</w:t>
            </w:r>
            <w:r>
              <w:rPr>
                <w:rFonts w:hint="default" w:ascii="Times New Roman" w:hAnsi="Times New Roman" w:cs="Times New Roman"/>
                <w:color w:val="auto"/>
                <w:sz w:val="21"/>
                <w:szCs w:val="21"/>
                <w:lang w:eastAsia="zh-CN"/>
              </w:rPr>
              <w:t>二级活性炭</w:t>
            </w:r>
            <w:r>
              <w:rPr>
                <w:rFonts w:hint="default" w:ascii="Times New Roman" w:hAnsi="Times New Roman" w:cs="Times New Roman"/>
                <w:color w:val="auto"/>
                <w:sz w:val="21"/>
                <w:szCs w:val="21"/>
              </w:rPr>
              <w:t>吸附装置”处理后引至排气筒DA001排放</w:t>
            </w:r>
          </w:p>
        </w:tc>
        <w:tc>
          <w:tcPr>
            <w:tcW w:w="2543" w:type="dxa"/>
            <w:vAlign w:val="center"/>
          </w:tcPr>
          <w:p w14:paraId="080F8A61">
            <w:pPr>
              <w:spacing w:line="240" w:lineRule="auto"/>
              <w:jc w:val="center"/>
              <w:rPr>
                <w:rFonts w:hint="default" w:ascii="Times New Roman" w:hAnsi="Times New Roman" w:eastAsia="宋体" w:cs="Times New Roman"/>
                <w:bCs/>
                <w:color w:val="auto"/>
                <w:kern w:val="21"/>
                <w:sz w:val="21"/>
                <w:szCs w:val="21"/>
              </w:rPr>
            </w:pPr>
            <w:r>
              <w:rPr>
                <w:rFonts w:hint="default" w:ascii="Times New Roman" w:hAnsi="Times New Roman" w:eastAsia="宋体" w:cs="Times New Roman"/>
                <w:bCs/>
                <w:color w:val="auto"/>
                <w:kern w:val="21"/>
                <w:sz w:val="21"/>
                <w:szCs w:val="21"/>
                <w:lang w:val="en-US" w:eastAsia="zh-CN"/>
              </w:rPr>
              <w:t>广东省《印刷行业挥发性有机化合物排放标准》（DB44/815-2010）表2第II时段标准限值</w:t>
            </w:r>
          </w:p>
        </w:tc>
      </w:tr>
      <w:tr w14:paraId="314160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545BAED4">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27CB3FC">
            <w:pPr>
              <w:spacing w:line="240" w:lineRule="auto"/>
              <w:jc w:val="center"/>
              <w:rPr>
                <w:rFonts w:hint="default" w:ascii="Times New Roman" w:hAnsi="Times New Roman" w:eastAsia="宋体" w:cs="Times New Roman"/>
                <w:color w:val="auto"/>
                <w:sz w:val="21"/>
                <w:szCs w:val="21"/>
                <w:lang w:val="en-US" w:eastAsia="zh-CN"/>
              </w:rPr>
            </w:pPr>
          </w:p>
        </w:tc>
        <w:tc>
          <w:tcPr>
            <w:tcW w:w="1140" w:type="dxa"/>
            <w:vAlign w:val="center"/>
          </w:tcPr>
          <w:p w14:paraId="5F91078F">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2205" w:type="dxa"/>
            <w:vMerge w:val="continue"/>
            <w:vAlign w:val="center"/>
          </w:tcPr>
          <w:p w14:paraId="2E2CBB0B">
            <w:pPr>
              <w:spacing w:line="240" w:lineRule="auto"/>
              <w:jc w:val="center"/>
              <w:rPr>
                <w:rFonts w:hint="default" w:ascii="Times New Roman" w:hAnsi="Times New Roman" w:cs="Times New Roman"/>
                <w:color w:val="auto"/>
                <w:sz w:val="21"/>
                <w:szCs w:val="21"/>
              </w:rPr>
            </w:pPr>
          </w:p>
        </w:tc>
        <w:tc>
          <w:tcPr>
            <w:tcW w:w="2543" w:type="dxa"/>
            <w:vAlign w:val="center"/>
          </w:tcPr>
          <w:p w14:paraId="13D7AEEC">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《合成树脂工业污染物排放标准》（GB 31572-2015，含2024年修改单）表5大气污染物特别排放限值和《印刷工业大气污染物排放标准》（GB 41616-2022）表1排放限值</w:t>
            </w:r>
            <w:r>
              <w:rPr>
                <w:rFonts w:hint="eastAsia" w:cs="Times New Roman"/>
                <w:bCs/>
                <w:color w:val="auto"/>
                <w:kern w:val="21"/>
                <w:sz w:val="21"/>
                <w:szCs w:val="21"/>
                <w:lang w:val="en-US" w:eastAsia="zh-CN"/>
              </w:rPr>
              <w:t>两者校严值</w:t>
            </w:r>
            <w:r>
              <w:rPr>
                <w:rFonts w:hint="default" w:ascii="Times New Roman" w:hAnsi="Times New Roman" w:cs="Times New Roman"/>
                <w:bCs/>
                <w:color w:val="auto"/>
                <w:kern w:val="21"/>
                <w:sz w:val="21"/>
                <w:szCs w:val="21"/>
              </w:rPr>
              <w:t>要求</w:t>
            </w:r>
          </w:p>
        </w:tc>
      </w:tr>
      <w:tr w14:paraId="49CBD5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26BAD19B">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3DF2CBD1">
            <w:pPr>
              <w:spacing w:line="240" w:lineRule="auto"/>
              <w:jc w:val="center"/>
              <w:rPr>
                <w:rFonts w:hint="default" w:ascii="Times New Roman" w:hAnsi="Times New Roman" w:cs="Times New Roman"/>
                <w:color w:val="auto"/>
                <w:sz w:val="21"/>
                <w:szCs w:val="21"/>
                <w:lang w:val="en-US" w:eastAsia="zh-CN"/>
              </w:rPr>
            </w:pPr>
          </w:p>
        </w:tc>
        <w:tc>
          <w:tcPr>
            <w:tcW w:w="1140" w:type="dxa"/>
            <w:vAlign w:val="center"/>
          </w:tcPr>
          <w:p w14:paraId="7FF3CA64">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1"/>
                <w:szCs w:val="21"/>
                <w:lang w:val="en-US" w:eastAsia="zh-CN"/>
              </w:rPr>
              <w:t>苯乙烯、丙烯腈、1,3-丁二烯、甲苯、乙苯</w:t>
            </w:r>
          </w:p>
        </w:tc>
        <w:tc>
          <w:tcPr>
            <w:tcW w:w="2205" w:type="dxa"/>
            <w:vMerge w:val="continue"/>
            <w:vAlign w:val="center"/>
          </w:tcPr>
          <w:p w14:paraId="56EC066F">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p>
        </w:tc>
        <w:tc>
          <w:tcPr>
            <w:tcW w:w="2543" w:type="dxa"/>
            <w:vAlign w:val="center"/>
          </w:tcPr>
          <w:p w14:paraId="57B3D8EC">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kern w:val="21"/>
                <w:sz w:val="24"/>
                <w:szCs w:val="24"/>
              </w:rPr>
            </w:pPr>
            <w:r>
              <w:rPr>
                <w:rFonts w:hint="default" w:ascii="Times New Roman" w:hAnsi="Times New Roman" w:cs="Times New Roman"/>
                <w:color w:val="auto"/>
                <w:spacing w:val="0"/>
                <w:sz w:val="21"/>
                <w:szCs w:val="21"/>
                <w:lang w:val="en-US" w:eastAsia="zh-CN"/>
              </w:rPr>
              <w:t>《合成树脂工业污染物排放标准》（GB31572-2015，含2024年修改单）表5排放限值</w:t>
            </w:r>
          </w:p>
        </w:tc>
      </w:tr>
      <w:tr w14:paraId="34E92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004B696E">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FED9DB1">
            <w:pPr>
              <w:spacing w:line="240" w:lineRule="auto"/>
              <w:jc w:val="center"/>
              <w:rPr>
                <w:rFonts w:hint="default" w:ascii="Times New Roman" w:hAnsi="Times New Roman" w:cs="Times New Roman"/>
                <w:color w:val="auto"/>
                <w:sz w:val="21"/>
                <w:szCs w:val="21"/>
                <w:lang w:val="en-US" w:eastAsia="zh-CN"/>
              </w:rPr>
            </w:pPr>
          </w:p>
        </w:tc>
        <w:tc>
          <w:tcPr>
            <w:tcW w:w="1140" w:type="dxa"/>
            <w:vAlign w:val="center"/>
          </w:tcPr>
          <w:p w14:paraId="4EDD8D9A">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臭气浓度</w:t>
            </w:r>
          </w:p>
        </w:tc>
        <w:tc>
          <w:tcPr>
            <w:tcW w:w="2205" w:type="dxa"/>
            <w:vMerge w:val="continue"/>
            <w:vAlign w:val="center"/>
          </w:tcPr>
          <w:p w14:paraId="56767D4B">
            <w:pPr>
              <w:spacing w:line="240" w:lineRule="auto"/>
              <w:jc w:val="center"/>
              <w:rPr>
                <w:rFonts w:hint="default" w:ascii="Times New Roman" w:hAnsi="Times New Roman" w:cs="Times New Roman"/>
                <w:color w:val="auto"/>
                <w:sz w:val="21"/>
                <w:szCs w:val="21"/>
              </w:rPr>
            </w:pPr>
          </w:p>
        </w:tc>
        <w:tc>
          <w:tcPr>
            <w:tcW w:w="2543" w:type="dxa"/>
            <w:vAlign w:val="center"/>
          </w:tcPr>
          <w:p w14:paraId="65DBDABC">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《恶臭污染物排放标准》（GB14554-93）表2恶臭污染物排放标准限值</w:t>
            </w:r>
          </w:p>
        </w:tc>
      </w:tr>
      <w:tr w14:paraId="471F4C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1D02B9DF">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restart"/>
            <w:vAlign w:val="center"/>
          </w:tcPr>
          <w:p w14:paraId="45BCA464">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厂界</w:t>
            </w:r>
          </w:p>
        </w:tc>
        <w:tc>
          <w:tcPr>
            <w:tcW w:w="1140" w:type="dxa"/>
            <w:vAlign w:val="center"/>
          </w:tcPr>
          <w:p w14:paraId="56BD5E0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非甲烷总烃</w:t>
            </w:r>
          </w:p>
        </w:tc>
        <w:tc>
          <w:tcPr>
            <w:tcW w:w="2205" w:type="dxa"/>
            <w:vMerge w:val="restart"/>
            <w:vAlign w:val="center"/>
          </w:tcPr>
          <w:p w14:paraId="18D8112A">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在车间无组织排放</w:t>
            </w:r>
          </w:p>
        </w:tc>
        <w:tc>
          <w:tcPr>
            <w:tcW w:w="2543" w:type="dxa"/>
            <w:vAlign w:val="center"/>
          </w:tcPr>
          <w:p w14:paraId="10D3353E">
            <w:pPr>
              <w:spacing w:line="240" w:lineRule="auto"/>
              <w:jc w:val="center"/>
              <w:rPr>
                <w:rFonts w:hint="default" w:ascii="Times New Roman" w:hAnsi="Times New Roman" w:eastAsia="宋体" w:cs="Times New Roman"/>
                <w:bCs/>
                <w:color w:val="auto"/>
                <w:kern w:val="21"/>
                <w:sz w:val="21"/>
                <w:szCs w:val="21"/>
                <w:lang w:val="en-US" w:eastAsia="zh-CN" w:bidi="ar-SA"/>
              </w:rPr>
            </w:pPr>
            <w:r>
              <w:rPr>
                <w:rFonts w:hint="default" w:ascii="Times New Roman" w:hAnsi="Times New Roman" w:eastAsia="宋体" w:cs="Times New Roman"/>
                <w:bCs/>
                <w:color w:val="auto"/>
                <w:kern w:val="21"/>
                <w:sz w:val="21"/>
                <w:szCs w:val="21"/>
                <w:lang w:val="en-US" w:eastAsia="zh-CN" w:bidi="ar-SA"/>
              </w:rPr>
              <w:t>《合成树脂工业污染物排放标准》（GB31572-2015，含2024年修改单）表9企业边界大气污染物浓度限值、广东省《大气污染物排放限值》（DB44/27-2001）第二时段无组织排放浓度限值</w:t>
            </w:r>
            <w:r>
              <w:rPr>
                <w:rFonts w:hint="eastAsia" w:cs="Times New Roman"/>
                <w:bCs/>
                <w:color w:val="auto"/>
                <w:kern w:val="21"/>
                <w:sz w:val="21"/>
                <w:szCs w:val="21"/>
                <w:lang w:val="en-US" w:eastAsia="zh-CN" w:bidi="ar-SA"/>
              </w:rPr>
              <w:t>两</w:t>
            </w:r>
            <w:r>
              <w:rPr>
                <w:rFonts w:hint="default" w:ascii="Times New Roman" w:hAnsi="Times New Roman" w:eastAsia="宋体" w:cs="Times New Roman"/>
                <w:bCs/>
                <w:color w:val="auto"/>
                <w:kern w:val="21"/>
                <w:sz w:val="21"/>
                <w:szCs w:val="21"/>
                <w:lang w:val="en-US" w:eastAsia="zh-CN" w:bidi="ar-SA"/>
              </w:rPr>
              <w:t>者较严值</w:t>
            </w:r>
          </w:p>
        </w:tc>
      </w:tr>
      <w:tr w14:paraId="27484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59D4073B">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5183D36">
            <w:pPr>
              <w:spacing w:line="240" w:lineRule="auto"/>
              <w:jc w:val="center"/>
              <w:rPr>
                <w:rFonts w:hint="default" w:ascii="Times New Roman" w:hAnsi="Times New Roman" w:cs="Times New Roman"/>
                <w:color w:val="auto"/>
                <w:sz w:val="21"/>
                <w:szCs w:val="21"/>
                <w:lang w:val="en-US" w:eastAsia="zh-CN"/>
              </w:rPr>
            </w:pPr>
          </w:p>
        </w:tc>
        <w:tc>
          <w:tcPr>
            <w:tcW w:w="1140" w:type="dxa"/>
            <w:vAlign w:val="center"/>
          </w:tcPr>
          <w:p w14:paraId="63358695">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2205" w:type="dxa"/>
            <w:vMerge w:val="continue"/>
            <w:vAlign w:val="center"/>
          </w:tcPr>
          <w:p w14:paraId="131DFEEA">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5CF31944">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《大气污染物排放限值》（DB44/27-2001）第二时段无组织排放浓度限、《合成树脂工业污染物排放标准》（GB31572-2015，含2024年修改单）表9企业边界大气污染物浓度限值两者较严值</w:t>
            </w:r>
          </w:p>
        </w:tc>
      </w:tr>
      <w:tr w14:paraId="66C5BB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43EB5FF2">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290809F4">
            <w:pPr>
              <w:spacing w:line="240" w:lineRule="auto"/>
              <w:jc w:val="center"/>
              <w:rPr>
                <w:rFonts w:hint="default" w:ascii="Times New Roman" w:hAnsi="Times New Roman" w:cs="Times New Roman"/>
                <w:color w:val="auto"/>
                <w:sz w:val="21"/>
                <w:szCs w:val="21"/>
                <w:lang w:val="en-US" w:eastAsia="zh-CN"/>
              </w:rPr>
            </w:pPr>
          </w:p>
        </w:tc>
        <w:tc>
          <w:tcPr>
            <w:tcW w:w="1140" w:type="dxa"/>
            <w:vAlign w:val="center"/>
          </w:tcPr>
          <w:p w14:paraId="5D3C5D5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总VOCs</w:t>
            </w:r>
          </w:p>
        </w:tc>
        <w:tc>
          <w:tcPr>
            <w:tcW w:w="2205" w:type="dxa"/>
            <w:vMerge w:val="continue"/>
            <w:vAlign w:val="center"/>
          </w:tcPr>
          <w:p w14:paraId="69744B89">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21C545A3">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广东省《印刷行业挥发性有机化合物排放标准》（DB44/815-2010）表3无组织排放监控点浓度限值</w:t>
            </w:r>
          </w:p>
        </w:tc>
      </w:tr>
      <w:tr w14:paraId="1B3C1A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137E4041">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6E25A23D">
            <w:pPr>
              <w:spacing w:line="240" w:lineRule="auto"/>
              <w:jc w:val="center"/>
              <w:rPr>
                <w:rFonts w:hint="default" w:ascii="Times New Roman" w:hAnsi="Times New Roman" w:cs="Times New Roman"/>
                <w:color w:val="auto"/>
                <w:sz w:val="21"/>
                <w:szCs w:val="21"/>
                <w:lang w:val="en-US" w:eastAsia="zh-CN"/>
              </w:rPr>
            </w:pPr>
          </w:p>
        </w:tc>
        <w:tc>
          <w:tcPr>
            <w:tcW w:w="1140" w:type="dxa"/>
            <w:vAlign w:val="center"/>
          </w:tcPr>
          <w:p w14:paraId="02D4E66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臭气浓度</w:t>
            </w:r>
          </w:p>
        </w:tc>
        <w:tc>
          <w:tcPr>
            <w:tcW w:w="2205" w:type="dxa"/>
            <w:vMerge w:val="continue"/>
            <w:vAlign w:val="center"/>
          </w:tcPr>
          <w:p w14:paraId="1899B1FE">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70CB0689">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《恶臭污染物排放标准》（GB14554-93）表1恶臭污染物厂界标准值中新改扩建二级标准值</w:t>
            </w:r>
          </w:p>
        </w:tc>
      </w:tr>
      <w:tr w14:paraId="3AD47C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463" w:type="dxa"/>
            <w:vMerge w:val="continue"/>
            <w:vAlign w:val="center"/>
          </w:tcPr>
          <w:p w14:paraId="372CF464">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029BFE3F">
            <w:pPr>
              <w:spacing w:line="240" w:lineRule="auto"/>
              <w:jc w:val="center"/>
              <w:rPr>
                <w:rFonts w:hint="default" w:ascii="Times New Roman" w:hAnsi="Times New Roman" w:cs="Times New Roman"/>
                <w:color w:val="auto"/>
                <w:sz w:val="21"/>
                <w:szCs w:val="21"/>
                <w:lang w:val="en-US" w:eastAsia="zh-CN"/>
              </w:rPr>
            </w:pPr>
          </w:p>
        </w:tc>
        <w:tc>
          <w:tcPr>
            <w:tcW w:w="1140" w:type="dxa"/>
            <w:vAlign w:val="center"/>
          </w:tcPr>
          <w:p w14:paraId="5BFD6179">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kern w:val="0"/>
                <w:sz w:val="21"/>
                <w:szCs w:val="21"/>
                <w:highlight w:val="none"/>
                <w:lang w:val="en-US" w:eastAsia="zh-CN"/>
              </w:rPr>
              <w:t>苯乙烯</w:t>
            </w:r>
          </w:p>
        </w:tc>
        <w:tc>
          <w:tcPr>
            <w:tcW w:w="2205" w:type="dxa"/>
            <w:vMerge w:val="continue"/>
            <w:vAlign w:val="center"/>
          </w:tcPr>
          <w:p w14:paraId="40A49D10">
            <w:pPr>
              <w:spacing w:line="240" w:lineRule="auto"/>
              <w:jc w:val="center"/>
              <w:rPr>
                <w:rFonts w:hint="default" w:ascii="Times New Roman" w:hAnsi="Times New Roman" w:cs="Times New Roman"/>
                <w:color w:val="auto"/>
                <w:kern w:val="2"/>
                <w:sz w:val="21"/>
                <w:szCs w:val="21"/>
                <w:lang w:val="en-US" w:eastAsia="zh-CN" w:bidi="ar-SA"/>
              </w:rPr>
            </w:pPr>
          </w:p>
        </w:tc>
        <w:tc>
          <w:tcPr>
            <w:tcW w:w="2543" w:type="dxa"/>
            <w:vAlign w:val="center"/>
          </w:tcPr>
          <w:p w14:paraId="683201C8">
            <w:pPr>
              <w:spacing w:line="240" w:lineRule="auto"/>
              <w:jc w:val="center"/>
              <w:rPr>
                <w:rFonts w:hint="default" w:ascii="Times New Roman" w:hAnsi="Times New Roman" w:eastAsia="宋体" w:cs="Times New Roman"/>
                <w:bCs/>
                <w:color w:val="auto"/>
                <w:kern w:val="21"/>
                <w:sz w:val="21"/>
                <w:szCs w:val="21"/>
                <w:lang w:val="en-US" w:eastAsia="zh-CN"/>
              </w:rPr>
            </w:pPr>
            <w:r>
              <w:rPr>
                <w:rFonts w:hint="default" w:ascii="Times New Roman" w:hAnsi="Times New Roman" w:eastAsia="宋体" w:cs="Times New Roman"/>
                <w:bCs/>
                <w:color w:val="auto"/>
                <w:kern w:val="21"/>
                <w:sz w:val="21"/>
                <w:szCs w:val="21"/>
                <w:lang w:val="en-US" w:eastAsia="zh-CN"/>
              </w:rPr>
              <w:t>《大气污染物排放限值》（DB44/27-2001）第二时段无组织排放浓度限值</w:t>
            </w:r>
          </w:p>
        </w:tc>
      </w:tr>
      <w:tr w14:paraId="23C53B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7DA9B348">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Merge w:val="continue"/>
            <w:vAlign w:val="center"/>
          </w:tcPr>
          <w:p w14:paraId="4B70B606">
            <w:pPr>
              <w:spacing w:line="240" w:lineRule="auto"/>
              <w:jc w:val="center"/>
              <w:rPr>
                <w:rFonts w:hint="default" w:ascii="Times New Roman" w:hAnsi="Times New Roman" w:cs="Times New Roman"/>
                <w:color w:val="auto"/>
                <w:sz w:val="21"/>
                <w:szCs w:val="21"/>
                <w:lang w:val="en-US" w:eastAsia="zh-CN"/>
              </w:rPr>
            </w:pPr>
          </w:p>
        </w:tc>
        <w:tc>
          <w:tcPr>
            <w:tcW w:w="1140" w:type="dxa"/>
            <w:vAlign w:val="center"/>
          </w:tcPr>
          <w:p w14:paraId="0B0F27B7">
            <w:pPr>
              <w:keepNext w:val="0"/>
              <w:keepLines w:val="0"/>
              <w:suppressLineNumbers w:val="0"/>
              <w:wordWrap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甲苯</w:t>
            </w:r>
          </w:p>
        </w:tc>
        <w:tc>
          <w:tcPr>
            <w:tcW w:w="2205" w:type="dxa"/>
            <w:vMerge w:val="continue"/>
            <w:vAlign w:val="center"/>
          </w:tcPr>
          <w:p w14:paraId="5A3F211F">
            <w:pPr>
              <w:spacing w:line="240" w:lineRule="auto"/>
              <w:jc w:val="center"/>
              <w:rPr>
                <w:rFonts w:hint="default" w:ascii="Times New Roman" w:hAnsi="Times New Roman" w:cs="Times New Roman"/>
                <w:color w:val="auto"/>
                <w:sz w:val="21"/>
                <w:szCs w:val="21"/>
              </w:rPr>
            </w:pPr>
          </w:p>
        </w:tc>
        <w:tc>
          <w:tcPr>
            <w:tcW w:w="2543" w:type="dxa"/>
            <w:vAlign w:val="center"/>
          </w:tcPr>
          <w:p w14:paraId="40C10F0E">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《合成树脂工业污染物排放标准》（GB31572-2015，含2024年修改单）表9企业边界大气污染物浓度限值</w:t>
            </w:r>
          </w:p>
        </w:tc>
      </w:tr>
      <w:tr w14:paraId="53264E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Merge w:val="continue"/>
            <w:vAlign w:val="center"/>
          </w:tcPr>
          <w:p w14:paraId="76718EA3">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6241002D">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厂区内</w:t>
            </w:r>
          </w:p>
        </w:tc>
        <w:tc>
          <w:tcPr>
            <w:tcW w:w="1140" w:type="dxa"/>
            <w:vAlign w:val="center"/>
          </w:tcPr>
          <w:p w14:paraId="63DFCA7F">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VOCs（NMHC）</w:t>
            </w:r>
          </w:p>
        </w:tc>
        <w:tc>
          <w:tcPr>
            <w:tcW w:w="2205" w:type="dxa"/>
            <w:vAlign w:val="center"/>
          </w:tcPr>
          <w:p w14:paraId="464145B1">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2543" w:type="dxa"/>
            <w:vAlign w:val="center"/>
          </w:tcPr>
          <w:p w14:paraId="0E257C67">
            <w:pPr>
              <w:spacing w:line="240" w:lineRule="auto"/>
              <w:jc w:val="center"/>
              <w:rPr>
                <w:rFonts w:hint="default" w:ascii="Times New Roman" w:hAnsi="Times New Roman" w:cs="Times New Roman"/>
                <w:bCs/>
                <w:color w:val="auto"/>
                <w:kern w:val="21"/>
                <w:sz w:val="21"/>
                <w:szCs w:val="21"/>
              </w:rPr>
            </w:pPr>
            <w:r>
              <w:rPr>
                <w:rFonts w:hint="default" w:ascii="Times New Roman" w:hAnsi="Times New Roman" w:cs="Times New Roman"/>
                <w:bCs/>
                <w:color w:val="auto"/>
                <w:kern w:val="21"/>
                <w:sz w:val="21"/>
                <w:szCs w:val="21"/>
              </w:rPr>
              <w:t>广东省《固定污染源挥发性有机物综合排放标准》（DB 44/2367-2022）表3厂区内VOCs无组织排放限值</w:t>
            </w:r>
          </w:p>
        </w:tc>
      </w:tr>
      <w:tr w14:paraId="06263D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463" w:type="dxa"/>
            <w:vMerge w:val="restart"/>
            <w:vAlign w:val="center"/>
          </w:tcPr>
          <w:p w14:paraId="0E1DDA2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地表水环境</w:t>
            </w:r>
          </w:p>
        </w:tc>
        <w:tc>
          <w:tcPr>
            <w:tcW w:w="1485" w:type="dxa"/>
            <w:gridSpan w:val="2"/>
            <w:vAlign w:val="center"/>
          </w:tcPr>
          <w:p w14:paraId="3365589F">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position w:val="-10"/>
                <w:sz w:val="21"/>
                <w:szCs w:val="21"/>
                <w:lang w:val="en-US" w:eastAsia="zh-CN"/>
              </w:rPr>
              <w:t>间接冷却废水</w:t>
            </w:r>
          </w:p>
        </w:tc>
        <w:tc>
          <w:tcPr>
            <w:tcW w:w="1140" w:type="dxa"/>
            <w:vMerge w:val="restart"/>
            <w:vAlign w:val="center"/>
          </w:tcPr>
          <w:p w14:paraId="356726C2">
            <w:pPr>
              <w:spacing w:line="240" w:lineRule="auto"/>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CODcr、SS、石油类</w:t>
            </w:r>
          </w:p>
        </w:tc>
        <w:tc>
          <w:tcPr>
            <w:tcW w:w="2205" w:type="dxa"/>
            <w:vAlign w:val="center"/>
          </w:tcPr>
          <w:p w14:paraId="4823A4BA">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循环使用不外排</w:t>
            </w:r>
          </w:p>
        </w:tc>
        <w:tc>
          <w:tcPr>
            <w:tcW w:w="2543" w:type="dxa"/>
            <w:vMerge w:val="restart"/>
            <w:vAlign w:val="center"/>
          </w:tcPr>
          <w:p w14:paraId="1D30FE5F">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7408C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463" w:type="dxa"/>
            <w:vMerge w:val="continue"/>
            <w:vAlign w:val="center"/>
          </w:tcPr>
          <w:p w14:paraId="6C437308">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4F046FDF">
            <w:pPr>
              <w:spacing w:line="240" w:lineRule="auto"/>
              <w:jc w:val="center"/>
              <w:rPr>
                <w:rFonts w:hint="default" w:ascii="Times New Roman" w:hAnsi="Times New Roman" w:cs="Times New Roman"/>
                <w:color w:val="auto"/>
                <w:position w:val="-10"/>
                <w:sz w:val="21"/>
                <w:szCs w:val="21"/>
              </w:rPr>
            </w:pPr>
            <w:r>
              <w:rPr>
                <w:rFonts w:hint="default" w:ascii="Times New Roman" w:hAnsi="Times New Roman" w:cs="Times New Roman"/>
                <w:color w:val="auto"/>
                <w:position w:val="-10"/>
                <w:sz w:val="21"/>
                <w:szCs w:val="21"/>
              </w:rPr>
              <w:t>喷淋塔废水</w:t>
            </w:r>
          </w:p>
        </w:tc>
        <w:tc>
          <w:tcPr>
            <w:tcW w:w="1140" w:type="dxa"/>
            <w:vMerge w:val="continue"/>
            <w:vAlign w:val="center"/>
          </w:tcPr>
          <w:p w14:paraId="71A329CD">
            <w:pPr>
              <w:spacing w:line="240" w:lineRule="auto"/>
              <w:jc w:val="center"/>
              <w:textAlignment w:val="center"/>
              <w:rPr>
                <w:rFonts w:hint="default" w:ascii="Times New Roman" w:hAnsi="Times New Roman" w:cs="Times New Roman"/>
                <w:color w:val="auto"/>
                <w:sz w:val="21"/>
                <w:szCs w:val="21"/>
              </w:rPr>
            </w:pPr>
          </w:p>
        </w:tc>
        <w:tc>
          <w:tcPr>
            <w:tcW w:w="2205" w:type="dxa"/>
            <w:vAlign w:val="center"/>
          </w:tcPr>
          <w:p w14:paraId="6517AF45">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收集后交由有资质的单位处理</w:t>
            </w:r>
          </w:p>
        </w:tc>
        <w:tc>
          <w:tcPr>
            <w:tcW w:w="2543" w:type="dxa"/>
            <w:vMerge w:val="continue"/>
            <w:vAlign w:val="center"/>
          </w:tcPr>
          <w:p w14:paraId="606573B5">
            <w:pPr>
              <w:adjustRightInd w:val="0"/>
              <w:snapToGrid w:val="0"/>
              <w:spacing w:line="240" w:lineRule="auto"/>
              <w:jc w:val="center"/>
              <w:rPr>
                <w:rFonts w:hint="default" w:ascii="Times New Roman" w:hAnsi="Times New Roman" w:cs="Times New Roman"/>
                <w:color w:val="auto"/>
                <w:sz w:val="21"/>
                <w:szCs w:val="21"/>
              </w:rPr>
            </w:pPr>
          </w:p>
        </w:tc>
      </w:tr>
      <w:tr w14:paraId="035A53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63" w:type="dxa"/>
            <w:vMerge w:val="continue"/>
            <w:vAlign w:val="center"/>
          </w:tcPr>
          <w:p w14:paraId="403E7414">
            <w:pPr>
              <w:adjustRightInd w:val="0"/>
              <w:snapToGrid w:val="0"/>
              <w:spacing w:line="240" w:lineRule="auto"/>
              <w:jc w:val="center"/>
              <w:rPr>
                <w:rFonts w:hint="default" w:ascii="Times New Roman" w:hAnsi="Times New Roman" w:cs="Times New Roman"/>
                <w:color w:val="auto"/>
                <w:sz w:val="21"/>
                <w:szCs w:val="21"/>
              </w:rPr>
            </w:pPr>
          </w:p>
        </w:tc>
        <w:tc>
          <w:tcPr>
            <w:tcW w:w="1485" w:type="dxa"/>
            <w:gridSpan w:val="2"/>
            <w:vAlign w:val="center"/>
          </w:tcPr>
          <w:p w14:paraId="6A9DC7D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生活污水</w:t>
            </w:r>
          </w:p>
        </w:tc>
        <w:tc>
          <w:tcPr>
            <w:tcW w:w="1140" w:type="dxa"/>
            <w:vAlign w:val="center"/>
          </w:tcPr>
          <w:p w14:paraId="1E3CDAFF">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CODcr、BOD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2205" w:type="dxa"/>
            <w:vAlign w:val="center"/>
          </w:tcPr>
          <w:p w14:paraId="2DE18C4E">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三级化粪池预处理后纳入市政管网进入</w:t>
            </w: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处理</w:t>
            </w:r>
          </w:p>
        </w:tc>
        <w:tc>
          <w:tcPr>
            <w:tcW w:w="2543" w:type="dxa"/>
            <w:vAlign w:val="center"/>
          </w:tcPr>
          <w:p w14:paraId="52F2FF50">
            <w:pPr>
              <w:adjustRightInd w:val="0"/>
              <w:snapToGrid w:val="0"/>
              <w:spacing w:line="240" w:lineRule="auto"/>
              <w:jc w:val="center"/>
              <w:rPr>
                <w:rFonts w:hint="default" w:ascii="Times New Roman" w:hAnsi="Times New Roman" w:cs="Times New Roman"/>
                <w:color w:val="auto"/>
                <w:sz w:val="21"/>
                <w:szCs w:val="21"/>
              </w:rPr>
            </w:pPr>
            <w:r>
              <w:rPr>
                <w:rFonts w:hint="eastAsia" w:cs="Times New Roman"/>
                <w:color w:val="auto"/>
                <w:sz w:val="21"/>
                <w:szCs w:val="21"/>
                <w:lang w:eastAsia="zh-CN"/>
              </w:rPr>
              <w:t>博罗县石湾镇大牛垒生活污水处理厂</w:t>
            </w:r>
            <w:r>
              <w:rPr>
                <w:rFonts w:hint="default" w:ascii="Times New Roman" w:hAnsi="Times New Roman" w:cs="Times New Roman"/>
                <w:color w:val="auto"/>
                <w:sz w:val="21"/>
                <w:szCs w:val="21"/>
              </w:rPr>
              <w:t>接管标准</w:t>
            </w:r>
          </w:p>
        </w:tc>
      </w:tr>
      <w:tr w14:paraId="548CE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1463" w:type="dxa"/>
            <w:vAlign w:val="center"/>
          </w:tcPr>
          <w:p w14:paraId="6FE36E68">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1485" w:type="dxa"/>
            <w:gridSpan w:val="2"/>
            <w:vAlign w:val="center"/>
          </w:tcPr>
          <w:p w14:paraId="308A3D6A">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营运期噪声</w:t>
            </w:r>
          </w:p>
        </w:tc>
        <w:tc>
          <w:tcPr>
            <w:tcW w:w="1140" w:type="dxa"/>
            <w:vAlign w:val="center"/>
          </w:tcPr>
          <w:p w14:paraId="11BE7945">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设备噪声</w:t>
            </w:r>
          </w:p>
        </w:tc>
        <w:tc>
          <w:tcPr>
            <w:tcW w:w="2205" w:type="dxa"/>
            <w:vAlign w:val="center"/>
          </w:tcPr>
          <w:p w14:paraId="66AB0A22">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隔声、减振</w:t>
            </w:r>
          </w:p>
        </w:tc>
        <w:tc>
          <w:tcPr>
            <w:tcW w:w="2543" w:type="dxa"/>
            <w:vAlign w:val="center"/>
          </w:tcPr>
          <w:p w14:paraId="24AD4EF3">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类标准</w:t>
            </w:r>
          </w:p>
        </w:tc>
      </w:tr>
      <w:tr w14:paraId="67857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Align w:val="center"/>
          </w:tcPr>
          <w:p w14:paraId="62E9C591">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电磁辐射</w:t>
            </w:r>
          </w:p>
        </w:tc>
        <w:tc>
          <w:tcPr>
            <w:tcW w:w="1485" w:type="dxa"/>
            <w:gridSpan w:val="2"/>
            <w:vAlign w:val="center"/>
          </w:tcPr>
          <w:p w14:paraId="76176525">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40" w:type="dxa"/>
            <w:vAlign w:val="center"/>
          </w:tcPr>
          <w:p w14:paraId="17F96E9E">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205" w:type="dxa"/>
            <w:vAlign w:val="center"/>
          </w:tcPr>
          <w:p w14:paraId="75B454CA">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543" w:type="dxa"/>
            <w:vAlign w:val="center"/>
          </w:tcPr>
          <w:p w14:paraId="6B6DC268">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2FFE8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1463" w:type="dxa"/>
            <w:vMerge w:val="restart"/>
            <w:vAlign w:val="center"/>
          </w:tcPr>
          <w:p w14:paraId="360B1E6E">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w:t>
            </w:r>
          </w:p>
        </w:tc>
        <w:tc>
          <w:tcPr>
            <w:tcW w:w="759" w:type="dxa"/>
            <w:vAlign w:val="center"/>
          </w:tcPr>
          <w:p w14:paraId="08014D40">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tc>
        <w:tc>
          <w:tcPr>
            <w:tcW w:w="6614" w:type="dxa"/>
            <w:gridSpan w:val="4"/>
            <w:vAlign w:val="center"/>
          </w:tcPr>
          <w:p w14:paraId="2E0F5B61">
            <w:pPr>
              <w:adjustRightInd w:val="0"/>
              <w:snapToGrid w:val="0"/>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项目设有一个</w:t>
            </w:r>
            <w:r>
              <w:rPr>
                <w:rFonts w:hint="eastAsia" w:cs="Times New Roman"/>
                <w:color w:val="auto"/>
                <w:sz w:val="21"/>
                <w:szCs w:val="21"/>
                <w:lang w:val="en-US" w:eastAsia="zh-CN"/>
              </w:rPr>
              <w:t>20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的固废暂存间，位于厂房</w:t>
            </w:r>
            <w:r>
              <w:rPr>
                <w:rFonts w:hint="default" w:ascii="Times New Roman" w:hAnsi="Times New Roman" w:cs="Times New Roman"/>
                <w:color w:val="auto"/>
                <w:sz w:val="21"/>
                <w:szCs w:val="21"/>
                <w:lang w:val="en-US" w:eastAsia="zh-CN"/>
              </w:rPr>
              <w:t>一楼</w:t>
            </w:r>
            <w:r>
              <w:rPr>
                <w:rFonts w:hint="eastAsia" w:cs="Times New Roman"/>
                <w:color w:val="auto"/>
                <w:sz w:val="21"/>
                <w:szCs w:val="21"/>
                <w:lang w:val="en-US" w:eastAsia="zh-CN"/>
              </w:rPr>
              <w:t>西北侧</w:t>
            </w:r>
            <w:r>
              <w:rPr>
                <w:rFonts w:hint="default" w:ascii="Times New Roman" w:hAnsi="Times New Roman" w:cs="Times New Roman"/>
                <w:color w:val="auto"/>
                <w:sz w:val="21"/>
                <w:szCs w:val="21"/>
              </w:rPr>
              <w:t>，项目机加工产生的</w:t>
            </w:r>
            <w:r>
              <w:rPr>
                <w:rFonts w:hint="default" w:ascii="Times New Roman" w:hAnsi="Times New Roman" w:cs="Times New Roman"/>
                <w:color w:val="auto"/>
                <w:sz w:val="21"/>
                <w:szCs w:val="21"/>
                <w:lang w:val="en-US" w:eastAsia="zh-CN"/>
              </w:rPr>
              <w:t>废模具</w:t>
            </w:r>
            <w:r>
              <w:rPr>
                <w:rFonts w:hint="default" w:ascii="Times New Roman" w:hAnsi="Times New Roman" w:cs="Times New Roman"/>
                <w:color w:val="auto"/>
                <w:sz w:val="21"/>
                <w:szCs w:val="21"/>
              </w:rPr>
              <w:t>、</w:t>
            </w:r>
            <w:r>
              <w:rPr>
                <w:rFonts w:hint="eastAsia" w:cs="Times New Roman"/>
                <w:color w:val="auto"/>
                <w:sz w:val="21"/>
                <w:szCs w:val="21"/>
                <w:lang w:val="en-US" w:eastAsia="zh-CN"/>
              </w:rPr>
              <w:t>冲压</w:t>
            </w:r>
            <w:r>
              <w:rPr>
                <w:rFonts w:hint="default" w:ascii="Times New Roman" w:hAnsi="Times New Roman" w:cs="Times New Roman"/>
                <w:color w:val="auto"/>
                <w:sz w:val="21"/>
                <w:szCs w:val="21"/>
              </w:rPr>
              <w:t>过程金属边角料</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包装产生的废包装材料收集后交由专业回收公司回收处理。</w:t>
            </w:r>
          </w:p>
        </w:tc>
      </w:tr>
      <w:tr w14:paraId="795717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Merge w:val="continue"/>
            <w:vAlign w:val="center"/>
          </w:tcPr>
          <w:p w14:paraId="20676C9A">
            <w:pPr>
              <w:adjustRightInd w:val="0"/>
              <w:snapToGrid w:val="0"/>
              <w:spacing w:line="240" w:lineRule="auto"/>
              <w:jc w:val="center"/>
              <w:rPr>
                <w:rFonts w:hint="default" w:ascii="Times New Roman" w:hAnsi="Times New Roman" w:cs="Times New Roman"/>
                <w:color w:val="auto"/>
                <w:sz w:val="21"/>
                <w:szCs w:val="21"/>
              </w:rPr>
            </w:pPr>
          </w:p>
        </w:tc>
        <w:tc>
          <w:tcPr>
            <w:tcW w:w="759" w:type="dxa"/>
            <w:vAlign w:val="center"/>
          </w:tcPr>
          <w:p w14:paraId="3794345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6614" w:type="dxa"/>
            <w:gridSpan w:val="4"/>
            <w:vAlign w:val="center"/>
          </w:tcPr>
          <w:p w14:paraId="69CF8009">
            <w:pPr>
              <w:adjustRightInd w:val="0"/>
              <w:snapToGrid w:val="0"/>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项目设有一个</w:t>
            </w:r>
            <w:r>
              <w:rPr>
                <w:rFonts w:hint="eastAsia" w:cs="Times New Roman"/>
                <w:color w:val="auto"/>
                <w:sz w:val="21"/>
                <w:szCs w:val="21"/>
                <w:lang w:val="en-US" w:eastAsia="zh-CN"/>
              </w:rPr>
              <w:t>10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的危废暂存间，位于厂房</w:t>
            </w:r>
            <w:r>
              <w:rPr>
                <w:rFonts w:hint="default" w:ascii="Times New Roman" w:hAnsi="Times New Roman" w:cs="Times New Roman"/>
                <w:color w:val="auto"/>
                <w:sz w:val="21"/>
                <w:szCs w:val="21"/>
                <w:lang w:val="en-US" w:eastAsia="zh-CN"/>
              </w:rPr>
              <w:t>一楼</w:t>
            </w:r>
            <w:r>
              <w:rPr>
                <w:rFonts w:hint="eastAsia" w:cs="Times New Roman"/>
                <w:color w:val="auto"/>
                <w:sz w:val="21"/>
                <w:szCs w:val="21"/>
                <w:lang w:val="en-US" w:eastAsia="zh-CN"/>
              </w:rPr>
              <w:t>西北侧</w:t>
            </w:r>
            <w:r>
              <w:rPr>
                <w:rFonts w:hint="default" w:ascii="Times New Roman" w:hAnsi="Times New Roman" w:cs="Times New Roman"/>
                <w:color w:val="auto"/>
                <w:sz w:val="21"/>
                <w:szCs w:val="21"/>
              </w:rPr>
              <w:t>，生产过程产生的废原料桶、废抹布及废手套、设备维护产生的废矿物油、生产过程产生的</w:t>
            </w:r>
            <w:r>
              <w:rPr>
                <w:rFonts w:hint="default" w:ascii="Times New Roman" w:hAnsi="Times New Roman" w:cs="Times New Roman"/>
                <w:color w:val="auto"/>
                <w:sz w:val="21"/>
                <w:szCs w:val="21"/>
                <w:lang w:eastAsia="zh-CN"/>
              </w:rPr>
              <w:t>喷淋废水</w:t>
            </w:r>
            <w:r>
              <w:rPr>
                <w:rFonts w:hint="default" w:ascii="Times New Roman" w:hAnsi="Times New Roman" w:cs="Times New Roman"/>
                <w:color w:val="auto"/>
                <w:sz w:val="21"/>
                <w:szCs w:val="21"/>
              </w:rPr>
              <w:t>、CNC加工过程产生的含油金属屑以及废气处理过程产生的废活性炭收集后交由有资质的单位处理。</w:t>
            </w:r>
          </w:p>
        </w:tc>
      </w:tr>
      <w:tr w14:paraId="45E134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463" w:type="dxa"/>
            <w:vAlign w:val="center"/>
          </w:tcPr>
          <w:p w14:paraId="381954C9">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土壤及地下水</w:t>
            </w:r>
          </w:p>
          <w:p w14:paraId="40908311">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污染防治措施</w:t>
            </w:r>
          </w:p>
        </w:tc>
        <w:tc>
          <w:tcPr>
            <w:tcW w:w="7373" w:type="dxa"/>
            <w:gridSpan w:val="5"/>
            <w:vAlign w:val="center"/>
          </w:tcPr>
          <w:p w14:paraId="674A2FF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地面硬化，危废暂存间地面防腐防渗，废气达标排放</w:t>
            </w:r>
          </w:p>
        </w:tc>
      </w:tr>
      <w:tr w14:paraId="22DD05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63" w:type="dxa"/>
            <w:vAlign w:val="center"/>
          </w:tcPr>
          <w:p w14:paraId="59C9BE82">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生态保护措施</w:t>
            </w:r>
          </w:p>
        </w:tc>
        <w:tc>
          <w:tcPr>
            <w:tcW w:w="7373" w:type="dxa"/>
            <w:gridSpan w:val="5"/>
            <w:vAlign w:val="center"/>
          </w:tcPr>
          <w:p w14:paraId="70BA7A8A">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不涉及</w:t>
            </w:r>
          </w:p>
        </w:tc>
      </w:tr>
      <w:tr w14:paraId="5678B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1463" w:type="dxa"/>
            <w:vAlign w:val="center"/>
          </w:tcPr>
          <w:p w14:paraId="2EDF5654">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环境风险</w:t>
            </w:r>
          </w:p>
          <w:p w14:paraId="098043C6">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防范措施</w:t>
            </w:r>
          </w:p>
        </w:tc>
        <w:tc>
          <w:tcPr>
            <w:tcW w:w="7373" w:type="dxa"/>
            <w:gridSpan w:val="5"/>
            <w:vAlign w:val="center"/>
          </w:tcPr>
          <w:p w14:paraId="02D1F788">
            <w:pPr>
              <w:adjustRightInd w:val="0"/>
              <w:snapToGrid w:val="0"/>
              <w:spacing w:line="240" w:lineRule="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针对原辅材料理化性质，做好事故应急处理措施。仓库和车间应设置相应的通风、防火、灭火等安全设施，危废暂存间做好防腐防渗措施，厂区建筑物做好消防措施，应定期检测防雷、防静电以及消防设施。全厂建立健全健康/安全/环境管理制度，并严格予以执行。</w:t>
            </w:r>
          </w:p>
        </w:tc>
      </w:tr>
      <w:tr w14:paraId="7B7290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463" w:type="dxa"/>
            <w:vAlign w:val="center"/>
          </w:tcPr>
          <w:p w14:paraId="4AEE0A09">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其他环境</w:t>
            </w:r>
          </w:p>
          <w:p w14:paraId="218BE8B4">
            <w:pPr>
              <w:adjustRightInd w:val="0"/>
              <w:snapToGrid w:val="0"/>
              <w:spacing w:line="240" w:lineRule="auto"/>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管理要求</w:t>
            </w:r>
          </w:p>
        </w:tc>
        <w:tc>
          <w:tcPr>
            <w:tcW w:w="7373" w:type="dxa"/>
            <w:gridSpan w:val="5"/>
            <w:vAlign w:val="center"/>
          </w:tcPr>
          <w:p w14:paraId="6EC4C66C">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w:t>
            </w:r>
          </w:p>
        </w:tc>
      </w:tr>
    </w:tbl>
    <w:p w14:paraId="74F50FB8">
      <w:pPr>
        <w:pStyle w:val="18"/>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cs="Times New Roman"/>
          <w:snapToGrid w:val="0"/>
          <w:color w:val="auto"/>
        </w:rPr>
        <w:br w:type="page"/>
      </w:r>
      <w:r>
        <w:rPr>
          <w:rFonts w:hint="default" w:ascii="Times New Roman" w:hAnsi="Times New Roman" w:eastAsia="黑体" w:cs="Times New Roman"/>
          <w:snapToGrid w:val="0"/>
          <w:color w:val="auto"/>
          <w:sz w:val="30"/>
          <w:szCs w:val="30"/>
        </w:rPr>
        <w:t>六、结论</w:t>
      </w:r>
    </w:p>
    <w:tbl>
      <w:tblPr>
        <w:tblStyle w:val="22"/>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5BE09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14:paraId="646E80F1">
            <w:pPr>
              <w:ind w:firstLine="480" w:firstLineChars="200"/>
              <w:rPr>
                <w:rFonts w:hint="default" w:ascii="Times New Roman" w:hAnsi="Times New Roman" w:cs="Times New Roman"/>
                <w:color w:val="auto"/>
              </w:rPr>
            </w:pPr>
            <w:r>
              <w:rPr>
                <w:rFonts w:hint="default" w:ascii="Times New Roman" w:hAnsi="Times New Roman" w:cs="Times New Roman"/>
                <w:color w:val="auto"/>
              </w:rPr>
              <w:t>项目建设符合惠州市“三线一单”环境分区管控方案要求、国家产业政策及相关环保规划要求，项目按建设项目“三同时”制度要求，逐一落实污染治理措施，并在运营过程中加强环保设施管理，保证各项污染物达标排放，则项目建设对周围环境影响不明显。因此，从环境保护角度考虑，项目的建设是可行的。</w:t>
            </w:r>
          </w:p>
        </w:tc>
      </w:tr>
    </w:tbl>
    <w:p w14:paraId="1905C57B">
      <w:pPr>
        <w:rPr>
          <w:rFonts w:hint="default" w:ascii="Times New Roman" w:hAnsi="Times New Roman" w:cs="Times New Roman"/>
          <w:color w:val="auto"/>
        </w:rPr>
        <w:sectPr>
          <w:pgSz w:w="11906" w:h="16838"/>
          <w:pgMar w:top="1701" w:right="1531" w:bottom="1701" w:left="1531" w:header="851" w:footer="851" w:gutter="0"/>
          <w:cols w:space="720" w:num="1"/>
          <w:docGrid w:linePitch="312" w:charSpace="0"/>
        </w:sectPr>
      </w:pPr>
    </w:p>
    <w:p w14:paraId="4217989B">
      <w:pPr>
        <w:pStyle w:val="18"/>
        <w:adjustRightInd w:val="0"/>
        <w:snapToGrid w:val="0"/>
        <w:spacing w:before="0" w:beforeAutospacing="0" w:after="0" w:afterAutospacing="0"/>
        <w:outlineLvl w:val="0"/>
        <w:rPr>
          <w:rFonts w:hint="default" w:ascii="Times New Roman" w:hAnsi="Times New Roman" w:eastAsia="黑体" w:cs="Times New Roman"/>
          <w:snapToGrid w:val="0"/>
          <w:color w:val="auto"/>
          <w:sz w:val="32"/>
          <w:szCs w:val="32"/>
        </w:rPr>
      </w:pPr>
      <w:r>
        <w:rPr>
          <w:rFonts w:hint="default" w:ascii="Times New Roman" w:hAnsi="Times New Roman" w:eastAsia="黑体" w:cs="Times New Roman"/>
          <w:snapToGrid w:val="0"/>
          <w:color w:val="auto"/>
          <w:sz w:val="32"/>
          <w:szCs w:val="32"/>
        </w:rPr>
        <w:t>附表</w:t>
      </w:r>
    </w:p>
    <w:p w14:paraId="452FBB6B">
      <w:pPr>
        <w:pStyle w:val="18"/>
        <w:spacing w:before="0" w:beforeAutospacing="0" w:after="120" w:afterLines="50" w:afterAutospacing="0" w:line="240" w:lineRule="auto"/>
        <w:jc w:val="center"/>
        <w:outlineLvl w:val="0"/>
        <w:rPr>
          <w:rFonts w:hint="default" w:ascii="Times New Roman" w:hAnsi="Times New Roman" w:cs="Times New Roman"/>
          <w:snapToGrid w:val="0"/>
          <w:color w:val="auto"/>
          <w:sz w:val="38"/>
          <w:szCs w:val="38"/>
        </w:rPr>
      </w:pPr>
      <w:r>
        <w:rPr>
          <w:rFonts w:hint="default" w:ascii="Times New Roman" w:hAnsi="Times New Roman" w:eastAsia="方正小标宋_GBK" w:cs="Times New Roman"/>
          <w:snapToGrid w:val="0"/>
          <w:color w:val="auto"/>
          <w:sz w:val="38"/>
          <w:szCs w:val="38"/>
        </w:rPr>
        <w:t>建设项目污染物排放量汇总表</w:t>
      </w:r>
      <w:r>
        <w:rPr>
          <w:rStyle w:val="29"/>
          <w:rFonts w:hint="default" w:ascii="Times New Roman" w:hAnsi="Times New Roman" w:cs="Times New Roman"/>
          <w:color w:val="auto"/>
        </w:rPr>
        <w:t xml:space="preserve"> </w:t>
      </w:r>
      <w:r>
        <w:rPr>
          <w:rFonts w:hint="default" w:ascii="Times New Roman" w:hAnsi="Times New Roman" w:eastAsia="方正小标宋_GBK" w:cs="Times New Roman"/>
          <w:snapToGrid w:val="0"/>
          <w:color w:val="auto"/>
          <w:sz w:val="38"/>
          <w:szCs w:val="38"/>
        </w:rPr>
        <w:t xml:space="preserve"> 单位：t/a</w:t>
      </w:r>
    </w:p>
    <w:tbl>
      <w:tblPr>
        <w:tblStyle w:val="2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2149"/>
        <w:gridCol w:w="1407"/>
        <w:gridCol w:w="1276"/>
        <w:gridCol w:w="1701"/>
        <w:gridCol w:w="1559"/>
        <w:gridCol w:w="1651"/>
        <w:gridCol w:w="1620"/>
        <w:gridCol w:w="1275"/>
      </w:tblGrid>
      <w:tr w14:paraId="2DBEBE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tcBorders>
              <w:tl2br w:val="single" w:color="auto" w:sz="4" w:space="0"/>
            </w:tcBorders>
            <w:tcMar>
              <w:left w:w="28" w:type="dxa"/>
              <w:right w:w="28" w:type="dxa"/>
            </w:tcMar>
            <w:vAlign w:val="center"/>
          </w:tcPr>
          <w:p w14:paraId="3225FAAB">
            <w:pPr>
              <w:pStyle w:val="39"/>
              <w:adjustRightInd/>
              <w:snapToGrid/>
              <w:spacing w:beforeLines="0" w:afterLines="0" w:line="240" w:lineRule="auto"/>
              <w:ind w:firstLine="0"/>
              <w:jc w:val="right"/>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项目</w:t>
            </w:r>
          </w:p>
          <w:p w14:paraId="15183B57">
            <w:pPr>
              <w:pStyle w:val="39"/>
              <w:adjustRightInd/>
              <w:snapToGrid/>
              <w:spacing w:beforeLines="0" w:afterLines="0" w:line="240" w:lineRule="auto"/>
              <w:ind w:firstLine="0"/>
              <w:jc w:val="left"/>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分类</w:t>
            </w:r>
          </w:p>
        </w:tc>
        <w:tc>
          <w:tcPr>
            <w:tcW w:w="2149" w:type="dxa"/>
            <w:tcMar>
              <w:left w:w="28" w:type="dxa"/>
              <w:right w:w="28" w:type="dxa"/>
            </w:tcMar>
            <w:vAlign w:val="center"/>
          </w:tcPr>
          <w:p w14:paraId="3D689750">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污染物名称</w:t>
            </w:r>
          </w:p>
        </w:tc>
        <w:tc>
          <w:tcPr>
            <w:tcW w:w="1407" w:type="dxa"/>
            <w:tcMar>
              <w:left w:w="28" w:type="dxa"/>
              <w:right w:w="28" w:type="dxa"/>
            </w:tcMar>
            <w:vAlign w:val="center"/>
          </w:tcPr>
          <w:p w14:paraId="69EE47D8">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现有工程</w:t>
            </w:r>
          </w:p>
          <w:p w14:paraId="383650A4">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排放量（固体废物产生量）</w:t>
            </w: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1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①</w:t>
            </w:r>
            <w:r>
              <w:rPr>
                <w:rFonts w:hint="default" w:ascii="Times New Roman" w:hAnsi="Times New Roman" w:cs="Times New Roman" w:eastAsiaTheme="minorEastAsia"/>
                <w:b/>
                <w:bCs/>
                <w:snapToGrid w:val="0"/>
                <w:color w:val="auto"/>
                <w:spacing w:val="-6"/>
                <w:kern w:val="21"/>
                <w:sz w:val="21"/>
                <w:szCs w:val="21"/>
              </w:rPr>
              <w:fldChar w:fldCharType="end"/>
            </w:r>
          </w:p>
        </w:tc>
        <w:tc>
          <w:tcPr>
            <w:tcW w:w="1276" w:type="dxa"/>
            <w:tcMar>
              <w:left w:w="28" w:type="dxa"/>
              <w:right w:w="28" w:type="dxa"/>
            </w:tcMar>
            <w:vAlign w:val="center"/>
          </w:tcPr>
          <w:p w14:paraId="36A155F5">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现有工程</w:t>
            </w:r>
          </w:p>
          <w:p w14:paraId="3305565B">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许可排放量</w:t>
            </w:r>
          </w:p>
          <w:p w14:paraId="04C00394">
            <w:pPr>
              <w:pStyle w:val="39"/>
              <w:adjustRightInd/>
              <w:snapToGrid/>
              <w:spacing w:beforeLines="0" w:afterLines="0"/>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2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snapToGrid w:val="0"/>
                <w:color w:val="auto"/>
                <w:spacing w:val="-6"/>
                <w:kern w:val="21"/>
                <w:sz w:val="21"/>
                <w:szCs w:val="21"/>
              </w:rPr>
              <w:t>②</w:t>
            </w:r>
            <w:r>
              <w:rPr>
                <w:rFonts w:hint="default" w:ascii="Times New Roman" w:hAnsi="Times New Roman" w:cs="Times New Roman" w:eastAsiaTheme="minorEastAsia"/>
                <w:b/>
                <w:bCs/>
                <w:snapToGrid w:val="0"/>
                <w:color w:val="auto"/>
                <w:spacing w:val="-6"/>
                <w:kern w:val="21"/>
                <w:sz w:val="21"/>
                <w:szCs w:val="21"/>
              </w:rPr>
              <w:fldChar w:fldCharType="end"/>
            </w:r>
          </w:p>
        </w:tc>
        <w:tc>
          <w:tcPr>
            <w:tcW w:w="1701" w:type="dxa"/>
            <w:tcMar>
              <w:left w:w="28" w:type="dxa"/>
              <w:right w:w="28" w:type="dxa"/>
            </w:tcMar>
            <w:vAlign w:val="center"/>
          </w:tcPr>
          <w:p w14:paraId="31E6544E">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在建工程</w:t>
            </w:r>
          </w:p>
          <w:p w14:paraId="73257D87">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排放量（固体废物产生量）</w:t>
            </w: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3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③</w:t>
            </w:r>
            <w:r>
              <w:rPr>
                <w:rFonts w:hint="default" w:ascii="Times New Roman" w:hAnsi="Times New Roman" w:cs="Times New Roman" w:eastAsiaTheme="minorEastAsia"/>
                <w:b/>
                <w:bCs/>
                <w:snapToGrid w:val="0"/>
                <w:color w:val="auto"/>
                <w:spacing w:val="-6"/>
                <w:kern w:val="21"/>
                <w:sz w:val="21"/>
                <w:szCs w:val="21"/>
              </w:rPr>
              <w:fldChar w:fldCharType="end"/>
            </w:r>
          </w:p>
        </w:tc>
        <w:tc>
          <w:tcPr>
            <w:tcW w:w="1559" w:type="dxa"/>
            <w:tcMar>
              <w:left w:w="28" w:type="dxa"/>
              <w:right w:w="28" w:type="dxa"/>
            </w:tcMar>
            <w:vAlign w:val="center"/>
          </w:tcPr>
          <w:p w14:paraId="27A66910">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本项目</w:t>
            </w:r>
          </w:p>
          <w:p w14:paraId="0ED0D262">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排放量（固体废物产生量）</w:t>
            </w: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4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④</w:t>
            </w:r>
            <w:r>
              <w:rPr>
                <w:rFonts w:hint="default" w:ascii="Times New Roman" w:hAnsi="Times New Roman" w:cs="Times New Roman" w:eastAsiaTheme="minorEastAsia"/>
                <w:b/>
                <w:bCs/>
                <w:snapToGrid w:val="0"/>
                <w:color w:val="auto"/>
                <w:spacing w:val="-6"/>
                <w:kern w:val="21"/>
                <w:sz w:val="21"/>
                <w:szCs w:val="21"/>
              </w:rPr>
              <w:fldChar w:fldCharType="end"/>
            </w:r>
          </w:p>
        </w:tc>
        <w:tc>
          <w:tcPr>
            <w:tcW w:w="1651" w:type="dxa"/>
            <w:tcMar>
              <w:left w:w="28" w:type="dxa"/>
              <w:right w:w="28" w:type="dxa"/>
            </w:tcMar>
            <w:vAlign w:val="center"/>
          </w:tcPr>
          <w:p w14:paraId="546646D5">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以新带老削减量</w:t>
            </w:r>
          </w:p>
          <w:p w14:paraId="592A38A5">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（新建项目不填）</w:t>
            </w:r>
            <w:r>
              <w:rPr>
                <w:rFonts w:hint="default" w:ascii="Times New Roman" w:hAnsi="Times New Roman" w:cs="Times New Roman" w:eastAsiaTheme="minorEastAsia"/>
                <w:b/>
                <w:bCs/>
                <w:snapToGrid w:val="0"/>
                <w:color w:val="auto"/>
                <w:spacing w:val="-16"/>
                <w:kern w:val="21"/>
                <w:sz w:val="21"/>
                <w:szCs w:val="21"/>
              </w:rPr>
              <w:fldChar w:fldCharType="begin"/>
            </w:r>
            <w:r>
              <w:rPr>
                <w:rFonts w:hint="default" w:ascii="Times New Roman" w:hAnsi="Times New Roman" w:cs="Times New Roman" w:eastAsiaTheme="minorEastAsia"/>
                <w:b/>
                <w:bCs/>
                <w:snapToGrid w:val="0"/>
                <w:color w:val="auto"/>
                <w:spacing w:val="-16"/>
                <w:kern w:val="21"/>
                <w:sz w:val="21"/>
                <w:szCs w:val="21"/>
              </w:rPr>
              <w:instrText xml:space="preserve"> = 5 \* GB3 \* MERGEFORMAT </w:instrText>
            </w:r>
            <w:r>
              <w:rPr>
                <w:rFonts w:hint="default" w:ascii="Times New Roman" w:hAnsi="Times New Roman" w:cs="Times New Roman" w:eastAsiaTheme="minorEastAsia"/>
                <w:b/>
                <w:bCs/>
                <w:snapToGrid w:val="0"/>
                <w:color w:val="auto"/>
                <w:spacing w:val="-16"/>
                <w:kern w:val="21"/>
                <w:sz w:val="21"/>
                <w:szCs w:val="21"/>
              </w:rPr>
              <w:fldChar w:fldCharType="separate"/>
            </w:r>
            <w:r>
              <w:rPr>
                <w:rFonts w:hint="default" w:ascii="Times New Roman" w:hAnsi="Times New Roman" w:cs="Times New Roman" w:eastAsiaTheme="minorEastAsia"/>
                <w:b/>
                <w:bCs/>
                <w:color w:val="auto"/>
                <w:kern w:val="2"/>
                <w:sz w:val="21"/>
                <w:szCs w:val="21"/>
              </w:rPr>
              <w:t>⑤</w:t>
            </w:r>
            <w:r>
              <w:rPr>
                <w:rFonts w:hint="default" w:ascii="Times New Roman" w:hAnsi="Times New Roman" w:cs="Times New Roman" w:eastAsiaTheme="minorEastAsia"/>
                <w:b/>
                <w:bCs/>
                <w:snapToGrid w:val="0"/>
                <w:color w:val="auto"/>
                <w:spacing w:val="-16"/>
                <w:kern w:val="21"/>
                <w:sz w:val="21"/>
                <w:szCs w:val="21"/>
              </w:rPr>
              <w:fldChar w:fldCharType="end"/>
            </w:r>
          </w:p>
        </w:tc>
        <w:tc>
          <w:tcPr>
            <w:tcW w:w="1620" w:type="dxa"/>
            <w:tcMar>
              <w:left w:w="28" w:type="dxa"/>
              <w:right w:w="28" w:type="dxa"/>
            </w:tcMar>
            <w:vAlign w:val="center"/>
          </w:tcPr>
          <w:p w14:paraId="6293F43F">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本项目建成后</w:t>
            </w:r>
          </w:p>
          <w:p w14:paraId="5A81763A">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16"/>
                <w:kern w:val="21"/>
                <w:sz w:val="21"/>
                <w:szCs w:val="21"/>
              </w:rPr>
            </w:pPr>
            <w:r>
              <w:rPr>
                <w:rFonts w:hint="default" w:ascii="Times New Roman" w:hAnsi="Times New Roman" w:cs="Times New Roman" w:eastAsiaTheme="minorEastAsia"/>
                <w:b/>
                <w:bCs/>
                <w:snapToGrid w:val="0"/>
                <w:color w:val="auto"/>
                <w:spacing w:val="-16"/>
                <w:kern w:val="21"/>
                <w:sz w:val="21"/>
                <w:szCs w:val="21"/>
              </w:rPr>
              <w:t>全厂排放量（固体废物产生量）</w:t>
            </w:r>
            <w:r>
              <w:rPr>
                <w:rFonts w:hint="default" w:ascii="Times New Roman" w:hAnsi="Times New Roman" w:cs="Times New Roman" w:eastAsiaTheme="minorEastAsia"/>
                <w:b/>
                <w:bCs/>
                <w:snapToGrid w:val="0"/>
                <w:color w:val="auto"/>
                <w:spacing w:val="-16"/>
                <w:kern w:val="21"/>
                <w:sz w:val="21"/>
                <w:szCs w:val="21"/>
              </w:rPr>
              <w:fldChar w:fldCharType="begin"/>
            </w:r>
            <w:r>
              <w:rPr>
                <w:rFonts w:hint="default" w:ascii="Times New Roman" w:hAnsi="Times New Roman" w:cs="Times New Roman" w:eastAsiaTheme="minorEastAsia"/>
                <w:b/>
                <w:bCs/>
                <w:snapToGrid w:val="0"/>
                <w:color w:val="auto"/>
                <w:spacing w:val="-16"/>
                <w:kern w:val="21"/>
                <w:sz w:val="21"/>
                <w:szCs w:val="21"/>
              </w:rPr>
              <w:instrText xml:space="preserve"> = 6 \* GB3 \* MERGEFORMAT </w:instrText>
            </w:r>
            <w:r>
              <w:rPr>
                <w:rFonts w:hint="default" w:ascii="Times New Roman" w:hAnsi="Times New Roman" w:cs="Times New Roman" w:eastAsiaTheme="minorEastAsia"/>
                <w:b/>
                <w:bCs/>
                <w:snapToGrid w:val="0"/>
                <w:color w:val="auto"/>
                <w:spacing w:val="-16"/>
                <w:kern w:val="21"/>
                <w:sz w:val="21"/>
                <w:szCs w:val="21"/>
              </w:rPr>
              <w:fldChar w:fldCharType="separate"/>
            </w:r>
            <w:r>
              <w:rPr>
                <w:rFonts w:hint="default" w:ascii="Times New Roman" w:hAnsi="Times New Roman" w:cs="Times New Roman" w:eastAsiaTheme="minorEastAsia"/>
                <w:b/>
                <w:bCs/>
                <w:color w:val="auto"/>
                <w:kern w:val="2"/>
                <w:sz w:val="21"/>
                <w:szCs w:val="21"/>
              </w:rPr>
              <w:t>⑥</w:t>
            </w:r>
            <w:r>
              <w:rPr>
                <w:rFonts w:hint="default" w:ascii="Times New Roman" w:hAnsi="Times New Roman" w:cs="Times New Roman" w:eastAsiaTheme="minorEastAsia"/>
                <w:b/>
                <w:bCs/>
                <w:snapToGrid w:val="0"/>
                <w:color w:val="auto"/>
                <w:spacing w:val="-16"/>
                <w:kern w:val="21"/>
                <w:sz w:val="21"/>
                <w:szCs w:val="21"/>
              </w:rPr>
              <w:fldChar w:fldCharType="end"/>
            </w:r>
          </w:p>
        </w:tc>
        <w:tc>
          <w:tcPr>
            <w:tcW w:w="1275" w:type="dxa"/>
            <w:tcMar>
              <w:left w:w="28" w:type="dxa"/>
              <w:right w:w="28" w:type="dxa"/>
            </w:tcMar>
            <w:vAlign w:val="center"/>
          </w:tcPr>
          <w:p w14:paraId="17F28361">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t>变化量</w:t>
            </w:r>
          </w:p>
          <w:p w14:paraId="2561AB44">
            <w:pPr>
              <w:pStyle w:val="39"/>
              <w:adjustRightInd/>
              <w:snapToGrid/>
              <w:spacing w:beforeLines="0" w:afterLines="0" w:line="240" w:lineRule="auto"/>
              <w:ind w:firstLine="0"/>
              <w:rPr>
                <w:rFonts w:hint="default" w:ascii="Times New Roman" w:hAnsi="Times New Roman" w:cs="Times New Roman" w:eastAsiaTheme="minorEastAsia"/>
                <w:b/>
                <w:bCs/>
                <w:snapToGrid w:val="0"/>
                <w:color w:val="auto"/>
                <w:spacing w:val="-6"/>
                <w:kern w:val="21"/>
                <w:sz w:val="21"/>
                <w:szCs w:val="21"/>
              </w:rPr>
            </w:pPr>
            <w:r>
              <w:rPr>
                <w:rFonts w:hint="default" w:ascii="Times New Roman" w:hAnsi="Times New Roman" w:cs="Times New Roman" w:eastAsiaTheme="minorEastAsia"/>
                <w:b/>
                <w:bCs/>
                <w:snapToGrid w:val="0"/>
                <w:color w:val="auto"/>
                <w:spacing w:val="-6"/>
                <w:kern w:val="21"/>
                <w:sz w:val="21"/>
                <w:szCs w:val="21"/>
              </w:rPr>
              <w:fldChar w:fldCharType="begin"/>
            </w:r>
            <w:r>
              <w:rPr>
                <w:rFonts w:hint="default" w:ascii="Times New Roman" w:hAnsi="Times New Roman" w:cs="Times New Roman" w:eastAsiaTheme="minorEastAsia"/>
                <w:b/>
                <w:bCs/>
                <w:snapToGrid w:val="0"/>
                <w:color w:val="auto"/>
                <w:spacing w:val="-6"/>
                <w:kern w:val="21"/>
                <w:sz w:val="21"/>
                <w:szCs w:val="21"/>
              </w:rPr>
              <w:instrText xml:space="preserve"> = 7 \* GB3 \* MERGEFORMAT </w:instrText>
            </w:r>
            <w:r>
              <w:rPr>
                <w:rFonts w:hint="default" w:ascii="Times New Roman" w:hAnsi="Times New Roman" w:cs="Times New Roman" w:eastAsiaTheme="minorEastAsia"/>
                <w:b/>
                <w:bCs/>
                <w:snapToGrid w:val="0"/>
                <w:color w:val="auto"/>
                <w:spacing w:val="-6"/>
                <w:kern w:val="21"/>
                <w:sz w:val="21"/>
                <w:szCs w:val="21"/>
              </w:rPr>
              <w:fldChar w:fldCharType="separate"/>
            </w:r>
            <w:r>
              <w:rPr>
                <w:rFonts w:hint="default" w:ascii="Times New Roman" w:hAnsi="Times New Roman" w:cs="Times New Roman" w:eastAsiaTheme="minorEastAsia"/>
                <w:b/>
                <w:bCs/>
                <w:color w:val="auto"/>
                <w:kern w:val="2"/>
                <w:sz w:val="21"/>
                <w:szCs w:val="21"/>
              </w:rPr>
              <w:t>⑦</w:t>
            </w:r>
            <w:r>
              <w:rPr>
                <w:rFonts w:hint="default" w:ascii="Times New Roman" w:hAnsi="Times New Roman" w:cs="Times New Roman" w:eastAsiaTheme="minorEastAsia"/>
                <w:b/>
                <w:bCs/>
                <w:snapToGrid w:val="0"/>
                <w:color w:val="auto"/>
                <w:spacing w:val="-6"/>
                <w:kern w:val="21"/>
                <w:sz w:val="21"/>
                <w:szCs w:val="21"/>
              </w:rPr>
              <w:fldChar w:fldCharType="end"/>
            </w:r>
          </w:p>
        </w:tc>
      </w:tr>
      <w:tr w14:paraId="527A3A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713B2542">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废气</w:t>
            </w:r>
          </w:p>
        </w:tc>
        <w:tc>
          <w:tcPr>
            <w:tcW w:w="2149" w:type="dxa"/>
            <w:vAlign w:val="center"/>
          </w:tcPr>
          <w:p w14:paraId="0C1F876B">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color w:val="auto"/>
                <w:sz w:val="21"/>
                <w:szCs w:val="21"/>
              </w:rPr>
              <w:t>颗粒物</w:t>
            </w:r>
          </w:p>
        </w:tc>
        <w:tc>
          <w:tcPr>
            <w:tcW w:w="1407" w:type="dxa"/>
            <w:vAlign w:val="center"/>
          </w:tcPr>
          <w:p w14:paraId="4C5137D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0EB2FF44">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6390F7A1">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1F597029">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eastAsia" w:cs="Times New Roman" w:eastAsiaTheme="minorEastAsia"/>
                <w:snapToGrid w:val="0"/>
                <w:color w:val="auto"/>
                <w:kern w:val="21"/>
                <w:sz w:val="21"/>
                <w:szCs w:val="21"/>
                <w:lang w:val="en-US" w:eastAsia="zh-CN"/>
              </w:rPr>
              <w:t>0.0414</w:t>
            </w:r>
          </w:p>
        </w:tc>
        <w:tc>
          <w:tcPr>
            <w:tcW w:w="1651" w:type="dxa"/>
            <w:vAlign w:val="center"/>
          </w:tcPr>
          <w:p w14:paraId="301A968D">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1458DB25">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eastAsia" w:cs="Times New Roman" w:eastAsiaTheme="minorEastAsia"/>
                <w:snapToGrid w:val="0"/>
                <w:color w:val="auto"/>
                <w:kern w:val="21"/>
                <w:sz w:val="21"/>
                <w:szCs w:val="21"/>
                <w:lang w:val="en-US" w:eastAsia="zh-CN"/>
              </w:rPr>
              <w:t>0.0414</w:t>
            </w:r>
          </w:p>
        </w:tc>
        <w:tc>
          <w:tcPr>
            <w:tcW w:w="1275" w:type="dxa"/>
            <w:vAlign w:val="center"/>
          </w:tcPr>
          <w:p w14:paraId="4B5DAAEC">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+0.</w:t>
            </w:r>
            <w:r>
              <w:rPr>
                <w:rFonts w:hint="eastAsia" w:cs="Times New Roman" w:eastAsiaTheme="minorEastAsia"/>
                <w:snapToGrid w:val="0"/>
                <w:color w:val="auto"/>
                <w:kern w:val="21"/>
                <w:sz w:val="21"/>
                <w:szCs w:val="21"/>
                <w:lang w:val="en-US" w:eastAsia="zh-CN"/>
              </w:rPr>
              <w:t>0414</w:t>
            </w:r>
          </w:p>
        </w:tc>
      </w:tr>
      <w:tr w14:paraId="449753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4126489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6162F49F">
            <w:pPr>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挥发性有机物</w:t>
            </w:r>
          </w:p>
        </w:tc>
        <w:tc>
          <w:tcPr>
            <w:tcW w:w="1407" w:type="dxa"/>
            <w:vAlign w:val="center"/>
          </w:tcPr>
          <w:p w14:paraId="26C86BC6">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18CB01D">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6046B5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49529718">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eastAsia" w:cs="Times New Roman" w:eastAsiaTheme="minorEastAsia"/>
                <w:snapToGrid w:val="0"/>
                <w:color w:val="auto"/>
                <w:kern w:val="21"/>
                <w:sz w:val="21"/>
                <w:szCs w:val="21"/>
                <w:lang w:val="en-US" w:eastAsia="zh-CN"/>
              </w:rPr>
              <w:t>0.498</w:t>
            </w:r>
          </w:p>
        </w:tc>
        <w:tc>
          <w:tcPr>
            <w:tcW w:w="1651" w:type="dxa"/>
            <w:vAlign w:val="center"/>
          </w:tcPr>
          <w:p w14:paraId="4477C380">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201C3054">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eastAsia" w:cs="Times New Roman" w:eastAsiaTheme="minorEastAsia"/>
                <w:snapToGrid w:val="0"/>
                <w:color w:val="auto"/>
                <w:kern w:val="21"/>
                <w:sz w:val="21"/>
                <w:szCs w:val="21"/>
                <w:lang w:val="en-US" w:eastAsia="zh-CN"/>
              </w:rPr>
              <w:t>0.498</w:t>
            </w:r>
          </w:p>
        </w:tc>
        <w:tc>
          <w:tcPr>
            <w:tcW w:w="1275" w:type="dxa"/>
            <w:vAlign w:val="center"/>
          </w:tcPr>
          <w:p w14:paraId="7F93A667">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w:t>
            </w:r>
            <w:r>
              <w:rPr>
                <w:rFonts w:hint="eastAsia" w:cs="Times New Roman" w:eastAsiaTheme="minorEastAsia"/>
                <w:snapToGrid w:val="0"/>
                <w:color w:val="auto"/>
                <w:kern w:val="21"/>
                <w:sz w:val="21"/>
                <w:szCs w:val="21"/>
                <w:lang w:val="en-US" w:eastAsia="zh-CN"/>
              </w:rPr>
              <w:t>0.498</w:t>
            </w:r>
          </w:p>
        </w:tc>
      </w:tr>
      <w:tr w14:paraId="0841E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741B1E13">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废水</w:t>
            </w:r>
          </w:p>
        </w:tc>
        <w:tc>
          <w:tcPr>
            <w:tcW w:w="2149" w:type="dxa"/>
            <w:vAlign w:val="center"/>
          </w:tcPr>
          <w:p w14:paraId="6240F9C3">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废水量</w:t>
            </w:r>
          </w:p>
        </w:tc>
        <w:tc>
          <w:tcPr>
            <w:tcW w:w="1407" w:type="dxa"/>
            <w:vAlign w:val="center"/>
          </w:tcPr>
          <w:p w14:paraId="1A4A627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9E794A3">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6D93F15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8D23129">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eastAsia" w:cs="Times New Roman" w:eastAsiaTheme="minorEastAsia"/>
                <w:snapToGrid w:val="0"/>
                <w:color w:val="auto"/>
                <w:kern w:val="21"/>
                <w:sz w:val="21"/>
                <w:szCs w:val="21"/>
                <w:lang w:val="en-US" w:eastAsia="zh-CN"/>
              </w:rPr>
              <w:t>1350</w:t>
            </w:r>
          </w:p>
        </w:tc>
        <w:tc>
          <w:tcPr>
            <w:tcW w:w="1651" w:type="dxa"/>
            <w:vAlign w:val="center"/>
          </w:tcPr>
          <w:p w14:paraId="28AB2404">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E114CB7">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eastAsia" w:cs="Times New Roman" w:eastAsiaTheme="minorEastAsia"/>
                <w:snapToGrid w:val="0"/>
                <w:color w:val="auto"/>
                <w:kern w:val="21"/>
                <w:sz w:val="21"/>
                <w:szCs w:val="21"/>
                <w:lang w:val="en-US" w:eastAsia="zh-CN"/>
              </w:rPr>
              <w:t>1350</w:t>
            </w:r>
          </w:p>
        </w:tc>
        <w:tc>
          <w:tcPr>
            <w:tcW w:w="1275" w:type="dxa"/>
            <w:vAlign w:val="center"/>
          </w:tcPr>
          <w:p w14:paraId="62BAD0F6">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w:t>
            </w:r>
            <w:r>
              <w:rPr>
                <w:rFonts w:hint="eastAsia" w:cs="Times New Roman" w:eastAsiaTheme="minorEastAsia"/>
                <w:snapToGrid w:val="0"/>
                <w:color w:val="auto"/>
                <w:kern w:val="21"/>
                <w:sz w:val="21"/>
                <w:szCs w:val="21"/>
                <w:lang w:val="en-US" w:eastAsia="zh-CN"/>
              </w:rPr>
              <w:t>1350</w:t>
            </w:r>
          </w:p>
        </w:tc>
      </w:tr>
      <w:tr w14:paraId="3DDF57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150" w:type="dxa"/>
            <w:vMerge w:val="continue"/>
            <w:vAlign w:val="center"/>
          </w:tcPr>
          <w:p w14:paraId="42C0C556">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3682A1A0">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CODcr</w:t>
            </w:r>
          </w:p>
        </w:tc>
        <w:tc>
          <w:tcPr>
            <w:tcW w:w="1407" w:type="dxa"/>
            <w:vAlign w:val="center"/>
          </w:tcPr>
          <w:p w14:paraId="2115AFD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75BD74C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54F69F1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2F4858C3">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eastAsia" w:cs="Times New Roman"/>
                <w:bCs/>
                <w:color w:val="auto"/>
                <w:kern w:val="21"/>
                <w:sz w:val="21"/>
                <w:szCs w:val="21"/>
                <w:lang w:val="en-US" w:eastAsia="zh-CN"/>
              </w:rPr>
              <w:t>0.054</w:t>
            </w:r>
          </w:p>
        </w:tc>
        <w:tc>
          <w:tcPr>
            <w:tcW w:w="1651" w:type="dxa"/>
            <w:vAlign w:val="center"/>
          </w:tcPr>
          <w:p w14:paraId="08B4B47A">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24D7947">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54</w:t>
            </w:r>
          </w:p>
        </w:tc>
        <w:tc>
          <w:tcPr>
            <w:tcW w:w="1275" w:type="dxa"/>
            <w:vAlign w:val="center"/>
          </w:tcPr>
          <w:p w14:paraId="20E9CA40">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w:t>
            </w:r>
            <w:r>
              <w:rPr>
                <w:rFonts w:hint="default" w:ascii="Times New Roman" w:hAnsi="Times New Roman" w:cs="Times New Roman"/>
                <w:bCs/>
                <w:color w:val="auto"/>
                <w:kern w:val="21"/>
                <w:sz w:val="21"/>
                <w:szCs w:val="21"/>
                <w:lang w:val="en-US" w:eastAsia="zh-CN"/>
              </w:rPr>
              <w:t>0.0</w:t>
            </w:r>
            <w:r>
              <w:rPr>
                <w:rFonts w:hint="eastAsia" w:cs="Times New Roman"/>
                <w:bCs/>
                <w:color w:val="auto"/>
                <w:kern w:val="21"/>
                <w:sz w:val="21"/>
                <w:szCs w:val="21"/>
                <w:lang w:val="en-US" w:eastAsia="zh-CN"/>
              </w:rPr>
              <w:t>54</w:t>
            </w:r>
          </w:p>
        </w:tc>
      </w:tr>
      <w:tr w14:paraId="5BD74F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3174A088">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2D6CD645">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NH</w:t>
            </w:r>
            <w:r>
              <w:rPr>
                <w:rFonts w:hint="default" w:ascii="Times New Roman" w:hAnsi="Times New Roman" w:cs="Times New Roman" w:eastAsiaTheme="minorEastAsia"/>
                <w:snapToGrid w:val="0"/>
                <w:color w:val="auto"/>
                <w:kern w:val="21"/>
                <w:sz w:val="21"/>
                <w:szCs w:val="21"/>
                <w:vertAlign w:val="subscript"/>
              </w:rPr>
              <w:t>3</w:t>
            </w:r>
            <w:r>
              <w:rPr>
                <w:rFonts w:hint="default" w:ascii="Times New Roman" w:hAnsi="Times New Roman" w:cs="Times New Roman" w:eastAsiaTheme="minorEastAsia"/>
                <w:snapToGrid w:val="0"/>
                <w:color w:val="auto"/>
                <w:kern w:val="21"/>
                <w:sz w:val="21"/>
                <w:szCs w:val="21"/>
              </w:rPr>
              <w:t>-N</w:t>
            </w:r>
          </w:p>
        </w:tc>
        <w:tc>
          <w:tcPr>
            <w:tcW w:w="1407" w:type="dxa"/>
            <w:vAlign w:val="center"/>
          </w:tcPr>
          <w:p w14:paraId="16C08DE7">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41E43D49">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53BB83C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4C2BCD0">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eastAsia" w:cs="Times New Roman" w:eastAsiaTheme="minorEastAsia"/>
                <w:snapToGrid w:val="0"/>
                <w:color w:val="auto"/>
                <w:kern w:val="21"/>
                <w:sz w:val="21"/>
                <w:szCs w:val="21"/>
                <w:lang w:val="en-US" w:eastAsia="zh-CN"/>
              </w:rPr>
              <w:t>0.007</w:t>
            </w:r>
          </w:p>
        </w:tc>
        <w:tc>
          <w:tcPr>
            <w:tcW w:w="1651" w:type="dxa"/>
            <w:vAlign w:val="center"/>
          </w:tcPr>
          <w:p w14:paraId="30142500">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2196049">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0.0</w:t>
            </w:r>
            <w:r>
              <w:rPr>
                <w:rFonts w:hint="eastAsia" w:cs="Times New Roman" w:eastAsiaTheme="minorEastAsia"/>
                <w:snapToGrid w:val="0"/>
                <w:color w:val="auto"/>
                <w:kern w:val="21"/>
                <w:sz w:val="21"/>
                <w:szCs w:val="21"/>
                <w:lang w:val="en-US" w:eastAsia="zh-CN"/>
              </w:rPr>
              <w:t>07</w:t>
            </w:r>
          </w:p>
        </w:tc>
        <w:tc>
          <w:tcPr>
            <w:tcW w:w="1275" w:type="dxa"/>
            <w:vAlign w:val="center"/>
          </w:tcPr>
          <w:p w14:paraId="4BDB7B1A">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lang w:val="en-US" w:eastAsia="zh-CN"/>
              </w:rPr>
              <w:t>+0.0</w:t>
            </w:r>
            <w:r>
              <w:rPr>
                <w:rFonts w:hint="eastAsia" w:cs="Times New Roman" w:eastAsiaTheme="minorEastAsia"/>
                <w:snapToGrid w:val="0"/>
                <w:color w:val="auto"/>
                <w:kern w:val="21"/>
                <w:sz w:val="21"/>
                <w:szCs w:val="21"/>
                <w:lang w:val="en-US" w:eastAsia="zh-CN"/>
              </w:rPr>
              <w:t>07</w:t>
            </w:r>
          </w:p>
        </w:tc>
      </w:tr>
      <w:tr w14:paraId="142ADC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3616D396">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一般工业固体废物</w:t>
            </w:r>
          </w:p>
        </w:tc>
        <w:tc>
          <w:tcPr>
            <w:tcW w:w="2149" w:type="dxa"/>
            <w:vAlign w:val="center"/>
          </w:tcPr>
          <w:p w14:paraId="53FF9D92">
            <w:pPr>
              <w:wordWrap/>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废模具</w:t>
            </w:r>
          </w:p>
        </w:tc>
        <w:tc>
          <w:tcPr>
            <w:tcW w:w="1407" w:type="dxa"/>
            <w:vAlign w:val="center"/>
          </w:tcPr>
          <w:p w14:paraId="1A118AA7">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646EE910">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704CEB7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B1A8FC1">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0.05</w:t>
            </w:r>
          </w:p>
        </w:tc>
        <w:tc>
          <w:tcPr>
            <w:tcW w:w="1651" w:type="dxa"/>
            <w:vAlign w:val="center"/>
          </w:tcPr>
          <w:p w14:paraId="5D8B6A3C">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0A5B2ECF">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c>
          <w:tcPr>
            <w:tcW w:w="1275" w:type="dxa"/>
            <w:vAlign w:val="center"/>
          </w:tcPr>
          <w:p w14:paraId="0750DBAA">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r>
      <w:tr w14:paraId="2EB19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19C279EC">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333C905D">
            <w:pPr>
              <w:wordWrap/>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金属边角料</w:t>
            </w:r>
          </w:p>
        </w:tc>
        <w:tc>
          <w:tcPr>
            <w:tcW w:w="1407" w:type="dxa"/>
            <w:vAlign w:val="center"/>
          </w:tcPr>
          <w:p w14:paraId="0A64F09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2A7B236F">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6666D0D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45A6DE1F">
            <w:pPr>
              <w:autoSpaceDE w:val="0"/>
              <w:autoSpaceDN w:val="0"/>
              <w:spacing w:line="240" w:lineRule="auto"/>
              <w:jc w:val="center"/>
              <w:rPr>
                <w:rFonts w:hint="default" w:ascii="Times New Roman" w:hAnsi="Times New Roman" w:cs="Times New Roman"/>
                <w:color w:val="auto"/>
                <w:sz w:val="21"/>
                <w:szCs w:val="21"/>
                <w:lang w:val="en-US"/>
              </w:rPr>
            </w:pPr>
            <w:r>
              <w:rPr>
                <w:rFonts w:hint="eastAsia" w:cs="Times New Roman"/>
                <w:color w:val="auto"/>
                <w:sz w:val="21"/>
                <w:szCs w:val="21"/>
                <w:lang w:val="en-US" w:eastAsia="zh-CN"/>
              </w:rPr>
              <w:t>10</w:t>
            </w:r>
          </w:p>
        </w:tc>
        <w:tc>
          <w:tcPr>
            <w:tcW w:w="1651" w:type="dxa"/>
            <w:vAlign w:val="center"/>
          </w:tcPr>
          <w:p w14:paraId="65AC4F47">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FFDAD90">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eastAsia" w:cs="Times New Roman"/>
                <w:color w:val="auto"/>
                <w:sz w:val="21"/>
                <w:szCs w:val="21"/>
                <w:lang w:val="en-US" w:eastAsia="zh-CN"/>
              </w:rPr>
              <w:t>10</w:t>
            </w:r>
          </w:p>
        </w:tc>
        <w:tc>
          <w:tcPr>
            <w:tcW w:w="1275" w:type="dxa"/>
            <w:vAlign w:val="center"/>
          </w:tcPr>
          <w:p w14:paraId="1580D212">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10</w:t>
            </w:r>
          </w:p>
        </w:tc>
      </w:tr>
      <w:tr w14:paraId="09B12E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2ED3940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lang w:val="en-US" w:eastAsia="zh-CN"/>
              </w:rPr>
            </w:pPr>
          </w:p>
        </w:tc>
        <w:tc>
          <w:tcPr>
            <w:tcW w:w="2149" w:type="dxa"/>
            <w:vAlign w:val="center"/>
          </w:tcPr>
          <w:p w14:paraId="1C778690">
            <w:pPr>
              <w:wordWrap/>
              <w:spacing w:line="240" w:lineRule="auto"/>
              <w:jc w:val="center"/>
              <w:rPr>
                <w:rFonts w:hint="default" w:ascii="Times New Roman" w:hAnsi="Times New Roman" w:cs="Times New Roman" w:eastAsiaTheme="minorEastAsia"/>
                <w:color w:val="auto"/>
                <w:sz w:val="21"/>
                <w:szCs w:val="21"/>
                <w:lang w:val="en-US"/>
              </w:rPr>
            </w:pPr>
            <w:r>
              <w:rPr>
                <w:rFonts w:hint="default" w:ascii="Times New Roman" w:hAnsi="Times New Roman" w:cs="Times New Roman"/>
                <w:color w:val="auto"/>
                <w:sz w:val="21"/>
                <w:szCs w:val="21"/>
                <w:lang w:val="en-US" w:eastAsia="zh-CN"/>
              </w:rPr>
              <w:t>废包装材料</w:t>
            </w:r>
          </w:p>
        </w:tc>
        <w:tc>
          <w:tcPr>
            <w:tcW w:w="1407" w:type="dxa"/>
            <w:vAlign w:val="center"/>
          </w:tcPr>
          <w:p w14:paraId="10BD4A9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377F03D1">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BA1D62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0EAB7C17">
            <w:pPr>
              <w:autoSpaceDE w:val="0"/>
              <w:autoSpaceDN w:val="0"/>
              <w:spacing w:line="240" w:lineRule="auto"/>
              <w:jc w:val="center"/>
              <w:rPr>
                <w:rFonts w:hint="default" w:ascii="Times New Roman" w:hAnsi="Times New Roman" w:cs="Times New Roman"/>
                <w:color w:val="auto"/>
                <w:sz w:val="21"/>
                <w:szCs w:val="21"/>
                <w:lang w:val="en-US"/>
              </w:rPr>
            </w:pPr>
            <w:r>
              <w:rPr>
                <w:rFonts w:hint="eastAsia" w:cs="Times New Roman"/>
                <w:color w:val="auto"/>
                <w:sz w:val="21"/>
                <w:szCs w:val="21"/>
                <w:lang w:val="en-US" w:eastAsia="zh-CN"/>
              </w:rPr>
              <w:t>0.5</w:t>
            </w:r>
          </w:p>
        </w:tc>
        <w:tc>
          <w:tcPr>
            <w:tcW w:w="1651" w:type="dxa"/>
            <w:vAlign w:val="center"/>
          </w:tcPr>
          <w:p w14:paraId="0B6C3E39">
            <w:pPr>
              <w:spacing w:line="240" w:lineRule="auto"/>
              <w:jc w:val="center"/>
              <w:rPr>
                <w:rFonts w:hint="default" w:ascii="Times New Roman" w:hAnsi="Times New Roman" w:cs="Times New Roman" w:eastAsiaTheme="minorEastAsia"/>
                <w:snapToGrid w:val="0"/>
                <w:color w:val="auto"/>
                <w:kern w:val="21"/>
                <w:sz w:val="21"/>
                <w:szCs w:val="21"/>
                <w:lang w:val="en-US"/>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34395552">
            <w:pPr>
              <w:autoSpaceDE w:val="0"/>
              <w:autoSpaceDN w:val="0"/>
              <w:spacing w:line="240" w:lineRule="auto"/>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5</w:t>
            </w:r>
          </w:p>
        </w:tc>
        <w:tc>
          <w:tcPr>
            <w:tcW w:w="1275" w:type="dxa"/>
            <w:vAlign w:val="center"/>
          </w:tcPr>
          <w:p w14:paraId="5F87AE54">
            <w:pPr>
              <w:autoSpaceDE w:val="0"/>
              <w:autoSpaceDN w:val="0"/>
              <w:spacing w:line="240" w:lineRule="auto"/>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5</w:t>
            </w:r>
          </w:p>
        </w:tc>
      </w:tr>
      <w:tr w14:paraId="0EEB4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restart"/>
            <w:vAlign w:val="center"/>
          </w:tcPr>
          <w:p w14:paraId="2120B06C">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危险废物</w:t>
            </w:r>
          </w:p>
        </w:tc>
        <w:tc>
          <w:tcPr>
            <w:tcW w:w="2149" w:type="dxa"/>
            <w:vAlign w:val="center"/>
          </w:tcPr>
          <w:p w14:paraId="3962E96D">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val="en-US" w:eastAsia="zh-CN"/>
              </w:rPr>
              <w:t>矿物</w:t>
            </w:r>
            <w:r>
              <w:rPr>
                <w:rFonts w:hint="default" w:ascii="Times New Roman" w:hAnsi="Times New Roman" w:cs="Times New Roman"/>
                <w:color w:val="auto"/>
                <w:sz w:val="21"/>
                <w:szCs w:val="21"/>
              </w:rPr>
              <w:t>油</w:t>
            </w:r>
          </w:p>
        </w:tc>
        <w:tc>
          <w:tcPr>
            <w:tcW w:w="1407" w:type="dxa"/>
            <w:vAlign w:val="center"/>
          </w:tcPr>
          <w:p w14:paraId="31000214">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230AB06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603AF1D">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57B0F2B">
            <w:pPr>
              <w:autoSpaceDE w:val="0"/>
              <w:autoSpaceDN w:val="0"/>
              <w:spacing w:line="240" w:lineRule="auto"/>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0.1</w:t>
            </w:r>
          </w:p>
        </w:tc>
        <w:tc>
          <w:tcPr>
            <w:tcW w:w="1651" w:type="dxa"/>
            <w:vAlign w:val="center"/>
          </w:tcPr>
          <w:p w14:paraId="78CD9B20">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2EFF02DB">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eastAsia" w:cs="Times New Roman"/>
                <w:color w:val="auto"/>
                <w:sz w:val="21"/>
                <w:szCs w:val="21"/>
                <w:lang w:val="en-US" w:eastAsia="zh-CN"/>
              </w:rPr>
              <w:t>0.1</w:t>
            </w:r>
          </w:p>
        </w:tc>
        <w:tc>
          <w:tcPr>
            <w:tcW w:w="1275" w:type="dxa"/>
            <w:vAlign w:val="center"/>
          </w:tcPr>
          <w:p w14:paraId="2DB2AC27">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eastAsia" w:cs="Times New Roman"/>
                <w:color w:val="auto"/>
                <w:sz w:val="21"/>
                <w:szCs w:val="21"/>
                <w:lang w:val="en-US" w:eastAsia="zh-CN"/>
              </w:rPr>
              <w:t>+0.1</w:t>
            </w:r>
          </w:p>
        </w:tc>
      </w:tr>
      <w:tr w14:paraId="6D6C0D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6A67F1BD">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1FAD1E92">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废原料桶</w:t>
            </w:r>
          </w:p>
        </w:tc>
        <w:tc>
          <w:tcPr>
            <w:tcW w:w="1407" w:type="dxa"/>
            <w:vAlign w:val="center"/>
          </w:tcPr>
          <w:p w14:paraId="4FEBA072">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03CFFC65">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32E2EA1F">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127C8AC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0.05</w:t>
            </w:r>
          </w:p>
        </w:tc>
        <w:tc>
          <w:tcPr>
            <w:tcW w:w="1651" w:type="dxa"/>
            <w:vAlign w:val="center"/>
          </w:tcPr>
          <w:p w14:paraId="38FCBAC1">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645F5C8C">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eastAsia="宋体" w:cs="Times New Roman"/>
                <w:color w:val="auto"/>
                <w:sz w:val="21"/>
                <w:szCs w:val="21"/>
                <w:lang w:val="en-US" w:eastAsia="zh-CN"/>
              </w:rPr>
              <w:t>0.05</w:t>
            </w:r>
          </w:p>
        </w:tc>
        <w:tc>
          <w:tcPr>
            <w:tcW w:w="1275" w:type="dxa"/>
            <w:vAlign w:val="center"/>
          </w:tcPr>
          <w:p w14:paraId="021D2092">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0.05</w:t>
            </w:r>
          </w:p>
        </w:tc>
      </w:tr>
      <w:tr w14:paraId="7A499F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6A4D4A39">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3CF363C3">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废抹布及废手套</w:t>
            </w:r>
          </w:p>
        </w:tc>
        <w:tc>
          <w:tcPr>
            <w:tcW w:w="1407" w:type="dxa"/>
            <w:vAlign w:val="center"/>
          </w:tcPr>
          <w:p w14:paraId="238F8E1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65A9EAE">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E85A3D6">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5108B860">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1651" w:type="dxa"/>
            <w:vAlign w:val="center"/>
          </w:tcPr>
          <w:p w14:paraId="45F64623">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752229EC">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c>
          <w:tcPr>
            <w:tcW w:w="1275" w:type="dxa"/>
            <w:vAlign w:val="center"/>
          </w:tcPr>
          <w:p w14:paraId="796ECA71">
            <w:pPr>
              <w:autoSpaceDE w:val="0"/>
              <w:autoSpaceDN w:val="0"/>
              <w:spacing w:line="240" w:lineRule="auto"/>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0.0</w:t>
            </w:r>
            <w:r>
              <w:rPr>
                <w:rFonts w:hint="default" w:ascii="Times New Roman" w:hAnsi="Times New Roman" w:cs="Times New Roman"/>
                <w:color w:val="auto"/>
                <w:sz w:val="21"/>
                <w:szCs w:val="21"/>
                <w:lang w:val="en-US" w:eastAsia="zh-CN"/>
              </w:rPr>
              <w:t>1</w:t>
            </w:r>
          </w:p>
        </w:tc>
      </w:tr>
      <w:tr w14:paraId="2923FE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200938D5">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543210F6">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喷淋废水</w:t>
            </w:r>
          </w:p>
        </w:tc>
        <w:tc>
          <w:tcPr>
            <w:tcW w:w="1407" w:type="dxa"/>
            <w:vAlign w:val="center"/>
          </w:tcPr>
          <w:p w14:paraId="7725476A">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0B3788CA">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752CD34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3B8A9A6A">
            <w:pPr>
              <w:autoSpaceDE w:val="0"/>
              <w:autoSpaceDN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10</w:t>
            </w:r>
          </w:p>
        </w:tc>
        <w:tc>
          <w:tcPr>
            <w:tcW w:w="1651" w:type="dxa"/>
            <w:vAlign w:val="center"/>
          </w:tcPr>
          <w:p w14:paraId="31BF1859">
            <w:pPr>
              <w:spacing w:line="240" w:lineRule="auto"/>
              <w:jc w:val="center"/>
              <w:rPr>
                <w:rFonts w:hint="eastAsia" w:ascii="Times New Roman" w:hAnsi="Times New Roman" w:cs="Times New Roman" w:eastAsiaTheme="minorEastAsia"/>
                <w:snapToGrid w:val="0"/>
                <w:color w:val="auto"/>
                <w:kern w:val="21"/>
                <w:sz w:val="21"/>
                <w:szCs w:val="21"/>
                <w:lang w:val="en-US" w:eastAsia="zh-CN"/>
              </w:rPr>
            </w:pPr>
            <w:r>
              <w:rPr>
                <w:rFonts w:hint="eastAsia" w:cs="Times New Roman" w:eastAsiaTheme="minorEastAsia"/>
                <w:snapToGrid w:val="0"/>
                <w:color w:val="auto"/>
                <w:kern w:val="21"/>
                <w:sz w:val="21"/>
                <w:szCs w:val="21"/>
                <w:lang w:val="en-US" w:eastAsia="zh-CN"/>
              </w:rPr>
              <w:t>0</w:t>
            </w:r>
          </w:p>
        </w:tc>
        <w:tc>
          <w:tcPr>
            <w:tcW w:w="1620" w:type="dxa"/>
            <w:vAlign w:val="center"/>
          </w:tcPr>
          <w:p w14:paraId="409A24CC">
            <w:pPr>
              <w:autoSpaceDE w:val="0"/>
              <w:autoSpaceDN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10</w:t>
            </w:r>
          </w:p>
        </w:tc>
        <w:tc>
          <w:tcPr>
            <w:tcW w:w="1275" w:type="dxa"/>
            <w:vAlign w:val="center"/>
          </w:tcPr>
          <w:p w14:paraId="416D744E">
            <w:pPr>
              <w:autoSpaceDE w:val="0"/>
              <w:autoSpaceDN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+10</w:t>
            </w:r>
          </w:p>
        </w:tc>
      </w:tr>
      <w:tr w14:paraId="364CE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233FEA4C">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1A11791E">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含油金属屑</w:t>
            </w:r>
          </w:p>
        </w:tc>
        <w:tc>
          <w:tcPr>
            <w:tcW w:w="1407" w:type="dxa"/>
            <w:vAlign w:val="center"/>
          </w:tcPr>
          <w:p w14:paraId="10751192">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6C76351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327AB5A5">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64FCA9B7">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0.05</w:t>
            </w:r>
          </w:p>
        </w:tc>
        <w:tc>
          <w:tcPr>
            <w:tcW w:w="1651" w:type="dxa"/>
            <w:vAlign w:val="center"/>
          </w:tcPr>
          <w:p w14:paraId="1A003BBC">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4BB26C9C">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eastAsia" w:cs="Times New Roman"/>
                <w:color w:val="auto"/>
                <w:sz w:val="21"/>
                <w:szCs w:val="21"/>
                <w:lang w:val="en-US" w:eastAsia="zh-CN"/>
              </w:rPr>
              <w:t>0.05</w:t>
            </w:r>
          </w:p>
        </w:tc>
        <w:tc>
          <w:tcPr>
            <w:tcW w:w="1275" w:type="dxa"/>
            <w:vAlign w:val="center"/>
          </w:tcPr>
          <w:p w14:paraId="525DD091">
            <w:pPr>
              <w:autoSpaceDE w:val="0"/>
              <w:autoSpaceDN w:val="0"/>
              <w:spacing w:line="240" w:lineRule="auto"/>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color w:val="auto"/>
                <w:sz w:val="21"/>
                <w:szCs w:val="21"/>
                <w:lang w:val="en-US" w:eastAsia="zh-CN"/>
              </w:rPr>
              <w:t>+0.05</w:t>
            </w:r>
          </w:p>
        </w:tc>
      </w:tr>
      <w:tr w14:paraId="0FB15D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vAlign w:val="center"/>
          </w:tcPr>
          <w:p w14:paraId="42D4BA02">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78670CD9">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废活性炭</w:t>
            </w:r>
          </w:p>
        </w:tc>
        <w:tc>
          <w:tcPr>
            <w:tcW w:w="1407" w:type="dxa"/>
            <w:vAlign w:val="center"/>
          </w:tcPr>
          <w:p w14:paraId="22ABA295">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591A149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17835AC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2E77E01C">
            <w:pPr>
              <w:autoSpaceDE w:val="0"/>
              <w:autoSpaceDN w:val="0"/>
              <w:spacing w:line="240" w:lineRule="auto"/>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8.43</w:t>
            </w:r>
          </w:p>
        </w:tc>
        <w:tc>
          <w:tcPr>
            <w:tcW w:w="1651" w:type="dxa"/>
            <w:vAlign w:val="center"/>
          </w:tcPr>
          <w:p w14:paraId="0EA1D23C">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72CE9ADD">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eastAsia" w:cs="Times New Roman"/>
                <w:color w:val="auto"/>
                <w:sz w:val="21"/>
                <w:szCs w:val="21"/>
                <w:lang w:val="en-US" w:eastAsia="zh-CN"/>
              </w:rPr>
              <w:t>8.43</w:t>
            </w:r>
          </w:p>
        </w:tc>
        <w:tc>
          <w:tcPr>
            <w:tcW w:w="1275" w:type="dxa"/>
            <w:vAlign w:val="center"/>
          </w:tcPr>
          <w:p w14:paraId="3056D361">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eastAsia" w:cs="Times New Roman"/>
                <w:color w:val="auto"/>
                <w:sz w:val="21"/>
                <w:szCs w:val="21"/>
                <w:lang w:val="en-US" w:eastAsia="zh-CN"/>
              </w:rPr>
              <w:t>+8.43</w:t>
            </w:r>
          </w:p>
        </w:tc>
      </w:tr>
      <w:tr w14:paraId="11687C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0" w:type="dxa"/>
            <w:vMerge w:val="continue"/>
          </w:tcPr>
          <w:p w14:paraId="34142ED0">
            <w:pPr>
              <w:pStyle w:val="39"/>
              <w:adjustRightInd/>
              <w:snapToGrid/>
              <w:spacing w:beforeLines="0" w:afterLines="0" w:line="240" w:lineRule="auto"/>
              <w:ind w:firstLine="0"/>
              <w:rPr>
                <w:rFonts w:hint="default" w:ascii="Times New Roman" w:hAnsi="Times New Roman" w:cs="Times New Roman" w:eastAsiaTheme="minorEastAsia"/>
                <w:snapToGrid w:val="0"/>
                <w:color w:val="auto"/>
                <w:kern w:val="21"/>
                <w:sz w:val="21"/>
                <w:szCs w:val="21"/>
              </w:rPr>
            </w:pPr>
          </w:p>
        </w:tc>
        <w:tc>
          <w:tcPr>
            <w:tcW w:w="2149" w:type="dxa"/>
            <w:vAlign w:val="center"/>
          </w:tcPr>
          <w:p w14:paraId="7960D4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废网版</w:t>
            </w:r>
          </w:p>
        </w:tc>
        <w:tc>
          <w:tcPr>
            <w:tcW w:w="1407" w:type="dxa"/>
            <w:vAlign w:val="center"/>
          </w:tcPr>
          <w:p w14:paraId="572F10D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276" w:type="dxa"/>
            <w:vAlign w:val="center"/>
          </w:tcPr>
          <w:p w14:paraId="176FF7C8">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701" w:type="dxa"/>
            <w:vAlign w:val="center"/>
          </w:tcPr>
          <w:p w14:paraId="2B09824B">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559" w:type="dxa"/>
            <w:vAlign w:val="center"/>
          </w:tcPr>
          <w:p w14:paraId="283682C3">
            <w:pPr>
              <w:autoSpaceDE w:val="0"/>
              <w:autoSpaceDN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c>
          <w:tcPr>
            <w:tcW w:w="0" w:type="auto"/>
          </w:tcPr>
          <w:p w14:paraId="622CA2AB">
            <w:pPr>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eastAsiaTheme="minorEastAsia"/>
                <w:snapToGrid w:val="0"/>
                <w:color w:val="auto"/>
                <w:kern w:val="21"/>
                <w:sz w:val="21"/>
                <w:szCs w:val="21"/>
              </w:rPr>
              <w:t>0</w:t>
            </w:r>
          </w:p>
        </w:tc>
        <w:tc>
          <w:tcPr>
            <w:tcW w:w="1620" w:type="dxa"/>
            <w:vAlign w:val="center"/>
          </w:tcPr>
          <w:p w14:paraId="294C51BD">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c>
          <w:tcPr>
            <w:tcW w:w="1275" w:type="dxa"/>
            <w:vAlign w:val="center"/>
          </w:tcPr>
          <w:p w14:paraId="62948988">
            <w:pPr>
              <w:autoSpaceDE w:val="0"/>
              <w:autoSpaceDN w:val="0"/>
              <w:spacing w:line="240" w:lineRule="auto"/>
              <w:jc w:val="center"/>
              <w:rPr>
                <w:rFonts w:hint="default" w:ascii="Times New Roman" w:hAnsi="Times New Roman" w:cs="Times New Roman" w:eastAsiaTheme="minorEastAsia"/>
                <w:snapToGrid w:val="0"/>
                <w:color w:val="auto"/>
                <w:kern w:val="21"/>
                <w:sz w:val="21"/>
                <w:szCs w:val="21"/>
              </w:rPr>
            </w:pP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05</w:t>
            </w:r>
          </w:p>
        </w:tc>
      </w:tr>
      <w:tr w14:paraId="56F1F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99" w:type="dxa"/>
            <w:gridSpan w:val="2"/>
          </w:tcPr>
          <w:p w14:paraId="1E8405FF">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生活垃圾</w:t>
            </w:r>
          </w:p>
        </w:tc>
        <w:tc>
          <w:tcPr>
            <w:tcW w:w="1407" w:type="dxa"/>
            <w:vAlign w:val="center"/>
          </w:tcPr>
          <w:p w14:paraId="476AE2C2">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276" w:type="dxa"/>
            <w:vAlign w:val="center"/>
          </w:tcPr>
          <w:p w14:paraId="235194CC">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701" w:type="dxa"/>
            <w:vAlign w:val="center"/>
          </w:tcPr>
          <w:p w14:paraId="73CD2C21">
            <w:pPr>
              <w:pStyle w:val="39"/>
              <w:adjustRightInd/>
              <w:snapToGrid/>
              <w:spacing w:beforeLines="0" w:afterLines="0" w:line="240" w:lineRule="auto"/>
              <w:ind w:firstLine="0" w:firstLineChars="0"/>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559" w:type="dxa"/>
            <w:vAlign w:val="center"/>
          </w:tcPr>
          <w:p w14:paraId="2DC77586">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30</w:t>
            </w:r>
          </w:p>
        </w:tc>
        <w:tc>
          <w:tcPr>
            <w:tcW w:w="0" w:type="auto"/>
          </w:tcPr>
          <w:p w14:paraId="28547B33">
            <w:pPr>
              <w:spacing w:line="240" w:lineRule="auto"/>
              <w:jc w:val="center"/>
              <w:rPr>
                <w:rFonts w:hint="default" w:ascii="Times New Roman" w:hAnsi="Times New Roman" w:cs="Times New Roman" w:eastAsiaTheme="minorEastAsia"/>
                <w:snapToGrid w:val="0"/>
                <w:color w:val="auto"/>
                <w:kern w:val="21"/>
                <w:sz w:val="21"/>
                <w:szCs w:val="21"/>
                <w:lang w:val="en-US" w:eastAsia="zh-CN"/>
              </w:rPr>
            </w:pPr>
            <w:r>
              <w:rPr>
                <w:rFonts w:hint="default" w:ascii="Times New Roman" w:hAnsi="Times New Roman" w:cs="Times New Roman" w:eastAsiaTheme="minorEastAsia"/>
                <w:snapToGrid w:val="0"/>
                <w:color w:val="auto"/>
                <w:kern w:val="21"/>
                <w:sz w:val="21"/>
                <w:szCs w:val="21"/>
                <w:lang w:val="en-US" w:eastAsia="zh-CN"/>
              </w:rPr>
              <w:t>0</w:t>
            </w:r>
          </w:p>
        </w:tc>
        <w:tc>
          <w:tcPr>
            <w:tcW w:w="1620" w:type="dxa"/>
            <w:vAlign w:val="center"/>
          </w:tcPr>
          <w:p w14:paraId="0A04AA9F">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30</w:t>
            </w:r>
          </w:p>
        </w:tc>
        <w:tc>
          <w:tcPr>
            <w:tcW w:w="1275" w:type="dxa"/>
            <w:vAlign w:val="center"/>
          </w:tcPr>
          <w:p w14:paraId="7A7065EF">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30</w:t>
            </w:r>
          </w:p>
        </w:tc>
      </w:tr>
    </w:tbl>
    <w:p w14:paraId="2950DA97">
      <w:pPr>
        <w:pStyle w:val="39"/>
        <w:spacing w:before="192" w:beforeLines="80" w:after="24"/>
        <w:jc w:val="left"/>
        <w:rPr>
          <w:rFonts w:hint="default" w:ascii="Times New Roman" w:hAnsi="Times New Roman" w:cs="Times New Roman" w:eastAsiaTheme="minorEastAsia"/>
          <w:snapToGrid w:val="0"/>
          <w:color w:val="auto"/>
          <w:spacing w:val="-6"/>
          <w:kern w:val="21"/>
          <w:sz w:val="21"/>
          <w:szCs w:val="21"/>
        </w:rPr>
      </w:pPr>
      <w:r>
        <w:rPr>
          <w:rFonts w:hint="default" w:ascii="Times New Roman" w:hAnsi="Times New Roman" w:cs="Times New Roman" w:eastAsiaTheme="minorEastAsia"/>
          <w:snapToGrid w:val="0"/>
          <w:color w:val="auto"/>
          <w:kern w:val="21"/>
          <w:sz w:val="21"/>
          <w:szCs w:val="21"/>
        </w:rPr>
        <w:t>注：</w:t>
      </w:r>
      <w:r>
        <w:rPr>
          <w:rFonts w:hint="default" w:ascii="Times New Roman" w:hAnsi="Times New Roman" w:cs="Times New Roman" w:eastAsiaTheme="minorEastAsia"/>
          <w:snapToGrid w:val="0"/>
          <w:color w:val="auto"/>
          <w:spacing w:val="-16"/>
          <w:kern w:val="21"/>
          <w:sz w:val="21"/>
          <w:szCs w:val="21"/>
        </w:rPr>
        <w:fldChar w:fldCharType="begin"/>
      </w:r>
      <w:r>
        <w:rPr>
          <w:rFonts w:hint="default" w:ascii="Times New Roman" w:hAnsi="Times New Roman" w:cs="Times New Roman" w:eastAsiaTheme="minorEastAsia"/>
          <w:snapToGrid w:val="0"/>
          <w:color w:val="auto"/>
          <w:spacing w:val="-16"/>
          <w:kern w:val="21"/>
          <w:sz w:val="21"/>
          <w:szCs w:val="21"/>
        </w:rPr>
        <w:instrText xml:space="preserve"> = 6 \* GB3 \* MERGEFORMAT </w:instrText>
      </w:r>
      <w:r>
        <w:rPr>
          <w:rFonts w:hint="default" w:ascii="Times New Roman" w:hAnsi="Times New Roman" w:cs="Times New Roman" w:eastAsiaTheme="minorEastAsia"/>
          <w:snapToGrid w:val="0"/>
          <w:color w:val="auto"/>
          <w:spacing w:val="-16"/>
          <w:kern w:val="21"/>
          <w:sz w:val="21"/>
          <w:szCs w:val="21"/>
        </w:rPr>
        <w:fldChar w:fldCharType="separate"/>
      </w:r>
      <w:r>
        <w:rPr>
          <w:rFonts w:hint="default" w:ascii="Times New Roman" w:hAnsi="Times New Roman" w:cs="Times New Roman" w:eastAsiaTheme="minorEastAsia"/>
          <w:color w:val="auto"/>
          <w:sz w:val="21"/>
          <w:szCs w:val="21"/>
        </w:rPr>
        <w:t>⑥</w:t>
      </w:r>
      <w:r>
        <w:rPr>
          <w:rFonts w:hint="default" w:ascii="Times New Roman" w:hAnsi="Times New Roman" w:cs="Times New Roman" w:eastAsiaTheme="minorEastAsia"/>
          <w:snapToGrid w:val="0"/>
          <w:color w:val="auto"/>
          <w:spacing w:val="-16"/>
          <w:kern w:val="21"/>
          <w:sz w:val="21"/>
          <w:szCs w:val="21"/>
        </w:rPr>
        <w:fldChar w:fldCharType="end"/>
      </w:r>
      <w:r>
        <w:rPr>
          <w:rFonts w:hint="default" w:ascii="Times New Roman" w:hAnsi="Times New Roman" w:cs="Times New Roman" w:eastAsiaTheme="minorEastAsia"/>
          <w:snapToGrid w:val="0"/>
          <w:color w:val="auto"/>
          <w:spacing w:val="-1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1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①</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3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③</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4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④</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16"/>
          <w:kern w:val="21"/>
          <w:sz w:val="21"/>
          <w:szCs w:val="21"/>
        </w:rPr>
        <w:fldChar w:fldCharType="begin"/>
      </w:r>
      <w:r>
        <w:rPr>
          <w:rFonts w:hint="default" w:ascii="Times New Roman" w:hAnsi="Times New Roman" w:cs="Times New Roman" w:eastAsiaTheme="minorEastAsia"/>
          <w:snapToGrid w:val="0"/>
          <w:color w:val="auto"/>
          <w:spacing w:val="-16"/>
          <w:kern w:val="21"/>
          <w:sz w:val="21"/>
          <w:szCs w:val="21"/>
        </w:rPr>
        <w:instrText xml:space="preserve"> = 5 \* GB3 \* MERGEFORMAT </w:instrText>
      </w:r>
      <w:r>
        <w:rPr>
          <w:rFonts w:hint="default" w:ascii="Times New Roman" w:hAnsi="Times New Roman" w:cs="Times New Roman" w:eastAsiaTheme="minorEastAsia"/>
          <w:snapToGrid w:val="0"/>
          <w:color w:val="auto"/>
          <w:spacing w:val="-16"/>
          <w:kern w:val="21"/>
          <w:sz w:val="21"/>
          <w:szCs w:val="21"/>
        </w:rPr>
        <w:fldChar w:fldCharType="separate"/>
      </w:r>
      <w:r>
        <w:rPr>
          <w:rFonts w:hint="default" w:ascii="Times New Roman" w:hAnsi="Times New Roman" w:cs="Times New Roman" w:eastAsiaTheme="minorEastAsia"/>
          <w:color w:val="auto"/>
          <w:sz w:val="21"/>
          <w:szCs w:val="21"/>
        </w:rPr>
        <w:t>⑤</w:t>
      </w:r>
      <w:r>
        <w:rPr>
          <w:rFonts w:hint="default" w:ascii="Times New Roman" w:hAnsi="Times New Roman" w:cs="Times New Roman" w:eastAsiaTheme="minorEastAsia"/>
          <w:snapToGrid w:val="0"/>
          <w:color w:val="auto"/>
          <w:spacing w:val="-16"/>
          <w:kern w:val="21"/>
          <w:sz w:val="21"/>
          <w:szCs w:val="21"/>
        </w:rPr>
        <w:fldChar w:fldCharType="end"/>
      </w:r>
      <w:r>
        <w:rPr>
          <w:rFonts w:hint="default" w:ascii="Times New Roman" w:hAnsi="Times New Roman" w:cs="Times New Roman" w:eastAsiaTheme="minorEastAsia"/>
          <w:snapToGrid w:val="0"/>
          <w:color w:val="auto"/>
          <w:spacing w:val="-1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7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⑦</w:t>
      </w:r>
      <w:r>
        <w:rPr>
          <w:rFonts w:hint="default" w:ascii="Times New Roman" w:hAnsi="Times New Roman" w:cs="Times New Roman" w:eastAsiaTheme="minorEastAsia"/>
          <w:snapToGrid w:val="0"/>
          <w:color w:val="auto"/>
          <w:spacing w:val="-6"/>
          <w:kern w:val="21"/>
          <w:sz w:val="21"/>
          <w:szCs w:val="21"/>
        </w:rPr>
        <w:fldChar w:fldCharType="end"/>
      </w:r>
      <w:r>
        <w:rPr>
          <w:rFonts w:hint="default" w:ascii="Times New Roman" w:hAnsi="Times New Roman" w:cs="Times New Roman" w:eastAsiaTheme="minorEastAsia"/>
          <w:snapToGrid w:val="0"/>
          <w:color w:val="auto"/>
          <w:spacing w:val="-6"/>
          <w:kern w:val="21"/>
          <w:sz w:val="21"/>
          <w:szCs w:val="21"/>
        </w:rPr>
        <w:t>=</w:t>
      </w:r>
      <w:r>
        <w:rPr>
          <w:rFonts w:hint="default" w:ascii="Times New Roman" w:hAnsi="Times New Roman" w:cs="Times New Roman" w:eastAsiaTheme="minorEastAsia"/>
          <w:snapToGrid w:val="0"/>
          <w:color w:val="auto"/>
          <w:spacing w:val="-16"/>
          <w:kern w:val="21"/>
          <w:sz w:val="21"/>
          <w:szCs w:val="21"/>
        </w:rPr>
        <w:fldChar w:fldCharType="begin"/>
      </w:r>
      <w:r>
        <w:rPr>
          <w:rFonts w:hint="default" w:ascii="Times New Roman" w:hAnsi="Times New Roman" w:cs="Times New Roman" w:eastAsiaTheme="minorEastAsia"/>
          <w:snapToGrid w:val="0"/>
          <w:color w:val="auto"/>
          <w:spacing w:val="-16"/>
          <w:kern w:val="21"/>
          <w:sz w:val="21"/>
          <w:szCs w:val="21"/>
        </w:rPr>
        <w:instrText xml:space="preserve"> = 6 \* GB3 \* MERGEFORMAT </w:instrText>
      </w:r>
      <w:r>
        <w:rPr>
          <w:rFonts w:hint="default" w:ascii="Times New Roman" w:hAnsi="Times New Roman" w:cs="Times New Roman" w:eastAsiaTheme="minorEastAsia"/>
          <w:snapToGrid w:val="0"/>
          <w:color w:val="auto"/>
          <w:spacing w:val="-16"/>
          <w:kern w:val="21"/>
          <w:sz w:val="21"/>
          <w:szCs w:val="21"/>
        </w:rPr>
        <w:fldChar w:fldCharType="separate"/>
      </w:r>
      <w:r>
        <w:rPr>
          <w:rFonts w:hint="default" w:ascii="Times New Roman" w:hAnsi="Times New Roman" w:cs="Times New Roman" w:eastAsiaTheme="minorEastAsia"/>
          <w:color w:val="auto"/>
          <w:sz w:val="21"/>
          <w:szCs w:val="21"/>
        </w:rPr>
        <w:t>⑥</w:t>
      </w:r>
      <w:r>
        <w:rPr>
          <w:rFonts w:hint="default" w:ascii="Times New Roman" w:hAnsi="Times New Roman" w:cs="Times New Roman" w:eastAsiaTheme="minorEastAsia"/>
          <w:snapToGrid w:val="0"/>
          <w:color w:val="auto"/>
          <w:spacing w:val="-16"/>
          <w:kern w:val="21"/>
          <w:sz w:val="21"/>
          <w:szCs w:val="21"/>
        </w:rPr>
        <w:fldChar w:fldCharType="end"/>
      </w:r>
      <w:r>
        <w:rPr>
          <w:rFonts w:hint="default" w:ascii="Times New Roman" w:hAnsi="Times New Roman" w:cs="Times New Roman" w:eastAsiaTheme="minorEastAsia"/>
          <w:snapToGrid w:val="0"/>
          <w:color w:val="auto"/>
          <w:spacing w:val="-16"/>
          <w:kern w:val="21"/>
          <w:sz w:val="21"/>
          <w:szCs w:val="21"/>
        </w:rPr>
        <w:t>-</w:t>
      </w:r>
      <w:r>
        <w:rPr>
          <w:rFonts w:hint="default" w:ascii="Times New Roman" w:hAnsi="Times New Roman" w:cs="Times New Roman" w:eastAsiaTheme="minorEastAsia"/>
          <w:snapToGrid w:val="0"/>
          <w:color w:val="auto"/>
          <w:spacing w:val="-6"/>
          <w:kern w:val="21"/>
          <w:sz w:val="21"/>
          <w:szCs w:val="21"/>
        </w:rPr>
        <w:fldChar w:fldCharType="begin"/>
      </w:r>
      <w:r>
        <w:rPr>
          <w:rFonts w:hint="default" w:ascii="Times New Roman" w:hAnsi="Times New Roman" w:cs="Times New Roman" w:eastAsiaTheme="minorEastAsia"/>
          <w:snapToGrid w:val="0"/>
          <w:color w:val="auto"/>
          <w:spacing w:val="-6"/>
          <w:kern w:val="21"/>
          <w:sz w:val="21"/>
          <w:szCs w:val="21"/>
        </w:rPr>
        <w:instrText xml:space="preserve"> = 1 \* GB3 \* MERGEFORMAT </w:instrText>
      </w:r>
      <w:r>
        <w:rPr>
          <w:rFonts w:hint="default" w:ascii="Times New Roman" w:hAnsi="Times New Roman" w:cs="Times New Roman" w:eastAsiaTheme="minorEastAsia"/>
          <w:snapToGrid w:val="0"/>
          <w:color w:val="auto"/>
          <w:spacing w:val="-6"/>
          <w:kern w:val="21"/>
          <w:sz w:val="21"/>
          <w:szCs w:val="21"/>
        </w:rPr>
        <w:fldChar w:fldCharType="separate"/>
      </w:r>
      <w:r>
        <w:rPr>
          <w:rFonts w:hint="default" w:ascii="Times New Roman" w:hAnsi="Times New Roman" w:cs="Times New Roman" w:eastAsiaTheme="minorEastAsia"/>
          <w:color w:val="auto"/>
          <w:sz w:val="21"/>
          <w:szCs w:val="21"/>
        </w:rPr>
        <w:t>①</w:t>
      </w:r>
      <w:r>
        <w:rPr>
          <w:rFonts w:hint="default" w:ascii="Times New Roman" w:hAnsi="Times New Roman" w:cs="Times New Roman" w:eastAsiaTheme="minorEastAsia"/>
          <w:snapToGrid w:val="0"/>
          <w:color w:val="auto"/>
          <w:spacing w:val="-6"/>
          <w:kern w:val="21"/>
          <w:sz w:val="21"/>
          <w:szCs w:val="21"/>
        </w:rPr>
        <w:fldChar w:fldCharType="end"/>
      </w:r>
    </w:p>
    <w:p w14:paraId="3C0C402C">
      <w:pPr>
        <w:rPr>
          <w:rFonts w:hint="default" w:ascii="Times New Roman" w:hAnsi="Times New Roman" w:cs="Times New Roman"/>
          <w:color w:val="auto"/>
        </w:rPr>
        <w:sectPr>
          <w:pgSz w:w="16838" w:h="11906" w:orient="landscape"/>
          <w:pgMar w:top="1701" w:right="1531" w:bottom="1701" w:left="1531" w:header="851" w:footer="851" w:gutter="0"/>
          <w:cols w:space="720" w:num="1"/>
          <w:docGrid w:linePitch="312" w:charSpace="0"/>
        </w:sectPr>
      </w:pPr>
    </w:p>
    <w:p w14:paraId="53330271">
      <w:pPr>
        <w:jc w:val="center"/>
        <w:rPr>
          <w:rFonts w:hint="default" w:ascii="Times New Roman" w:hAnsi="Times New Roman" w:cs="Times New Roman"/>
          <w:color w:val="auto"/>
        </w:rPr>
      </w:pPr>
      <w:r>
        <w:rPr>
          <w:rFonts w:hint="default" w:ascii="Times New Roman" w:hAnsi="Times New Roman" w:cs="Times New Roman"/>
          <w:b/>
          <w:bCs/>
          <w:color w:val="auto"/>
          <w:sz w:val="32"/>
          <w:szCs w:val="32"/>
        </w:rPr>
        <w:t>附图附件目录</w:t>
      </w:r>
    </w:p>
    <w:p w14:paraId="32190FFB">
      <w:pPr>
        <w:rPr>
          <w:rFonts w:hint="default" w:ascii="Times New Roman" w:hAnsi="Times New Roman" w:cs="Times New Roman"/>
          <w:color w:val="auto"/>
          <w:sz w:val="28"/>
          <w:szCs w:val="28"/>
        </w:rPr>
      </w:pPr>
      <w:r>
        <w:rPr>
          <w:rFonts w:hint="default" w:ascii="Times New Roman" w:hAnsi="Times New Roman" w:cs="Times New Roman"/>
          <w:b/>
          <w:bCs/>
          <w:color w:val="auto"/>
          <w:sz w:val="28"/>
          <w:szCs w:val="28"/>
        </w:rPr>
        <w:t>附图：</w:t>
      </w:r>
    </w:p>
    <w:p w14:paraId="4EED59C3">
      <w:pPr>
        <w:rPr>
          <w:rFonts w:hint="default" w:ascii="Times New Roman" w:hAnsi="Times New Roman" w:cs="Times New Roman"/>
          <w:color w:val="auto"/>
        </w:rPr>
      </w:pPr>
      <w:r>
        <w:rPr>
          <w:rFonts w:hint="default" w:ascii="Times New Roman" w:hAnsi="Times New Roman" w:cs="Times New Roman"/>
          <w:color w:val="auto"/>
        </w:rPr>
        <w:t>附图1 项目地理位置图</w:t>
      </w:r>
    </w:p>
    <w:p w14:paraId="47484E80">
      <w:pPr>
        <w:rPr>
          <w:rFonts w:hint="default" w:ascii="Times New Roman" w:hAnsi="Times New Roman" w:cs="Times New Roman"/>
          <w:color w:val="auto"/>
        </w:rPr>
      </w:pPr>
      <w:r>
        <w:rPr>
          <w:rFonts w:hint="default" w:ascii="Times New Roman" w:hAnsi="Times New Roman" w:cs="Times New Roman"/>
          <w:color w:val="auto"/>
        </w:rPr>
        <w:t>附图2 项目四至卫星图</w:t>
      </w:r>
    </w:p>
    <w:p w14:paraId="082F5CA1">
      <w:pPr>
        <w:rPr>
          <w:rFonts w:hint="default" w:ascii="Times New Roman" w:hAnsi="Times New Roman" w:cs="Times New Roman"/>
          <w:color w:val="auto"/>
        </w:rPr>
      </w:pPr>
      <w:r>
        <w:rPr>
          <w:rFonts w:hint="default" w:ascii="Times New Roman" w:hAnsi="Times New Roman" w:cs="Times New Roman"/>
          <w:color w:val="auto"/>
        </w:rPr>
        <w:t>附图3 项目四至现状图</w:t>
      </w:r>
    </w:p>
    <w:p w14:paraId="30FD5AE8">
      <w:pPr>
        <w:rPr>
          <w:rFonts w:hint="default" w:ascii="Times New Roman" w:hAnsi="Times New Roman" w:cs="Times New Roman"/>
          <w:color w:val="auto"/>
        </w:rPr>
      </w:pPr>
      <w:r>
        <w:rPr>
          <w:rFonts w:hint="default" w:ascii="Times New Roman" w:hAnsi="Times New Roman" w:cs="Times New Roman"/>
          <w:color w:val="auto"/>
        </w:rPr>
        <w:t>附图4 项目环境保护目标分布图</w:t>
      </w:r>
    </w:p>
    <w:p w14:paraId="1B878C14">
      <w:pPr>
        <w:rPr>
          <w:rFonts w:hint="default" w:ascii="Times New Roman" w:hAnsi="Times New Roman" w:cs="Times New Roman"/>
          <w:color w:val="auto"/>
        </w:rPr>
      </w:pPr>
      <w:r>
        <w:rPr>
          <w:rFonts w:hint="default" w:ascii="Times New Roman" w:hAnsi="Times New Roman" w:cs="Times New Roman"/>
          <w:color w:val="auto"/>
        </w:rPr>
        <w:t>附图5 项目平面布置图</w:t>
      </w:r>
    </w:p>
    <w:p w14:paraId="3F66AB32">
      <w:pPr>
        <w:rPr>
          <w:rFonts w:hint="default" w:ascii="Times New Roman" w:hAnsi="Times New Roman" w:cs="Times New Roman"/>
          <w:color w:val="auto"/>
        </w:rPr>
      </w:pPr>
      <w:r>
        <w:rPr>
          <w:rFonts w:hint="default" w:ascii="Times New Roman" w:hAnsi="Times New Roman" w:cs="Times New Roman"/>
          <w:color w:val="auto"/>
        </w:rPr>
        <w:t>附图6 项目所在地水系图</w:t>
      </w:r>
    </w:p>
    <w:p w14:paraId="08A8B9C0">
      <w:pPr>
        <w:rPr>
          <w:rFonts w:hint="default" w:ascii="Times New Roman" w:hAnsi="Times New Roman" w:cs="Times New Roman"/>
          <w:color w:val="auto"/>
        </w:rPr>
      </w:pPr>
      <w:r>
        <w:rPr>
          <w:rFonts w:hint="default" w:ascii="Times New Roman" w:hAnsi="Times New Roman" w:cs="Times New Roman"/>
          <w:color w:val="auto"/>
        </w:rPr>
        <w:t>附图7 项目所在地大气环境功能区划图</w:t>
      </w:r>
    </w:p>
    <w:p w14:paraId="35A247B4">
      <w:pPr>
        <w:rPr>
          <w:rFonts w:hint="default" w:ascii="Times New Roman" w:hAnsi="Times New Roman" w:cs="Times New Roman"/>
          <w:color w:val="auto"/>
        </w:rPr>
      </w:pPr>
      <w:r>
        <w:rPr>
          <w:rFonts w:hint="default" w:ascii="Times New Roman" w:hAnsi="Times New Roman" w:cs="Times New Roman"/>
          <w:color w:val="auto"/>
        </w:rPr>
        <w:t>附图8 惠州市环境管控单元图</w:t>
      </w:r>
    </w:p>
    <w:p w14:paraId="595D251C">
      <w:pPr>
        <w:rPr>
          <w:rFonts w:hint="default" w:ascii="Times New Roman" w:hAnsi="Times New Roman" w:cs="Times New Roman"/>
          <w:b w:val="0"/>
          <w:bCs w:val="0"/>
          <w:color w:val="auto"/>
        </w:rPr>
      </w:pPr>
      <w:r>
        <w:rPr>
          <w:rFonts w:hint="default" w:ascii="Times New Roman" w:hAnsi="Times New Roman" w:cs="Times New Roman"/>
          <w:color w:val="auto"/>
        </w:rPr>
        <w:t>附图</w:t>
      </w:r>
      <w:r>
        <w:rPr>
          <w:rFonts w:hint="default" w:ascii="Times New Roman" w:hAnsi="Times New Roman" w:cs="Times New Roman"/>
          <w:b w:val="0"/>
          <w:bCs w:val="0"/>
          <w:color w:val="auto"/>
        </w:rPr>
        <w:t>9 博罗县环境管控单元图</w:t>
      </w:r>
    </w:p>
    <w:p w14:paraId="6049DDBA">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附图10 博罗县生态空间最终划定情况图</w:t>
      </w:r>
    </w:p>
    <w:p w14:paraId="17885F05">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 xml:space="preserve">附图11 </w:t>
      </w:r>
      <w:r>
        <w:rPr>
          <w:rFonts w:hint="default" w:ascii="Times New Roman" w:hAnsi="Times New Roman" w:cs="Times New Roman"/>
          <w:b w:val="0"/>
          <w:bCs w:val="0"/>
          <w:color w:val="auto"/>
          <w:kern w:val="44"/>
        </w:rPr>
        <w:t>博罗县大气环境质量底线管控分区划定情况</w:t>
      </w:r>
    </w:p>
    <w:p w14:paraId="2729FCE5">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lang w:val="en-US" w:eastAsia="zh-CN"/>
        </w:rPr>
        <w:t>2</w:t>
      </w:r>
      <w:r>
        <w:rPr>
          <w:rFonts w:hint="default" w:ascii="Times New Roman" w:hAnsi="Times New Roman" w:eastAsia="宋体" w:cs="Times New Roman"/>
          <w:b w:val="0"/>
          <w:bCs w:val="0"/>
          <w:color w:val="auto"/>
        </w:rPr>
        <w:t xml:space="preserve"> </w:t>
      </w:r>
      <w:r>
        <w:rPr>
          <w:rFonts w:hint="default" w:ascii="Times New Roman" w:hAnsi="Times New Roman" w:cs="Times New Roman"/>
          <w:b w:val="0"/>
          <w:bCs w:val="0"/>
          <w:color w:val="auto"/>
          <w:kern w:val="44"/>
        </w:rPr>
        <w:t>博罗县水环境质量底线管控分区划定情况</w:t>
      </w:r>
    </w:p>
    <w:p w14:paraId="685EE42C">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lang w:val="en-US" w:eastAsia="zh-CN"/>
        </w:rPr>
        <w:t>3</w:t>
      </w:r>
      <w:r>
        <w:rPr>
          <w:rFonts w:hint="default" w:ascii="Times New Roman" w:hAnsi="Times New Roman" w:eastAsia="宋体" w:cs="Times New Roman"/>
          <w:b w:val="0"/>
          <w:bCs w:val="0"/>
          <w:color w:val="auto"/>
        </w:rPr>
        <w:t xml:space="preserve"> </w:t>
      </w:r>
      <w:r>
        <w:rPr>
          <w:rFonts w:hint="default" w:ascii="Times New Roman" w:hAnsi="Times New Roman" w:cs="Times New Roman"/>
          <w:b w:val="0"/>
          <w:bCs w:val="0"/>
          <w:color w:val="auto"/>
          <w:kern w:val="44"/>
        </w:rPr>
        <w:t>博罗县建设用地土壤管控分区划定情况</w:t>
      </w:r>
    </w:p>
    <w:p w14:paraId="4D972FEF">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4</w:t>
      </w:r>
      <w:r>
        <w:rPr>
          <w:rFonts w:hint="default" w:ascii="Times New Roman" w:hAnsi="Times New Roman" w:cs="Times New Roman"/>
          <w:b w:val="0"/>
          <w:bCs w:val="0"/>
          <w:color w:val="auto"/>
          <w:kern w:val="44"/>
        </w:rPr>
        <w:t xml:space="preserve"> 博罗县土地资源优先保护区划定情况</w:t>
      </w:r>
    </w:p>
    <w:p w14:paraId="08D06208">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5</w:t>
      </w:r>
      <w:r>
        <w:rPr>
          <w:rFonts w:hint="default" w:ascii="Times New Roman" w:hAnsi="Times New Roman" w:cs="Times New Roman"/>
          <w:b w:val="0"/>
          <w:bCs w:val="0"/>
          <w:color w:val="auto"/>
          <w:kern w:val="44"/>
        </w:rPr>
        <w:t xml:space="preserve"> 博罗县高污染燃料禁燃区划</w:t>
      </w:r>
    </w:p>
    <w:p w14:paraId="637FE56F">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6</w:t>
      </w:r>
      <w:r>
        <w:rPr>
          <w:rFonts w:hint="default" w:ascii="Times New Roman" w:hAnsi="Times New Roman" w:cs="Times New Roman"/>
          <w:b w:val="0"/>
          <w:bCs w:val="0"/>
          <w:color w:val="auto"/>
          <w:kern w:val="44"/>
        </w:rPr>
        <w:t xml:space="preserve"> 博罗县矿产资源开发敏感区划定情况</w:t>
      </w:r>
    </w:p>
    <w:p w14:paraId="171815C6">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rPr>
        <w:t>7 项目与广东省三线一单平台的叠加图</w:t>
      </w:r>
    </w:p>
    <w:p w14:paraId="096C3AE2">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rPr>
        <w:t>附图1</w:t>
      </w:r>
      <w:r>
        <w:rPr>
          <w:rFonts w:hint="default" w:ascii="Times New Roman" w:hAnsi="Times New Roman" w:cs="Times New Roman"/>
          <w:b w:val="0"/>
          <w:bCs w:val="0"/>
          <w:color w:val="auto"/>
          <w:kern w:val="44"/>
          <w:lang w:val="en-US" w:eastAsia="zh-CN"/>
        </w:rPr>
        <w:t>8</w:t>
      </w:r>
      <w:r>
        <w:rPr>
          <w:rFonts w:hint="default" w:ascii="Times New Roman" w:hAnsi="Times New Roman" w:cs="Times New Roman"/>
          <w:b w:val="0"/>
          <w:bCs w:val="0"/>
          <w:color w:val="auto"/>
          <w:kern w:val="44"/>
        </w:rPr>
        <w:t xml:space="preserve"> 纳污管网图</w:t>
      </w:r>
    </w:p>
    <w:p w14:paraId="1BC835E1">
      <w:pPr>
        <w:rPr>
          <w:rFonts w:hint="default" w:ascii="Times New Roman" w:hAnsi="Times New Roman" w:cs="Times New Roman"/>
          <w:b w:val="0"/>
          <w:bCs w:val="0"/>
          <w:color w:val="auto"/>
          <w:kern w:val="44"/>
          <w:lang w:val="en-US" w:eastAsia="zh-CN"/>
        </w:rPr>
      </w:pPr>
      <w:r>
        <w:rPr>
          <w:rFonts w:hint="default" w:ascii="Times New Roman" w:hAnsi="Times New Roman" w:cs="Times New Roman"/>
          <w:b w:val="0"/>
          <w:bCs w:val="0"/>
          <w:color w:val="auto"/>
          <w:kern w:val="44"/>
        </w:rPr>
        <w:t>附图</w:t>
      </w:r>
      <w:r>
        <w:rPr>
          <w:rFonts w:hint="default" w:ascii="Times New Roman" w:hAnsi="Times New Roman" w:cs="Times New Roman"/>
          <w:b w:val="0"/>
          <w:bCs w:val="0"/>
          <w:color w:val="auto"/>
          <w:kern w:val="44"/>
          <w:lang w:val="en-US" w:eastAsia="zh-CN"/>
        </w:rPr>
        <w:t xml:space="preserve">19 </w:t>
      </w:r>
      <w:r>
        <w:rPr>
          <w:rFonts w:hint="eastAsia" w:cs="Times New Roman"/>
          <w:b w:val="0"/>
          <w:bCs w:val="0"/>
          <w:color w:val="auto"/>
          <w:kern w:val="44"/>
          <w:lang w:val="en-US" w:eastAsia="zh-CN"/>
        </w:rPr>
        <w:t>博罗县石湾镇国土空间总体规划（2021-2035）</w:t>
      </w:r>
    </w:p>
    <w:p w14:paraId="26379892">
      <w:pPr>
        <w:rPr>
          <w:rFonts w:hint="default" w:ascii="Times New Roman" w:hAnsi="Times New Roman" w:cs="Times New Roman"/>
          <w:b w:val="0"/>
          <w:bCs w:val="0"/>
          <w:color w:val="auto"/>
          <w:kern w:val="44"/>
          <w:lang w:val="en-US" w:eastAsia="zh-CN"/>
        </w:rPr>
      </w:pPr>
      <w:r>
        <w:rPr>
          <w:rFonts w:hint="default" w:ascii="Times New Roman" w:hAnsi="Times New Roman" w:cs="Times New Roman"/>
          <w:b w:val="0"/>
          <w:bCs w:val="0"/>
          <w:color w:val="auto"/>
          <w:kern w:val="44"/>
          <w:lang w:val="en-US" w:eastAsia="zh-CN"/>
        </w:rPr>
        <w:t>附图20 博罗县国土空间总体规划（2021-2035年）县城国土空间用地用海规划分区图</w:t>
      </w:r>
    </w:p>
    <w:p w14:paraId="25570C1D">
      <w:pP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附件：</w:t>
      </w:r>
    </w:p>
    <w:p w14:paraId="55CB119F">
      <w:pPr>
        <w:rPr>
          <w:rFonts w:hint="default" w:ascii="Times New Roman" w:hAnsi="Times New Roman" w:cs="Times New Roman"/>
          <w:b w:val="0"/>
          <w:bCs w:val="0"/>
          <w:color w:val="auto"/>
        </w:rPr>
      </w:pPr>
      <w:r>
        <w:rPr>
          <w:rFonts w:hint="default" w:ascii="Times New Roman" w:hAnsi="Times New Roman" w:cs="Times New Roman"/>
          <w:b w:val="0"/>
          <w:bCs w:val="0"/>
          <w:color w:val="auto"/>
        </w:rPr>
        <w:t>附件1 建设单位营业执照</w:t>
      </w:r>
    </w:p>
    <w:p w14:paraId="0CC744CF">
      <w:pPr>
        <w:rPr>
          <w:rFonts w:hint="default" w:ascii="Times New Roman" w:hAnsi="Times New Roman" w:cs="Times New Roman"/>
          <w:b w:val="0"/>
          <w:bCs w:val="0"/>
          <w:color w:val="auto"/>
        </w:rPr>
      </w:pPr>
      <w:r>
        <w:rPr>
          <w:rFonts w:hint="default" w:ascii="Times New Roman" w:hAnsi="Times New Roman" w:cs="Times New Roman"/>
          <w:b w:val="0"/>
          <w:bCs w:val="0"/>
          <w:color w:val="auto"/>
        </w:rPr>
        <w:t>附件2 法人身份证</w:t>
      </w:r>
    </w:p>
    <w:p w14:paraId="22BB0B14">
      <w:pPr>
        <w:rPr>
          <w:rFonts w:hint="default" w:ascii="Times New Roman" w:hAnsi="Times New Roman" w:eastAsia="宋体" w:cs="Times New Roman"/>
          <w:b w:val="0"/>
          <w:bCs w:val="0"/>
          <w:color w:val="auto"/>
          <w:lang w:eastAsia="zh-CN"/>
        </w:rPr>
      </w:pPr>
      <w:r>
        <w:rPr>
          <w:rFonts w:hint="default" w:ascii="Times New Roman" w:hAnsi="Times New Roman" w:cs="Times New Roman"/>
          <w:b w:val="0"/>
          <w:bCs w:val="0"/>
          <w:color w:val="auto"/>
        </w:rPr>
        <w:t xml:space="preserve">附件3 </w:t>
      </w:r>
      <w:r>
        <w:rPr>
          <w:rFonts w:hint="default" w:ascii="Times New Roman" w:hAnsi="Times New Roman" w:cs="Times New Roman"/>
          <w:b w:val="0"/>
          <w:bCs w:val="0"/>
          <w:color w:val="auto"/>
          <w:lang w:val="en-US" w:eastAsia="zh-CN"/>
        </w:rPr>
        <w:t>用地证明</w:t>
      </w:r>
    </w:p>
    <w:p w14:paraId="2965B573">
      <w:pPr>
        <w:rPr>
          <w:rFonts w:hint="eastAsia" w:ascii="Times New Roman" w:hAnsi="Times New Roman" w:eastAsia="宋体" w:cs="Times New Roman"/>
          <w:b w:val="0"/>
          <w:bCs w:val="0"/>
          <w:color w:val="auto"/>
          <w:lang w:eastAsia="zh-CN"/>
        </w:rPr>
      </w:pPr>
      <w:r>
        <w:rPr>
          <w:rFonts w:hint="default" w:ascii="Times New Roman" w:hAnsi="Times New Roman" w:cs="Times New Roman"/>
          <w:b w:val="0"/>
          <w:bCs w:val="0"/>
          <w:color w:val="auto"/>
        </w:rPr>
        <w:t xml:space="preserve">附件4 </w:t>
      </w:r>
      <w:r>
        <w:rPr>
          <w:rFonts w:hint="eastAsia" w:cs="Times New Roman"/>
          <w:b w:val="0"/>
          <w:bCs w:val="0"/>
          <w:color w:val="auto"/>
          <w:lang w:val="en-US" w:eastAsia="zh-CN"/>
        </w:rPr>
        <w:t>租赁合同</w:t>
      </w:r>
    </w:p>
    <w:p w14:paraId="6E6E02EA">
      <w:pPr>
        <w:rPr>
          <w:rFonts w:hint="default" w:ascii="Times New Roman" w:hAnsi="Times New Roman" w:cs="Times New Roman"/>
          <w:b/>
          <w:bCs/>
          <w:color w:val="auto"/>
          <w:lang w:val="en-US" w:eastAsia="zh-CN"/>
        </w:rPr>
      </w:pPr>
      <w:r>
        <w:rPr>
          <w:rFonts w:hint="default" w:ascii="Times New Roman" w:hAnsi="Times New Roman" w:cs="Times New Roman"/>
          <w:b w:val="0"/>
          <w:bCs w:val="0"/>
          <w:color w:val="auto"/>
          <w:lang w:val="en-US" w:eastAsia="zh-CN"/>
        </w:rPr>
        <w:t>附件5 水性油墨</w:t>
      </w:r>
      <w:r>
        <w:rPr>
          <w:rFonts w:hint="default" w:ascii="Times New Roman" w:hAnsi="Times New Roman" w:cs="Times New Roman"/>
          <w:b w:val="0"/>
          <w:bCs w:val="0"/>
          <w:color w:val="auto"/>
        </w:rPr>
        <w:t>MSDS</w:t>
      </w:r>
      <w:bookmarkStart w:id="28" w:name="_GoBack"/>
      <w:bookmarkEnd w:id="28"/>
    </w:p>
    <w:sectPr>
      <w:headerReference r:id="rId9" w:type="default"/>
      <w:footerReference r:id="rId10" w:type="default"/>
      <w:pgSz w:w="11906" w:h="16838"/>
      <w:pgMar w:top="1701" w:right="1531" w:bottom="1701" w:left="1531" w:header="851" w:footer="964"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Impact">
    <w:panose1 w:val="020B0806030902050204"/>
    <w:charset w:val="00"/>
    <w:family w:val="swiss"/>
    <w:pitch w:val="default"/>
    <w:sig w:usb0="00000287" w:usb1="00000000" w:usb2="00000000" w:usb3="00000000" w:csb0="2000009F" w:csb1="DFD70000"/>
  </w:font>
  <w:font w:name="仿宋体">
    <w:altName w:val="宋体"/>
    <w:panose1 w:val="02010600030101010101"/>
    <w:charset w:val="86"/>
    <w:family w:val="roma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82016" w:usb3="00000000" w:csb0="00040001" w:csb1="00000000"/>
  </w:font>
  <w:font w:name="楷体_GB2312">
    <w:altName w:val="楷体"/>
    <w:panose1 w:val="00000000000000000000"/>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05931">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5C7BD">
    <w:pPr>
      <w:pStyle w:val="13"/>
      <w:framePr w:wrap="around" w:vAnchor="text" w:hAnchor="margin" w:xAlign="center" w:y="1"/>
      <w:rPr>
        <w:rStyle w:val="26"/>
      </w:rPr>
    </w:pPr>
    <w:r>
      <w:fldChar w:fldCharType="begin"/>
    </w:r>
    <w:r>
      <w:rPr>
        <w:rStyle w:val="26"/>
      </w:rPr>
      <w:instrText xml:space="preserve">PAGE  </w:instrText>
    </w:r>
    <w:r>
      <w:fldChar w:fldCharType="separate"/>
    </w:r>
    <w:r>
      <w:rPr>
        <w:rStyle w:val="26"/>
      </w:rPr>
      <w:t>5</w:t>
    </w:r>
    <w:r>
      <w:fldChar w:fldCharType="end"/>
    </w:r>
  </w:p>
  <w:p w14:paraId="551491D3">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2134D">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8322EE">
                          <w:pPr>
                            <w:snapToGrid w:val="0"/>
                            <w:jc w:val="left"/>
                            <w:rPr>
                              <w:rStyle w:val="26"/>
                              <w:rFonts w:ascii="宋体" w:hAnsi="宋体"/>
                              <w:kern w:val="0"/>
                              <w:sz w:val="28"/>
                              <w:szCs w:val="28"/>
                            </w:rPr>
                          </w:pPr>
                          <w:r>
                            <w:rPr>
                              <w:rStyle w:val="26"/>
                              <w:rFonts w:hint="eastAsia" w:ascii="宋体" w:hAnsi="宋体"/>
                              <w:kern w:val="0"/>
                              <w:sz w:val="28"/>
                              <w:szCs w:val="28"/>
                            </w:rPr>
                            <w:t>—</w:t>
                          </w:r>
                          <w:r>
                            <w:rPr>
                              <w:rStyle w:val="26"/>
                              <w:rFonts w:hint="eastAsia" w:ascii="宋体" w:hAnsi="宋体"/>
                              <w:kern w:val="0"/>
                              <w:sz w:val="20"/>
                              <w:szCs w:val="20"/>
                            </w:rPr>
                            <w:t xml:space="preserve">  </w:t>
                          </w:r>
                          <w:r>
                            <w:rPr>
                              <w:rFonts w:ascii="宋体" w:hAnsi="宋体"/>
                              <w:kern w:val="0"/>
                              <w:sz w:val="26"/>
                              <w:szCs w:val="26"/>
                            </w:rPr>
                            <w:fldChar w:fldCharType="begin"/>
                          </w:r>
                          <w:r>
                            <w:rPr>
                              <w:rStyle w:val="26"/>
                              <w:rFonts w:ascii="宋体" w:hAnsi="宋体"/>
                              <w:kern w:val="0"/>
                              <w:sz w:val="26"/>
                              <w:szCs w:val="26"/>
                            </w:rPr>
                            <w:instrText xml:space="preserve">PAGE  </w:instrText>
                          </w:r>
                          <w:r>
                            <w:rPr>
                              <w:rFonts w:ascii="宋体" w:hAnsi="宋体"/>
                              <w:kern w:val="0"/>
                              <w:sz w:val="26"/>
                              <w:szCs w:val="26"/>
                            </w:rPr>
                            <w:fldChar w:fldCharType="separate"/>
                          </w:r>
                          <w:r>
                            <w:rPr>
                              <w:rStyle w:val="26"/>
                              <w:rFonts w:ascii="宋体" w:hAnsi="宋体"/>
                              <w:kern w:val="0"/>
                              <w:sz w:val="26"/>
                              <w:szCs w:val="26"/>
                            </w:rPr>
                            <w:t>74</w:t>
                          </w:r>
                          <w:r>
                            <w:rPr>
                              <w:rFonts w:ascii="宋体" w:hAnsi="宋体"/>
                              <w:kern w:val="0"/>
                              <w:sz w:val="26"/>
                              <w:szCs w:val="26"/>
                            </w:rPr>
                            <w:fldChar w:fldCharType="end"/>
                          </w:r>
                          <w:r>
                            <w:rPr>
                              <w:rStyle w:val="26"/>
                              <w:rFonts w:hint="eastAsia" w:ascii="宋体" w:hAnsi="宋体"/>
                              <w:kern w:val="0"/>
                              <w:sz w:val="20"/>
                              <w:szCs w:val="20"/>
                            </w:rPr>
                            <w:t xml:space="preserve">  </w:t>
                          </w:r>
                          <w:r>
                            <w:rPr>
                              <w:rStyle w:val="26"/>
                              <w:rFonts w:hint="eastAsia" w:ascii="宋体" w:hAnsi="宋体"/>
                              <w:kern w:val="0"/>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Hm/Zs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Z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Hm/ZszAgAAZQQAAA4AAAAAAAAAAQAgAAAAHwEAAGRycy9lMm9Eb2MueG1sUEsF&#10;BgAAAAAGAAYAWQEAAMQFAAAAAA==&#10;">
              <v:fill on="f" focussize="0,0"/>
              <v:stroke on="f" weight="0.5pt"/>
              <v:imagedata o:title=""/>
              <o:lock v:ext="edit" aspectratio="f"/>
              <v:textbox inset="0mm,0mm,0mm,0mm" style="mso-fit-shape-to-text:t;">
                <w:txbxContent>
                  <w:p w14:paraId="248322EE">
                    <w:pPr>
                      <w:snapToGrid w:val="0"/>
                      <w:jc w:val="left"/>
                      <w:rPr>
                        <w:rStyle w:val="26"/>
                        <w:rFonts w:ascii="宋体" w:hAnsi="宋体"/>
                        <w:kern w:val="0"/>
                        <w:sz w:val="28"/>
                        <w:szCs w:val="28"/>
                      </w:rPr>
                    </w:pPr>
                    <w:r>
                      <w:rPr>
                        <w:rStyle w:val="26"/>
                        <w:rFonts w:hint="eastAsia" w:ascii="宋体" w:hAnsi="宋体"/>
                        <w:kern w:val="0"/>
                        <w:sz w:val="28"/>
                        <w:szCs w:val="28"/>
                      </w:rPr>
                      <w:t>—</w:t>
                    </w:r>
                    <w:r>
                      <w:rPr>
                        <w:rStyle w:val="26"/>
                        <w:rFonts w:hint="eastAsia" w:ascii="宋体" w:hAnsi="宋体"/>
                        <w:kern w:val="0"/>
                        <w:sz w:val="20"/>
                        <w:szCs w:val="20"/>
                      </w:rPr>
                      <w:t xml:space="preserve">  </w:t>
                    </w:r>
                    <w:r>
                      <w:rPr>
                        <w:rFonts w:ascii="宋体" w:hAnsi="宋体"/>
                        <w:kern w:val="0"/>
                        <w:sz w:val="26"/>
                        <w:szCs w:val="26"/>
                      </w:rPr>
                      <w:fldChar w:fldCharType="begin"/>
                    </w:r>
                    <w:r>
                      <w:rPr>
                        <w:rStyle w:val="26"/>
                        <w:rFonts w:ascii="宋体" w:hAnsi="宋体"/>
                        <w:kern w:val="0"/>
                        <w:sz w:val="26"/>
                        <w:szCs w:val="26"/>
                      </w:rPr>
                      <w:instrText xml:space="preserve">PAGE  </w:instrText>
                    </w:r>
                    <w:r>
                      <w:rPr>
                        <w:rFonts w:ascii="宋体" w:hAnsi="宋体"/>
                        <w:kern w:val="0"/>
                        <w:sz w:val="26"/>
                        <w:szCs w:val="26"/>
                      </w:rPr>
                      <w:fldChar w:fldCharType="separate"/>
                    </w:r>
                    <w:r>
                      <w:rPr>
                        <w:rStyle w:val="26"/>
                        <w:rFonts w:ascii="宋体" w:hAnsi="宋体"/>
                        <w:kern w:val="0"/>
                        <w:sz w:val="26"/>
                        <w:szCs w:val="26"/>
                      </w:rPr>
                      <w:t>74</w:t>
                    </w:r>
                    <w:r>
                      <w:rPr>
                        <w:rFonts w:ascii="宋体" w:hAnsi="宋体"/>
                        <w:kern w:val="0"/>
                        <w:sz w:val="26"/>
                        <w:szCs w:val="26"/>
                      </w:rPr>
                      <w:fldChar w:fldCharType="end"/>
                    </w:r>
                    <w:r>
                      <w:rPr>
                        <w:rStyle w:val="26"/>
                        <w:rFonts w:hint="eastAsia" w:ascii="宋体" w:hAnsi="宋体"/>
                        <w:kern w:val="0"/>
                        <w:sz w:val="20"/>
                        <w:szCs w:val="20"/>
                      </w:rPr>
                      <w:t xml:space="preserve">  </w:t>
                    </w:r>
                    <w:r>
                      <w:rPr>
                        <w:rStyle w:val="26"/>
                        <w:rFonts w:hint="eastAsia" w:ascii="宋体" w:hAnsi="宋体"/>
                        <w:kern w:val="0"/>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8917B">
    <w:pPr>
      <w:pStyle w:val="13"/>
      <w:ind w:right="360" w:firstLine="360"/>
      <w:jc w:val="center"/>
    </w:pPr>
    <w:r>
      <mc:AlternateContent>
        <mc:Choice Requires="wps">
          <w:drawing>
            <wp:inline distT="0" distB="0" distL="114300" distR="114300">
              <wp:extent cx="1828800" cy="1828800"/>
              <wp:effectExtent l="0" t="0" r="0" b="0"/>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75C67">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inline>
          </w:drawing>
        </mc:Choice>
        <mc:Fallback>
          <w:pict>
            <v:shape id="_x0000_s1026" o:spid="_x0000_s1026" o:spt="202" type="#_x0000_t202" style="height:144pt;width:144pt;mso-wrap-style:non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aAL0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p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QaAL0tAgAAVwQAAA4AAAAAAAAAAQAgAAAAHwEAAGRycy9lMm9Eb2MueG1sUEsFBgAAAAAG&#10;AAYAWQEAAL4FAAAAAA==&#10;">
              <v:fill on="f" focussize="0,0"/>
              <v:stroke on="f" weight="0.5pt"/>
              <v:imagedata o:title=""/>
              <o:lock v:ext="edit" aspectratio="f"/>
              <v:textbox inset="0mm,0mm,0mm,0mm" style="mso-fit-shape-to-text:t;">
                <w:txbxContent>
                  <w:p w14:paraId="61775C67">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v:textbox>
              <w10:wrap type="none"/>
              <w10:anchorlock/>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440DB">
    <w:pPr>
      <w:pStyle w:val="13"/>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781050" cy="25781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7810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659B8B">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104</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20.3pt;width:61.5pt;mso-position-horizontal:center;mso-position-horizontal-relative:margin;z-index:251660288;mso-width-relative:page;mso-height-relative:page;" filled="f" stroked="f" coordsize="21600,21600" o:gfxdata="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6eFsR0wAAAAQBAAAPAAAAAAAAAAEAIAAAACIAAABkcnMvZG93bnJldi54bWxQSwECFAAU&#10;AAAACACHTuJAB6C/ri8CAABXBAAADgAAAAAAAAABACAAAAAiAQAAZHJzL2Uyb0RvYy54bWxQSwUG&#10;AAAAAAYABgBZAQAAwwUAAAAA&#10;">
              <v:fill on="f" focussize="0,0"/>
              <v:stroke on="f" weight="0.5pt"/>
              <v:imagedata o:title=""/>
              <o:lock v:ext="edit" aspectratio="f"/>
              <v:textbox inset="0mm,0mm,0mm,0mm">
                <w:txbxContent>
                  <w:p w14:paraId="18659B8B">
                    <w:pPr>
                      <w:pStyle w:val="13"/>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104</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438E1">
    <w:pPr>
      <w:snapToGrid w:val="0"/>
      <w:ind w:firstLine="360" w:firstLineChars="200"/>
      <w:jc w:val="center"/>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CB02BD"/>
    <w:multiLevelType w:val="singleLevel"/>
    <w:tmpl w:val="25CB02BD"/>
    <w:lvl w:ilvl="0" w:tentative="0">
      <w:start w:val="1"/>
      <w:numFmt w:val="decimal"/>
      <w:pStyle w:val="82"/>
      <w:suff w:val="nothing"/>
      <w:lvlText w:val="表2-%1 "/>
      <w:lvlJc w:val="left"/>
      <w:pPr>
        <w:tabs>
          <w:tab w:val="left" w:pos="0"/>
        </w:tabs>
        <w:ind w:left="0"/>
      </w:pPr>
      <w:rPr>
        <w:rFonts w:hint="default" w:ascii="Times New Roman" w:hAnsi="Times New Roman" w:eastAsia="宋体" w:cs="Times New Roman"/>
        <w:sz w:val="24"/>
        <w:szCs w:val="24"/>
      </w:rPr>
    </w:lvl>
  </w:abstractNum>
  <w:abstractNum w:abstractNumId="1">
    <w:nsid w:val="301A0AA5"/>
    <w:multiLevelType w:val="singleLevel"/>
    <w:tmpl w:val="301A0AA5"/>
    <w:lvl w:ilvl="0" w:tentative="0">
      <w:start w:val="2"/>
      <w:numFmt w:val="decimal"/>
      <w:suff w:val="nothing"/>
      <w:lvlText w:val="%1、"/>
      <w:lvlJc w:val="left"/>
    </w:lvl>
  </w:abstractNum>
  <w:abstractNum w:abstractNumId="2">
    <w:nsid w:val="46E12E35"/>
    <w:multiLevelType w:val="singleLevel"/>
    <w:tmpl w:val="46E12E35"/>
    <w:lvl w:ilvl="0" w:tentative="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HorizontalSpacing w:val="120"/>
  <w:drawingGridVerticalSpacing w:val="163"/>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UyMWMzMmMxMTgxNWM3N2YwNWQ2ZjNjY2Y5NzgxNzcifQ=="/>
  </w:docVars>
  <w:rsids>
    <w:rsidRoot w:val="00A14947"/>
    <w:rsid w:val="000060B3"/>
    <w:rsid w:val="000142AD"/>
    <w:rsid w:val="00020085"/>
    <w:rsid w:val="00040571"/>
    <w:rsid w:val="0004364B"/>
    <w:rsid w:val="00061B1F"/>
    <w:rsid w:val="000733C4"/>
    <w:rsid w:val="00074783"/>
    <w:rsid w:val="0008070B"/>
    <w:rsid w:val="000810AC"/>
    <w:rsid w:val="00081A02"/>
    <w:rsid w:val="00082231"/>
    <w:rsid w:val="00092D38"/>
    <w:rsid w:val="000930DB"/>
    <w:rsid w:val="0009316C"/>
    <w:rsid w:val="0009377B"/>
    <w:rsid w:val="000A20C9"/>
    <w:rsid w:val="000B0052"/>
    <w:rsid w:val="000B058F"/>
    <w:rsid w:val="000B4467"/>
    <w:rsid w:val="000B4DB9"/>
    <w:rsid w:val="000B6767"/>
    <w:rsid w:val="000C09AC"/>
    <w:rsid w:val="000C767F"/>
    <w:rsid w:val="000D5A44"/>
    <w:rsid w:val="000E3ED2"/>
    <w:rsid w:val="000F7056"/>
    <w:rsid w:val="00114565"/>
    <w:rsid w:val="001173CB"/>
    <w:rsid w:val="00131F42"/>
    <w:rsid w:val="001357F1"/>
    <w:rsid w:val="00140FA8"/>
    <w:rsid w:val="00142FEB"/>
    <w:rsid w:val="00143A2D"/>
    <w:rsid w:val="00145A41"/>
    <w:rsid w:val="00151675"/>
    <w:rsid w:val="00157435"/>
    <w:rsid w:val="0016355E"/>
    <w:rsid w:val="0017504D"/>
    <w:rsid w:val="0017671A"/>
    <w:rsid w:val="00177422"/>
    <w:rsid w:val="00183404"/>
    <w:rsid w:val="00184590"/>
    <w:rsid w:val="001870D1"/>
    <w:rsid w:val="0018781E"/>
    <w:rsid w:val="0019262D"/>
    <w:rsid w:val="001A1B35"/>
    <w:rsid w:val="001A48A2"/>
    <w:rsid w:val="001A6F61"/>
    <w:rsid w:val="001B72B8"/>
    <w:rsid w:val="001C69B3"/>
    <w:rsid w:val="001C7EE1"/>
    <w:rsid w:val="001D5595"/>
    <w:rsid w:val="001D7874"/>
    <w:rsid w:val="001D7F22"/>
    <w:rsid w:val="001F0F17"/>
    <w:rsid w:val="001F3347"/>
    <w:rsid w:val="001F69E4"/>
    <w:rsid w:val="001F74AE"/>
    <w:rsid w:val="00207852"/>
    <w:rsid w:val="002125B4"/>
    <w:rsid w:val="002155B8"/>
    <w:rsid w:val="00224839"/>
    <w:rsid w:val="002249B2"/>
    <w:rsid w:val="00226574"/>
    <w:rsid w:val="002278EC"/>
    <w:rsid w:val="0023280E"/>
    <w:rsid w:val="002377D1"/>
    <w:rsid w:val="0024175B"/>
    <w:rsid w:val="002506BC"/>
    <w:rsid w:val="00254345"/>
    <w:rsid w:val="00264557"/>
    <w:rsid w:val="00275E47"/>
    <w:rsid w:val="002805AB"/>
    <w:rsid w:val="00284204"/>
    <w:rsid w:val="00291773"/>
    <w:rsid w:val="00295B93"/>
    <w:rsid w:val="002A168C"/>
    <w:rsid w:val="002A3DC7"/>
    <w:rsid w:val="002B49E2"/>
    <w:rsid w:val="002B7B00"/>
    <w:rsid w:val="002B7C44"/>
    <w:rsid w:val="002C2B17"/>
    <w:rsid w:val="002D3DD0"/>
    <w:rsid w:val="002E1F3A"/>
    <w:rsid w:val="002E298A"/>
    <w:rsid w:val="00301978"/>
    <w:rsid w:val="0030332C"/>
    <w:rsid w:val="003051C2"/>
    <w:rsid w:val="00311273"/>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9669B"/>
    <w:rsid w:val="003A4BF3"/>
    <w:rsid w:val="003B420D"/>
    <w:rsid w:val="003B4506"/>
    <w:rsid w:val="003B6144"/>
    <w:rsid w:val="003C6C16"/>
    <w:rsid w:val="003D27EC"/>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4545B"/>
    <w:rsid w:val="00452738"/>
    <w:rsid w:val="00456091"/>
    <w:rsid w:val="00466321"/>
    <w:rsid w:val="004702E8"/>
    <w:rsid w:val="00484B9B"/>
    <w:rsid w:val="004855F6"/>
    <w:rsid w:val="0048661E"/>
    <w:rsid w:val="00494670"/>
    <w:rsid w:val="004A3823"/>
    <w:rsid w:val="004A42D1"/>
    <w:rsid w:val="004E6946"/>
    <w:rsid w:val="004F1AD8"/>
    <w:rsid w:val="005039CB"/>
    <w:rsid w:val="0050558F"/>
    <w:rsid w:val="00506286"/>
    <w:rsid w:val="00510813"/>
    <w:rsid w:val="005116D1"/>
    <w:rsid w:val="00511990"/>
    <w:rsid w:val="00511DE0"/>
    <w:rsid w:val="00514870"/>
    <w:rsid w:val="00514B9B"/>
    <w:rsid w:val="00517F02"/>
    <w:rsid w:val="00524303"/>
    <w:rsid w:val="005258A2"/>
    <w:rsid w:val="00525CC0"/>
    <w:rsid w:val="00534AC2"/>
    <w:rsid w:val="005401AE"/>
    <w:rsid w:val="00542E07"/>
    <w:rsid w:val="00545424"/>
    <w:rsid w:val="00554A7B"/>
    <w:rsid w:val="0055572C"/>
    <w:rsid w:val="00556F5A"/>
    <w:rsid w:val="0056106A"/>
    <w:rsid w:val="005720AE"/>
    <w:rsid w:val="00591495"/>
    <w:rsid w:val="00594D77"/>
    <w:rsid w:val="005969E4"/>
    <w:rsid w:val="005A06B7"/>
    <w:rsid w:val="005A1759"/>
    <w:rsid w:val="005A68A7"/>
    <w:rsid w:val="005C1488"/>
    <w:rsid w:val="005C766C"/>
    <w:rsid w:val="005D1A99"/>
    <w:rsid w:val="005D36AB"/>
    <w:rsid w:val="005E4FE4"/>
    <w:rsid w:val="005F5425"/>
    <w:rsid w:val="006024EF"/>
    <w:rsid w:val="00603EE0"/>
    <w:rsid w:val="00617CC3"/>
    <w:rsid w:val="006377A6"/>
    <w:rsid w:val="00637A3D"/>
    <w:rsid w:val="006411EF"/>
    <w:rsid w:val="0064667A"/>
    <w:rsid w:val="006748B8"/>
    <w:rsid w:val="006775C3"/>
    <w:rsid w:val="0069290A"/>
    <w:rsid w:val="0069775A"/>
    <w:rsid w:val="00697813"/>
    <w:rsid w:val="006A3EE8"/>
    <w:rsid w:val="006A72BF"/>
    <w:rsid w:val="006A7997"/>
    <w:rsid w:val="006B03F2"/>
    <w:rsid w:val="006B0764"/>
    <w:rsid w:val="006B1F96"/>
    <w:rsid w:val="006B37DC"/>
    <w:rsid w:val="006B4F68"/>
    <w:rsid w:val="006C0592"/>
    <w:rsid w:val="006C272E"/>
    <w:rsid w:val="006C4DE0"/>
    <w:rsid w:val="006C5479"/>
    <w:rsid w:val="006D13B5"/>
    <w:rsid w:val="006E12FF"/>
    <w:rsid w:val="006E607E"/>
    <w:rsid w:val="006F693F"/>
    <w:rsid w:val="00706C5D"/>
    <w:rsid w:val="00721EB3"/>
    <w:rsid w:val="00723E56"/>
    <w:rsid w:val="00732922"/>
    <w:rsid w:val="0073773C"/>
    <w:rsid w:val="0075162E"/>
    <w:rsid w:val="00754034"/>
    <w:rsid w:val="00756556"/>
    <w:rsid w:val="007618C4"/>
    <w:rsid w:val="00767980"/>
    <w:rsid w:val="00770B19"/>
    <w:rsid w:val="00770CF8"/>
    <w:rsid w:val="0077463F"/>
    <w:rsid w:val="007836EA"/>
    <w:rsid w:val="00784CDA"/>
    <w:rsid w:val="007906C4"/>
    <w:rsid w:val="007940EA"/>
    <w:rsid w:val="007967E8"/>
    <w:rsid w:val="007A03FC"/>
    <w:rsid w:val="007A2170"/>
    <w:rsid w:val="007A22BF"/>
    <w:rsid w:val="007A3323"/>
    <w:rsid w:val="007B499F"/>
    <w:rsid w:val="007B72B8"/>
    <w:rsid w:val="007B7A58"/>
    <w:rsid w:val="007C21B5"/>
    <w:rsid w:val="007C558D"/>
    <w:rsid w:val="007E4BD2"/>
    <w:rsid w:val="007E6A93"/>
    <w:rsid w:val="007F14A0"/>
    <w:rsid w:val="00801393"/>
    <w:rsid w:val="00802F88"/>
    <w:rsid w:val="0081293E"/>
    <w:rsid w:val="00815465"/>
    <w:rsid w:val="00817E9A"/>
    <w:rsid w:val="008306BD"/>
    <w:rsid w:val="00831A80"/>
    <w:rsid w:val="00833743"/>
    <w:rsid w:val="008340A4"/>
    <w:rsid w:val="00856760"/>
    <w:rsid w:val="0087135F"/>
    <w:rsid w:val="008714E3"/>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03883"/>
    <w:rsid w:val="0091736D"/>
    <w:rsid w:val="00922B68"/>
    <w:rsid w:val="0093037A"/>
    <w:rsid w:val="0093107D"/>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A4731"/>
    <w:rsid w:val="009B0897"/>
    <w:rsid w:val="009B7BD9"/>
    <w:rsid w:val="009C1C68"/>
    <w:rsid w:val="009C7DD5"/>
    <w:rsid w:val="009E227D"/>
    <w:rsid w:val="009E5019"/>
    <w:rsid w:val="00A0318D"/>
    <w:rsid w:val="00A04F1B"/>
    <w:rsid w:val="00A0501B"/>
    <w:rsid w:val="00A106D2"/>
    <w:rsid w:val="00A14947"/>
    <w:rsid w:val="00A32A83"/>
    <w:rsid w:val="00A368DB"/>
    <w:rsid w:val="00A3751A"/>
    <w:rsid w:val="00A423AA"/>
    <w:rsid w:val="00A464C2"/>
    <w:rsid w:val="00A53EC6"/>
    <w:rsid w:val="00A54E2D"/>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1013"/>
    <w:rsid w:val="00B22C5C"/>
    <w:rsid w:val="00B24F30"/>
    <w:rsid w:val="00B31ABF"/>
    <w:rsid w:val="00B31EF3"/>
    <w:rsid w:val="00B33BE3"/>
    <w:rsid w:val="00B40E82"/>
    <w:rsid w:val="00B53B5D"/>
    <w:rsid w:val="00B6055E"/>
    <w:rsid w:val="00B6317D"/>
    <w:rsid w:val="00B7629B"/>
    <w:rsid w:val="00B7723F"/>
    <w:rsid w:val="00B80534"/>
    <w:rsid w:val="00B8433C"/>
    <w:rsid w:val="00B87491"/>
    <w:rsid w:val="00BA29E9"/>
    <w:rsid w:val="00BA41BC"/>
    <w:rsid w:val="00BA7142"/>
    <w:rsid w:val="00BB237C"/>
    <w:rsid w:val="00BB41A3"/>
    <w:rsid w:val="00BC32DC"/>
    <w:rsid w:val="00BC35B6"/>
    <w:rsid w:val="00BC757B"/>
    <w:rsid w:val="00BD1B51"/>
    <w:rsid w:val="00BD4596"/>
    <w:rsid w:val="00BE1405"/>
    <w:rsid w:val="00BE312D"/>
    <w:rsid w:val="00BE61AD"/>
    <w:rsid w:val="00BF1C20"/>
    <w:rsid w:val="00C06752"/>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77148"/>
    <w:rsid w:val="00C80057"/>
    <w:rsid w:val="00C82232"/>
    <w:rsid w:val="00C82913"/>
    <w:rsid w:val="00C972B1"/>
    <w:rsid w:val="00C97C98"/>
    <w:rsid w:val="00CA2CCE"/>
    <w:rsid w:val="00CA43FD"/>
    <w:rsid w:val="00CA7EF8"/>
    <w:rsid w:val="00CC0E0D"/>
    <w:rsid w:val="00CC489B"/>
    <w:rsid w:val="00CD2BCD"/>
    <w:rsid w:val="00CD3A4C"/>
    <w:rsid w:val="00CE10E9"/>
    <w:rsid w:val="00CE2910"/>
    <w:rsid w:val="00CE5393"/>
    <w:rsid w:val="00CF36BE"/>
    <w:rsid w:val="00CF6000"/>
    <w:rsid w:val="00D003F3"/>
    <w:rsid w:val="00D01DD8"/>
    <w:rsid w:val="00D0364F"/>
    <w:rsid w:val="00D06834"/>
    <w:rsid w:val="00D308ED"/>
    <w:rsid w:val="00D36D86"/>
    <w:rsid w:val="00D428AA"/>
    <w:rsid w:val="00D50A34"/>
    <w:rsid w:val="00D52EFF"/>
    <w:rsid w:val="00D53EFA"/>
    <w:rsid w:val="00D70E5D"/>
    <w:rsid w:val="00D80151"/>
    <w:rsid w:val="00D94A7C"/>
    <w:rsid w:val="00D95896"/>
    <w:rsid w:val="00DB2983"/>
    <w:rsid w:val="00DB4A99"/>
    <w:rsid w:val="00DC1257"/>
    <w:rsid w:val="00DC3DC0"/>
    <w:rsid w:val="00DC5B2B"/>
    <w:rsid w:val="00DD2EEE"/>
    <w:rsid w:val="00DD318D"/>
    <w:rsid w:val="00DF248E"/>
    <w:rsid w:val="00DF2E12"/>
    <w:rsid w:val="00DF514A"/>
    <w:rsid w:val="00DF6167"/>
    <w:rsid w:val="00DF6690"/>
    <w:rsid w:val="00DF6804"/>
    <w:rsid w:val="00E0358D"/>
    <w:rsid w:val="00E04323"/>
    <w:rsid w:val="00E06B5C"/>
    <w:rsid w:val="00E070A2"/>
    <w:rsid w:val="00E13545"/>
    <w:rsid w:val="00E21445"/>
    <w:rsid w:val="00E2656A"/>
    <w:rsid w:val="00E27026"/>
    <w:rsid w:val="00E412D0"/>
    <w:rsid w:val="00E51A65"/>
    <w:rsid w:val="00E56322"/>
    <w:rsid w:val="00E60982"/>
    <w:rsid w:val="00E62C62"/>
    <w:rsid w:val="00E654C1"/>
    <w:rsid w:val="00E65D97"/>
    <w:rsid w:val="00E72A5A"/>
    <w:rsid w:val="00E73354"/>
    <w:rsid w:val="00E9242D"/>
    <w:rsid w:val="00E96778"/>
    <w:rsid w:val="00EA7BC2"/>
    <w:rsid w:val="00EB5255"/>
    <w:rsid w:val="00EB5C47"/>
    <w:rsid w:val="00ED0639"/>
    <w:rsid w:val="00EF4755"/>
    <w:rsid w:val="00EF7135"/>
    <w:rsid w:val="00F027DB"/>
    <w:rsid w:val="00F1210E"/>
    <w:rsid w:val="00F14A7A"/>
    <w:rsid w:val="00F214FD"/>
    <w:rsid w:val="00F22985"/>
    <w:rsid w:val="00F3383E"/>
    <w:rsid w:val="00F34977"/>
    <w:rsid w:val="00F465A7"/>
    <w:rsid w:val="00F50B7C"/>
    <w:rsid w:val="00F51CA3"/>
    <w:rsid w:val="00F550E6"/>
    <w:rsid w:val="00F74345"/>
    <w:rsid w:val="00F80A0A"/>
    <w:rsid w:val="00F82B19"/>
    <w:rsid w:val="00F841DB"/>
    <w:rsid w:val="00F9212D"/>
    <w:rsid w:val="00F9528B"/>
    <w:rsid w:val="00F965DA"/>
    <w:rsid w:val="00FA406A"/>
    <w:rsid w:val="00FB503A"/>
    <w:rsid w:val="00FB516C"/>
    <w:rsid w:val="00FD0236"/>
    <w:rsid w:val="00FD18F4"/>
    <w:rsid w:val="00FD54DB"/>
    <w:rsid w:val="00FD619F"/>
    <w:rsid w:val="00FE2B38"/>
    <w:rsid w:val="0119296B"/>
    <w:rsid w:val="01290F7E"/>
    <w:rsid w:val="015D1E09"/>
    <w:rsid w:val="01A9163A"/>
    <w:rsid w:val="01FC1626"/>
    <w:rsid w:val="02276676"/>
    <w:rsid w:val="024B2854"/>
    <w:rsid w:val="02697903"/>
    <w:rsid w:val="029A4046"/>
    <w:rsid w:val="02F96569"/>
    <w:rsid w:val="033736DF"/>
    <w:rsid w:val="033755DF"/>
    <w:rsid w:val="03653EFA"/>
    <w:rsid w:val="03841967"/>
    <w:rsid w:val="03944F6A"/>
    <w:rsid w:val="03A37C43"/>
    <w:rsid w:val="03BD0D5F"/>
    <w:rsid w:val="03CC5D27"/>
    <w:rsid w:val="03EA7B21"/>
    <w:rsid w:val="040E159B"/>
    <w:rsid w:val="04105366"/>
    <w:rsid w:val="042970AD"/>
    <w:rsid w:val="049847DA"/>
    <w:rsid w:val="04C823CF"/>
    <w:rsid w:val="04CB1786"/>
    <w:rsid w:val="04CB5188"/>
    <w:rsid w:val="050E5684"/>
    <w:rsid w:val="055E6E53"/>
    <w:rsid w:val="05F83EAE"/>
    <w:rsid w:val="0616775A"/>
    <w:rsid w:val="0635783C"/>
    <w:rsid w:val="063E7D85"/>
    <w:rsid w:val="06840B3B"/>
    <w:rsid w:val="068648B3"/>
    <w:rsid w:val="068A3C77"/>
    <w:rsid w:val="068C5B90"/>
    <w:rsid w:val="068D4F01"/>
    <w:rsid w:val="06C56416"/>
    <w:rsid w:val="06FA704F"/>
    <w:rsid w:val="070A5E89"/>
    <w:rsid w:val="07293586"/>
    <w:rsid w:val="07295285"/>
    <w:rsid w:val="07636392"/>
    <w:rsid w:val="07770C56"/>
    <w:rsid w:val="07877CC2"/>
    <w:rsid w:val="07BD2948"/>
    <w:rsid w:val="07F4584C"/>
    <w:rsid w:val="080850DD"/>
    <w:rsid w:val="08950960"/>
    <w:rsid w:val="089C683F"/>
    <w:rsid w:val="089F1C5C"/>
    <w:rsid w:val="08B52703"/>
    <w:rsid w:val="090F1D48"/>
    <w:rsid w:val="09164338"/>
    <w:rsid w:val="092217DD"/>
    <w:rsid w:val="09285930"/>
    <w:rsid w:val="09324CD7"/>
    <w:rsid w:val="093A7294"/>
    <w:rsid w:val="097D01A7"/>
    <w:rsid w:val="098F42D8"/>
    <w:rsid w:val="099217C1"/>
    <w:rsid w:val="09A06502"/>
    <w:rsid w:val="09A92667"/>
    <w:rsid w:val="09E827C7"/>
    <w:rsid w:val="0A025CA5"/>
    <w:rsid w:val="0A0A7265"/>
    <w:rsid w:val="0A196829"/>
    <w:rsid w:val="0A263993"/>
    <w:rsid w:val="0A287561"/>
    <w:rsid w:val="0A2D3AC2"/>
    <w:rsid w:val="0A36647A"/>
    <w:rsid w:val="0A8544AC"/>
    <w:rsid w:val="0AA755DF"/>
    <w:rsid w:val="0AAA5EF5"/>
    <w:rsid w:val="0AC72C7D"/>
    <w:rsid w:val="0B120D44"/>
    <w:rsid w:val="0B136931"/>
    <w:rsid w:val="0B6E4E47"/>
    <w:rsid w:val="0B8D2240"/>
    <w:rsid w:val="0BD27BF6"/>
    <w:rsid w:val="0BED7DCE"/>
    <w:rsid w:val="0BF8545A"/>
    <w:rsid w:val="0C120A17"/>
    <w:rsid w:val="0C3B3C7D"/>
    <w:rsid w:val="0C684A5B"/>
    <w:rsid w:val="0C6855C4"/>
    <w:rsid w:val="0CA47EC2"/>
    <w:rsid w:val="0CA556B6"/>
    <w:rsid w:val="0CAB2EAE"/>
    <w:rsid w:val="0CC12F37"/>
    <w:rsid w:val="0CE91F70"/>
    <w:rsid w:val="0D3E3AC5"/>
    <w:rsid w:val="0D621C7D"/>
    <w:rsid w:val="0DAA48A3"/>
    <w:rsid w:val="0DB066B9"/>
    <w:rsid w:val="0DB7077E"/>
    <w:rsid w:val="0DC45E43"/>
    <w:rsid w:val="0DCF4E9C"/>
    <w:rsid w:val="0E4C0C6E"/>
    <w:rsid w:val="0E5434E9"/>
    <w:rsid w:val="0E73034D"/>
    <w:rsid w:val="0E8042DE"/>
    <w:rsid w:val="0F13775A"/>
    <w:rsid w:val="0F5F45FE"/>
    <w:rsid w:val="0F9A112B"/>
    <w:rsid w:val="0FA17FBA"/>
    <w:rsid w:val="0FD04DF1"/>
    <w:rsid w:val="0FD317FE"/>
    <w:rsid w:val="10132AFA"/>
    <w:rsid w:val="102B59C5"/>
    <w:rsid w:val="106D2F64"/>
    <w:rsid w:val="108C1FF4"/>
    <w:rsid w:val="108F6A5A"/>
    <w:rsid w:val="109220A6"/>
    <w:rsid w:val="10B63710"/>
    <w:rsid w:val="10CB23D7"/>
    <w:rsid w:val="10E845DF"/>
    <w:rsid w:val="10F10820"/>
    <w:rsid w:val="10F511DC"/>
    <w:rsid w:val="11162CD7"/>
    <w:rsid w:val="111C2F7A"/>
    <w:rsid w:val="11665CA1"/>
    <w:rsid w:val="119A7465"/>
    <w:rsid w:val="11B92F5C"/>
    <w:rsid w:val="11E34FF9"/>
    <w:rsid w:val="11E365EE"/>
    <w:rsid w:val="11E875E3"/>
    <w:rsid w:val="12A75C9C"/>
    <w:rsid w:val="12A91703"/>
    <w:rsid w:val="132A0CBC"/>
    <w:rsid w:val="13546AB2"/>
    <w:rsid w:val="13727293"/>
    <w:rsid w:val="137B615B"/>
    <w:rsid w:val="137C238B"/>
    <w:rsid w:val="13951726"/>
    <w:rsid w:val="139D323C"/>
    <w:rsid w:val="14396509"/>
    <w:rsid w:val="14DD2C3C"/>
    <w:rsid w:val="14F154D4"/>
    <w:rsid w:val="14FE5F5C"/>
    <w:rsid w:val="151D2310"/>
    <w:rsid w:val="15286307"/>
    <w:rsid w:val="154C6CC8"/>
    <w:rsid w:val="159E0BDA"/>
    <w:rsid w:val="15AE0207"/>
    <w:rsid w:val="15C42D02"/>
    <w:rsid w:val="15DF4B06"/>
    <w:rsid w:val="15E839EB"/>
    <w:rsid w:val="16087E1D"/>
    <w:rsid w:val="16467BBB"/>
    <w:rsid w:val="167A15C4"/>
    <w:rsid w:val="16EC00DB"/>
    <w:rsid w:val="17057A40"/>
    <w:rsid w:val="1767603B"/>
    <w:rsid w:val="17701D14"/>
    <w:rsid w:val="17735226"/>
    <w:rsid w:val="177472A2"/>
    <w:rsid w:val="177E1CC3"/>
    <w:rsid w:val="1783099B"/>
    <w:rsid w:val="17EB0B49"/>
    <w:rsid w:val="17EE7392"/>
    <w:rsid w:val="182061EA"/>
    <w:rsid w:val="18253800"/>
    <w:rsid w:val="18475747"/>
    <w:rsid w:val="187B0828"/>
    <w:rsid w:val="189F1804"/>
    <w:rsid w:val="189F624C"/>
    <w:rsid w:val="18BD4A18"/>
    <w:rsid w:val="18C1177B"/>
    <w:rsid w:val="18C51812"/>
    <w:rsid w:val="18D47700"/>
    <w:rsid w:val="18D64810"/>
    <w:rsid w:val="18E5190D"/>
    <w:rsid w:val="190D676E"/>
    <w:rsid w:val="19C83984"/>
    <w:rsid w:val="1A1C66C0"/>
    <w:rsid w:val="1A211326"/>
    <w:rsid w:val="1A237777"/>
    <w:rsid w:val="1A2B29B4"/>
    <w:rsid w:val="1A42393B"/>
    <w:rsid w:val="1A4C2127"/>
    <w:rsid w:val="1AAD45DE"/>
    <w:rsid w:val="1AC62D5A"/>
    <w:rsid w:val="1AC836A8"/>
    <w:rsid w:val="1AF03FD1"/>
    <w:rsid w:val="1B046F80"/>
    <w:rsid w:val="1B1464DA"/>
    <w:rsid w:val="1B1A2078"/>
    <w:rsid w:val="1B3267B5"/>
    <w:rsid w:val="1B40161D"/>
    <w:rsid w:val="1B441859"/>
    <w:rsid w:val="1B4D5548"/>
    <w:rsid w:val="1B6606B1"/>
    <w:rsid w:val="1B970C42"/>
    <w:rsid w:val="1BBF47A4"/>
    <w:rsid w:val="1BC53E08"/>
    <w:rsid w:val="1C1F471A"/>
    <w:rsid w:val="1C2D301B"/>
    <w:rsid w:val="1C301DCD"/>
    <w:rsid w:val="1C457700"/>
    <w:rsid w:val="1C5E7925"/>
    <w:rsid w:val="1C634B06"/>
    <w:rsid w:val="1CEC2B3E"/>
    <w:rsid w:val="1CF10155"/>
    <w:rsid w:val="1CFD070F"/>
    <w:rsid w:val="1D5F6196"/>
    <w:rsid w:val="1D6132A5"/>
    <w:rsid w:val="1D8D006C"/>
    <w:rsid w:val="1D8E56D5"/>
    <w:rsid w:val="1D9B0682"/>
    <w:rsid w:val="1DB8525A"/>
    <w:rsid w:val="1DC86211"/>
    <w:rsid w:val="1E3866E4"/>
    <w:rsid w:val="1E6B7104"/>
    <w:rsid w:val="1E7A43DA"/>
    <w:rsid w:val="1E875D27"/>
    <w:rsid w:val="1E9A4F48"/>
    <w:rsid w:val="1F026DF9"/>
    <w:rsid w:val="1F494278"/>
    <w:rsid w:val="1F832F21"/>
    <w:rsid w:val="1F8B2AE2"/>
    <w:rsid w:val="1FDC50EC"/>
    <w:rsid w:val="1FE7539E"/>
    <w:rsid w:val="203723AC"/>
    <w:rsid w:val="20671BE0"/>
    <w:rsid w:val="206E1962"/>
    <w:rsid w:val="206F3728"/>
    <w:rsid w:val="20963CB8"/>
    <w:rsid w:val="20A81A1B"/>
    <w:rsid w:val="20B07FB6"/>
    <w:rsid w:val="20B646FB"/>
    <w:rsid w:val="20CF07D3"/>
    <w:rsid w:val="20E35A53"/>
    <w:rsid w:val="20F8437B"/>
    <w:rsid w:val="20FA1934"/>
    <w:rsid w:val="21247AE2"/>
    <w:rsid w:val="21360402"/>
    <w:rsid w:val="213B74B1"/>
    <w:rsid w:val="215A2310"/>
    <w:rsid w:val="21937A2C"/>
    <w:rsid w:val="219A700D"/>
    <w:rsid w:val="21B576CD"/>
    <w:rsid w:val="21D32AAC"/>
    <w:rsid w:val="21DE318A"/>
    <w:rsid w:val="21EF5B80"/>
    <w:rsid w:val="22576990"/>
    <w:rsid w:val="22CC58EC"/>
    <w:rsid w:val="22F47480"/>
    <w:rsid w:val="22FE0CB7"/>
    <w:rsid w:val="23272B22"/>
    <w:rsid w:val="23421041"/>
    <w:rsid w:val="236D4BFD"/>
    <w:rsid w:val="23773C65"/>
    <w:rsid w:val="238E29F9"/>
    <w:rsid w:val="23BD75E3"/>
    <w:rsid w:val="23DE1C48"/>
    <w:rsid w:val="240210CD"/>
    <w:rsid w:val="24175946"/>
    <w:rsid w:val="2459255A"/>
    <w:rsid w:val="24681644"/>
    <w:rsid w:val="246F1328"/>
    <w:rsid w:val="24AF5F78"/>
    <w:rsid w:val="24BF09F7"/>
    <w:rsid w:val="24F03FA3"/>
    <w:rsid w:val="250C0222"/>
    <w:rsid w:val="252D53FE"/>
    <w:rsid w:val="254540AE"/>
    <w:rsid w:val="25992E48"/>
    <w:rsid w:val="25A008AE"/>
    <w:rsid w:val="25B3617C"/>
    <w:rsid w:val="25C374EB"/>
    <w:rsid w:val="25DC4098"/>
    <w:rsid w:val="25EC2D81"/>
    <w:rsid w:val="266E4243"/>
    <w:rsid w:val="26890459"/>
    <w:rsid w:val="26915605"/>
    <w:rsid w:val="27382255"/>
    <w:rsid w:val="276B7ED3"/>
    <w:rsid w:val="277057A2"/>
    <w:rsid w:val="278E5B9B"/>
    <w:rsid w:val="27C13AAE"/>
    <w:rsid w:val="27CE2EC4"/>
    <w:rsid w:val="27DC3045"/>
    <w:rsid w:val="2820517A"/>
    <w:rsid w:val="28354635"/>
    <w:rsid w:val="28377363"/>
    <w:rsid w:val="285D51E7"/>
    <w:rsid w:val="289E3886"/>
    <w:rsid w:val="28B9421C"/>
    <w:rsid w:val="28E82D54"/>
    <w:rsid w:val="291071D2"/>
    <w:rsid w:val="291D29FD"/>
    <w:rsid w:val="29206EB8"/>
    <w:rsid w:val="2924647B"/>
    <w:rsid w:val="29595666"/>
    <w:rsid w:val="296001AC"/>
    <w:rsid w:val="29874881"/>
    <w:rsid w:val="29E325E0"/>
    <w:rsid w:val="2A13795C"/>
    <w:rsid w:val="2A452503"/>
    <w:rsid w:val="2A552F76"/>
    <w:rsid w:val="2A634264"/>
    <w:rsid w:val="2A6D5FA1"/>
    <w:rsid w:val="2A7F5A8E"/>
    <w:rsid w:val="2AA0746E"/>
    <w:rsid w:val="2AA1088F"/>
    <w:rsid w:val="2ACF5F79"/>
    <w:rsid w:val="2ADD13DD"/>
    <w:rsid w:val="2AFC1C0D"/>
    <w:rsid w:val="2B0E138B"/>
    <w:rsid w:val="2B147638"/>
    <w:rsid w:val="2B411D5C"/>
    <w:rsid w:val="2B731BF1"/>
    <w:rsid w:val="2BA936A8"/>
    <w:rsid w:val="2BD902A0"/>
    <w:rsid w:val="2BDC2840"/>
    <w:rsid w:val="2C176286"/>
    <w:rsid w:val="2C315A5A"/>
    <w:rsid w:val="2C4B1C25"/>
    <w:rsid w:val="2C982061"/>
    <w:rsid w:val="2CC8106E"/>
    <w:rsid w:val="2CED7078"/>
    <w:rsid w:val="2D047A30"/>
    <w:rsid w:val="2D095060"/>
    <w:rsid w:val="2D1D4AD7"/>
    <w:rsid w:val="2D9E56F5"/>
    <w:rsid w:val="2DC12CD3"/>
    <w:rsid w:val="2DDB4C35"/>
    <w:rsid w:val="2DF23621"/>
    <w:rsid w:val="2DFB52D7"/>
    <w:rsid w:val="2E6000D2"/>
    <w:rsid w:val="2E667F96"/>
    <w:rsid w:val="2E8014A2"/>
    <w:rsid w:val="2E820A44"/>
    <w:rsid w:val="2E8226AB"/>
    <w:rsid w:val="2EF46CF7"/>
    <w:rsid w:val="2F126434"/>
    <w:rsid w:val="2F186987"/>
    <w:rsid w:val="2F7B0497"/>
    <w:rsid w:val="2F824AC5"/>
    <w:rsid w:val="2FAE2A8E"/>
    <w:rsid w:val="2FAF5A5F"/>
    <w:rsid w:val="2FD065E6"/>
    <w:rsid w:val="2FD96870"/>
    <w:rsid w:val="2FF057E4"/>
    <w:rsid w:val="30484879"/>
    <w:rsid w:val="30580BC9"/>
    <w:rsid w:val="30A3175D"/>
    <w:rsid w:val="30BD4AC6"/>
    <w:rsid w:val="30EC48CC"/>
    <w:rsid w:val="31052597"/>
    <w:rsid w:val="311E2ED7"/>
    <w:rsid w:val="315619EE"/>
    <w:rsid w:val="315C449C"/>
    <w:rsid w:val="317D3233"/>
    <w:rsid w:val="31B82709"/>
    <w:rsid w:val="31D05482"/>
    <w:rsid w:val="31D125D7"/>
    <w:rsid w:val="321C1491"/>
    <w:rsid w:val="322E0745"/>
    <w:rsid w:val="32400B34"/>
    <w:rsid w:val="329E6876"/>
    <w:rsid w:val="32D0439B"/>
    <w:rsid w:val="32D360DD"/>
    <w:rsid w:val="332827A4"/>
    <w:rsid w:val="332B250F"/>
    <w:rsid w:val="333015F2"/>
    <w:rsid w:val="334B6320"/>
    <w:rsid w:val="33584C40"/>
    <w:rsid w:val="33913A98"/>
    <w:rsid w:val="33CB74FA"/>
    <w:rsid w:val="33D0469D"/>
    <w:rsid w:val="33D934D4"/>
    <w:rsid w:val="33E902D9"/>
    <w:rsid w:val="33ED0879"/>
    <w:rsid w:val="33FE2F6A"/>
    <w:rsid w:val="340E07E5"/>
    <w:rsid w:val="34235BF7"/>
    <w:rsid w:val="345506CB"/>
    <w:rsid w:val="346C504B"/>
    <w:rsid w:val="34873421"/>
    <w:rsid w:val="34C21CDE"/>
    <w:rsid w:val="34CE0251"/>
    <w:rsid w:val="35245113"/>
    <w:rsid w:val="35357321"/>
    <w:rsid w:val="3538296D"/>
    <w:rsid w:val="358C5FA8"/>
    <w:rsid w:val="35C15DF1"/>
    <w:rsid w:val="35FC11A8"/>
    <w:rsid w:val="3603417E"/>
    <w:rsid w:val="36074A7F"/>
    <w:rsid w:val="3614429B"/>
    <w:rsid w:val="36405A22"/>
    <w:rsid w:val="365335C8"/>
    <w:rsid w:val="365E28A7"/>
    <w:rsid w:val="366D26F8"/>
    <w:rsid w:val="36923549"/>
    <w:rsid w:val="36AB59B7"/>
    <w:rsid w:val="36B4763B"/>
    <w:rsid w:val="36B75FBF"/>
    <w:rsid w:val="36BD0C45"/>
    <w:rsid w:val="36E16240"/>
    <w:rsid w:val="370E607B"/>
    <w:rsid w:val="372D5A13"/>
    <w:rsid w:val="37460F25"/>
    <w:rsid w:val="37915057"/>
    <w:rsid w:val="379F6194"/>
    <w:rsid w:val="37E00298"/>
    <w:rsid w:val="38B302F9"/>
    <w:rsid w:val="38B82A9F"/>
    <w:rsid w:val="38DE55D9"/>
    <w:rsid w:val="38F12CD3"/>
    <w:rsid w:val="38F94775"/>
    <w:rsid w:val="392971ED"/>
    <w:rsid w:val="392C720C"/>
    <w:rsid w:val="39325651"/>
    <w:rsid w:val="39396235"/>
    <w:rsid w:val="396106E4"/>
    <w:rsid w:val="398A24B9"/>
    <w:rsid w:val="39DF0651"/>
    <w:rsid w:val="3A1B6623"/>
    <w:rsid w:val="3A564669"/>
    <w:rsid w:val="3A872856"/>
    <w:rsid w:val="3A8859CC"/>
    <w:rsid w:val="3A900B55"/>
    <w:rsid w:val="3A990813"/>
    <w:rsid w:val="3AB24FEF"/>
    <w:rsid w:val="3ACF0A99"/>
    <w:rsid w:val="3B131EB2"/>
    <w:rsid w:val="3B1D7706"/>
    <w:rsid w:val="3B3763D1"/>
    <w:rsid w:val="3B45617E"/>
    <w:rsid w:val="3B806925"/>
    <w:rsid w:val="3B844B5E"/>
    <w:rsid w:val="3BE93313"/>
    <w:rsid w:val="3C2F6E1E"/>
    <w:rsid w:val="3C4F64BA"/>
    <w:rsid w:val="3C5740FF"/>
    <w:rsid w:val="3C88242C"/>
    <w:rsid w:val="3C8E1E67"/>
    <w:rsid w:val="3C955489"/>
    <w:rsid w:val="3C9D73A3"/>
    <w:rsid w:val="3CDA245A"/>
    <w:rsid w:val="3CE5162C"/>
    <w:rsid w:val="3CEC7FA6"/>
    <w:rsid w:val="3CF4501B"/>
    <w:rsid w:val="3D1E06B7"/>
    <w:rsid w:val="3D2E1CA4"/>
    <w:rsid w:val="3D2F2DFA"/>
    <w:rsid w:val="3D3B749E"/>
    <w:rsid w:val="3D670293"/>
    <w:rsid w:val="3DEB767D"/>
    <w:rsid w:val="3DFC0A58"/>
    <w:rsid w:val="3E206A8A"/>
    <w:rsid w:val="3E2C00B1"/>
    <w:rsid w:val="3E2F2764"/>
    <w:rsid w:val="3E3839DE"/>
    <w:rsid w:val="3E56176E"/>
    <w:rsid w:val="3E6A6C47"/>
    <w:rsid w:val="3E9D34E5"/>
    <w:rsid w:val="3EB64A81"/>
    <w:rsid w:val="3EDA0523"/>
    <w:rsid w:val="3EFC7DDF"/>
    <w:rsid w:val="3F8A4A20"/>
    <w:rsid w:val="3F9F2547"/>
    <w:rsid w:val="3FC5231C"/>
    <w:rsid w:val="3FEC0759"/>
    <w:rsid w:val="3FFD6C8D"/>
    <w:rsid w:val="400F747D"/>
    <w:rsid w:val="401F3101"/>
    <w:rsid w:val="407A6407"/>
    <w:rsid w:val="409D2C6B"/>
    <w:rsid w:val="40DE7F7D"/>
    <w:rsid w:val="410C4145"/>
    <w:rsid w:val="41494E25"/>
    <w:rsid w:val="41522528"/>
    <w:rsid w:val="419D0727"/>
    <w:rsid w:val="41B9630E"/>
    <w:rsid w:val="41BB5370"/>
    <w:rsid w:val="4200449D"/>
    <w:rsid w:val="423746D8"/>
    <w:rsid w:val="423A3BCC"/>
    <w:rsid w:val="424D1532"/>
    <w:rsid w:val="424E57D2"/>
    <w:rsid w:val="42864D18"/>
    <w:rsid w:val="42B26C49"/>
    <w:rsid w:val="42C83582"/>
    <w:rsid w:val="430537D8"/>
    <w:rsid w:val="432361CC"/>
    <w:rsid w:val="432548C6"/>
    <w:rsid w:val="433A6FE6"/>
    <w:rsid w:val="43480868"/>
    <w:rsid w:val="4350713C"/>
    <w:rsid w:val="436653E0"/>
    <w:rsid w:val="43923B90"/>
    <w:rsid w:val="43C4431A"/>
    <w:rsid w:val="43C81360"/>
    <w:rsid w:val="43D321DE"/>
    <w:rsid w:val="43F108B7"/>
    <w:rsid w:val="44010563"/>
    <w:rsid w:val="443E408D"/>
    <w:rsid w:val="44A825EB"/>
    <w:rsid w:val="44A8366B"/>
    <w:rsid w:val="44B951CC"/>
    <w:rsid w:val="44C63E6A"/>
    <w:rsid w:val="44CD14E0"/>
    <w:rsid w:val="44CE6E4A"/>
    <w:rsid w:val="44DF77C1"/>
    <w:rsid w:val="44F20B0B"/>
    <w:rsid w:val="44F97DE3"/>
    <w:rsid w:val="44FA5486"/>
    <w:rsid w:val="4513485D"/>
    <w:rsid w:val="452E5F4C"/>
    <w:rsid w:val="453E01DC"/>
    <w:rsid w:val="45482758"/>
    <w:rsid w:val="45587DD7"/>
    <w:rsid w:val="45612018"/>
    <w:rsid w:val="458946E9"/>
    <w:rsid w:val="45967DCC"/>
    <w:rsid w:val="45A47C0E"/>
    <w:rsid w:val="45D670A5"/>
    <w:rsid w:val="45F54F9B"/>
    <w:rsid w:val="46577FD6"/>
    <w:rsid w:val="46704DB6"/>
    <w:rsid w:val="4699539E"/>
    <w:rsid w:val="46D955A7"/>
    <w:rsid w:val="46F17D02"/>
    <w:rsid w:val="46F24D93"/>
    <w:rsid w:val="47133957"/>
    <w:rsid w:val="47332F94"/>
    <w:rsid w:val="47A07E0C"/>
    <w:rsid w:val="482D19BF"/>
    <w:rsid w:val="483D056E"/>
    <w:rsid w:val="48561B3A"/>
    <w:rsid w:val="48573F36"/>
    <w:rsid w:val="4870272E"/>
    <w:rsid w:val="48AA6D2B"/>
    <w:rsid w:val="48DA400F"/>
    <w:rsid w:val="49895EB9"/>
    <w:rsid w:val="499C12C5"/>
    <w:rsid w:val="49AC55DF"/>
    <w:rsid w:val="49DC7715"/>
    <w:rsid w:val="49EB7B56"/>
    <w:rsid w:val="4A023139"/>
    <w:rsid w:val="4A4C1F5D"/>
    <w:rsid w:val="4A7B576F"/>
    <w:rsid w:val="4A804742"/>
    <w:rsid w:val="4A9F72BE"/>
    <w:rsid w:val="4AF561A9"/>
    <w:rsid w:val="4AF64329"/>
    <w:rsid w:val="4B335C59"/>
    <w:rsid w:val="4B5A31E5"/>
    <w:rsid w:val="4B6C43E5"/>
    <w:rsid w:val="4B7E0435"/>
    <w:rsid w:val="4BEA27BB"/>
    <w:rsid w:val="4C1C14DB"/>
    <w:rsid w:val="4C4A0649"/>
    <w:rsid w:val="4C7E5ECA"/>
    <w:rsid w:val="4C876AA5"/>
    <w:rsid w:val="4C885B30"/>
    <w:rsid w:val="4C9E7B65"/>
    <w:rsid w:val="4CD945DE"/>
    <w:rsid w:val="4CE52F83"/>
    <w:rsid w:val="4D0E00FB"/>
    <w:rsid w:val="4D176606"/>
    <w:rsid w:val="4D183359"/>
    <w:rsid w:val="4D461DD8"/>
    <w:rsid w:val="4DA66DCC"/>
    <w:rsid w:val="4DAD545A"/>
    <w:rsid w:val="4DEC4FB0"/>
    <w:rsid w:val="4E075D8A"/>
    <w:rsid w:val="4E2678EC"/>
    <w:rsid w:val="4E541570"/>
    <w:rsid w:val="4E594017"/>
    <w:rsid w:val="4EC00FAD"/>
    <w:rsid w:val="4EC31752"/>
    <w:rsid w:val="4ED01089"/>
    <w:rsid w:val="4EE80B08"/>
    <w:rsid w:val="4EF851EF"/>
    <w:rsid w:val="4F056091"/>
    <w:rsid w:val="4F4C1097"/>
    <w:rsid w:val="4F51761F"/>
    <w:rsid w:val="4F6B59C1"/>
    <w:rsid w:val="4F8454DC"/>
    <w:rsid w:val="4F9843DC"/>
    <w:rsid w:val="4FC62A8C"/>
    <w:rsid w:val="4FE20F0D"/>
    <w:rsid w:val="4FE51552"/>
    <w:rsid w:val="50001525"/>
    <w:rsid w:val="50033E4B"/>
    <w:rsid w:val="500A09EE"/>
    <w:rsid w:val="501D030A"/>
    <w:rsid w:val="50504C4B"/>
    <w:rsid w:val="5079410E"/>
    <w:rsid w:val="509947B0"/>
    <w:rsid w:val="509C6E7C"/>
    <w:rsid w:val="5160075B"/>
    <w:rsid w:val="5162104E"/>
    <w:rsid w:val="516570F2"/>
    <w:rsid w:val="51686460"/>
    <w:rsid w:val="51CE0EA9"/>
    <w:rsid w:val="51EE7BB9"/>
    <w:rsid w:val="520B071F"/>
    <w:rsid w:val="522834F9"/>
    <w:rsid w:val="525468F0"/>
    <w:rsid w:val="52943684"/>
    <w:rsid w:val="52AB58F3"/>
    <w:rsid w:val="52C8226C"/>
    <w:rsid w:val="530745B0"/>
    <w:rsid w:val="530B4E5E"/>
    <w:rsid w:val="53312A7E"/>
    <w:rsid w:val="53663F5C"/>
    <w:rsid w:val="536B5719"/>
    <w:rsid w:val="53780D53"/>
    <w:rsid w:val="538F5FFD"/>
    <w:rsid w:val="53982AFD"/>
    <w:rsid w:val="53A039CC"/>
    <w:rsid w:val="53A1505A"/>
    <w:rsid w:val="54063E08"/>
    <w:rsid w:val="541D1254"/>
    <w:rsid w:val="543437E8"/>
    <w:rsid w:val="544E6169"/>
    <w:rsid w:val="545B7AF7"/>
    <w:rsid w:val="54770964"/>
    <w:rsid w:val="549C23E9"/>
    <w:rsid w:val="54DD2E27"/>
    <w:rsid w:val="54F73313"/>
    <w:rsid w:val="54F80955"/>
    <w:rsid w:val="55016E31"/>
    <w:rsid w:val="5536081F"/>
    <w:rsid w:val="554C6CD6"/>
    <w:rsid w:val="555170A7"/>
    <w:rsid w:val="5587536D"/>
    <w:rsid w:val="559B174B"/>
    <w:rsid w:val="55CE0CF4"/>
    <w:rsid w:val="55D032B5"/>
    <w:rsid w:val="55FA044E"/>
    <w:rsid w:val="56165297"/>
    <w:rsid w:val="56281014"/>
    <w:rsid w:val="563A05BA"/>
    <w:rsid w:val="56982E14"/>
    <w:rsid w:val="569F3C35"/>
    <w:rsid w:val="56B22A9C"/>
    <w:rsid w:val="56B45164"/>
    <w:rsid w:val="56EF0E8C"/>
    <w:rsid w:val="570319E0"/>
    <w:rsid w:val="570F5142"/>
    <w:rsid w:val="57203B86"/>
    <w:rsid w:val="57AE1B0B"/>
    <w:rsid w:val="57B72A76"/>
    <w:rsid w:val="57C3426C"/>
    <w:rsid w:val="57C90FD2"/>
    <w:rsid w:val="57CE1F93"/>
    <w:rsid w:val="57D61E46"/>
    <w:rsid w:val="582157B7"/>
    <w:rsid w:val="588743D1"/>
    <w:rsid w:val="5887701A"/>
    <w:rsid w:val="589D7630"/>
    <w:rsid w:val="58ED7447"/>
    <w:rsid w:val="591660AD"/>
    <w:rsid w:val="594112B9"/>
    <w:rsid w:val="595C45CC"/>
    <w:rsid w:val="59993190"/>
    <w:rsid w:val="59C0439F"/>
    <w:rsid w:val="5A031D5F"/>
    <w:rsid w:val="5A062746"/>
    <w:rsid w:val="5A0F3227"/>
    <w:rsid w:val="5A326230"/>
    <w:rsid w:val="5A783688"/>
    <w:rsid w:val="5A805270"/>
    <w:rsid w:val="5A8B5169"/>
    <w:rsid w:val="5ABE2233"/>
    <w:rsid w:val="5AE21D84"/>
    <w:rsid w:val="5AE76D53"/>
    <w:rsid w:val="5AFA5E4B"/>
    <w:rsid w:val="5B412D09"/>
    <w:rsid w:val="5B9F7B29"/>
    <w:rsid w:val="5BA04C44"/>
    <w:rsid w:val="5BDF5D95"/>
    <w:rsid w:val="5BFE7528"/>
    <w:rsid w:val="5C0B7733"/>
    <w:rsid w:val="5C20300C"/>
    <w:rsid w:val="5C342BD2"/>
    <w:rsid w:val="5C3952AD"/>
    <w:rsid w:val="5C471A1B"/>
    <w:rsid w:val="5C4849EC"/>
    <w:rsid w:val="5C491564"/>
    <w:rsid w:val="5C9347A9"/>
    <w:rsid w:val="5CB91D57"/>
    <w:rsid w:val="5CD252D1"/>
    <w:rsid w:val="5D271D59"/>
    <w:rsid w:val="5D2B283D"/>
    <w:rsid w:val="5D3C6BEF"/>
    <w:rsid w:val="5DCA497F"/>
    <w:rsid w:val="5E14191A"/>
    <w:rsid w:val="5E2467F1"/>
    <w:rsid w:val="5E293600"/>
    <w:rsid w:val="5E2C03F6"/>
    <w:rsid w:val="5E4930FD"/>
    <w:rsid w:val="5EF91D83"/>
    <w:rsid w:val="5F1A2B43"/>
    <w:rsid w:val="5F5F6BC4"/>
    <w:rsid w:val="5FA56B44"/>
    <w:rsid w:val="5FB837BB"/>
    <w:rsid w:val="60011A2A"/>
    <w:rsid w:val="60BE6E86"/>
    <w:rsid w:val="60CC405A"/>
    <w:rsid w:val="60E12734"/>
    <w:rsid w:val="610208DA"/>
    <w:rsid w:val="614F7892"/>
    <w:rsid w:val="615A7172"/>
    <w:rsid w:val="617D3332"/>
    <w:rsid w:val="618D5FBE"/>
    <w:rsid w:val="61E215D8"/>
    <w:rsid w:val="62007857"/>
    <w:rsid w:val="621B3775"/>
    <w:rsid w:val="62364782"/>
    <w:rsid w:val="62372A64"/>
    <w:rsid w:val="62B22D67"/>
    <w:rsid w:val="63057331"/>
    <w:rsid w:val="63393014"/>
    <w:rsid w:val="63424B1E"/>
    <w:rsid w:val="637C1409"/>
    <w:rsid w:val="638560A9"/>
    <w:rsid w:val="6394356A"/>
    <w:rsid w:val="63C61B2C"/>
    <w:rsid w:val="63C979F5"/>
    <w:rsid w:val="63D40BE9"/>
    <w:rsid w:val="64102431"/>
    <w:rsid w:val="641B24FC"/>
    <w:rsid w:val="641C7888"/>
    <w:rsid w:val="643C66A9"/>
    <w:rsid w:val="64502F80"/>
    <w:rsid w:val="649D19F5"/>
    <w:rsid w:val="64A5243A"/>
    <w:rsid w:val="64C10E6B"/>
    <w:rsid w:val="64C64FF0"/>
    <w:rsid w:val="64F531DE"/>
    <w:rsid w:val="650908CF"/>
    <w:rsid w:val="65373578"/>
    <w:rsid w:val="65536736"/>
    <w:rsid w:val="6558033E"/>
    <w:rsid w:val="66636EA8"/>
    <w:rsid w:val="66882EA5"/>
    <w:rsid w:val="6695111E"/>
    <w:rsid w:val="66972998"/>
    <w:rsid w:val="671F124A"/>
    <w:rsid w:val="673663FD"/>
    <w:rsid w:val="677A33C6"/>
    <w:rsid w:val="679B16CF"/>
    <w:rsid w:val="679F536D"/>
    <w:rsid w:val="67C042A3"/>
    <w:rsid w:val="67E906E7"/>
    <w:rsid w:val="67F02AB0"/>
    <w:rsid w:val="681F6961"/>
    <w:rsid w:val="68444BA9"/>
    <w:rsid w:val="684E7A21"/>
    <w:rsid w:val="68610A2F"/>
    <w:rsid w:val="68805514"/>
    <w:rsid w:val="688F22C8"/>
    <w:rsid w:val="68B07913"/>
    <w:rsid w:val="68C56511"/>
    <w:rsid w:val="68ED3C64"/>
    <w:rsid w:val="69013676"/>
    <w:rsid w:val="69316E2F"/>
    <w:rsid w:val="694E2071"/>
    <w:rsid w:val="69766163"/>
    <w:rsid w:val="697A3B33"/>
    <w:rsid w:val="69A40F02"/>
    <w:rsid w:val="69D44760"/>
    <w:rsid w:val="69ED4967"/>
    <w:rsid w:val="6A520EC7"/>
    <w:rsid w:val="6A796AF7"/>
    <w:rsid w:val="6A9F658B"/>
    <w:rsid w:val="6AE4490D"/>
    <w:rsid w:val="6AF87E20"/>
    <w:rsid w:val="6B0811B2"/>
    <w:rsid w:val="6B105A10"/>
    <w:rsid w:val="6B166247"/>
    <w:rsid w:val="6B322639"/>
    <w:rsid w:val="6B333027"/>
    <w:rsid w:val="6B555264"/>
    <w:rsid w:val="6B85399E"/>
    <w:rsid w:val="6BF34C1B"/>
    <w:rsid w:val="6C152F0C"/>
    <w:rsid w:val="6C2B62F2"/>
    <w:rsid w:val="6C636C38"/>
    <w:rsid w:val="6C701CF6"/>
    <w:rsid w:val="6C910465"/>
    <w:rsid w:val="6C986C4C"/>
    <w:rsid w:val="6CAB6D2E"/>
    <w:rsid w:val="6CBD3CBD"/>
    <w:rsid w:val="6CF65ADF"/>
    <w:rsid w:val="6CF804B6"/>
    <w:rsid w:val="6CFA1CDB"/>
    <w:rsid w:val="6D0C53FF"/>
    <w:rsid w:val="6D0D4F00"/>
    <w:rsid w:val="6D49344B"/>
    <w:rsid w:val="6D8E6AA6"/>
    <w:rsid w:val="6DB34098"/>
    <w:rsid w:val="6DB545B6"/>
    <w:rsid w:val="6DD06FC2"/>
    <w:rsid w:val="6DD95D94"/>
    <w:rsid w:val="6DDD3AD6"/>
    <w:rsid w:val="6DE02FB4"/>
    <w:rsid w:val="6E233F9F"/>
    <w:rsid w:val="6E514CED"/>
    <w:rsid w:val="6E647D53"/>
    <w:rsid w:val="6EB563D5"/>
    <w:rsid w:val="6ED206E8"/>
    <w:rsid w:val="6ED92677"/>
    <w:rsid w:val="6EE418AC"/>
    <w:rsid w:val="6EF53A45"/>
    <w:rsid w:val="6EF957F8"/>
    <w:rsid w:val="6EFA2466"/>
    <w:rsid w:val="6F1727E6"/>
    <w:rsid w:val="6F225983"/>
    <w:rsid w:val="6F98277D"/>
    <w:rsid w:val="6F9B62D7"/>
    <w:rsid w:val="6FB1059D"/>
    <w:rsid w:val="6FD66A2F"/>
    <w:rsid w:val="6FFC5590"/>
    <w:rsid w:val="706D1DD0"/>
    <w:rsid w:val="70856B87"/>
    <w:rsid w:val="70B0145F"/>
    <w:rsid w:val="70B12FF8"/>
    <w:rsid w:val="70C14F73"/>
    <w:rsid w:val="70D527EE"/>
    <w:rsid w:val="714B51FB"/>
    <w:rsid w:val="715B5300"/>
    <w:rsid w:val="715C11B6"/>
    <w:rsid w:val="71AF5789"/>
    <w:rsid w:val="71C0472B"/>
    <w:rsid w:val="71D27F8A"/>
    <w:rsid w:val="72004449"/>
    <w:rsid w:val="72553024"/>
    <w:rsid w:val="72B62B48"/>
    <w:rsid w:val="72C96FF5"/>
    <w:rsid w:val="72F035C2"/>
    <w:rsid w:val="72FB1EE2"/>
    <w:rsid w:val="73122968"/>
    <w:rsid w:val="731F5D5E"/>
    <w:rsid w:val="73622AF1"/>
    <w:rsid w:val="739840F2"/>
    <w:rsid w:val="73986B46"/>
    <w:rsid w:val="73A3131E"/>
    <w:rsid w:val="73C51AD5"/>
    <w:rsid w:val="73C63C48"/>
    <w:rsid w:val="73DE4104"/>
    <w:rsid w:val="73F06BFF"/>
    <w:rsid w:val="73F90F3E"/>
    <w:rsid w:val="7402264F"/>
    <w:rsid w:val="741E793C"/>
    <w:rsid w:val="74495AE1"/>
    <w:rsid w:val="745E3944"/>
    <w:rsid w:val="750202C6"/>
    <w:rsid w:val="750D7E98"/>
    <w:rsid w:val="75200703"/>
    <w:rsid w:val="753405C3"/>
    <w:rsid w:val="75D05CCE"/>
    <w:rsid w:val="7625426C"/>
    <w:rsid w:val="7635099D"/>
    <w:rsid w:val="7635253C"/>
    <w:rsid w:val="765B74CF"/>
    <w:rsid w:val="76F57F2D"/>
    <w:rsid w:val="770562CB"/>
    <w:rsid w:val="771C472D"/>
    <w:rsid w:val="775013A5"/>
    <w:rsid w:val="7758241F"/>
    <w:rsid w:val="77762421"/>
    <w:rsid w:val="779F028E"/>
    <w:rsid w:val="77B56B1F"/>
    <w:rsid w:val="77C5155A"/>
    <w:rsid w:val="77ED3E16"/>
    <w:rsid w:val="780F09F4"/>
    <w:rsid w:val="782623ED"/>
    <w:rsid w:val="784B5BDE"/>
    <w:rsid w:val="78A90480"/>
    <w:rsid w:val="78D37FAF"/>
    <w:rsid w:val="78EE6B97"/>
    <w:rsid w:val="78F04B2D"/>
    <w:rsid w:val="79083382"/>
    <w:rsid w:val="793D3B77"/>
    <w:rsid w:val="79715FFF"/>
    <w:rsid w:val="79E17114"/>
    <w:rsid w:val="7A124B07"/>
    <w:rsid w:val="7A323A73"/>
    <w:rsid w:val="7A364017"/>
    <w:rsid w:val="7A37456E"/>
    <w:rsid w:val="7A4F5CC0"/>
    <w:rsid w:val="7A6D4434"/>
    <w:rsid w:val="7A757A75"/>
    <w:rsid w:val="7A8265E1"/>
    <w:rsid w:val="7A9B7B04"/>
    <w:rsid w:val="7AC94B56"/>
    <w:rsid w:val="7B3C159E"/>
    <w:rsid w:val="7B686D42"/>
    <w:rsid w:val="7B841746"/>
    <w:rsid w:val="7C1332B8"/>
    <w:rsid w:val="7C2C0434"/>
    <w:rsid w:val="7C4459AA"/>
    <w:rsid w:val="7C6158D2"/>
    <w:rsid w:val="7C6C5AC7"/>
    <w:rsid w:val="7C6D3696"/>
    <w:rsid w:val="7C933BEE"/>
    <w:rsid w:val="7CB20A6F"/>
    <w:rsid w:val="7CC263C5"/>
    <w:rsid w:val="7CC6544B"/>
    <w:rsid w:val="7CCA701C"/>
    <w:rsid w:val="7CDD764F"/>
    <w:rsid w:val="7CF47335"/>
    <w:rsid w:val="7D0239FF"/>
    <w:rsid w:val="7D45150E"/>
    <w:rsid w:val="7D5E40CD"/>
    <w:rsid w:val="7D97192B"/>
    <w:rsid w:val="7DCC6C2B"/>
    <w:rsid w:val="7DCD56F2"/>
    <w:rsid w:val="7E5F02AD"/>
    <w:rsid w:val="7EC333CD"/>
    <w:rsid w:val="7EFA0EC1"/>
    <w:rsid w:val="7F001CE7"/>
    <w:rsid w:val="7F182F15"/>
    <w:rsid w:val="7F2C666B"/>
    <w:rsid w:val="7F3B68AE"/>
    <w:rsid w:val="7F74384B"/>
    <w:rsid w:val="7FA313B5"/>
    <w:rsid w:val="7FB43FE7"/>
    <w:rsid w:val="7FE21BAB"/>
    <w:rsid w:val="7FE47E50"/>
    <w:rsid w:val="7FF01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35"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unhideWhenUsed="0" w:uiPriority="0" w:semiHidden="0" w:name="Subtitle" w:locked="1"/>
    <w:lsdException w:unhideWhenUsed="0" w:uiPriority="0" w:semiHidden="0" w:name="Salutation" w:locked="1"/>
    <w:lsdException w:qFormat="1" w:unhideWhenUsed="0" w:uiPriority="0" w:semiHidden="0" w:name="Date"/>
    <w:lsdException w:qFormat="1" w:uiPriority="99"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1"/>
    <w:next w:val="1"/>
    <w:qFormat/>
    <w:locked/>
    <w:uiPriority w:val="0"/>
    <w:pPr>
      <w:keepNext/>
      <w:keepLines/>
      <w:adjustRightInd w:val="0"/>
      <w:snapToGrid w:val="0"/>
      <w:ind w:firstLine="420" w:firstLineChars="200"/>
      <w:jc w:val="left"/>
      <w:outlineLvl w:val="2"/>
    </w:pPr>
    <w:rPr>
      <w:b/>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4">
    <w:name w:val="List 3"/>
    <w:next w:val="1"/>
    <w:qFormat/>
    <w:locked/>
    <w:uiPriority w:val="0"/>
    <w:pPr>
      <w:widowControl w:val="0"/>
      <w:ind w:left="100" w:leftChars="400" w:hanging="200" w:hangingChars="200"/>
      <w:jc w:val="both"/>
    </w:pPr>
    <w:rPr>
      <w:rFonts w:ascii="Calibri" w:hAnsi="Calibri" w:eastAsia="宋体" w:cs="Times New Roman"/>
      <w:kern w:val="2"/>
      <w:sz w:val="21"/>
      <w:szCs w:val="24"/>
      <w:lang w:val="en-US" w:eastAsia="zh-CN" w:bidi="ar-SA"/>
    </w:rPr>
  </w:style>
  <w:style w:type="paragraph" w:styleId="5">
    <w:name w:val="Normal Indent"/>
    <w:basedOn w:val="1"/>
    <w:next w:val="1"/>
    <w:unhideWhenUsed/>
    <w:qFormat/>
    <w:locked/>
    <w:uiPriority w:val="0"/>
    <w:pPr>
      <w:ind w:firstLine="420"/>
    </w:pPr>
  </w:style>
  <w:style w:type="paragraph" w:styleId="6">
    <w:name w:val="annotation text"/>
    <w:basedOn w:val="1"/>
    <w:link w:val="43"/>
    <w:semiHidden/>
    <w:qFormat/>
    <w:uiPriority w:val="0"/>
    <w:pPr>
      <w:jc w:val="left"/>
    </w:pPr>
    <w:rPr>
      <w:kern w:val="0"/>
      <w:szCs w:val="20"/>
    </w:rPr>
  </w:style>
  <w:style w:type="paragraph" w:styleId="7">
    <w:name w:val="Body Text"/>
    <w:basedOn w:val="1"/>
    <w:link w:val="50"/>
    <w:qFormat/>
    <w:uiPriority w:val="0"/>
    <w:pPr>
      <w:widowControl/>
      <w:snapToGrid w:val="0"/>
      <w:spacing w:before="60" w:after="160" w:line="259" w:lineRule="auto"/>
      <w:ind w:right="113"/>
    </w:pPr>
    <w:rPr>
      <w:kern w:val="0"/>
      <w:sz w:val="18"/>
      <w:szCs w:val="20"/>
    </w:rPr>
  </w:style>
  <w:style w:type="paragraph" w:styleId="8">
    <w:name w:val="Body Text Indent"/>
    <w:basedOn w:val="1"/>
    <w:link w:val="51"/>
    <w:qFormat/>
    <w:uiPriority w:val="0"/>
    <w:pPr>
      <w:spacing w:after="120"/>
      <w:ind w:left="420" w:leftChars="200"/>
    </w:pPr>
    <w:rPr>
      <w:kern w:val="0"/>
      <w:szCs w:val="20"/>
    </w:rPr>
  </w:style>
  <w:style w:type="paragraph" w:styleId="9">
    <w:name w:val="Plain Text"/>
    <w:basedOn w:val="1"/>
    <w:next w:val="10"/>
    <w:unhideWhenUsed/>
    <w:qFormat/>
    <w:locked/>
    <w:uiPriority w:val="0"/>
    <w:rPr>
      <w:rFonts w:ascii="宋体" w:hAnsi="Courier New"/>
    </w:rPr>
  </w:style>
  <w:style w:type="paragraph" w:styleId="10">
    <w:name w:val="toc 1"/>
    <w:basedOn w:val="1"/>
    <w:next w:val="1"/>
    <w:qFormat/>
    <w:locked/>
    <w:uiPriority w:val="0"/>
  </w:style>
  <w:style w:type="paragraph" w:styleId="11">
    <w:name w:val="Date"/>
    <w:basedOn w:val="1"/>
    <w:next w:val="1"/>
    <w:link w:val="47"/>
    <w:qFormat/>
    <w:uiPriority w:val="0"/>
    <w:pPr>
      <w:ind w:left="100" w:leftChars="2500"/>
    </w:pPr>
    <w:rPr>
      <w:kern w:val="0"/>
      <w:szCs w:val="20"/>
    </w:rPr>
  </w:style>
  <w:style w:type="paragraph" w:styleId="12">
    <w:name w:val="Balloon Text"/>
    <w:basedOn w:val="1"/>
    <w:link w:val="41"/>
    <w:semiHidden/>
    <w:qFormat/>
    <w:uiPriority w:val="0"/>
    <w:rPr>
      <w:kern w:val="0"/>
      <w:sz w:val="18"/>
      <w:szCs w:val="20"/>
    </w:rPr>
  </w:style>
  <w:style w:type="paragraph" w:styleId="13">
    <w:name w:val="footer"/>
    <w:basedOn w:val="1"/>
    <w:link w:val="49"/>
    <w:qFormat/>
    <w:uiPriority w:val="99"/>
    <w:pPr>
      <w:tabs>
        <w:tab w:val="center" w:pos="4153"/>
        <w:tab w:val="right" w:pos="8306"/>
      </w:tabs>
      <w:snapToGrid w:val="0"/>
      <w:jc w:val="left"/>
    </w:pPr>
    <w:rPr>
      <w:kern w:val="0"/>
      <w:sz w:val="18"/>
      <w:szCs w:val="20"/>
    </w:rPr>
  </w:style>
  <w:style w:type="paragraph" w:styleId="14">
    <w:name w:val="header"/>
    <w:basedOn w:val="1"/>
    <w:link w:val="54"/>
    <w:qFormat/>
    <w:uiPriority w:val="0"/>
    <w:pPr>
      <w:pBdr>
        <w:bottom w:val="single" w:color="auto" w:sz="6" w:space="1"/>
      </w:pBdr>
      <w:tabs>
        <w:tab w:val="center" w:pos="4153"/>
        <w:tab w:val="right" w:pos="8306"/>
      </w:tabs>
      <w:snapToGrid w:val="0"/>
      <w:jc w:val="center"/>
    </w:pPr>
    <w:rPr>
      <w:kern w:val="0"/>
      <w:sz w:val="18"/>
      <w:szCs w:val="20"/>
    </w:rPr>
  </w:style>
  <w:style w:type="paragraph" w:styleId="15">
    <w:name w:val="List"/>
    <w:basedOn w:val="1"/>
    <w:next w:val="1"/>
    <w:qFormat/>
    <w:locked/>
    <w:uiPriority w:val="0"/>
    <w:pPr>
      <w:spacing w:line="400" w:lineRule="atLeast"/>
      <w:jc w:val="center"/>
    </w:pPr>
    <w:rPr>
      <w:rFonts w:ascii="宋体" w:eastAsia="仿宋_GB2312"/>
      <w:szCs w:val="20"/>
    </w:rPr>
  </w:style>
  <w:style w:type="paragraph" w:styleId="16">
    <w:name w:val="Body Text Indent 3"/>
    <w:basedOn w:val="1"/>
    <w:unhideWhenUsed/>
    <w:qFormat/>
    <w:locked/>
    <w:uiPriority w:val="0"/>
    <w:pPr>
      <w:snapToGrid w:val="0"/>
      <w:ind w:firstLine="540"/>
    </w:pPr>
    <w:rPr>
      <w:sz w:val="25"/>
    </w:rPr>
  </w:style>
  <w:style w:type="paragraph" w:styleId="17">
    <w:name w:val="toc 2"/>
    <w:basedOn w:val="1"/>
    <w:next w:val="1"/>
    <w:qFormat/>
    <w:locked/>
    <w:uiPriority w:val="39"/>
    <w:pPr>
      <w:adjustRightInd w:val="0"/>
      <w:spacing w:line="312" w:lineRule="atLeast"/>
      <w:ind w:left="420" w:leftChars="200"/>
      <w:textAlignment w:val="baseline"/>
    </w:pPr>
    <w:rPr>
      <w:kern w:val="0"/>
      <w:szCs w:val="20"/>
    </w:rPr>
  </w:style>
  <w:style w:type="paragraph" w:styleId="18">
    <w:name w:val="Normal (Web)"/>
    <w:basedOn w:val="1"/>
    <w:link w:val="46"/>
    <w:qFormat/>
    <w:uiPriority w:val="0"/>
    <w:pPr>
      <w:widowControl/>
      <w:spacing w:before="100" w:beforeAutospacing="1" w:after="100" w:afterAutospacing="1"/>
      <w:jc w:val="left"/>
    </w:pPr>
    <w:rPr>
      <w:rFonts w:ascii="宋体" w:hAnsi="宋体"/>
      <w:kern w:val="0"/>
      <w:szCs w:val="20"/>
    </w:rPr>
  </w:style>
  <w:style w:type="paragraph" w:styleId="19">
    <w:name w:val="annotation subject"/>
    <w:basedOn w:val="6"/>
    <w:next w:val="6"/>
    <w:link w:val="52"/>
    <w:semiHidden/>
    <w:qFormat/>
    <w:uiPriority w:val="0"/>
    <w:rPr>
      <w:b/>
    </w:rPr>
  </w:style>
  <w:style w:type="paragraph" w:styleId="20">
    <w:name w:val="Body Text First Indent"/>
    <w:unhideWhenUsed/>
    <w:qFormat/>
    <w:locked/>
    <w:uiPriority w:val="99"/>
    <w:pPr>
      <w:widowControl w:val="0"/>
      <w:spacing w:after="120"/>
      <w:ind w:firstLine="420" w:firstLineChars="100"/>
      <w:jc w:val="both"/>
    </w:pPr>
    <w:rPr>
      <w:rFonts w:asciiTheme="minorHAnsi" w:hAnsiTheme="minorHAnsi" w:eastAsiaTheme="minorEastAsia" w:cstheme="minorBidi"/>
      <w:kern w:val="2"/>
      <w:sz w:val="21"/>
      <w:szCs w:val="22"/>
      <w:lang w:val="en-US" w:eastAsia="zh-CN" w:bidi="ar-SA"/>
    </w:rPr>
  </w:style>
  <w:style w:type="paragraph" w:styleId="21">
    <w:name w:val="Body Text First Indent 2"/>
    <w:basedOn w:val="8"/>
    <w:qFormat/>
    <w:locked/>
    <w:uiPriority w:val="0"/>
    <w:pPr>
      <w:widowControl/>
      <w:spacing w:line="240" w:lineRule="auto"/>
      <w:ind w:firstLine="420"/>
      <w:jc w:val="left"/>
    </w:pPr>
    <w:rPr>
      <w:sz w:val="28"/>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0"/>
    <w:rPr>
      <w:b/>
    </w:rPr>
  </w:style>
  <w:style w:type="character" w:styleId="26">
    <w:name w:val="page number"/>
    <w:basedOn w:val="24"/>
    <w:qFormat/>
    <w:locked/>
    <w:uiPriority w:val="0"/>
  </w:style>
  <w:style w:type="character" w:styleId="27">
    <w:name w:val="FollowedHyperlink"/>
    <w:basedOn w:val="24"/>
    <w:qFormat/>
    <w:locked/>
    <w:uiPriority w:val="0"/>
    <w:rPr>
      <w:color w:val="800080" w:themeColor="followedHyperlink"/>
      <w:u w:val="single"/>
      <w14:textFill>
        <w14:solidFill>
          <w14:schemeClr w14:val="folHlink"/>
        </w14:solidFill>
      </w14:textFill>
    </w:rPr>
  </w:style>
  <w:style w:type="character" w:styleId="28">
    <w:name w:val="Hyperlink"/>
    <w:basedOn w:val="24"/>
    <w:qFormat/>
    <w:locked/>
    <w:uiPriority w:val="0"/>
    <w:rPr>
      <w:color w:val="0000FF"/>
      <w:u w:val="single"/>
    </w:rPr>
  </w:style>
  <w:style w:type="character" w:styleId="29">
    <w:name w:val="annotation reference"/>
    <w:semiHidden/>
    <w:qFormat/>
    <w:uiPriority w:val="0"/>
    <w:rPr>
      <w:sz w:val="21"/>
    </w:rPr>
  </w:style>
  <w:style w:type="paragraph" w:customStyle="1" w:styleId="30">
    <w:name w:val="Default"/>
    <w:basedOn w:val="31"/>
    <w:next w:val="15"/>
    <w:qFormat/>
    <w:uiPriority w:val="0"/>
    <w:pPr>
      <w:autoSpaceDE w:val="0"/>
      <w:autoSpaceDN w:val="0"/>
    </w:pPr>
    <w:rPr>
      <w:rFonts w:ascii="Times New Roman" w:hAnsi="Times New Roman"/>
      <w:color w:val="000000"/>
    </w:rPr>
  </w:style>
  <w:style w:type="paragraph" w:customStyle="1" w:styleId="31">
    <w:name w:val="纯文本1"/>
    <w:next w:val="9"/>
    <w:qFormat/>
    <w:uiPriority w:val="0"/>
    <w:pPr>
      <w:widowControl w:val="0"/>
      <w:wordWrap w:val="0"/>
      <w:spacing w:line="360" w:lineRule="auto"/>
      <w:ind w:firstLine="480" w:firstLineChars="200"/>
      <w:jc w:val="both"/>
    </w:pPr>
    <w:rPr>
      <w:rFonts w:hint="eastAsia" w:ascii="宋体" w:hAnsi="Courier New" w:eastAsia="宋体" w:cs="Times New Roman"/>
      <w:kern w:val="2"/>
      <w:sz w:val="24"/>
      <w:szCs w:val="22"/>
      <w:lang w:val="en-US" w:eastAsia="zh-CN" w:bidi="ar-SA"/>
    </w:rPr>
  </w:style>
  <w:style w:type="paragraph" w:customStyle="1" w:styleId="32">
    <w:name w:val="样式35"/>
    <w:basedOn w:val="33"/>
    <w:next w:val="34"/>
    <w:qFormat/>
    <w:uiPriority w:val="0"/>
    <w:pPr>
      <w:tabs>
        <w:tab w:val="left" w:pos="360"/>
        <w:tab w:val="left" w:pos="480"/>
        <w:tab w:val="left" w:pos="540"/>
        <w:tab w:val="left" w:pos="720"/>
      </w:tabs>
      <w:spacing w:line="312" w:lineRule="auto"/>
      <w:ind w:firstLine="567"/>
    </w:pPr>
    <w:rPr>
      <w:rFonts w:ascii="宋体" w:hAnsi="宋体" w:cs="宋体"/>
      <w:sz w:val="28"/>
      <w:szCs w:val="28"/>
    </w:rPr>
  </w:style>
  <w:style w:type="paragraph" w:customStyle="1" w:styleId="33">
    <w:name w:val="表 内容"/>
    <w:basedOn w:val="1"/>
    <w:qFormat/>
    <w:uiPriority w:val="0"/>
    <w:pPr>
      <w:adjustRightInd w:val="0"/>
      <w:snapToGrid w:val="0"/>
      <w:spacing w:beforeLines="15"/>
      <w:jc w:val="center"/>
    </w:pPr>
    <w:rPr>
      <w:kern w:val="0"/>
      <w:sz w:val="20"/>
      <w:szCs w:val="21"/>
    </w:rPr>
  </w:style>
  <w:style w:type="paragraph" w:customStyle="1" w:styleId="34">
    <w:name w:val="font6"/>
    <w:basedOn w:val="1"/>
    <w:next w:val="17"/>
    <w:qFormat/>
    <w:uiPriority w:val="0"/>
    <w:pPr>
      <w:widowControl/>
      <w:spacing w:before="100" w:beforeAutospacing="1" w:after="100" w:afterAutospacing="1"/>
      <w:jc w:val="left"/>
    </w:pPr>
    <w:rPr>
      <w:rFonts w:ascii="宋体" w:hAnsi="宋体" w:cs="宋体"/>
      <w:kern w:val="0"/>
      <w:sz w:val="20"/>
      <w:szCs w:val="20"/>
    </w:rPr>
  </w:style>
  <w:style w:type="paragraph" w:customStyle="1" w:styleId="35">
    <w:name w:val="xl27"/>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sz w:val="21"/>
      <w:szCs w:val="22"/>
      <w:lang w:val="en-US" w:eastAsia="zh-CN" w:bidi="ar-SA"/>
    </w:rPr>
  </w:style>
  <w:style w:type="paragraph" w:customStyle="1" w:styleId="36">
    <w:name w:val="0表头"/>
    <w:basedOn w:val="1"/>
    <w:qFormat/>
    <w:uiPriority w:val="0"/>
    <w:pPr>
      <w:spacing w:line="240" w:lineRule="auto"/>
      <w:jc w:val="center"/>
    </w:pPr>
    <w:rPr>
      <w:b/>
      <w:kern w:val="0"/>
    </w:rPr>
  </w:style>
  <w:style w:type="paragraph" w:customStyle="1" w:styleId="37">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3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表格"/>
    <w:basedOn w:val="5"/>
    <w:next w:val="1"/>
    <w:link w:val="44"/>
    <w:qFormat/>
    <w:uiPriority w:val="0"/>
    <w:pPr>
      <w:adjustRightInd w:val="0"/>
      <w:snapToGrid w:val="0"/>
      <w:spacing w:beforeLines="10" w:afterLines="10" w:line="259" w:lineRule="auto"/>
      <w:jc w:val="center"/>
    </w:pPr>
    <w:rPr>
      <w:rFonts w:ascii="宋体"/>
      <w:kern w:val="0"/>
      <w:szCs w:val="20"/>
    </w:rPr>
  </w:style>
  <w:style w:type="paragraph" w:customStyle="1" w:styleId="40">
    <w:name w:val="普通(网站)2"/>
    <w:basedOn w:val="1"/>
    <w:qFormat/>
    <w:uiPriority w:val="0"/>
    <w:pPr>
      <w:widowControl/>
      <w:spacing w:before="100" w:beforeAutospacing="1" w:after="100" w:afterAutospacing="1"/>
      <w:jc w:val="left"/>
    </w:pPr>
    <w:rPr>
      <w:rFonts w:ascii="宋体" w:hAnsi="宋体"/>
      <w:szCs w:val="20"/>
    </w:rPr>
  </w:style>
  <w:style w:type="character" w:customStyle="1" w:styleId="41">
    <w:name w:val="批注框文本 字符"/>
    <w:link w:val="12"/>
    <w:semiHidden/>
    <w:qFormat/>
    <w:locked/>
    <w:uiPriority w:val="0"/>
    <w:rPr>
      <w:rFonts w:ascii="Times New Roman" w:hAnsi="Times New Roman" w:eastAsia="宋体"/>
      <w:sz w:val="18"/>
    </w:rPr>
  </w:style>
  <w:style w:type="character" w:customStyle="1" w:styleId="42">
    <w:name w:val="日期 字符"/>
    <w:semiHidden/>
    <w:qFormat/>
    <w:uiPriority w:val="0"/>
    <w:rPr>
      <w:rFonts w:ascii="Times New Roman" w:hAnsi="Times New Roman" w:eastAsia="宋体"/>
      <w:sz w:val="24"/>
    </w:rPr>
  </w:style>
  <w:style w:type="character" w:customStyle="1" w:styleId="43">
    <w:name w:val="批注文字 字符"/>
    <w:link w:val="6"/>
    <w:qFormat/>
    <w:locked/>
    <w:uiPriority w:val="0"/>
    <w:rPr>
      <w:rFonts w:ascii="Times New Roman" w:hAnsi="Times New Roman" w:eastAsia="宋体"/>
      <w:sz w:val="24"/>
    </w:rPr>
  </w:style>
  <w:style w:type="character" w:customStyle="1" w:styleId="44">
    <w:name w:val="表格 Char"/>
    <w:link w:val="39"/>
    <w:qFormat/>
    <w:locked/>
    <w:uiPriority w:val="0"/>
    <w:rPr>
      <w:rFonts w:ascii="宋体"/>
      <w:sz w:val="21"/>
    </w:rPr>
  </w:style>
  <w:style w:type="character" w:customStyle="1" w:styleId="45">
    <w:name w:val="正文文本 字符1"/>
    <w:semiHidden/>
    <w:qFormat/>
    <w:uiPriority w:val="0"/>
    <w:rPr>
      <w:rFonts w:ascii="Times New Roman" w:hAnsi="Times New Roman" w:eastAsia="宋体"/>
      <w:sz w:val="24"/>
    </w:rPr>
  </w:style>
  <w:style w:type="character" w:customStyle="1" w:styleId="46">
    <w:name w:val="普通(网站) 字符"/>
    <w:link w:val="18"/>
    <w:qFormat/>
    <w:locked/>
    <w:uiPriority w:val="0"/>
    <w:rPr>
      <w:rFonts w:ascii="宋体" w:hAnsi="宋体" w:eastAsia="宋体"/>
      <w:sz w:val="24"/>
    </w:rPr>
  </w:style>
  <w:style w:type="character" w:customStyle="1" w:styleId="47">
    <w:name w:val="日期 字符1"/>
    <w:link w:val="11"/>
    <w:qFormat/>
    <w:locked/>
    <w:uiPriority w:val="0"/>
    <w:rPr>
      <w:rFonts w:ascii="Times New Roman" w:hAnsi="Times New Roman" w:eastAsia="宋体"/>
      <w:sz w:val="24"/>
    </w:rPr>
  </w:style>
  <w:style w:type="character" w:customStyle="1" w:styleId="48">
    <w:name w:val="页脚 字符"/>
    <w:basedOn w:val="24"/>
    <w:qFormat/>
    <w:uiPriority w:val="99"/>
  </w:style>
  <w:style w:type="character" w:customStyle="1" w:styleId="49">
    <w:name w:val="页脚 字符1"/>
    <w:link w:val="13"/>
    <w:qFormat/>
    <w:locked/>
    <w:uiPriority w:val="99"/>
    <w:rPr>
      <w:sz w:val="18"/>
    </w:rPr>
  </w:style>
  <w:style w:type="character" w:customStyle="1" w:styleId="50">
    <w:name w:val="正文文本 字符"/>
    <w:link w:val="7"/>
    <w:qFormat/>
    <w:locked/>
    <w:uiPriority w:val="0"/>
    <w:rPr>
      <w:sz w:val="18"/>
    </w:rPr>
  </w:style>
  <w:style w:type="character" w:customStyle="1" w:styleId="51">
    <w:name w:val="正文文本缩进 字符"/>
    <w:link w:val="8"/>
    <w:semiHidden/>
    <w:qFormat/>
    <w:locked/>
    <w:uiPriority w:val="0"/>
    <w:rPr>
      <w:rFonts w:ascii="Times New Roman" w:hAnsi="Times New Roman" w:eastAsia="宋体"/>
      <w:sz w:val="24"/>
    </w:rPr>
  </w:style>
  <w:style w:type="character" w:customStyle="1" w:styleId="52">
    <w:name w:val="批注主题 字符"/>
    <w:link w:val="19"/>
    <w:semiHidden/>
    <w:qFormat/>
    <w:locked/>
    <w:uiPriority w:val="0"/>
    <w:rPr>
      <w:rFonts w:ascii="Times New Roman" w:hAnsi="Times New Roman" w:eastAsia="宋体"/>
      <w:b/>
      <w:kern w:val="2"/>
      <w:sz w:val="24"/>
    </w:rPr>
  </w:style>
  <w:style w:type="character" w:customStyle="1" w:styleId="53">
    <w:name w:val="批注文字 字符1"/>
    <w:semiHidden/>
    <w:qFormat/>
    <w:uiPriority w:val="0"/>
    <w:rPr>
      <w:rFonts w:ascii="Times New Roman" w:hAnsi="Times New Roman" w:eastAsia="宋体"/>
      <w:sz w:val="24"/>
    </w:rPr>
  </w:style>
  <w:style w:type="character" w:customStyle="1" w:styleId="54">
    <w:name w:val="页眉 字符"/>
    <w:link w:val="14"/>
    <w:qFormat/>
    <w:locked/>
    <w:uiPriority w:val="0"/>
    <w:rPr>
      <w:sz w:val="18"/>
    </w:rPr>
  </w:style>
  <w:style w:type="paragraph" w:customStyle="1" w:styleId="55">
    <w:name w:val="+"/>
    <w:basedOn w:val="1"/>
    <w:qFormat/>
    <w:uiPriority w:val="0"/>
    <w:pPr>
      <w:adjustRightInd w:val="0"/>
      <w:snapToGrid w:val="0"/>
      <w:ind w:firstLine="420" w:firstLineChars="200"/>
      <w:jc w:val="left"/>
    </w:pPr>
    <w:rPr>
      <w:kern w:val="0"/>
    </w:rPr>
  </w:style>
  <w:style w:type="paragraph" w:styleId="56">
    <w:name w:val="List Paragraph"/>
    <w:basedOn w:val="1"/>
    <w:qFormat/>
    <w:uiPriority w:val="99"/>
    <w:pPr>
      <w:ind w:firstLine="420" w:firstLineChars="200"/>
    </w:pPr>
    <w:rPr>
      <w:rFonts w:ascii="Calibri" w:hAnsi="Calibri"/>
      <w:szCs w:val="22"/>
    </w:rPr>
  </w:style>
  <w:style w:type="paragraph" w:customStyle="1" w:styleId="57">
    <w:name w:val="新表项"/>
    <w:basedOn w:val="1"/>
    <w:qFormat/>
    <w:uiPriority w:val="0"/>
    <w:pPr>
      <w:adjustRightInd w:val="0"/>
      <w:spacing w:before="60" w:line="336" w:lineRule="auto"/>
      <w:ind w:firstLine="505"/>
      <w:textAlignment w:val="baseline"/>
    </w:pPr>
    <w:rPr>
      <w:rFonts w:ascii="宋体"/>
      <w:kern w:val="0"/>
    </w:rPr>
  </w:style>
  <w:style w:type="paragraph" w:customStyle="1" w:styleId="58">
    <w:name w:val="报告表  段"/>
    <w:basedOn w:val="1"/>
    <w:qFormat/>
    <w:uiPriority w:val="0"/>
    <w:pPr>
      <w:adjustRightInd w:val="0"/>
      <w:ind w:firstLine="505"/>
      <w:textAlignment w:val="baseline"/>
    </w:pPr>
    <w:rPr>
      <w:rFonts w:ascii="宋体"/>
      <w:kern w:val="0"/>
    </w:rPr>
  </w:style>
  <w:style w:type="paragraph" w:customStyle="1" w:styleId="59">
    <w:name w:val="正文内容"/>
    <w:basedOn w:val="1"/>
    <w:qFormat/>
    <w:uiPriority w:val="0"/>
    <w:pPr>
      <w:spacing w:line="312" w:lineRule="auto"/>
      <w:ind w:firstLine="480" w:firstLineChars="200"/>
    </w:pPr>
  </w:style>
  <w:style w:type="paragraph" w:customStyle="1" w:styleId="60">
    <w:name w:val="Char"/>
    <w:basedOn w:val="1"/>
    <w:qFormat/>
    <w:uiPriority w:val="0"/>
  </w:style>
  <w:style w:type="paragraph" w:customStyle="1" w:styleId="61">
    <w:name w:val="表内容"/>
    <w:qFormat/>
    <w:uiPriority w:val="0"/>
    <w:pPr>
      <w:keepNext/>
      <w:widowControl w:val="0"/>
      <w:autoSpaceDE w:val="0"/>
      <w:autoSpaceDN w:val="0"/>
      <w:adjustRightInd w:val="0"/>
      <w:jc w:val="center"/>
      <w:textAlignment w:val="baseline"/>
    </w:pPr>
    <w:rPr>
      <w:rFonts w:ascii="Calibri" w:hAnsi="Calibri" w:eastAsia="宋体" w:cs="Times New Roman"/>
      <w:sz w:val="21"/>
      <w:szCs w:val="21"/>
      <w:lang w:val="en-US" w:eastAsia="zh-CN" w:bidi="ar-SA"/>
    </w:rPr>
  </w:style>
  <w:style w:type="paragraph" w:customStyle="1" w:styleId="62">
    <w:name w:val="表标题"/>
    <w:next w:val="59"/>
    <w:link w:val="67"/>
    <w:qFormat/>
    <w:uiPriority w:val="0"/>
    <w:pPr>
      <w:widowControl w:val="0"/>
      <w:jc w:val="center"/>
    </w:pPr>
    <w:rPr>
      <w:rFonts w:ascii="Times New Roman" w:hAnsi="Times New Roman" w:eastAsia="宋体" w:cs="Times New Roman"/>
      <w:b/>
      <w:kern w:val="2"/>
      <w:sz w:val="21"/>
      <w:szCs w:val="24"/>
      <w:lang w:val="en-US" w:eastAsia="zh-CN" w:bidi="ar-SA"/>
    </w:rPr>
  </w:style>
  <w:style w:type="paragraph" w:customStyle="1" w:styleId="63">
    <w:name w:val="表格格式"/>
    <w:basedOn w:val="64"/>
    <w:qFormat/>
    <w:uiPriority w:val="0"/>
  </w:style>
  <w:style w:type="paragraph" w:customStyle="1" w:styleId="64">
    <w:name w:val="表格标题"/>
    <w:basedOn w:val="65"/>
    <w:qFormat/>
    <w:uiPriority w:val="0"/>
  </w:style>
  <w:style w:type="paragraph" w:customStyle="1" w:styleId="65">
    <w:name w:val="表格000"/>
    <w:qFormat/>
    <w:uiPriority w:val="0"/>
    <w:pPr>
      <w:widowControl w:val="0"/>
      <w:jc w:val="center"/>
    </w:pPr>
    <w:rPr>
      <w:rFonts w:ascii="Times New Roman" w:hAnsi="Times New Roman" w:eastAsia="宋体" w:cs="Times New Roman"/>
      <w:kern w:val="11"/>
      <w:sz w:val="21"/>
      <w:szCs w:val="21"/>
      <w:lang w:val="en-US" w:eastAsia="zh-CN" w:bidi="ar-SA"/>
    </w:rPr>
  </w:style>
  <w:style w:type="paragraph" w:customStyle="1" w:styleId="66">
    <w:name w:val="表格内容"/>
    <w:qFormat/>
    <w:uiPriority w:val="0"/>
    <w:pPr>
      <w:keepNext/>
      <w:widowControl w:val="0"/>
      <w:adjustRightInd w:val="0"/>
      <w:snapToGrid w:val="0"/>
      <w:jc w:val="center"/>
    </w:pPr>
    <w:rPr>
      <w:rFonts w:hint="eastAsia" w:ascii="Times New Roman" w:hAnsi="Times New Roman" w:eastAsia="宋体" w:cs="Times New Roman"/>
      <w:kern w:val="2"/>
      <w:sz w:val="21"/>
      <w:lang w:val="en-US" w:eastAsia="zh-CN" w:bidi="ar-SA"/>
    </w:rPr>
  </w:style>
  <w:style w:type="character" w:customStyle="1" w:styleId="67">
    <w:name w:val="表标题 Char Char"/>
    <w:link w:val="62"/>
    <w:qFormat/>
    <w:uiPriority w:val="0"/>
    <w:rPr>
      <w:rFonts w:ascii="Times New Roman" w:hAnsi="Times New Roman" w:eastAsia="宋体"/>
      <w:b/>
      <w:kern w:val="2"/>
      <w:sz w:val="21"/>
      <w:szCs w:val="24"/>
      <w:lang w:val="en-US" w:eastAsia="zh-CN" w:bidi="ar-SA"/>
    </w:rPr>
  </w:style>
  <w:style w:type="paragraph" w:customStyle="1" w:styleId="68">
    <w:name w:val="表格文字（241）"/>
    <w:qFormat/>
    <w:uiPriority w:val="0"/>
    <w:pPr>
      <w:widowControl w:val="0"/>
      <w:autoSpaceDE w:val="0"/>
      <w:autoSpaceDN w:val="0"/>
      <w:adjustRightInd w:val="0"/>
      <w:jc w:val="center"/>
      <w:textAlignment w:val="baseline"/>
    </w:pPr>
    <w:rPr>
      <w:rFonts w:ascii="Times New Roman" w:hAnsi="Times New Roman" w:eastAsia="宋体" w:cs="Times New Roman"/>
      <w:bCs/>
      <w:sz w:val="21"/>
      <w:szCs w:val="24"/>
      <w:lang w:val="en-US" w:eastAsia="zh-CN" w:bidi="ar-SA"/>
    </w:rPr>
  </w:style>
  <w:style w:type="paragraph" w:customStyle="1" w:styleId="69">
    <w:name w:val="1"/>
    <w:next w:val="8"/>
    <w:qFormat/>
    <w:uiPriority w:val="0"/>
    <w:pPr>
      <w:widowControl w:val="0"/>
      <w:adjustRightInd w:val="0"/>
      <w:snapToGrid w:val="0"/>
      <w:spacing w:line="360" w:lineRule="auto"/>
      <w:ind w:firstLine="420" w:firstLineChars="200"/>
    </w:pPr>
    <w:rPr>
      <w:rFonts w:ascii="Times New Roman" w:hAnsi="Times New Roman" w:eastAsia="宋体" w:cs="Times New Roman"/>
      <w:sz w:val="24"/>
      <w:szCs w:val="24"/>
      <w:lang w:val="en-US" w:eastAsia="zh-CN" w:bidi="ar-SA"/>
    </w:rPr>
  </w:style>
  <w:style w:type="paragraph" w:customStyle="1" w:styleId="70">
    <w:name w:val="Table Paragraph"/>
    <w:qFormat/>
    <w:uiPriority w:val="0"/>
    <w:pPr>
      <w:widowControl w:val="0"/>
      <w:jc w:val="both"/>
    </w:pPr>
    <w:rPr>
      <w:rFonts w:hint="eastAsia" w:ascii="宋体" w:hAnsi="宋体" w:eastAsia="宋体" w:cs="Times New Roman"/>
      <w:kern w:val="2"/>
      <w:sz w:val="21"/>
      <w:szCs w:val="21"/>
      <w:lang w:val="en-US" w:eastAsia="zh-CN" w:bidi="ar-SA"/>
    </w:rPr>
  </w:style>
  <w:style w:type="paragraph" w:customStyle="1" w:styleId="71">
    <w:name w:val="正 文"/>
    <w:qFormat/>
    <w:uiPriority w:val="0"/>
    <w:pPr>
      <w:widowControl w:val="0"/>
      <w:spacing w:line="480" w:lineRule="exact"/>
      <w:ind w:firstLine="471"/>
      <w:jc w:val="both"/>
    </w:pPr>
    <w:rPr>
      <w:rFonts w:ascii="Arial" w:hAnsi="Arial" w:eastAsia="宋体" w:cs="Times New Roman"/>
      <w:kern w:val="2"/>
      <w:sz w:val="24"/>
      <w:szCs w:val="24"/>
      <w:lang w:val="en-US" w:eastAsia="zh-CN" w:bidi="ar-SA"/>
    </w:rPr>
  </w:style>
  <w:style w:type="character" w:customStyle="1" w:styleId="72">
    <w:name w:val="main_tdbg_760"/>
    <w:qFormat/>
    <w:uiPriority w:val="0"/>
  </w:style>
  <w:style w:type="paragraph" w:customStyle="1" w:styleId="73">
    <w:name w:val="修订1"/>
    <w:hidden/>
    <w:unhideWhenUsed/>
    <w:qFormat/>
    <w:uiPriority w:val="99"/>
    <w:rPr>
      <w:rFonts w:ascii="Times New Roman" w:hAnsi="Times New Roman" w:eastAsia="宋体" w:cs="Times New Roman"/>
      <w:kern w:val="2"/>
      <w:sz w:val="24"/>
      <w:szCs w:val="24"/>
      <w:lang w:val="en-US" w:eastAsia="zh-CN" w:bidi="ar-SA"/>
    </w:rPr>
  </w:style>
  <w:style w:type="paragraph" w:customStyle="1" w:styleId="74">
    <w:name w:val="修订2"/>
    <w:hidden/>
    <w:semiHidden/>
    <w:qFormat/>
    <w:uiPriority w:val="99"/>
    <w:rPr>
      <w:rFonts w:ascii="Times New Roman" w:hAnsi="Times New Roman" w:eastAsia="宋体" w:cs="Times New Roman"/>
      <w:kern w:val="2"/>
      <w:sz w:val="24"/>
      <w:szCs w:val="24"/>
      <w:lang w:val="en-US" w:eastAsia="zh-CN" w:bidi="ar-SA"/>
    </w:rPr>
  </w:style>
  <w:style w:type="character" w:customStyle="1" w:styleId="75">
    <w:name w:val="font01"/>
    <w:basedOn w:val="24"/>
    <w:qFormat/>
    <w:uiPriority w:val="0"/>
    <w:rPr>
      <w:rFonts w:hint="eastAsia" w:ascii="宋体" w:hAnsi="宋体" w:eastAsia="宋体" w:cs="宋体"/>
      <w:color w:val="000000"/>
      <w:sz w:val="24"/>
      <w:szCs w:val="24"/>
      <w:u w:val="none"/>
    </w:rPr>
  </w:style>
  <w:style w:type="character" w:customStyle="1" w:styleId="76">
    <w:name w:val="font61"/>
    <w:basedOn w:val="24"/>
    <w:qFormat/>
    <w:uiPriority w:val="0"/>
    <w:rPr>
      <w:rFonts w:hint="eastAsia" w:ascii="宋体" w:hAnsi="宋体" w:eastAsia="宋体" w:cs="宋体"/>
      <w:b/>
      <w:bCs/>
      <w:color w:val="000000"/>
      <w:sz w:val="20"/>
      <w:szCs w:val="20"/>
      <w:u w:val="none"/>
    </w:rPr>
  </w:style>
  <w:style w:type="character" w:customStyle="1" w:styleId="77">
    <w:name w:val="font31"/>
    <w:basedOn w:val="24"/>
    <w:qFormat/>
    <w:uiPriority w:val="0"/>
    <w:rPr>
      <w:rFonts w:hint="default" w:ascii="Times New Roman" w:hAnsi="Times New Roman" w:cs="Times New Roman"/>
      <w:b/>
      <w:bCs/>
      <w:color w:val="000000"/>
      <w:sz w:val="20"/>
      <w:szCs w:val="20"/>
      <w:u w:val="none"/>
    </w:rPr>
  </w:style>
  <w:style w:type="character" w:customStyle="1" w:styleId="78">
    <w:name w:val="font81"/>
    <w:basedOn w:val="24"/>
    <w:qFormat/>
    <w:uiPriority w:val="0"/>
    <w:rPr>
      <w:rFonts w:hint="default" w:ascii="Times New Roman" w:hAnsi="Times New Roman" w:cs="Times New Roman"/>
      <w:b/>
      <w:bCs/>
      <w:color w:val="000000"/>
      <w:sz w:val="20"/>
      <w:szCs w:val="20"/>
      <w:u w:val="none"/>
    </w:rPr>
  </w:style>
  <w:style w:type="character" w:customStyle="1" w:styleId="79">
    <w:name w:val="font71"/>
    <w:basedOn w:val="24"/>
    <w:qFormat/>
    <w:uiPriority w:val="0"/>
    <w:rPr>
      <w:rFonts w:hint="eastAsia" w:ascii="宋体" w:hAnsi="宋体" w:eastAsia="宋体" w:cs="宋体"/>
      <w:b/>
      <w:bCs/>
      <w:color w:val="000000"/>
      <w:sz w:val="20"/>
      <w:szCs w:val="20"/>
      <w:u w:val="none"/>
    </w:rPr>
  </w:style>
  <w:style w:type="character" w:customStyle="1" w:styleId="80">
    <w:name w:val="font131"/>
    <w:basedOn w:val="24"/>
    <w:qFormat/>
    <w:uiPriority w:val="0"/>
    <w:rPr>
      <w:rFonts w:hint="eastAsia" w:ascii="宋体" w:hAnsi="宋体" w:eastAsia="宋体" w:cs="宋体"/>
      <w:color w:val="0C0C0C"/>
      <w:sz w:val="20"/>
      <w:szCs w:val="20"/>
      <w:u w:val="none"/>
    </w:rPr>
  </w:style>
  <w:style w:type="character" w:customStyle="1" w:styleId="81">
    <w:name w:val="Unresolved Mention"/>
    <w:basedOn w:val="24"/>
    <w:semiHidden/>
    <w:unhideWhenUsed/>
    <w:qFormat/>
    <w:uiPriority w:val="99"/>
    <w:rPr>
      <w:color w:val="605E5C"/>
      <w:shd w:val="clear" w:color="auto" w:fill="E1DFDD"/>
    </w:rPr>
  </w:style>
  <w:style w:type="paragraph" w:customStyle="1" w:styleId="82">
    <w:name w:val="环评表格标题"/>
    <w:basedOn w:val="1"/>
    <w:qFormat/>
    <w:uiPriority w:val="0"/>
    <w:pPr>
      <w:numPr>
        <w:ilvl w:val="0"/>
        <w:numId w:val="1"/>
      </w:numPr>
      <w:tabs>
        <w:tab w:val="left" w:pos="210"/>
      </w:tabs>
      <w:ind w:firstLine="0" w:firstLineChars="0"/>
      <w:jc w:val="center"/>
    </w:pPr>
    <w:rPr>
      <w:rFonts w:ascii="Times New Roman" w:hAnsi="Times New Roman" w:eastAsia="宋体" w:cs="Times New Roman"/>
      <w:b/>
    </w:rPr>
  </w:style>
  <w:style w:type="table" w:customStyle="1" w:styleId="83">
    <w:name w:val="Table Normal"/>
    <w:semiHidden/>
    <w:unhideWhenUsed/>
    <w:qFormat/>
    <w:uiPriority w:val="0"/>
    <w:tblPr>
      <w:tblCellMar>
        <w:top w:w="0" w:type="dxa"/>
        <w:left w:w="0" w:type="dxa"/>
        <w:bottom w:w="0" w:type="dxa"/>
        <w:right w:w="0" w:type="dxa"/>
      </w:tblCellMar>
    </w:tblPr>
  </w:style>
  <w:style w:type="paragraph" w:customStyle="1" w:styleId="84">
    <w:name w:val="正文j"/>
    <w:qFormat/>
    <w:uiPriority w:val="0"/>
    <w:pPr>
      <w:adjustRightInd w:val="0"/>
      <w:snapToGrid w:val="0"/>
      <w:spacing w:beforeLines="25" w:afterLines="25" w:line="360" w:lineRule="auto"/>
      <w:ind w:firstLine="200" w:firstLineChars="200"/>
    </w:pPr>
    <w:rPr>
      <w:rFonts w:ascii="Times New Roman" w:hAnsi="Times New Roman" w:eastAsia="宋体" w:cs="Times New Roman"/>
      <w:kern w:val="2"/>
      <w:sz w:val="24"/>
      <w:szCs w:val="28"/>
      <w:lang w:val="en-US" w:eastAsia="zh-CN" w:bidi="ar-SA"/>
    </w:rPr>
  </w:style>
  <w:style w:type="paragraph" w:customStyle="1" w:styleId="85">
    <w:name w:val="表格 32"/>
    <w:basedOn w:val="1"/>
    <w:qFormat/>
    <w:uiPriority w:val="0"/>
    <w:pPr>
      <w:autoSpaceDE w:val="0"/>
      <w:autoSpaceDN w:val="0"/>
      <w:adjustRightInd w:val="0"/>
      <w:jc w:val="center"/>
      <w:textAlignment w:val="baseline"/>
    </w:pPr>
    <w:rPr>
      <w:rFonts w:ascii="Impact" w:hAnsi="Wingdings" w:eastAsia="Impact" w:cs="仿宋体"/>
      <w:kern w:val="24"/>
      <w:sz w:val="24"/>
      <w:szCs w:val="20"/>
    </w:rPr>
  </w:style>
  <w:style w:type="paragraph" w:customStyle="1" w:styleId="86">
    <w:name w:val="无间隔1"/>
    <w:basedOn w:val="1"/>
    <w:qFormat/>
    <w:uiPriority w:val="0"/>
    <w:pPr>
      <w:keepNext w:val="0"/>
      <w:keepLines w:val="0"/>
      <w:widowControl w:val="0"/>
      <w:suppressLineNumbers w:val="0"/>
      <w:spacing w:before="0" w:beforeAutospacing="0" w:after="0" w:afterAutospacing="0"/>
      <w:ind w:left="0" w:right="0"/>
      <w:jc w:val="center"/>
    </w:pPr>
    <w:rPr>
      <w:rFonts w:hint="default" w:ascii="Calibri" w:hAnsi="Calibri" w:eastAsia="宋体" w:cs="Times New Roman"/>
      <w:b/>
      <w:kern w:val="2"/>
      <w:sz w:val="21"/>
      <w:szCs w:val="24"/>
      <w:lang w:val="en-US" w:eastAsia="zh-CN" w:bidi="ar"/>
    </w:rPr>
  </w:style>
  <w:style w:type="paragraph" w:customStyle="1" w:styleId="87">
    <w:name w:val="Table Text"/>
    <w:basedOn w:val="1"/>
    <w:semiHidden/>
    <w:qFormat/>
    <w:uiPriority w:val="0"/>
    <w:rPr>
      <w:rFonts w:ascii="宋体" w:hAnsi="宋体" w:cs="宋体"/>
      <w:lang w:eastAsia="en-US"/>
    </w:rPr>
  </w:style>
  <w:style w:type="character" w:customStyle="1" w:styleId="88">
    <w:name w:val="15"/>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0.jpeg"/><Relationship Id="rId41" Type="http://schemas.openxmlformats.org/officeDocument/2006/relationships/image" Target="media/image19.png"/><Relationship Id="rId40" Type="http://schemas.openxmlformats.org/officeDocument/2006/relationships/image" Target="media/image18.wmf"/><Relationship Id="rId4" Type="http://schemas.openxmlformats.org/officeDocument/2006/relationships/endnotes" Target="endnotes.xml"/><Relationship Id="rId39" Type="http://schemas.openxmlformats.org/officeDocument/2006/relationships/oleObject" Target="embeddings/oleObject11.bin"/><Relationship Id="rId38" Type="http://schemas.openxmlformats.org/officeDocument/2006/relationships/image" Target="media/image17.wmf"/><Relationship Id="rId37" Type="http://schemas.openxmlformats.org/officeDocument/2006/relationships/oleObject" Target="embeddings/oleObject10.bin"/><Relationship Id="rId36" Type="http://schemas.openxmlformats.org/officeDocument/2006/relationships/image" Target="media/image16.wmf"/><Relationship Id="rId35" Type="http://schemas.openxmlformats.org/officeDocument/2006/relationships/oleObject" Target="embeddings/oleObject9.bin"/><Relationship Id="rId34" Type="http://schemas.openxmlformats.org/officeDocument/2006/relationships/image" Target="media/image15.wmf"/><Relationship Id="rId33" Type="http://schemas.openxmlformats.org/officeDocument/2006/relationships/oleObject" Target="embeddings/oleObject8.bin"/><Relationship Id="rId32" Type="http://schemas.openxmlformats.org/officeDocument/2006/relationships/image" Target="media/image14.wmf"/><Relationship Id="rId31" Type="http://schemas.openxmlformats.org/officeDocument/2006/relationships/oleObject" Target="embeddings/oleObject7.bin"/><Relationship Id="rId30" Type="http://schemas.openxmlformats.org/officeDocument/2006/relationships/image" Target="media/image13.wmf"/><Relationship Id="rId3" Type="http://schemas.openxmlformats.org/officeDocument/2006/relationships/footnotes" Target="footnotes.xml"/><Relationship Id="rId29" Type="http://schemas.openxmlformats.org/officeDocument/2006/relationships/oleObject" Target="embeddings/oleObject6.bin"/><Relationship Id="rId28" Type="http://schemas.openxmlformats.org/officeDocument/2006/relationships/image" Target="media/image12.png"/><Relationship Id="rId27" Type="http://schemas.openxmlformats.org/officeDocument/2006/relationships/image" Target="media/image11.wmf"/><Relationship Id="rId26" Type="http://schemas.openxmlformats.org/officeDocument/2006/relationships/oleObject" Target="embeddings/oleObject5.bin"/><Relationship Id="rId25" Type="http://schemas.openxmlformats.org/officeDocument/2006/relationships/image" Target="media/image10.wmf"/><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jpeg"/><Relationship Id="rId21" Type="http://schemas.openxmlformats.org/officeDocument/2006/relationships/image" Target="media/image6.e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5.emf"/><Relationship Id="rId18" Type="http://schemas.openxmlformats.org/officeDocument/2006/relationships/oleObject" Target="embeddings/oleObject3.bin"/><Relationship Id="rId17" Type="http://schemas.openxmlformats.org/officeDocument/2006/relationships/image" Target="media/image4.emf"/><Relationship Id="rId16" Type="http://schemas.openxmlformats.org/officeDocument/2006/relationships/oleObject" Target="embeddings/oleObject2.bin"/><Relationship Id="rId15" Type="http://schemas.openxmlformats.org/officeDocument/2006/relationships/image" Target="media/image3.wmf"/><Relationship Id="rId14" Type="http://schemas.openxmlformats.org/officeDocument/2006/relationships/oleObject" Target="embeddings/oleObject1.bin"/><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77</Pages>
  <Words>23645</Words>
  <Characters>25881</Characters>
  <Lines>435</Lines>
  <Paragraphs>122</Paragraphs>
  <TotalTime>847</TotalTime>
  <ScaleCrop>false</ScaleCrop>
  <LinksUpToDate>false</LinksUpToDate>
  <CharactersWithSpaces>26031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2022-11-07T01:20:00Z</dcterms:created>
  <dc:creator>尚云环境</dc:creator>
  <cp:lastModifiedBy>WPS_1482768017</cp:lastModifiedBy>
  <cp:lastPrinted>2023-02-27T08:19:00Z</cp:lastPrinted>
  <dcterms:modified xsi:type="dcterms:W3CDTF">2025-08-25T02:01:03Z</dcterms:modified>
  <dc:title>建设项目环境影响报告表（污染影响类）</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FD06586244B54176A373A6AEC3307857_13</vt:lpwstr>
  </property>
  <property fmtid="{D5CDD505-2E9C-101B-9397-08002B2CF9AE}" pid="4" name="KSOTemplateDocerSaveRecord">
    <vt:lpwstr>eyJoZGlkIjoiM2QxNWUxODVhOTIwNGNkNGE4YzY1ZmJhMWUyOWNkOGEiLCJ1c2VySWQiOiIyNTg1ODcwNzgifQ==</vt:lpwstr>
  </property>
</Properties>
</file>